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675353">
      <w:pPr>
        <w:pStyle w:val="23"/>
        <w:jc w:val="center"/>
        <w:outlineLvl w:val="0"/>
        <w:rPr>
          <w:rFonts w:hint="eastAsia" w:ascii="Times New Roman" w:hAnsi="Times New Roman" w:eastAsia="宋体"/>
          <w:snapToGrid w:val="0"/>
          <w:color w:val="auto"/>
          <w:sz w:val="30"/>
          <w:szCs w:val="30"/>
          <w:lang w:eastAsia="zh-CN"/>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2" w:name="_GoBack"/>
      <w:bookmarkEnd w:id="2"/>
      <w:r>
        <w:rPr>
          <w:rFonts w:hint="eastAsia" w:ascii="Times New Roman" w:hAnsi="Times New Roman" w:eastAsia="宋体"/>
          <w:snapToGrid w:val="0"/>
          <w:color w:val="auto"/>
          <w:sz w:val="30"/>
          <w:szCs w:val="30"/>
          <w:lang w:eastAsia="zh-CN"/>
        </w:rPr>
        <w:drawing>
          <wp:inline distT="0" distB="0" distL="114300" distR="114300">
            <wp:extent cx="5403850" cy="8523605"/>
            <wp:effectExtent l="0" t="0" r="6350" b="10795"/>
            <wp:docPr id="57" name="图片 57" descr="2-内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内封_00"/>
                    <pic:cNvPicPr>
                      <a:picLocks noChangeAspect="1"/>
                    </pic:cNvPicPr>
                  </pic:nvPicPr>
                  <pic:blipFill>
                    <a:blip r:embed="rId7"/>
                    <a:stretch>
                      <a:fillRect/>
                    </a:stretch>
                  </pic:blipFill>
                  <pic:spPr>
                    <a:xfrm>
                      <a:off x="0" y="0"/>
                      <a:ext cx="5403850" cy="8523605"/>
                    </a:xfrm>
                    <a:prstGeom prst="rect">
                      <a:avLst/>
                    </a:prstGeom>
                  </pic:spPr>
                </pic:pic>
              </a:graphicData>
            </a:graphic>
          </wp:inline>
        </w:drawing>
      </w:r>
      <w:r>
        <w:rPr>
          <w:rFonts w:hint="eastAsia" w:ascii="Times New Roman" w:hAnsi="Times New Roman" w:eastAsia="宋体"/>
          <w:snapToGrid w:val="0"/>
          <w:color w:val="auto"/>
          <w:sz w:val="30"/>
          <w:szCs w:val="30"/>
          <w:lang w:eastAsia="zh-CN"/>
        </w:rPr>
        <w:drawing>
          <wp:inline distT="0" distB="0" distL="114300" distR="114300">
            <wp:extent cx="5582285" cy="8478520"/>
            <wp:effectExtent l="0" t="0" r="18415" b="17780"/>
            <wp:docPr id="58" name="图片 58" descr="3编制单位和编制人员情况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编制单位和编制人员情况表_00"/>
                    <pic:cNvPicPr>
                      <a:picLocks noChangeAspect="1"/>
                    </pic:cNvPicPr>
                  </pic:nvPicPr>
                  <pic:blipFill>
                    <a:blip r:embed="rId8"/>
                    <a:srcRect l="11463" t="4136" r="10694" b="4512"/>
                    <a:stretch>
                      <a:fillRect/>
                    </a:stretch>
                  </pic:blipFill>
                  <pic:spPr>
                    <a:xfrm>
                      <a:off x="0" y="0"/>
                      <a:ext cx="5582285" cy="8478520"/>
                    </a:xfrm>
                    <a:prstGeom prst="rect">
                      <a:avLst/>
                    </a:prstGeom>
                  </pic:spPr>
                </pic:pic>
              </a:graphicData>
            </a:graphic>
          </wp:inline>
        </w:drawing>
      </w:r>
      <w:r>
        <w:rPr>
          <w:rFonts w:hint="eastAsia" w:ascii="Times New Roman" w:hAnsi="Times New Roman" w:eastAsia="宋体"/>
          <w:snapToGrid w:val="0"/>
          <w:color w:val="auto"/>
          <w:sz w:val="30"/>
          <w:szCs w:val="30"/>
          <w:lang w:eastAsia="zh-CN"/>
        </w:rPr>
        <w:drawing>
          <wp:inline distT="0" distB="0" distL="114300" distR="114300">
            <wp:extent cx="6087110" cy="8608695"/>
            <wp:effectExtent l="0" t="0" r="8890" b="1905"/>
            <wp:docPr id="59" name="图片 59" descr="5公示承诺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5公示承诺书_00"/>
                    <pic:cNvPicPr>
                      <a:picLocks noChangeAspect="1"/>
                    </pic:cNvPicPr>
                  </pic:nvPicPr>
                  <pic:blipFill>
                    <a:blip r:embed="rId9"/>
                    <a:stretch>
                      <a:fillRect/>
                    </a:stretch>
                  </pic:blipFill>
                  <pic:spPr>
                    <a:xfrm>
                      <a:off x="0" y="0"/>
                      <a:ext cx="6087110" cy="8608695"/>
                    </a:xfrm>
                    <a:prstGeom prst="rect">
                      <a:avLst/>
                    </a:prstGeom>
                  </pic:spPr>
                </pic:pic>
              </a:graphicData>
            </a:graphic>
          </wp:inline>
        </w:drawing>
      </w:r>
      <w:r>
        <w:rPr>
          <w:rFonts w:hint="eastAsia" w:ascii="Times New Roman" w:hAnsi="Times New Roman" w:eastAsia="宋体"/>
          <w:snapToGrid w:val="0"/>
          <w:color w:val="auto"/>
          <w:sz w:val="30"/>
          <w:szCs w:val="30"/>
          <w:lang w:eastAsia="zh-CN"/>
        </w:rPr>
        <w:drawing>
          <wp:inline distT="0" distB="0" distL="114300" distR="114300">
            <wp:extent cx="6103620" cy="8631555"/>
            <wp:effectExtent l="0" t="0" r="11430" b="17145"/>
            <wp:docPr id="60" name="图片 60" descr="4确认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4确认函_00"/>
                    <pic:cNvPicPr>
                      <a:picLocks noChangeAspect="1"/>
                    </pic:cNvPicPr>
                  </pic:nvPicPr>
                  <pic:blipFill>
                    <a:blip r:embed="rId10"/>
                    <a:stretch>
                      <a:fillRect/>
                    </a:stretch>
                  </pic:blipFill>
                  <pic:spPr>
                    <a:xfrm>
                      <a:off x="0" y="0"/>
                      <a:ext cx="6103620" cy="8631555"/>
                    </a:xfrm>
                    <a:prstGeom prst="rect">
                      <a:avLst/>
                    </a:prstGeom>
                  </pic:spPr>
                </pic:pic>
              </a:graphicData>
            </a:graphic>
          </wp:inline>
        </w:drawing>
      </w:r>
    </w:p>
    <w:p w14:paraId="55A32130">
      <w:pPr>
        <w:pStyle w:val="23"/>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一、建设项目基本情况</w:t>
      </w:r>
    </w:p>
    <w:tbl>
      <w:tblPr>
        <w:tblStyle w:val="25"/>
        <w:tblW w:w="998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81"/>
        <w:gridCol w:w="2977"/>
        <w:gridCol w:w="2011"/>
        <w:gridCol w:w="3513"/>
      </w:tblGrid>
      <w:tr w14:paraId="105BDA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1BA0286D">
            <w:pPr>
              <w:adjustRightInd w:val="0"/>
              <w:snapToGrid w:val="0"/>
              <w:jc w:val="center"/>
              <w:rPr>
                <w:color w:val="auto"/>
                <w:szCs w:val="21"/>
              </w:rPr>
            </w:pPr>
            <w:r>
              <w:rPr>
                <w:color w:val="auto"/>
                <w:szCs w:val="21"/>
              </w:rPr>
              <w:t>建设项目名称</w:t>
            </w:r>
          </w:p>
        </w:tc>
        <w:tc>
          <w:tcPr>
            <w:tcW w:w="8501" w:type="dxa"/>
            <w:gridSpan w:val="3"/>
            <w:noWrap w:val="0"/>
            <w:vAlign w:val="center"/>
          </w:tcPr>
          <w:p w14:paraId="3B4F4E89">
            <w:pPr>
              <w:adjustRightInd w:val="0"/>
              <w:snapToGrid w:val="0"/>
              <w:jc w:val="center"/>
              <w:rPr>
                <w:rFonts w:hint="eastAsia" w:eastAsia="宋体"/>
                <w:color w:val="auto"/>
                <w:szCs w:val="21"/>
                <w:lang w:eastAsia="zh-CN"/>
              </w:rPr>
            </w:pPr>
            <w:r>
              <w:rPr>
                <w:rFonts w:hint="eastAsia"/>
                <w:color w:val="auto"/>
                <w:szCs w:val="21"/>
                <w:lang w:eastAsia="zh-CN"/>
              </w:rPr>
              <w:t>同心医院扩建项目</w:t>
            </w:r>
          </w:p>
        </w:tc>
      </w:tr>
      <w:tr w14:paraId="38CC6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63F9109D">
            <w:pPr>
              <w:adjustRightInd w:val="0"/>
              <w:snapToGrid w:val="0"/>
              <w:jc w:val="center"/>
              <w:rPr>
                <w:color w:val="auto"/>
                <w:szCs w:val="21"/>
              </w:rPr>
            </w:pPr>
            <w:r>
              <w:rPr>
                <w:color w:val="auto"/>
                <w:szCs w:val="21"/>
              </w:rPr>
              <w:t>项目代码</w:t>
            </w:r>
          </w:p>
        </w:tc>
        <w:tc>
          <w:tcPr>
            <w:tcW w:w="8501" w:type="dxa"/>
            <w:gridSpan w:val="3"/>
            <w:noWrap w:val="0"/>
            <w:vAlign w:val="center"/>
          </w:tcPr>
          <w:p w14:paraId="4AF18003">
            <w:pPr>
              <w:adjustRightInd w:val="0"/>
              <w:snapToGrid w:val="0"/>
              <w:jc w:val="center"/>
              <w:rPr>
                <w:rFonts w:hint="eastAsia" w:eastAsia="宋体"/>
                <w:color w:val="auto"/>
                <w:szCs w:val="21"/>
                <w:lang w:eastAsia="zh-CN"/>
              </w:rPr>
            </w:pPr>
            <w:r>
              <w:rPr>
                <w:rFonts w:hint="eastAsia"/>
                <w:color w:val="auto"/>
                <w:szCs w:val="21"/>
                <w:lang w:eastAsia="zh-CN"/>
              </w:rPr>
              <w:t>2303-500107-04-05-293339</w:t>
            </w:r>
          </w:p>
        </w:tc>
      </w:tr>
      <w:tr w14:paraId="1EDBF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312B8551">
            <w:pPr>
              <w:adjustRightInd w:val="0"/>
              <w:snapToGrid w:val="0"/>
              <w:jc w:val="center"/>
              <w:rPr>
                <w:color w:val="auto"/>
                <w:szCs w:val="21"/>
              </w:rPr>
            </w:pPr>
            <w:r>
              <w:rPr>
                <w:color w:val="auto"/>
                <w:szCs w:val="21"/>
              </w:rPr>
              <w:t>建设单位联系人</w:t>
            </w:r>
          </w:p>
        </w:tc>
        <w:tc>
          <w:tcPr>
            <w:tcW w:w="2977" w:type="dxa"/>
            <w:noWrap w:val="0"/>
            <w:vAlign w:val="center"/>
          </w:tcPr>
          <w:p w14:paraId="4AF84344">
            <w:pPr>
              <w:adjustRightInd w:val="0"/>
              <w:snapToGrid w:val="0"/>
              <w:jc w:val="center"/>
              <w:rPr>
                <w:rFonts w:hint="eastAsia" w:eastAsia="宋体"/>
                <w:color w:val="auto"/>
                <w:szCs w:val="21"/>
                <w:lang w:eastAsia="zh-CN"/>
              </w:rPr>
            </w:pPr>
            <w:r>
              <w:rPr>
                <w:rFonts w:hint="eastAsia"/>
                <w:color w:val="auto"/>
                <w:szCs w:val="21"/>
                <w:lang w:val="en-US" w:eastAsia="zh-CN"/>
              </w:rPr>
              <w:t>罗君</w:t>
            </w:r>
          </w:p>
        </w:tc>
        <w:tc>
          <w:tcPr>
            <w:tcW w:w="2011" w:type="dxa"/>
            <w:noWrap w:val="0"/>
            <w:vAlign w:val="center"/>
          </w:tcPr>
          <w:p w14:paraId="37537925">
            <w:pPr>
              <w:adjustRightInd w:val="0"/>
              <w:snapToGrid w:val="0"/>
              <w:jc w:val="center"/>
              <w:rPr>
                <w:color w:val="auto"/>
                <w:szCs w:val="21"/>
              </w:rPr>
            </w:pPr>
            <w:r>
              <w:rPr>
                <w:color w:val="auto"/>
                <w:szCs w:val="21"/>
              </w:rPr>
              <w:t>联系方式</w:t>
            </w:r>
          </w:p>
        </w:tc>
        <w:tc>
          <w:tcPr>
            <w:tcW w:w="3513" w:type="dxa"/>
            <w:noWrap w:val="0"/>
            <w:vAlign w:val="center"/>
          </w:tcPr>
          <w:p w14:paraId="7D0B2C0D">
            <w:pPr>
              <w:adjustRightInd w:val="0"/>
              <w:snapToGrid w:val="0"/>
              <w:jc w:val="center"/>
              <w:rPr>
                <w:color w:val="auto"/>
                <w:szCs w:val="21"/>
              </w:rPr>
            </w:pPr>
            <w:r>
              <w:rPr>
                <w:rFonts w:hint="eastAsia"/>
                <w:color w:val="auto"/>
                <w:szCs w:val="21"/>
              </w:rPr>
              <w:t>1</w:t>
            </w:r>
            <w:r>
              <w:rPr>
                <w:rFonts w:hint="eastAsia"/>
                <w:color w:val="auto"/>
                <w:szCs w:val="21"/>
                <w:lang w:val="en-US" w:eastAsia="zh-CN"/>
              </w:rPr>
              <w:t>50****3915</w:t>
            </w:r>
          </w:p>
        </w:tc>
      </w:tr>
      <w:tr w14:paraId="084AA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4C0EE40F">
            <w:pPr>
              <w:adjustRightInd w:val="0"/>
              <w:snapToGrid w:val="0"/>
              <w:jc w:val="center"/>
              <w:rPr>
                <w:color w:val="auto"/>
                <w:szCs w:val="21"/>
              </w:rPr>
            </w:pPr>
            <w:r>
              <w:rPr>
                <w:color w:val="auto"/>
                <w:szCs w:val="21"/>
              </w:rPr>
              <w:t>建设地点</w:t>
            </w:r>
          </w:p>
        </w:tc>
        <w:tc>
          <w:tcPr>
            <w:tcW w:w="8501" w:type="dxa"/>
            <w:gridSpan w:val="3"/>
            <w:noWrap w:val="0"/>
            <w:vAlign w:val="center"/>
          </w:tcPr>
          <w:p w14:paraId="0A6B0A44">
            <w:pPr>
              <w:adjustRightInd w:val="0"/>
              <w:snapToGrid w:val="0"/>
              <w:jc w:val="center"/>
              <w:rPr>
                <w:rFonts w:hint="eastAsia" w:eastAsia="宋体"/>
                <w:color w:val="auto"/>
                <w:szCs w:val="21"/>
                <w:lang w:eastAsia="zh-CN"/>
              </w:rPr>
            </w:pPr>
            <w:r>
              <w:rPr>
                <w:rFonts w:hint="eastAsia"/>
                <w:color w:val="auto"/>
                <w:szCs w:val="21"/>
                <w:lang w:eastAsia="zh-CN"/>
              </w:rPr>
              <w:t>重庆市九龙坡区石新路33号渝州新城7号楼</w:t>
            </w:r>
          </w:p>
        </w:tc>
      </w:tr>
      <w:tr w14:paraId="5AEBA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7CC0DF2E">
            <w:pPr>
              <w:adjustRightInd w:val="0"/>
              <w:snapToGrid w:val="0"/>
              <w:jc w:val="center"/>
              <w:rPr>
                <w:color w:val="auto"/>
                <w:szCs w:val="21"/>
              </w:rPr>
            </w:pPr>
            <w:r>
              <w:rPr>
                <w:color w:val="auto"/>
                <w:szCs w:val="21"/>
              </w:rPr>
              <w:t>地理坐标</w:t>
            </w:r>
          </w:p>
        </w:tc>
        <w:tc>
          <w:tcPr>
            <w:tcW w:w="8501" w:type="dxa"/>
            <w:gridSpan w:val="3"/>
            <w:noWrap w:val="0"/>
            <w:vAlign w:val="center"/>
          </w:tcPr>
          <w:p w14:paraId="688363EB">
            <w:pPr>
              <w:jc w:val="center"/>
              <w:rPr>
                <w:color w:val="auto"/>
                <w:szCs w:val="21"/>
              </w:rPr>
            </w:pPr>
            <w:r>
              <w:rPr>
                <w:color w:val="auto"/>
                <w:szCs w:val="21"/>
              </w:rPr>
              <w:t>（</w:t>
            </w:r>
            <w:r>
              <w:rPr>
                <w:color w:val="auto"/>
                <w:szCs w:val="21"/>
                <w:u w:val="single"/>
              </w:rPr>
              <w:t>106</w:t>
            </w:r>
            <w:r>
              <w:rPr>
                <w:color w:val="auto"/>
                <w:szCs w:val="21"/>
              </w:rPr>
              <w:t>度</w:t>
            </w:r>
            <w:r>
              <w:rPr>
                <w:rFonts w:hint="eastAsia"/>
                <w:color w:val="auto"/>
                <w:szCs w:val="21"/>
                <w:u w:val="single"/>
              </w:rPr>
              <w:t>2</w:t>
            </w:r>
            <w:r>
              <w:rPr>
                <w:rFonts w:hint="eastAsia"/>
                <w:color w:val="auto"/>
                <w:szCs w:val="21"/>
                <w:u w:val="single"/>
                <w:lang w:val="en-US" w:eastAsia="zh-CN"/>
              </w:rPr>
              <w:t>8</w:t>
            </w:r>
            <w:r>
              <w:rPr>
                <w:color w:val="auto"/>
                <w:szCs w:val="21"/>
              </w:rPr>
              <w:t>分</w:t>
            </w:r>
            <w:r>
              <w:rPr>
                <w:rFonts w:hint="eastAsia"/>
                <w:color w:val="auto"/>
                <w:szCs w:val="21"/>
                <w:u w:val="single"/>
                <w:lang w:val="en-US" w:eastAsia="zh-CN"/>
              </w:rPr>
              <w:t>20.518</w:t>
            </w:r>
            <w:r>
              <w:rPr>
                <w:color w:val="auto"/>
                <w:szCs w:val="21"/>
              </w:rPr>
              <w:t>秒，</w:t>
            </w:r>
            <w:r>
              <w:rPr>
                <w:color w:val="auto"/>
                <w:szCs w:val="21"/>
                <w:u w:val="single"/>
              </w:rPr>
              <w:t>29</w:t>
            </w:r>
            <w:r>
              <w:rPr>
                <w:color w:val="auto"/>
                <w:szCs w:val="21"/>
              </w:rPr>
              <w:t>度</w:t>
            </w:r>
            <w:r>
              <w:rPr>
                <w:rFonts w:hint="eastAsia"/>
                <w:color w:val="auto"/>
                <w:szCs w:val="21"/>
                <w:u w:val="single"/>
                <w:lang w:val="en-US" w:eastAsia="zh-CN"/>
              </w:rPr>
              <w:t>31</w:t>
            </w:r>
            <w:r>
              <w:rPr>
                <w:color w:val="auto"/>
                <w:szCs w:val="21"/>
              </w:rPr>
              <w:t>分</w:t>
            </w:r>
            <w:r>
              <w:rPr>
                <w:rFonts w:hint="eastAsia"/>
                <w:color w:val="auto"/>
                <w:szCs w:val="21"/>
                <w:u w:val="single"/>
                <w:lang w:val="en-US" w:eastAsia="zh-CN"/>
              </w:rPr>
              <w:t>33.955</w:t>
            </w:r>
            <w:r>
              <w:rPr>
                <w:color w:val="auto"/>
                <w:szCs w:val="21"/>
              </w:rPr>
              <w:t>秒）</w:t>
            </w:r>
          </w:p>
        </w:tc>
      </w:tr>
      <w:tr w14:paraId="67515C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481" w:type="dxa"/>
            <w:noWrap w:val="0"/>
            <w:tcMar>
              <w:top w:w="16" w:type="dxa"/>
              <w:left w:w="16" w:type="dxa"/>
              <w:right w:w="16" w:type="dxa"/>
            </w:tcMar>
            <w:vAlign w:val="center"/>
          </w:tcPr>
          <w:p w14:paraId="4C298643">
            <w:pPr>
              <w:adjustRightInd w:val="0"/>
              <w:snapToGrid w:val="0"/>
              <w:jc w:val="center"/>
              <w:rPr>
                <w:color w:val="auto"/>
                <w:szCs w:val="21"/>
              </w:rPr>
            </w:pPr>
            <w:r>
              <w:rPr>
                <w:color w:val="auto"/>
                <w:szCs w:val="21"/>
              </w:rPr>
              <w:t>国民经济行业类别</w:t>
            </w:r>
          </w:p>
        </w:tc>
        <w:tc>
          <w:tcPr>
            <w:tcW w:w="2977" w:type="dxa"/>
            <w:noWrap w:val="0"/>
            <w:vAlign w:val="center"/>
          </w:tcPr>
          <w:p w14:paraId="5AF28D9E">
            <w:pPr>
              <w:adjustRightInd w:val="0"/>
              <w:snapToGrid w:val="0"/>
              <w:jc w:val="center"/>
              <w:rPr>
                <w:color w:val="auto"/>
                <w:szCs w:val="21"/>
              </w:rPr>
            </w:pPr>
            <w:r>
              <w:rPr>
                <w:bCs/>
                <w:color w:val="auto"/>
                <w:szCs w:val="21"/>
              </w:rPr>
              <w:t>Q8411综合医院</w:t>
            </w:r>
          </w:p>
        </w:tc>
        <w:tc>
          <w:tcPr>
            <w:tcW w:w="2011" w:type="dxa"/>
            <w:noWrap w:val="0"/>
            <w:vAlign w:val="center"/>
          </w:tcPr>
          <w:p w14:paraId="67DC105B">
            <w:pPr>
              <w:adjustRightInd w:val="0"/>
              <w:snapToGrid w:val="0"/>
              <w:jc w:val="center"/>
              <w:rPr>
                <w:color w:val="auto"/>
                <w:szCs w:val="21"/>
              </w:rPr>
            </w:pPr>
            <w:r>
              <w:rPr>
                <w:color w:val="auto"/>
                <w:szCs w:val="21"/>
              </w:rPr>
              <w:t>建设项目</w:t>
            </w:r>
          </w:p>
          <w:p w14:paraId="6BEFA36A">
            <w:pPr>
              <w:adjustRightInd w:val="0"/>
              <w:snapToGrid w:val="0"/>
              <w:jc w:val="center"/>
              <w:rPr>
                <w:color w:val="auto"/>
                <w:szCs w:val="21"/>
              </w:rPr>
            </w:pPr>
            <w:r>
              <w:rPr>
                <w:color w:val="auto"/>
                <w:szCs w:val="21"/>
              </w:rPr>
              <w:t>行业类别</w:t>
            </w:r>
          </w:p>
        </w:tc>
        <w:tc>
          <w:tcPr>
            <w:tcW w:w="3513" w:type="dxa"/>
            <w:noWrap w:val="0"/>
            <w:vAlign w:val="center"/>
          </w:tcPr>
          <w:p w14:paraId="5D0388B1">
            <w:pPr>
              <w:adjustRightInd w:val="0"/>
              <w:snapToGrid w:val="0"/>
              <w:jc w:val="center"/>
              <w:rPr>
                <w:color w:val="auto"/>
                <w:szCs w:val="21"/>
              </w:rPr>
            </w:pPr>
            <w:r>
              <w:rPr>
                <w:color w:val="auto"/>
                <w:szCs w:val="21"/>
              </w:rPr>
              <w:t>四十九、卫生医院841</w:t>
            </w:r>
          </w:p>
        </w:tc>
      </w:tr>
      <w:tr w14:paraId="7CD399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81" w:type="dxa"/>
            <w:noWrap w:val="0"/>
            <w:tcMar>
              <w:top w:w="16" w:type="dxa"/>
              <w:left w:w="16" w:type="dxa"/>
              <w:right w:w="16" w:type="dxa"/>
            </w:tcMar>
            <w:vAlign w:val="center"/>
          </w:tcPr>
          <w:p w14:paraId="21FFE264">
            <w:pPr>
              <w:adjustRightInd w:val="0"/>
              <w:snapToGrid w:val="0"/>
              <w:jc w:val="center"/>
              <w:rPr>
                <w:color w:val="auto"/>
                <w:szCs w:val="21"/>
              </w:rPr>
            </w:pPr>
            <w:r>
              <w:rPr>
                <w:color w:val="auto"/>
                <w:szCs w:val="21"/>
              </w:rPr>
              <w:t>建设性质</w:t>
            </w:r>
          </w:p>
        </w:tc>
        <w:tc>
          <w:tcPr>
            <w:tcW w:w="2977" w:type="dxa"/>
            <w:noWrap w:val="0"/>
            <w:vAlign w:val="center"/>
          </w:tcPr>
          <w:p w14:paraId="2790A038">
            <w:pPr>
              <w:jc w:val="left"/>
              <w:rPr>
                <w:color w:val="auto"/>
                <w:szCs w:val="21"/>
              </w:rPr>
            </w:pPr>
            <w:r>
              <w:rPr>
                <w:color w:val="auto"/>
                <w:szCs w:val="21"/>
              </w:rPr>
              <w:t>□新建（迁建）</w:t>
            </w:r>
          </w:p>
          <w:p w14:paraId="28996B9F">
            <w:pPr>
              <w:jc w:val="left"/>
              <w:rPr>
                <w:color w:val="auto"/>
                <w:szCs w:val="21"/>
              </w:rPr>
            </w:pPr>
            <w:r>
              <w:rPr>
                <w:color w:val="auto"/>
                <w:szCs w:val="21"/>
              </w:rPr>
              <w:t>□改建</w:t>
            </w:r>
          </w:p>
          <w:p w14:paraId="6784A7E5">
            <w:pPr>
              <w:jc w:val="left"/>
              <w:rPr>
                <w:color w:val="auto"/>
                <w:szCs w:val="21"/>
              </w:rPr>
            </w:pPr>
            <w:r>
              <w:rPr>
                <w:color w:val="auto"/>
                <w:szCs w:val="21"/>
              </w:rPr>
              <w:sym w:font="Wingdings 2" w:char="0052"/>
            </w:r>
            <w:r>
              <w:rPr>
                <w:color w:val="auto"/>
                <w:szCs w:val="21"/>
              </w:rPr>
              <w:t>扩建</w:t>
            </w:r>
          </w:p>
          <w:p w14:paraId="1E6E3DDB">
            <w:pPr>
              <w:jc w:val="left"/>
              <w:rPr>
                <w:color w:val="auto"/>
                <w:szCs w:val="21"/>
              </w:rPr>
            </w:pPr>
            <w:r>
              <w:rPr>
                <w:color w:val="auto"/>
                <w:szCs w:val="21"/>
              </w:rPr>
              <w:t>□技术改造</w:t>
            </w:r>
          </w:p>
        </w:tc>
        <w:tc>
          <w:tcPr>
            <w:tcW w:w="2011" w:type="dxa"/>
            <w:noWrap w:val="0"/>
            <w:vAlign w:val="center"/>
          </w:tcPr>
          <w:p w14:paraId="3FE2BDA1">
            <w:pPr>
              <w:adjustRightInd w:val="0"/>
              <w:snapToGrid w:val="0"/>
              <w:jc w:val="center"/>
              <w:rPr>
                <w:color w:val="auto"/>
                <w:szCs w:val="21"/>
              </w:rPr>
            </w:pPr>
            <w:r>
              <w:rPr>
                <w:color w:val="auto"/>
                <w:szCs w:val="21"/>
              </w:rPr>
              <w:t>建设项目</w:t>
            </w:r>
          </w:p>
          <w:p w14:paraId="460426B2">
            <w:pPr>
              <w:adjustRightInd w:val="0"/>
              <w:snapToGrid w:val="0"/>
              <w:jc w:val="center"/>
              <w:rPr>
                <w:color w:val="auto"/>
                <w:szCs w:val="21"/>
              </w:rPr>
            </w:pPr>
            <w:r>
              <w:rPr>
                <w:color w:val="auto"/>
                <w:szCs w:val="21"/>
              </w:rPr>
              <w:t>申报情形</w:t>
            </w:r>
          </w:p>
        </w:tc>
        <w:tc>
          <w:tcPr>
            <w:tcW w:w="3513" w:type="dxa"/>
            <w:noWrap w:val="0"/>
            <w:vAlign w:val="center"/>
          </w:tcPr>
          <w:p w14:paraId="790F0F1E">
            <w:pPr>
              <w:jc w:val="left"/>
              <w:rPr>
                <w:color w:val="auto"/>
                <w:szCs w:val="21"/>
              </w:rPr>
            </w:pPr>
            <w:r>
              <w:rPr>
                <w:color w:val="auto"/>
                <w:szCs w:val="21"/>
              </w:rPr>
              <w:sym w:font="Wingdings 2" w:char="0052"/>
            </w:r>
            <w:r>
              <w:rPr>
                <w:color w:val="auto"/>
                <w:szCs w:val="21"/>
              </w:rPr>
              <w:t xml:space="preserve">首次申报项目             </w:t>
            </w:r>
          </w:p>
          <w:p w14:paraId="73997E63">
            <w:pPr>
              <w:jc w:val="left"/>
              <w:rPr>
                <w:color w:val="auto"/>
                <w:szCs w:val="21"/>
              </w:rPr>
            </w:pPr>
            <w:r>
              <w:rPr>
                <w:color w:val="auto"/>
                <w:szCs w:val="21"/>
              </w:rPr>
              <w:t>□不予批准后再次申报项目</w:t>
            </w:r>
          </w:p>
          <w:p w14:paraId="0D3BDE19">
            <w:pPr>
              <w:jc w:val="left"/>
              <w:rPr>
                <w:color w:val="auto"/>
                <w:szCs w:val="21"/>
              </w:rPr>
            </w:pPr>
            <w:r>
              <w:rPr>
                <w:color w:val="auto"/>
                <w:szCs w:val="21"/>
              </w:rPr>
              <w:t xml:space="preserve">□超五年重新审核项目     </w:t>
            </w:r>
          </w:p>
          <w:p w14:paraId="03E31CAC">
            <w:pPr>
              <w:jc w:val="left"/>
              <w:rPr>
                <w:color w:val="auto"/>
                <w:szCs w:val="21"/>
              </w:rPr>
            </w:pPr>
            <w:r>
              <w:rPr>
                <w:color w:val="auto"/>
                <w:szCs w:val="21"/>
              </w:rPr>
              <w:t>□重大变动重新报批项目</w:t>
            </w:r>
          </w:p>
        </w:tc>
      </w:tr>
      <w:tr w14:paraId="3316B9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81" w:type="dxa"/>
            <w:noWrap w:val="0"/>
            <w:tcMar>
              <w:top w:w="16" w:type="dxa"/>
              <w:left w:w="16" w:type="dxa"/>
              <w:right w:w="16" w:type="dxa"/>
            </w:tcMar>
            <w:vAlign w:val="center"/>
          </w:tcPr>
          <w:p w14:paraId="6C53D018">
            <w:pPr>
              <w:adjustRightInd w:val="0"/>
              <w:snapToGrid w:val="0"/>
              <w:jc w:val="center"/>
              <w:rPr>
                <w:color w:val="auto"/>
                <w:szCs w:val="21"/>
              </w:rPr>
            </w:pPr>
            <w:r>
              <w:rPr>
                <w:color w:val="auto"/>
                <w:szCs w:val="21"/>
              </w:rPr>
              <w:t>项目审批（核准/备案）部门（选填）</w:t>
            </w:r>
          </w:p>
        </w:tc>
        <w:tc>
          <w:tcPr>
            <w:tcW w:w="2977" w:type="dxa"/>
            <w:noWrap w:val="0"/>
            <w:vAlign w:val="center"/>
          </w:tcPr>
          <w:p w14:paraId="2EBB6964">
            <w:pPr>
              <w:adjustRightInd w:val="0"/>
              <w:snapToGrid w:val="0"/>
              <w:jc w:val="center"/>
              <w:rPr>
                <w:color w:val="auto"/>
                <w:szCs w:val="21"/>
              </w:rPr>
            </w:pPr>
            <w:r>
              <w:rPr>
                <w:color w:val="auto"/>
                <w:szCs w:val="21"/>
              </w:rPr>
              <w:t>重庆市</w:t>
            </w:r>
            <w:r>
              <w:rPr>
                <w:rFonts w:hint="eastAsia"/>
                <w:color w:val="auto"/>
                <w:szCs w:val="21"/>
                <w:lang w:val="en-US" w:eastAsia="zh-CN"/>
              </w:rPr>
              <w:t>九龙坡区发展和改革</w:t>
            </w:r>
            <w:r>
              <w:rPr>
                <w:color w:val="auto"/>
                <w:szCs w:val="21"/>
              </w:rPr>
              <w:t>委员会</w:t>
            </w:r>
          </w:p>
        </w:tc>
        <w:tc>
          <w:tcPr>
            <w:tcW w:w="2011" w:type="dxa"/>
            <w:noWrap w:val="0"/>
            <w:vAlign w:val="center"/>
          </w:tcPr>
          <w:p w14:paraId="796561C3">
            <w:pPr>
              <w:adjustRightInd w:val="0"/>
              <w:snapToGrid w:val="0"/>
              <w:jc w:val="center"/>
              <w:rPr>
                <w:color w:val="auto"/>
                <w:szCs w:val="21"/>
              </w:rPr>
            </w:pPr>
            <w:r>
              <w:rPr>
                <w:color w:val="auto"/>
                <w:szCs w:val="21"/>
              </w:rPr>
              <w:t>项目审批（核准/备案）文号（选填）</w:t>
            </w:r>
          </w:p>
        </w:tc>
        <w:tc>
          <w:tcPr>
            <w:tcW w:w="3513" w:type="dxa"/>
            <w:noWrap w:val="0"/>
            <w:vAlign w:val="center"/>
          </w:tcPr>
          <w:p w14:paraId="5B237B87">
            <w:pPr>
              <w:adjustRightInd w:val="0"/>
              <w:snapToGrid w:val="0"/>
              <w:jc w:val="center"/>
              <w:rPr>
                <w:rFonts w:hint="default" w:eastAsia="宋体"/>
                <w:color w:val="auto"/>
                <w:szCs w:val="21"/>
                <w:lang w:val="en-US" w:eastAsia="zh-CN"/>
              </w:rPr>
            </w:pPr>
            <w:r>
              <w:rPr>
                <w:rFonts w:hint="eastAsia"/>
                <w:color w:val="auto"/>
                <w:szCs w:val="21"/>
                <w:lang w:val="en-US" w:eastAsia="zh-CN"/>
              </w:rPr>
              <w:t>2303-500107-04-05-293339</w:t>
            </w:r>
          </w:p>
        </w:tc>
      </w:tr>
      <w:tr w14:paraId="4EBBDE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579F7DB5">
            <w:pPr>
              <w:adjustRightInd w:val="0"/>
              <w:snapToGrid w:val="0"/>
              <w:jc w:val="center"/>
              <w:rPr>
                <w:color w:val="auto"/>
                <w:szCs w:val="21"/>
              </w:rPr>
            </w:pPr>
            <w:r>
              <w:rPr>
                <w:color w:val="auto"/>
                <w:szCs w:val="21"/>
              </w:rPr>
              <w:t>总投资（万元）</w:t>
            </w:r>
          </w:p>
        </w:tc>
        <w:tc>
          <w:tcPr>
            <w:tcW w:w="2977" w:type="dxa"/>
            <w:noWrap w:val="0"/>
            <w:vAlign w:val="center"/>
          </w:tcPr>
          <w:p w14:paraId="417DDDBE">
            <w:pPr>
              <w:adjustRightInd w:val="0"/>
              <w:snapToGrid w:val="0"/>
              <w:jc w:val="center"/>
              <w:rPr>
                <w:color w:val="auto"/>
                <w:szCs w:val="21"/>
              </w:rPr>
            </w:pPr>
            <w:r>
              <w:rPr>
                <w:rFonts w:hint="eastAsia"/>
                <w:color w:val="auto"/>
                <w:szCs w:val="21"/>
                <w:lang w:val="en-US" w:eastAsia="zh-CN"/>
              </w:rPr>
              <w:t>25</w:t>
            </w:r>
            <w:r>
              <w:rPr>
                <w:color w:val="auto"/>
                <w:szCs w:val="21"/>
              </w:rPr>
              <w:t>0</w:t>
            </w:r>
          </w:p>
        </w:tc>
        <w:tc>
          <w:tcPr>
            <w:tcW w:w="2011" w:type="dxa"/>
            <w:noWrap w:val="0"/>
            <w:tcMar>
              <w:top w:w="16" w:type="dxa"/>
              <w:left w:w="16" w:type="dxa"/>
              <w:right w:w="16" w:type="dxa"/>
            </w:tcMar>
            <w:vAlign w:val="center"/>
          </w:tcPr>
          <w:p w14:paraId="7EF6D58E">
            <w:pPr>
              <w:adjustRightInd w:val="0"/>
              <w:snapToGrid w:val="0"/>
              <w:jc w:val="center"/>
              <w:rPr>
                <w:color w:val="auto"/>
                <w:szCs w:val="21"/>
              </w:rPr>
            </w:pPr>
            <w:r>
              <w:rPr>
                <w:color w:val="auto"/>
                <w:szCs w:val="21"/>
              </w:rPr>
              <w:t>环保投资（万元）</w:t>
            </w:r>
          </w:p>
        </w:tc>
        <w:tc>
          <w:tcPr>
            <w:tcW w:w="3513" w:type="dxa"/>
            <w:noWrap w:val="0"/>
            <w:vAlign w:val="center"/>
          </w:tcPr>
          <w:p w14:paraId="2BC2CCC2">
            <w:pPr>
              <w:adjustRightInd w:val="0"/>
              <w:snapToGrid w:val="0"/>
              <w:jc w:val="center"/>
              <w:rPr>
                <w:color w:val="auto"/>
                <w:szCs w:val="21"/>
              </w:rPr>
            </w:pPr>
            <w:r>
              <w:rPr>
                <w:rFonts w:hint="eastAsia"/>
                <w:color w:val="auto"/>
                <w:szCs w:val="21"/>
              </w:rPr>
              <w:t>10</w:t>
            </w:r>
          </w:p>
        </w:tc>
      </w:tr>
      <w:tr w14:paraId="3D80D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6B159B48">
            <w:pPr>
              <w:adjustRightInd w:val="0"/>
              <w:snapToGrid w:val="0"/>
              <w:jc w:val="center"/>
              <w:rPr>
                <w:color w:val="auto"/>
                <w:szCs w:val="21"/>
              </w:rPr>
            </w:pPr>
            <w:r>
              <w:rPr>
                <w:color w:val="auto"/>
                <w:szCs w:val="21"/>
              </w:rPr>
              <w:t>环保投资占比（%）</w:t>
            </w:r>
          </w:p>
        </w:tc>
        <w:tc>
          <w:tcPr>
            <w:tcW w:w="2977" w:type="dxa"/>
            <w:noWrap w:val="0"/>
            <w:vAlign w:val="center"/>
          </w:tcPr>
          <w:p w14:paraId="2AFB2181">
            <w:pPr>
              <w:adjustRightInd w:val="0"/>
              <w:snapToGrid w:val="0"/>
              <w:jc w:val="center"/>
              <w:rPr>
                <w:rFonts w:hint="eastAsia" w:eastAsia="宋体"/>
                <w:color w:val="auto"/>
                <w:szCs w:val="21"/>
                <w:lang w:eastAsia="zh-CN"/>
              </w:rPr>
            </w:pPr>
            <w:r>
              <w:rPr>
                <w:rFonts w:hint="eastAsia"/>
                <w:color w:val="auto"/>
                <w:szCs w:val="21"/>
                <w:lang w:val="en-US" w:eastAsia="zh-CN"/>
              </w:rPr>
              <w:t>4</w:t>
            </w:r>
          </w:p>
        </w:tc>
        <w:tc>
          <w:tcPr>
            <w:tcW w:w="2011" w:type="dxa"/>
            <w:noWrap w:val="0"/>
            <w:tcMar>
              <w:top w:w="16" w:type="dxa"/>
              <w:left w:w="16" w:type="dxa"/>
              <w:right w:w="16" w:type="dxa"/>
            </w:tcMar>
            <w:vAlign w:val="center"/>
          </w:tcPr>
          <w:p w14:paraId="17465810">
            <w:pPr>
              <w:adjustRightInd w:val="0"/>
              <w:snapToGrid w:val="0"/>
              <w:jc w:val="center"/>
              <w:rPr>
                <w:color w:val="auto"/>
                <w:szCs w:val="21"/>
              </w:rPr>
            </w:pPr>
            <w:r>
              <w:rPr>
                <w:color w:val="auto"/>
                <w:szCs w:val="21"/>
              </w:rPr>
              <w:t>施工工期</w:t>
            </w:r>
          </w:p>
        </w:tc>
        <w:tc>
          <w:tcPr>
            <w:tcW w:w="3513" w:type="dxa"/>
            <w:noWrap w:val="0"/>
            <w:vAlign w:val="center"/>
          </w:tcPr>
          <w:p w14:paraId="53D9E442">
            <w:pPr>
              <w:adjustRightInd w:val="0"/>
              <w:snapToGrid w:val="0"/>
              <w:jc w:val="center"/>
              <w:rPr>
                <w:color w:val="auto"/>
                <w:szCs w:val="21"/>
              </w:rPr>
            </w:pPr>
            <w:r>
              <w:rPr>
                <w:rFonts w:hint="eastAsia"/>
                <w:color w:val="auto"/>
                <w:szCs w:val="21"/>
              </w:rPr>
              <w:t>2</w:t>
            </w:r>
            <w:r>
              <w:rPr>
                <w:color w:val="auto"/>
                <w:szCs w:val="21"/>
              </w:rPr>
              <w:t>个月</w:t>
            </w:r>
          </w:p>
        </w:tc>
      </w:tr>
      <w:tr w14:paraId="2D19A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1" w:type="dxa"/>
            <w:noWrap w:val="0"/>
            <w:tcMar>
              <w:top w:w="16" w:type="dxa"/>
              <w:left w:w="16" w:type="dxa"/>
              <w:right w:w="16" w:type="dxa"/>
            </w:tcMar>
            <w:vAlign w:val="center"/>
          </w:tcPr>
          <w:p w14:paraId="4B573CC1">
            <w:pPr>
              <w:adjustRightInd w:val="0"/>
              <w:snapToGrid w:val="0"/>
              <w:jc w:val="center"/>
              <w:rPr>
                <w:color w:val="auto"/>
                <w:szCs w:val="21"/>
              </w:rPr>
            </w:pPr>
            <w:r>
              <w:rPr>
                <w:color w:val="auto"/>
                <w:szCs w:val="21"/>
              </w:rPr>
              <w:t>是否开工建设</w:t>
            </w:r>
          </w:p>
        </w:tc>
        <w:tc>
          <w:tcPr>
            <w:tcW w:w="2977" w:type="dxa"/>
            <w:noWrap w:val="0"/>
            <w:vAlign w:val="center"/>
          </w:tcPr>
          <w:p w14:paraId="627D9261">
            <w:pPr>
              <w:adjustRightInd w:val="0"/>
              <w:snapToGrid w:val="0"/>
              <w:rPr>
                <w:color w:val="auto"/>
                <w:szCs w:val="21"/>
              </w:rPr>
            </w:pPr>
            <w:r>
              <w:rPr>
                <w:color w:val="auto"/>
                <w:szCs w:val="21"/>
              </w:rPr>
              <w:sym w:font="Wingdings 2" w:char="0052"/>
            </w:r>
            <w:r>
              <w:rPr>
                <w:color w:val="auto"/>
                <w:szCs w:val="21"/>
              </w:rPr>
              <w:t>否</w:t>
            </w:r>
          </w:p>
          <w:p w14:paraId="01B04445">
            <w:pPr>
              <w:adjustRightInd w:val="0"/>
              <w:snapToGrid w:val="0"/>
              <w:rPr>
                <w:color w:val="auto"/>
                <w:szCs w:val="21"/>
              </w:rPr>
            </w:pPr>
            <w:r>
              <w:rPr>
                <w:color w:val="auto"/>
                <w:szCs w:val="21"/>
              </w:rPr>
              <w:sym w:font="Wingdings 2" w:char="00A3"/>
            </w:r>
            <w:r>
              <w:rPr>
                <w:color w:val="auto"/>
                <w:szCs w:val="21"/>
              </w:rPr>
              <w:t>是：</w:t>
            </w:r>
          </w:p>
        </w:tc>
        <w:tc>
          <w:tcPr>
            <w:tcW w:w="2011" w:type="dxa"/>
            <w:noWrap w:val="0"/>
            <w:tcMar>
              <w:top w:w="16" w:type="dxa"/>
              <w:left w:w="16" w:type="dxa"/>
              <w:right w:w="16" w:type="dxa"/>
            </w:tcMar>
            <w:vAlign w:val="center"/>
          </w:tcPr>
          <w:p w14:paraId="23207EAD">
            <w:pPr>
              <w:adjustRightInd w:val="0"/>
              <w:snapToGrid w:val="0"/>
              <w:jc w:val="center"/>
              <w:rPr>
                <w:color w:val="auto"/>
                <w:spacing w:val="-6"/>
                <w:szCs w:val="21"/>
              </w:rPr>
            </w:pPr>
            <w:r>
              <w:rPr>
                <w:color w:val="auto"/>
                <w:spacing w:val="-6"/>
                <w:szCs w:val="21"/>
              </w:rPr>
              <w:t>用地（用海）</w:t>
            </w:r>
          </w:p>
          <w:p w14:paraId="2D96876F">
            <w:pPr>
              <w:adjustRightInd w:val="0"/>
              <w:snapToGrid w:val="0"/>
              <w:jc w:val="center"/>
              <w:rPr>
                <w:color w:val="auto"/>
                <w:szCs w:val="21"/>
              </w:rPr>
            </w:pPr>
            <w:r>
              <w:rPr>
                <w:color w:val="auto"/>
                <w:spacing w:val="-6"/>
                <w:szCs w:val="21"/>
              </w:rPr>
              <w:t>面积（m</w:t>
            </w:r>
            <w:r>
              <w:rPr>
                <w:color w:val="auto"/>
                <w:spacing w:val="-6"/>
                <w:szCs w:val="21"/>
                <w:vertAlign w:val="superscript"/>
              </w:rPr>
              <w:t>2</w:t>
            </w:r>
            <w:r>
              <w:rPr>
                <w:color w:val="auto"/>
                <w:spacing w:val="-6"/>
                <w:szCs w:val="21"/>
              </w:rPr>
              <w:t>）</w:t>
            </w:r>
          </w:p>
        </w:tc>
        <w:tc>
          <w:tcPr>
            <w:tcW w:w="3513" w:type="dxa"/>
            <w:noWrap w:val="0"/>
            <w:vAlign w:val="center"/>
          </w:tcPr>
          <w:p w14:paraId="1B0CD020">
            <w:pPr>
              <w:adjustRightInd w:val="0"/>
              <w:snapToGrid w:val="0"/>
              <w:jc w:val="center"/>
              <w:rPr>
                <w:color w:val="auto"/>
                <w:szCs w:val="21"/>
              </w:rPr>
            </w:pPr>
            <w:r>
              <w:rPr>
                <w:rFonts w:hint="eastAsia"/>
                <w:color w:val="auto"/>
                <w:szCs w:val="21"/>
                <w:lang w:val="en-US" w:eastAsia="zh-CN"/>
              </w:rPr>
              <w:t>新</w:t>
            </w:r>
            <w:r>
              <w:rPr>
                <w:color w:val="auto"/>
                <w:szCs w:val="21"/>
              </w:rPr>
              <w:t>增</w:t>
            </w:r>
            <w:r>
              <w:rPr>
                <w:rFonts w:hint="eastAsia"/>
                <w:color w:val="auto"/>
                <w:szCs w:val="21"/>
                <w:lang w:val="en-US" w:eastAsia="zh-CN"/>
              </w:rPr>
              <w:t>建筑</w:t>
            </w:r>
            <w:r>
              <w:rPr>
                <w:color w:val="auto"/>
                <w:szCs w:val="21"/>
              </w:rPr>
              <w:t>面积</w:t>
            </w:r>
            <w:r>
              <w:rPr>
                <w:rFonts w:hint="eastAsia"/>
                <w:color w:val="auto"/>
                <w:szCs w:val="21"/>
                <w:shd w:val="clear" w:color="auto" w:fill="FFFFFF"/>
                <w:lang w:val="en-US" w:eastAsia="zh-CN"/>
              </w:rPr>
              <w:t>2229.11</w:t>
            </w:r>
            <w:r>
              <w:rPr>
                <w:color w:val="auto"/>
                <w:szCs w:val="21"/>
              </w:rPr>
              <w:t>m</w:t>
            </w:r>
            <w:r>
              <w:rPr>
                <w:rFonts w:hint="eastAsia"/>
                <w:color w:val="auto"/>
                <w:szCs w:val="21"/>
                <w:vertAlign w:val="superscript"/>
              </w:rPr>
              <w:t>2</w:t>
            </w:r>
          </w:p>
        </w:tc>
      </w:tr>
      <w:tr w14:paraId="65DC91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481" w:type="dxa"/>
            <w:noWrap w:val="0"/>
            <w:vAlign w:val="center"/>
          </w:tcPr>
          <w:p w14:paraId="31953314">
            <w:pPr>
              <w:autoSpaceDE w:val="0"/>
              <w:autoSpaceDN w:val="0"/>
              <w:adjustRightInd w:val="0"/>
              <w:snapToGrid w:val="0"/>
              <w:jc w:val="center"/>
              <w:rPr>
                <w:color w:val="auto"/>
                <w:kern w:val="0"/>
                <w:szCs w:val="21"/>
              </w:rPr>
            </w:pPr>
            <w:r>
              <w:rPr>
                <w:color w:val="auto"/>
                <w:kern w:val="0"/>
                <w:szCs w:val="21"/>
              </w:rPr>
              <w:t>专项评价设置情况</w:t>
            </w:r>
          </w:p>
        </w:tc>
        <w:tc>
          <w:tcPr>
            <w:tcW w:w="8501" w:type="dxa"/>
            <w:gridSpan w:val="3"/>
            <w:noWrap w:val="0"/>
            <w:vAlign w:val="center"/>
          </w:tcPr>
          <w:p w14:paraId="3337A7E1">
            <w:pPr>
              <w:autoSpaceDE w:val="0"/>
              <w:autoSpaceDN w:val="0"/>
              <w:adjustRightInd w:val="0"/>
              <w:snapToGrid w:val="0"/>
              <w:spacing w:line="360" w:lineRule="auto"/>
              <w:ind w:firstLine="480" w:firstLineChars="200"/>
              <w:rPr>
                <w:rFonts w:hint="eastAsia"/>
                <w:bCs/>
                <w:color w:val="auto"/>
                <w:sz w:val="24"/>
              </w:rPr>
            </w:pPr>
            <w:r>
              <w:rPr>
                <w:rFonts w:hint="eastAsia"/>
                <w:bCs/>
                <w:color w:val="auto"/>
                <w:sz w:val="24"/>
              </w:rPr>
              <w:t>根据建设项目环境影响报告表编制技术指南（污染影响类）（试行）表1，本项目无需设置专项评价，对照情况见下表：</w:t>
            </w:r>
          </w:p>
          <w:p w14:paraId="1EF98A60">
            <w:pPr>
              <w:pStyle w:val="9"/>
              <w:spacing w:line="240" w:lineRule="auto"/>
              <w:jc w:val="center"/>
              <w:rPr>
                <w:color w:val="auto"/>
              </w:rPr>
            </w:pPr>
            <w:r>
              <w:rPr>
                <w:rFonts w:hint="eastAsia"/>
                <w:b/>
                <w:bCs/>
                <w:color w:val="auto"/>
                <w:sz w:val="21"/>
              </w:rPr>
              <w:t>表1专项评价设置原则对照表（截取本项目相关）</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4155"/>
              <w:gridCol w:w="3187"/>
            </w:tblGrid>
            <w:tr w14:paraId="5E5EC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47320DED">
                  <w:pPr>
                    <w:pStyle w:val="9"/>
                    <w:spacing w:line="240" w:lineRule="auto"/>
                    <w:ind w:firstLine="0"/>
                    <w:jc w:val="center"/>
                    <w:rPr>
                      <w:rFonts w:ascii="Times New Roman" w:hAnsi="Times New Roman"/>
                      <w:b/>
                      <w:bCs/>
                      <w:color w:val="auto"/>
                      <w:sz w:val="21"/>
                    </w:rPr>
                  </w:pPr>
                  <w:r>
                    <w:rPr>
                      <w:rFonts w:ascii="Times New Roman" w:hAnsi="Times New Roman"/>
                      <w:b/>
                      <w:bCs/>
                      <w:color w:val="auto"/>
                      <w:sz w:val="21"/>
                    </w:rPr>
                    <w:t>类别</w:t>
                  </w:r>
                </w:p>
              </w:tc>
              <w:tc>
                <w:tcPr>
                  <w:tcW w:w="2510" w:type="pct"/>
                  <w:noWrap w:val="0"/>
                  <w:vAlign w:val="center"/>
                </w:tcPr>
                <w:p w14:paraId="76283E80">
                  <w:pPr>
                    <w:pStyle w:val="9"/>
                    <w:spacing w:line="240" w:lineRule="auto"/>
                    <w:ind w:firstLine="0"/>
                    <w:jc w:val="center"/>
                    <w:rPr>
                      <w:rFonts w:ascii="Times New Roman" w:hAnsi="Times New Roman"/>
                      <w:b/>
                      <w:bCs/>
                      <w:color w:val="auto"/>
                      <w:sz w:val="21"/>
                    </w:rPr>
                  </w:pPr>
                  <w:r>
                    <w:rPr>
                      <w:rFonts w:ascii="Times New Roman" w:hAnsi="Times New Roman"/>
                      <w:b/>
                      <w:bCs/>
                      <w:color w:val="auto"/>
                      <w:sz w:val="21"/>
                    </w:rPr>
                    <w:t>设置原则</w:t>
                  </w:r>
                </w:p>
              </w:tc>
              <w:tc>
                <w:tcPr>
                  <w:tcW w:w="1926" w:type="pct"/>
                  <w:noWrap w:val="0"/>
                  <w:vAlign w:val="center"/>
                </w:tcPr>
                <w:p w14:paraId="061D321F">
                  <w:pPr>
                    <w:pStyle w:val="9"/>
                    <w:spacing w:line="240" w:lineRule="auto"/>
                    <w:ind w:firstLine="0"/>
                    <w:jc w:val="center"/>
                    <w:rPr>
                      <w:rFonts w:ascii="Times New Roman" w:hAnsi="Times New Roman"/>
                      <w:b/>
                      <w:bCs/>
                      <w:color w:val="auto"/>
                      <w:sz w:val="21"/>
                    </w:rPr>
                  </w:pPr>
                  <w:r>
                    <w:rPr>
                      <w:rFonts w:ascii="Times New Roman" w:hAnsi="Times New Roman"/>
                      <w:b/>
                      <w:bCs/>
                      <w:color w:val="auto"/>
                      <w:sz w:val="21"/>
                    </w:rPr>
                    <w:t>项目情况对照</w:t>
                  </w:r>
                </w:p>
              </w:tc>
            </w:tr>
            <w:tr w14:paraId="1170C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5F0973AF">
                  <w:pPr>
                    <w:pStyle w:val="9"/>
                    <w:spacing w:line="240" w:lineRule="auto"/>
                    <w:ind w:firstLine="0"/>
                    <w:jc w:val="center"/>
                    <w:rPr>
                      <w:rFonts w:ascii="Times New Roman" w:hAnsi="Times New Roman"/>
                      <w:color w:val="auto"/>
                      <w:sz w:val="21"/>
                    </w:rPr>
                  </w:pPr>
                  <w:r>
                    <w:rPr>
                      <w:rFonts w:ascii="Times New Roman" w:hAnsi="Times New Roman"/>
                      <w:color w:val="auto"/>
                      <w:sz w:val="21"/>
                    </w:rPr>
                    <w:t>大气</w:t>
                  </w:r>
                </w:p>
              </w:tc>
              <w:tc>
                <w:tcPr>
                  <w:tcW w:w="2510" w:type="pct"/>
                  <w:noWrap w:val="0"/>
                  <w:vAlign w:val="center"/>
                </w:tcPr>
                <w:p w14:paraId="4E8D482F">
                  <w:pPr>
                    <w:pStyle w:val="9"/>
                    <w:spacing w:line="240" w:lineRule="auto"/>
                    <w:ind w:firstLine="0"/>
                    <w:jc w:val="center"/>
                    <w:rPr>
                      <w:rFonts w:ascii="Times New Roman" w:hAnsi="Times New Roman"/>
                      <w:color w:val="auto"/>
                      <w:sz w:val="21"/>
                    </w:rPr>
                  </w:pPr>
                  <w:r>
                    <w:rPr>
                      <w:rFonts w:ascii="Times New Roman" w:hAnsi="Times New Roman"/>
                      <w:color w:val="auto"/>
                      <w:sz w:val="21"/>
                    </w:rPr>
                    <w:t>排放废气含有毒有害污染物</w:t>
                  </w:r>
                  <w:r>
                    <w:rPr>
                      <w:rFonts w:ascii="Times New Roman" w:hAnsi="Times New Roman"/>
                      <w:color w:val="auto"/>
                      <w:sz w:val="21"/>
                      <w:vertAlign w:val="superscript"/>
                    </w:rPr>
                    <w:t>1</w:t>
                  </w:r>
                  <w:r>
                    <w:rPr>
                      <w:rFonts w:ascii="Times New Roman" w:hAnsi="Times New Roman"/>
                      <w:color w:val="auto"/>
                      <w:sz w:val="21"/>
                    </w:rPr>
                    <w:t>、二噁英、苯并</w:t>
                  </w:r>
                  <w:r>
                    <w:rPr>
                      <w:rFonts w:hint="eastAsia" w:ascii="Times New Roman" w:hAnsi="Times New Roman"/>
                      <w:color w:val="auto"/>
                      <w:sz w:val="21"/>
                      <w:lang w:eastAsia="zh-CN"/>
                    </w:rPr>
                    <w:t>〔</w:t>
                  </w:r>
                  <w:r>
                    <w:rPr>
                      <w:rFonts w:ascii="Times New Roman" w:hAnsi="Times New Roman"/>
                      <w:color w:val="auto"/>
                      <w:sz w:val="21"/>
                    </w:rPr>
                    <w:t>a</w:t>
                  </w:r>
                  <w:r>
                    <w:rPr>
                      <w:rFonts w:hint="eastAsia" w:ascii="Times New Roman" w:hAnsi="Times New Roman"/>
                      <w:color w:val="auto"/>
                      <w:sz w:val="21"/>
                      <w:lang w:eastAsia="zh-CN"/>
                    </w:rPr>
                    <w:t>〕</w:t>
                  </w:r>
                  <w:r>
                    <w:rPr>
                      <w:rFonts w:ascii="Times New Roman" w:hAnsi="Times New Roman"/>
                      <w:color w:val="auto"/>
                      <w:sz w:val="21"/>
                    </w:rPr>
                    <w:t>芘、氰化物、氯气且厂界外500米范围内有环境空气保护目标</w:t>
                  </w:r>
                  <w:r>
                    <w:rPr>
                      <w:rFonts w:ascii="Times New Roman" w:hAnsi="Times New Roman"/>
                      <w:color w:val="auto"/>
                      <w:sz w:val="21"/>
                      <w:vertAlign w:val="superscript"/>
                    </w:rPr>
                    <w:t>2</w:t>
                  </w:r>
                  <w:r>
                    <w:rPr>
                      <w:rFonts w:ascii="Times New Roman" w:hAnsi="Times New Roman"/>
                      <w:color w:val="auto"/>
                      <w:sz w:val="21"/>
                    </w:rPr>
                    <w:t>的建设项目</w:t>
                  </w:r>
                </w:p>
              </w:tc>
              <w:tc>
                <w:tcPr>
                  <w:tcW w:w="1926" w:type="pct"/>
                  <w:noWrap w:val="0"/>
                  <w:vAlign w:val="center"/>
                </w:tcPr>
                <w:p w14:paraId="2F501DAA">
                  <w:pPr>
                    <w:pStyle w:val="9"/>
                    <w:spacing w:line="240" w:lineRule="auto"/>
                    <w:ind w:firstLine="0"/>
                    <w:jc w:val="center"/>
                    <w:rPr>
                      <w:rFonts w:ascii="Times New Roman" w:hAnsi="Times New Roman"/>
                      <w:color w:val="auto"/>
                      <w:sz w:val="21"/>
                    </w:rPr>
                  </w:pPr>
                  <w:r>
                    <w:rPr>
                      <w:rFonts w:ascii="Times New Roman" w:hAnsi="Times New Roman"/>
                      <w:color w:val="auto"/>
                      <w:sz w:val="21"/>
                    </w:rPr>
                    <w:t>本项目不排放入《有毒有害大气污染物名录》中的有毒有害污染物，不设专项评价</w:t>
                  </w:r>
                </w:p>
              </w:tc>
            </w:tr>
            <w:tr w14:paraId="3C44C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3BD1A4CA">
                  <w:pPr>
                    <w:pStyle w:val="9"/>
                    <w:spacing w:line="240" w:lineRule="auto"/>
                    <w:ind w:firstLine="0"/>
                    <w:jc w:val="center"/>
                    <w:rPr>
                      <w:rFonts w:ascii="Times New Roman" w:hAnsi="Times New Roman"/>
                      <w:color w:val="auto"/>
                      <w:sz w:val="21"/>
                    </w:rPr>
                  </w:pPr>
                  <w:r>
                    <w:rPr>
                      <w:rFonts w:ascii="Times New Roman" w:hAnsi="Times New Roman"/>
                      <w:color w:val="auto"/>
                      <w:sz w:val="21"/>
                    </w:rPr>
                    <w:t>地表水</w:t>
                  </w:r>
                </w:p>
              </w:tc>
              <w:tc>
                <w:tcPr>
                  <w:tcW w:w="2510" w:type="pct"/>
                  <w:noWrap w:val="0"/>
                  <w:vAlign w:val="center"/>
                </w:tcPr>
                <w:p w14:paraId="42BDA304">
                  <w:pPr>
                    <w:pStyle w:val="9"/>
                    <w:spacing w:line="240" w:lineRule="auto"/>
                    <w:ind w:firstLine="0"/>
                    <w:jc w:val="center"/>
                    <w:rPr>
                      <w:rFonts w:ascii="Times New Roman" w:hAnsi="Times New Roman"/>
                      <w:color w:val="auto"/>
                      <w:sz w:val="21"/>
                    </w:rPr>
                  </w:pPr>
                  <w:r>
                    <w:rPr>
                      <w:rFonts w:ascii="Times New Roman" w:hAnsi="Times New Roman"/>
                      <w:color w:val="auto"/>
                      <w:sz w:val="21"/>
                    </w:rPr>
                    <w:t>新增工业废水直排建设项目（槽罐车外送污水处理厂的除外）；新增废水直排的污水集中处理厂</w:t>
                  </w:r>
                </w:p>
              </w:tc>
              <w:tc>
                <w:tcPr>
                  <w:tcW w:w="1926" w:type="pct"/>
                  <w:noWrap w:val="0"/>
                  <w:vAlign w:val="center"/>
                </w:tcPr>
                <w:p w14:paraId="49D85A3B">
                  <w:pPr>
                    <w:pStyle w:val="9"/>
                    <w:spacing w:line="240" w:lineRule="auto"/>
                    <w:ind w:firstLine="0"/>
                    <w:jc w:val="center"/>
                    <w:rPr>
                      <w:rFonts w:ascii="Times New Roman" w:hAnsi="Times New Roman"/>
                      <w:color w:val="auto"/>
                      <w:sz w:val="21"/>
                    </w:rPr>
                  </w:pPr>
                  <w:r>
                    <w:rPr>
                      <w:rFonts w:ascii="Times New Roman" w:hAnsi="Times New Roman"/>
                      <w:color w:val="auto"/>
                      <w:sz w:val="21"/>
                    </w:rPr>
                    <w:t>本项目污废水排放方式为间接排放，不设专项评价。</w:t>
                  </w:r>
                </w:p>
              </w:tc>
            </w:tr>
            <w:tr w14:paraId="2E330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pct"/>
                  <w:noWrap w:val="0"/>
                  <w:vAlign w:val="center"/>
                </w:tcPr>
                <w:p w14:paraId="4F3F31F8">
                  <w:pPr>
                    <w:pStyle w:val="9"/>
                    <w:spacing w:line="240" w:lineRule="auto"/>
                    <w:ind w:firstLine="0"/>
                    <w:jc w:val="center"/>
                    <w:rPr>
                      <w:rFonts w:ascii="Times New Roman" w:hAnsi="Times New Roman"/>
                      <w:color w:val="auto"/>
                      <w:sz w:val="21"/>
                    </w:rPr>
                  </w:pPr>
                  <w:r>
                    <w:rPr>
                      <w:rFonts w:ascii="Times New Roman" w:hAnsi="Times New Roman"/>
                      <w:color w:val="auto"/>
                      <w:sz w:val="21"/>
                    </w:rPr>
                    <w:t>环境风险</w:t>
                  </w:r>
                </w:p>
              </w:tc>
              <w:tc>
                <w:tcPr>
                  <w:tcW w:w="2510" w:type="pct"/>
                  <w:noWrap w:val="0"/>
                  <w:vAlign w:val="center"/>
                </w:tcPr>
                <w:p w14:paraId="27EC523F">
                  <w:pPr>
                    <w:pStyle w:val="9"/>
                    <w:spacing w:line="240" w:lineRule="auto"/>
                    <w:ind w:firstLine="0"/>
                    <w:jc w:val="center"/>
                    <w:rPr>
                      <w:rFonts w:ascii="Times New Roman" w:hAnsi="Times New Roman"/>
                      <w:color w:val="auto"/>
                      <w:sz w:val="21"/>
                    </w:rPr>
                  </w:pPr>
                  <w:r>
                    <w:rPr>
                      <w:rFonts w:ascii="Times New Roman" w:hAnsi="Times New Roman"/>
                      <w:color w:val="auto"/>
                      <w:sz w:val="21"/>
                    </w:rPr>
                    <w:t>有毒有害和易燃易爆危险物质存储量超过临界量</w:t>
                  </w:r>
                  <w:r>
                    <w:rPr>
                      <w:rFonts w:ascii="Times New Roman" w:hAnsi="Times New Roman"/>
                      <w:color w:val="auto"/>
                      <w:sz w:val="21"/>
                      <w:vertAlign w:val="superscript"/>
                    </w:rPr>
                    <w:t>3</w:t>
                  </w:r>
                  <w:r>
                    <w:rPr>
                      <w:rFonts w:ascii="Times New Roman" w:hAnsi="Times New Roman"/>
                      <w:color w:val="auto"/>
                      <w:sz w:val="21"/>
                    </w:rPr>
                    <w:t>的建设项目</w:t>
                  </w:r>
                </w:p>
              </w:tc>
              <w:tc>
                <w:tcPr>
                  <w:tcW w:w="1926" w:type="pct"/>
                  <w:noWrap w:val="0"/>
                  <w:vAlign w:val="center"/>
                </w:tcPr>
                <w:p w14:paraId="56AD03D7">
                  <w:pPr>
                    <w:pStyle w:val="9"/>
                    <w:spacing w:line="240" w:lineRule="auto"/>
                    <w:ind w:firstLine="0"/>
                    <w:jc w:val="center"/>
                    <w:rPr>
                      <w:rFonts w:ascii="Times New Roman" w:hAnsi="Times New Roman"/>
                      <w:color w:val="auto"/>
                      <w:sz w:val="21"/>
                    </w:rPr>
                  </w:pPr>
                  <w:r>
                    <w:rPr>
                      <w:rFonts w:ascii="Times New Roman" w:hAnsi="Times New Roman"/>
                      <w:color w:val="auto"/>
                      <w:sz w:val="21"/>
                    </w:rPr>
                    <w:t>本项目危险物质储存量未超过临界量，不设专项评价。</w:t>
                  </w:r>
                </w:p>
              </w:tc>
            </w:tr>
          </w:tbl>
          <w:p w14:paraId="5C7AB7C1">
            <w:pPr>
              <w:autoSpaceDE w:val="0"/>
              <w:autoSpaceDN w:val="0"/>
              <w:adjustRightInd w:val="0"/>
              <w:snapToGrid w:val="0"/>
              <w:jc w:val="center"/>
              <w:rPr>
                <w:color w:val="auto"/>
                <w:kern w:val="0"/>
                <w:szCs w:val="21"/>
              </w:rPr>
            </w:pPr>
          </w:p>
        </w:tc>
      </w:tr>
      <w:tr w14:paraId="259AB9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481" w:type="dxa"/>
            <w:noWrap w:val="0"/>
            <w:vAlign w:val="center"/>
          </w:tcPr>
          <w:p w14:paraId="0F849723">
            <w:pPr>
              <w:autoSpaceDE w:val="0"/>
              <w:autoSpaceDN w:val="0"/>
              <w:adjustRightInd w:val="0"/>
              <w:snapToGrid w:val="0"/>
              <w:jc w:val="center"/>
              <w:rPr>
                <w:color w:val="auto"/>
                <w:kern w:val="0"/>
                <w:szCs w:val="21"/>
              </w:rPr>
            </w:pPr>
            <w:r>
              <w:rPr>
                <w:color w:val="auto"/>
                <w:szCs w:val="21"/>
              </w:rPr>
              <w:t>规划情况</w:t>
            </w:r>
          </w:p>
        </w:tc>
        <w:tc>
          <w:tcPr>
            <w:tcW w:w="8501" w:type="dxa"/>
            <w:gridSpan w:val="3"/>
            <w:noWrap w:val="0"/>
            <w:vAlign w:val="center"/>
          </w:tcPr>
          <w:p w14:paraId="24AA81A2">
            <w:pPr>
              <w:autoSpaceDE w:val="0"/>
              <w:autoSpaceDN w:val="0"/>
              <w:adjustRightInd w:val="0"/>
              <w:snapToGrid w:val="0"/>
              <w:jc w:val="center"/>
              <w:rPr>
                <w:rFonts w:hint="eastAsia"/>
                <w:color w:val="auto"/>
                <w:kern w:val="0"/>
                <w:szCs w:val="21"/>
              </w:rPr>
            </w:pPr>
            <w:r>
              <w:rPr>
                <w:rFonts w:hint="eastAsia"/>
                <w:color w:val="auto"/>
                <w:kern w:val="0"/>
                <w:szCs w:val="21"/>
              </w:rPr>
              <w:t>无</w:t>
            </w:r>
          </w:p>
        </w:tc>
      </w:tr>
      <w:tr w14:paraId="0C883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481" w:type="dxa"/>
            <w:noWrap w:val="0"/>
            <w:vAlign w:val="center"/>
          </w:tcPr>
          <w:p w14:paraId="785430D7">
            <w:pPr>
              <w:adjustRightInd w:val="0"/>
              <w:snapToGrid w:val="0"/>
              <w:jc w:val="center"/>
              <w:rPr>
                <w:color w:val="auto"/>
                <w:szCs w:val="21"/>
              </w:rPr>
            </w:pPr>
            <w:r>
              <w:rPr>
                <w:color w:val="auto"/>
                <w:szCs w:val="21"/>
              </w:rPr>
              <w:t>规划环境影响</w:t>
            </w:r>
          </w:p>
          <w:p w14:paraId="659D33FB">
            <w:pPr>
              <w:adjustRightInd w:val="0"/>
              <w:snapToGrid w:val="0"/>
              <w:jc w:val="center"/>
              <w:rPr>
                <w:color w:val="auto"/>
                <w:kern w:val="0"/>
                <w:szCs w:val="21"/>
              </w:rPr>
            </w:pPr>
            <w:r>
              <w:rPr>
                <w:color w:val="auto"/>
                <w:szCs w:val="21"/>
              </w:rPr>
              <w:t>评价情况</w:t>
            </w:r>
          </w:p>
        </w:tc>
        <w:tc>
          <w:tcPr>
            <w:tcW w:w="8501" w:type="dxa"/>
            <w:gridSpan w:val="3"/>
            <w:noWrap w:val="0"/>
            <w:vAlign w:val="center"/>
          </w:tcPr>
          <w:p w14:paraId="2E63E4A2">
            <w:pPr>
              <w:autoSpaceDE w:val="0"/>
              <w:autoSpaceDN w:val="0"/>
              <w:adjustRightInd w:val="0"/>
              <w:snapToGrid w:val="0"/>
              <w:jc w:val="center"/>
              <w:rPr>
                <w:color w:val="auto"/>
                <w:kern w:val="0"/>
                <w:szCs w:val="21"/>
              </w:rPr>
            </w:pPr>
            <w:r>
              <w:rPr>
                <w:color w:val="auto"/>
                <w:kern w:val="0"/>
                <w:szCs w:val="21"/>
              </w:rPr>
              <w:t>无</w:t>
            </w:r>
          </w:p>
        </w:tc>
      </w:tr>
      <w:tr w14:paraId="629FC4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481" w:type="dxa"/>
            <w:noWrap w:val="0"/>
            <w:vAlign w:val="center"/>
          </w:tcPr>
          <w:p w14:paraId="142A7A72">
            <w:pPr>
              <w:autoSpaceDE w:val="0"/>
              <w:autoSpaceDN w:val="0"/>
              <w:adjustRightInd w:val="0"/>
              <w:snapToGrid w:val="0"/>
              <w:jc w:val="center"/>
              <w:rPr>
                <w:color w:val="auto"/>
                <w:kern w:val="0"/>
                <w:szCs w:val="21"/>
              </w:rPr>
            </w:pPr>
            <w:r>
              <w:rPr>
                <w:color w:val="auto"/>
                <w:kern w:val="0"/>
                <w:szCs w:val="21"/>
              </w:rPr>
              <w:t>规划及规划环境影响评价符合性分析</w:t>
            </w:r>
          </w:p>
        </w:tc>
        <w:tc>
          <w:tcPr>
            <w:tcW w:w="8501" w:type="dxa"/>
            <w:gridSpan w:val="3"/>
            <w:noWrap w:val="0"/>
            <w:vAlign w:val="center"/>
          </w:tcPr>
          <w:p w14:paraId="45EA507B">
            <w:pPr>
              <w:autoSpaceDE w:val="0"/>
              <w:autoSpaceDN w:val="0"/>
              <w:adjustRightInd w:val="0"/>
              <w:snapToGrid w:val="0"/>
              <w:jc w:val="center"/>
              <w:rPr>
                <w:color w:val="auto"/>
                <w:kern w:val="0"/>
                <w:szCs w:val="21"/>
              </w:rPr>
            </w:pPr>
            <w:r>
              <w:rPr>
                <w:color w:val="auto"/>
                <w:kern w:val="0"/>
                <w:szCs w:val="21"/>
              </w:rPr>
              <w:t>无</w:t>
            </w:r>
          </w:p>
        </w:tc>
      </w:tr>
      <w:tr w14:paraId="19BAB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81" w:type="dxa"/>
            <w:noWrap w:val="0"/>
            <w:vAlign w:val="center"/>
          </w:tcPr>
          <w:p w14:paraId="3DBA8517">
            <w:pPr>
              <w:autoSpaceDE w:val="0"/>
              <w:autoSpaceDN w:val="0"/>
              <w:adjustRightInd w:val="0"/>
              <w:snapToGrid w:val="0"/>
              <w:jc w:val="center"/>
              <w:rPr>
                <w:color w:val="auto"/>
                <w:kern w:val="0"/>
                <w:szCs w:val="21"/>
              </w:rPr>
            </w:pPr>
            <w:r>
              <w:rPr>
                <w:color w:val="auto"/>
                <w:kern w:val="0"/>
                <w:szCs w:val="21"/>
              </w:rPr>
              <w:t>其他符合性分析</w:t>
            </w:r>
          </w:p>
        </w:tc>
        <w:tc>
          <w:tcPr>
            <w:tcW w:w="8501" w:type="dxa"/>
            <w:gridSpan w:val="3"/>
            <w:noWrap w:val="0"/>
            <w:vAlign w:val="center"/>
          </w:tcPr>
          <w:p w14:paraId="40E46DBB">
            <w:pPr>
              <w:adjustRightInd w:val="0"/>
              <w:snapToGrid w:val="0"/>
              <w:spacing w:line="360" w:lineRule="auto"/>
              <w:rPr>
                <w:rFonts w:hint="eastAsia"/>
                <w:b/>
                <w:color w:val="auto"/>
                <w:kern w:val="0"/>
                <w:sz w:val="24"/>
              </w:rPr>
            </w:pPr>
            <w:r>
              <w:rPr>
                <w:rFonts w:hint="eastAsia"/>
                <w:b/>
                <w:color w:val="auto"/>
                <w:kern w:val="0"/>
                <w:sz w:val="24"/>
                <w:lang w:val="en-US" w:eastAsia="zh-CN"/>
              </w:rPr>
              <w:t>1.1</w:t>
            </w:r>
            <w:r>
              <w:rPr>
                <w:rFonts w:hint="eastAsia"/>
                <w:b/>
                <w:color w:val="auto"/>
                <w:kern w:val="0"/>
                <w:sz w:val="24"/>
              </w:rPr>
              <w:t>与重庆市“三线一单”符合性分析</w:t>
            </w:r>
          </w:p>
          <w:p w14:paraId="56BD704A">
            <w:pPr>
              <w:autoSpaceDE w:val="0"/>
              <w:autoSpaceDN w:val="0"/>
              <w:adjustRightInd w:val="0"/>
              <w:snapToGrid w:val="0"/>
              <w:spacing w:line="360" w:lineRule="auto"/>
              <w:ind w:firstLine="480" w:firstLineChars="200"/>
              <w:rPr>
                <w:bCs/>
                <w:color w:val="auto"/>
                <w:sz w:val="24"/>
              </w:rPr>
            </w:pPr>
            <w:r>
              <w:rPr>
                <w:rFonts w:hint="eastAsia"/>
                <w:bCs/>
                <w:color w:val="auto"/>
                <w:sz w:val="24"/>
              </w:rPr>
              <w:t>扩建项目位于重庆市九龙坡区，通过与现</w:t>
            </w:r>
            <w:r>
              <w:rPr>
                <w:bCs/>
                <w:color w:val="auto"/>
                <w:sz w:val="24"/>
              </w:rPr>
              <w:t>有生态保护红线及现有一般生态空间相对照，不涉及生态保护红线及一般生态空间。环境管控单元编码</w:t>
            </w:r>
            <w:r>
              <w:rPr>
                <w:rFonts w:hint="eastAsia"/>
                <w:bCs/>
                <w:color w:val="auto"/>
                <w:sz w:val="24"/>
                <w:lang w:eastAsia="zh-CN"/>
              </w:rPr>
              <w:t>ZH50010720001</w:t>
            </w:r>
            <w:r>
              <w:rPr>
                <w:bCs/>
                <w:color w:val="auto"/>
                <w:sz w:val="24"/>
              </w:rPr>
              <w:t>，环境管控单元分类：重点管控单元，与“三线一单”符合性见表1-1。</w:t>
            </w:r>
          </w:p>
          <w:p w14:paraId="73D864F8">
            <w:pPr>
              <w:pStyle w:val="23"/>
              <w:adjustRightInd w:val="0"/>
              <w:snapToGrid w:val="0"/>
              <w:spacing w:before="0" w:beforeAutospacing="0" w:after="0" w:afterAutospacing="0" w:line="460" w:lineRule="exact"/>
              <w:ind w:firstLine="420"/>
              <w:jc w:val="both"/>
              <w:rPr>
                <w:rFonts w:ascii="Times New Roman" w:hAnsi="Times New Roman"/>
                <w:b/>
                <w:bCs/>
                <w:color w:val="auto"/>
              </w:rPr>
            </w:pPr>
            <w:r>
              <w:rPr>
                <w:rFonts w:ascii="Times New Roman" w:hAnsi="Times New Roman"/>
                <w:b/>
                <w:bCs/>
                <w:color w:val="auto"/>
              </w:rPr>
              <w:t xml:space="preserve">表1-1   </w:t>
            </w:r>
            <w:r>
              <w:rPr>
                <w:rFonts w:hint="eastAsia" w:ascii="Times New Roman" w:hAnsi="Times New Roman"/>
                <w:b/>
                <w:bCs/>
                <w:color w:val="auto"/>
              </w:rPr>
              <w:t xml:space="preserve"> </w:t>
            </w:r>
            <w:r>
              <w:rPr>
                <w:rFonts w:ascii="Times New Roman" w:hAnsi="Times New Roman"/>
                <w:b/>
                <w:bCs/>
                <w:color w:val="auto"/>
              </w:rPr>
              <w:t>建设项目与“三线一单”管控要求的符合性分析表</w:t>
            </w:r>
          </w:p>
          <w:tbl>
            <w:tblPr>
              <w:tblStyle w:val="25"/>
              <w:tblW w:w="81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1080"/>
              <w:gridCol w:w="3959"/>
              <w:gridCol w:w="1241"/>
              <w:gridCol w:w="785"/>
            </w:tblGrid>
            <w:tr w14:paraId="784A3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2202" w:type="dxa"/>
                  <w:gridSpan w:val="2"/>
                  <w:noWrap w:val="0"/>
                  <w:vAlign w:val="center"/>
                </w:tcPr>
                <w:p w14:paraId="60A86B86">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环境管控单元编码</w:t>
                  </w:r>
                </w:p>
              </w:tc>
              <w:tc>
                <w:tcPr>
                  <w:tcW w:w="3959" w:type="dxa"/>
                  <w:noWrap w:val="0"/>
                  <w:vAlign w:val="center"/>
                </w:tcPr>
                <w:p w14:paraId="71808603">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环境管控单元名称</w:t>
                  </w:r>
                </w:p>
              </w:tc>
              <w:tc>
                <w:tcPr>
                  <w:tcW w:w="2026" w:type="dxa"/>
                  <w:gridSpan w:val="2"/>
                  <w:noWrap w:val="0"/>
                  <w:vAlign w:val="center"/>
                </w:tcPr>
                <w:p w14:paraId="65D36E86">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环境管控单元类型</w:t>
                  </w:r>
                </w:p>
              </w:tc>
            </w:tr>
            <w:tr w14:paraId="06577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2202" w:type="dxa"/>
                  <w:gridSpan w:val="2"/>
                  <w:noWrap w:val="0"/>
                  <w:vAlign w:val="center"/>
                </w:tcPr>
                <w:p w14:paraId="2985114B">
                  <w:pPr>
                    <w:pStyle w:val="23"/>
                    <w:adjustRightInd w:val="0"/>
                    <w:snapToGrid w:val="0"/>
                    <w:spacing w:before="0" w:beforeAutospacing="0" w:after="0" w:afterAutospacing="0" w:line="320" w:lineRule="exact"/>
                    <w:jc w:val="center"/>
                    <w:rPr>
                      <w:rFonts w:hint="eastAsia" w:eastAsia="宋体"/>
                      <w:color w:val="auto"/>
                      <w:sz w:val="21"/>
                      <w:szCs w:val="21"/>
                      <w:lang w:eastAsia="zh-CN"/>
                    </w:rPr>
                  </w:pPr>
                  <w:r>
                    <w:rPr>
                      <w:rFonts w:hint="eastAsia" w:ascii="Times New Roman" w:hAnsi="Times New Roman"/>
                      <w:color w:val="auto"/>
                      <w:sz w:val="21"/>
                      <w:szCs w:val="21"/>
                      <w:lang w:eastAsia="zh-CN"/>
                    </w:rPr>
                    <w:t>ZH50010720001</w:t>
                  </w:r>
                </w:p>
              </w:tc>
              <w:tc>
                <w:tcPr>
                  <w:tcW w:w="3959" w:type="dxa"/>
                  <w:noWrap w:val="0"/>
                  <w:vAlign w:val="center"/>
                </w:tcPr>
                <w:p w14:paraId="284D670A">
                  <w:pPr>
                    <w:widowControl/>
                    <w:jc w:val="center"/>
                    <w:rPr>
                      <w:rFonts w:hint="eastAsia" w:eastAsia="宋体"/>
                      <w:color w:val="auto"/>
                      <w:szCs w:val="21"/>
                      <w:lang w:eastAsia="zh-CN"/>
                    </w:rPr>
                  </w:pPr>
                  <w:r>
                    <w:rPr>
                      <w:rFonts w:hint="eastAsia"/>
                      <w:color w:val="auto"/>
                      <w:szCs w:val="21"/>
                      <w:lang w:eastAsia="zh-CN"/>
                    </w:rPr>
                    <w:t>九龙坡区工业城镇重点管控单元－九龙东城片区</w:t>
                  </w:r>
                </w:p>
              </w:tc>
              <w:tc>
                <w:tcPr>
                  <w:tcW w:w="2026" w:type="dxa"/>
                  <w:gridSpan w:val="2"/>
                  <w:noWrap w:val="0"/>
                  <w:vAlign w:val="center"/>
                </w:tcPr>
                <w:p w14:paraId="57F69C23">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重点管控单元</w:t>
                  </w:r>
                </w:p>
              </w:tc>
            </w:tr>
            <w:tr w14:paraId="1F558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1122" w:type="dxa"/>
                  <w:noWrap w:val="0"/>
                  <w:vAlign w:val="center"/>
                </w:tcPr>
                <w:p w14:paraId="3E8FFDF7">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管控要求层级</w:t>
                  </w:r>
                </w:p>
              </w:tc>
              <w:tc>
                <w:tcPr>
                  <w:tcW w:w="1080" w:type="dxa"/>
                  <w:noWrap w:val="0"/>
                  <w:vAlign w:val="center"/>
                </w:tcPr>
                <w:p w14:paraId="273E4085">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管控类型</w:t>
                  </w:r>
                </w:p>
              </w:tc>
              <w:tc>
                <w:tcPr>
                  <w:tcW w:w="3959" w:type="dxa"/>
                  <w:noWrap w:val="0"/>
                  <w:vAlign w:val="center"/>
                </w:tcPr>
                <w:p w14:paraId="307BC307">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管控要求</w:t>
                  </w:r>
                </w:p>
              </w:tc>
              <w:tc>
                <w:tcPr>
                  <w:tcW w:w="1241" w:type="dxa"/>
                  <w:noWrap w:val="0"/>
                  <w:vAlign w:val="center"/>
                </w:tcPr>
                <w:p w14:paraId="254ED2C2">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建设项目相关情况</w:t>
                  </w:r>
                </w:p>
              </w:tc>
              <w:tc>
                <w:tcPr>
                  <w:tcW w:w="785" w:type="dxa"/>
                  <w:noWrap w:val="0"/>
                  <w:vAlign w:val="center"/>
                </w:tcPr>
                <w:p w14:paraId="4D9C14D0">
                  <w:pPr>
                    <w:pStyle w:val="23"/>
                    <w:adjustRightInd w:val="0"/>
                    <w:snapToGrid w:val="0"/>
                    <w:spacing w:before="0" w:beforeAutospacing="0" w:after="0" w:afterAutospacing="0" w:line="240" w:lineRule="auto"/>
                    <w:jc w:val="center"/>
                    <w:rPr>
                      <w:rFonts w:hint="eastAsia"/>
                      <w:color w:val="auto"/>
                      <w:sz w:val="21"/>
                      <w:szCs w:val="21"/>
                    </w:rPr>
                  </w:pPr>
                  <w:r>
                    <w:rPr>
                      <w:rFonts w:hint="eastAsia"/>
                      <w:color w:val="auto"/>
                      <w:sz w:val="21"/>
                      <w:szCs w:val="21"/>
                    </w:rPr>
                    <w:t>符合性分析结论</w:t>
                  </w:r>
                </w:p>
              </w:tc>
            </w:tr>
            <w:tr w14:paraId="7B87D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restart"/>
                  <w:noWrap w:val="0"/>
                  <w:vAlign w:val="center"/>
                </w:tcPr>
                <w:p w14:paraId="6E76700D">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全市总体管控要求</w:t>
                  </w:r>
                </w:p>
              </w:tc>
              <w:tc>
                <w:tcPr>
                  <w:tcW w:w="1080" w:type="dxa"/>
                  <w:noWrap w:val="0"/>
                  <w:vAlign w:val="center"/>
                </w:tcPr>
                <w:p w14:paraId="25C0653A">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空间布局约束</w:t>
                  </w:r>
                </w:p>
              </w:tc>
              <w:tc>
                <w:tcPr>
                  <w:tcW w:w="3959" w:type="dxa"/>
                  <w:noWrap w:val="0"/>
                  <w:vAlign w:val="center"/>
                </w:tcPr>
                <w:p w14:paraId="28006A72">
                  <w:pPr>
                    <w:keepNext w:val="0"/>
                    <w:keepLines w:val="0"/>
                    <w:pageBreakBefore w:val="0"/>
                    <w:widowControl w:val="0"/>
                    <w:numPr>
                      <w:ilvl w:val="0"/>
                      <w:numId w:val="1"/>
                    </w:numPr>
                    <w:kinsoku/>
                    <w:wordWrap/>
                    <w:overflowPunct/>
                    <w:topLinePunct w:val="0"/>
                    <w:autoSpaceDE/>
                    <w:autoSpaceDN/>
                    <w:bidi w:val="0"/>
                    <w:adjustRightInd w:val="0"/>
                    <w:snapToGrid w:val="0"/>
                    <w:spacing w:before="157" w:beforeLines="50" w:after="157" w:afterLines="50" w:line="240" w:lineRule="auto"/>
                    <w:textAlignment w:val="auto"/>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深入贯彻习近平生态文明思想，筑牢长江上游重要生态屏障，推动优势区域重点发</w:t>
                  </w:r>
                  <w:r>
                    <w:rPr>
                      <w:rFonts w:hint="eastAsia" w:ascii="Times New Roman" w:hAnsi="Times New Roman" w:eastAsia="宋体" w:cs="Times New Roman"/>
                      <w:color w:val="auto"/>
                      <w:sz w:val="21"/>
                      <w:szCs w:val="21"/>
                      <w:vertAlign w:val="baseline"/>
                      <w:lang w:val="en-US" w:eastAsia="zh-CN"/>
                    </w:rPr>
                    <w:t xml:space="preserve">展、生态功能区重点保护、城乡融合发展，优化重点区域、流域、产业的空间布局。 </w:t>
                  </w:r>
                </w:p>
                <w:p w14:paraId="5B38A98F">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 xml:space="preserve">第二条 禁止在长江干支流、重要湖泊岸线一公里范围内新建、扩建化工园区和化工项目。禁止在长江干流岸线三公里范围内和重要支流岸线一公里范围内新建、改建、扩建尾矿库、冶炼渣库、磷石膏库，以提升安全、生态环境保护水平为目的的改建除外。禁止在长江、嘉陵江、乌江岸线一公里范围内布局新建重化工、纸浆制造、印染等存在环境风险的项目。 </w:t>
                  </w:r>
                </w:p>
                <w:p w14:paraId="00DE82DF">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第三条 禁止在合规园区外新建、扩建钢铁、石化、化工、焦化、建材、有色、制浆造纸等高污染项目（高污染项目严格按照《环境保护综合名录》</w:t>
                  </w:r>
                  <w:r>
                    <w:rPr>
                      <w:rFonts w:hint="default"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高污染”产品名录执行）。禁止新建、扩建不符合国家石化、现代煤化工等产业布局规划的项目。新建、改建、扩建“两高”项目须符合生态环境保护法律法规和相关法定规划，满足重点污染物排放总量控制、碳排放达峰目标、生态环境准入清单、相关规划环评和相应行业建设项目环境准入条件、环评文件审批原则要求。</w:t>
                  </w:r>
                </w:p>
                <w:p w14:paraId="531938C4">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 xml:space="preserve">第四条 严把项目准入关口，对不符合要求的高耗能、高排放、低水平项目坚决不予准入。除在安全或者产业布局等方面有特殊要求的项目外，新建有污染物排放的工业项目应当进入工业集聚区。新建化工项目应当进入全市统一布局的化工产业集聚区。鼓励现有工业项目、化工项目分别搬入工业集聚区、化工产业集聚区。 </w:t>
                  </w:r>
                </w:p>
                <w:p w14:paraId="7F1D3B4D">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 xml:space="preserve">第五条 新建、扩建有色金属冶炼、电镀、铅蓄电池等企业应布设在依法合规设立并经过规划环评的产业园区。 </w:t>
                  </w:r>
                </w:p>
                <w:p w14:paraId="0809EE93">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 xml:space="preserve">第六条 涉及环境防护距离的工业企业或项目应通过选址或调整布局原则上将环境防护距离控制在园区边界或用地红线内，提前合理规划项目地块布置、预防环境风险。 </w:t>
                  </w:r>
                </w:p>
                <w:p w14:paraId="3F615204">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rPr>
                  </w:pPr>
                  <w:r>
                    <w:rPr>
                      <w:rFonts w:hint="eastAsia" w:ascii="Times New Roman" w:hAnsi="Times New Roman" w:eastAsia="宋体" w:cs="Times New Roman"/>
                      <w:color w:val="auto"/>
                      <w:sz w:val="21"/>
                      <w:szCs w:val="21"/>
                      <w:vertAlign w:val="baseline"/>
                      <w:lang w:val="en-US" w:eastAsia="zh-CN"/>
                    </w:rPr>
                    <w:t>第七条 有效规范空间开发秩序，合理控制空间开发强度，切实将各类开发活动限制在资源环境承载能力之内，为构建高效协调可持续的国土空间开发格局奠定坚实基础。</w:t>
                  </w:r>
                </w:p>
              </w:tc>
              <w:tc>
                <w:tcPr>
                  <w:tcW w:w="1241" w:type="dxa"/>
                  <w:noWrap w:val="0"/>
                  <w:vAlign w:val="center"/>
                </w:tcPr>
                <w:p w14:paraId="7CB6D5A8">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扩建项目不涉及</w:t>
                  </w:r>
                  <w:r>
                    <w:rPr>
                      <w:rFonts w:hint="eastAsia"/>
                      <w:color w:val="auto"/>
                      <w:sz w:val="21"/>
                      <w:szCs w:val="21"/>
                      <w:lang w:eastAsia="zh-CN"/>
                    </w:rPr>
                    <w:t>，不属于新建重化工、纸浆制造、印染、有色金属冶炼、电镀、铅蓄电池项目。</w:t>
                  </w:r>
                </w:p>
              </w:tc>
              <w:tc>
                <w:tcPr>
                  <w:tcW w:w="785" w:type="dxa"/>
                  <w:noWrap w:val="0"/>
                  <w:vAlign w:val="center"/>
                </w:tcPr>
                <w:p w14:paraId="712F2F0E">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112C1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1797D46D">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6C29C645">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污染物排放管控</w:t>
                  </w:r>
                </w:p>
              </w:tc>
              <w:tc>
                <w:tcPr>
                  <w:tcW w:w="3959" w:type="dxa"/>
                  <w:noWrap w:val="0"/>
                  <w:vAlign w:val="center"/>
                </w:tcPr>
                <w:p w14:paraId="23CF2DA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第八条</w:t>
                  </w:r>
                  <w:r>
                    <w:rPr>
                      <w:rFonts w:hint="default" w:ascii="Times New Roman" w:hAnsi="Times New Roman" w:eastAsia="宋体" w:cs="Times New Roman"/>
                      <w:color w:val="auto"/>
                      <w:sz w:val="21"/>
                      <w:szCs w:val="21"/>
                      <w:vertAlign w:val="baseline"/>
                    </w:rPr>
                    <w:t xml:space="preserve"> 新建石化、煤化工、燃煤发电（含热电）、钢铁、有色金属冶炼、制浆造纸行业依据区域环境质量改善目标，制定配套区域污染物削减方案，采取有效的污染物区域削减措施，腾出足够的环境容量。严格按照国家及我市有关规定，对钢铁、水泥熟料、平板玻璃、电解铝等行业新建、扩建项目实行产能等量或减量置换。国家或地方已出台超低排放要求的</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两高</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行业建设项目应满足超低排放要求。加强水泥和平板玻璃行业差别化管理，新改扩建项目严格落实相关产业政策要求，满足能效标杆水平、环保绩效A级指标要求。</w:t>
                  </w:r>
                </w:p>
                <w:p w14:paraId="2B6624D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第九条  严格落实国家及我市大气污染防控相关要求，对大气环境质量未达标地区，新建、改扩建项目实施更严格的污染物排放总量控制要求。严格落实区域削减要求，所在区域、流域控制单元环境质量未达到国家或者地方环境质量标准的，建设项目需提出有效的区域削减方案，主要污染物实行区域倍量削减。</w:t>
                  </w:r>
                </w:p>
                <w:p w14:paraId="65ABF3A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第十条  在重点行业（石化、化工、工业涂装、包装印刷、油品储运销等）推进挥发性有机物综合治理，推动低挥发性有机物原辅材料和产品源头替代，推广使用低挥发性有机物含量产品，推动纳入政府绿色采购名录。有条件的工业集聚区建设集中喷涂工程中心，配备高效治污设施，替代企业独立喷涂工序，对涉及喷漆、喷粉、印刷等废气进行集中处理。</w:t>
                  </w:r>
                </w:p>
                <w:p w14:paraId="56FC32A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第十一条  工业集聚区应当按照有关规定配套建设相应的污水集中处理设施，安装自动监测设备，工业集聚区内的企业向污水集中处理设施排放工业废水的，应当按照国家有关规定进行预处理，达到集中处理设施处理工艺要求后方可排放。</w:t>
                  </w:r>
                </w:p>
                <w:p w14:paraId="4AD206A1">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第十二条  推进乡镇生活污水处理设施达标改造。新建城市生活污水处理厂全部按照一级A标及以上排放标准设计、施工、验收，建制乡镇生活污水处理设施出水水质不得低于一级B标排放标准；对现有截留制排水管网实施雨污分流改造，针对无法彻底雨污分流的老城区，尊重现实合理保留截留制区域，</w:t>
                  </w:r>
                  <w:r>
                    <w:rPr>
                      <w:rFonts w:hint="default" w:ascii="Times New Roman" w:hAnsi="Times New Roman" w:eastAsia="宋体" w:cs="Times New Roman"/>
                      <w:color w:val="auto"/>
                      <w:sz w:val="21"/>
                      <w:szCs w:val="21"/>
                      <w:vertAlign w:val="baseline"/>
                      <w:lang w:eastAsia="zh-CN"/>
                    </w:rPr>
                    <w:t>合理</w:t>
                  </w:r>
                  <w:r>
                    <w:rPr>
                      <w:rFonts w:hint="default" w:ascii="Times New Roman" w:hAnsi="Times New Roman" w:eastAsia="宋体" w:cs="Times New Roman"/>
                      <w:color w:val="auto"/>
                      <w:sz w:val="21"/>
                      <w:szCs w:val="21"/>
                      <w:vertAlign w:val="baseline"/>
                    </w:rPr>
                    <w:t>提高截留倍数；对新建的排水管网，全部按照雨污分流模式实施建设。</w:t>
                  </w:r>
                </w:p>
                <w:p w14:paraId="2A28CBF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第十三条  新、改、扩建重点行业</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重有色金属矿采选业（铜、铅锌、镍钴、锡、锑和汞矿采选）、重有色金属冶炼业（铜、铅锌、镍钴、锡、锑和汞冶炼）、铅蓄电池制造业、皮革鞣制加工业、化学原料及化学制品制造业（电石法聚氯乙烯制造、铬盐制造、以工业固废为原料的锌无机化合物工业等）、电镀行业</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重点重金属污染物排放执行</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等量替代</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原则。</w:t>
                  </w:r>
                </w:p>
                <w:p w14:paraId="38B2743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第十四条  固体废物污染环境防治坚持减量化、资源化和无害化的原则。产生工业固体废物的单位应当建立健全工业固体废物产生、收集、贮存、运输、利用、处置全过程的污染环境防治责任制度，建立工业固体废物管理台账。</w:t>
                  </w:r>
                </w:p>
                <w:p w14:paraId="62B3CE9C">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rPr>
                  </w:pPr>
                  <w:r>
                    <w:rPr>
                      <w:rFonts w:hint="default" w:ascii="Times New Roman" w:hAnsi="Times New Roman" w:eastAsia="宋体" w:cs="Times New Roman"/>
                      <w:color w:val="auto"/>
                      <w:sz w:val="21"/>
                      <w:szCs w:val="21"/>
                      <w:vertAlign w:val="baseline"/>
                    </w:rPr>
                    <w:t>第十五条  建设分类投放、分类收集、分类运输、分类处理的生活垃圾处理系统。合理布局生活垃圾分类收集站点，完善分类运输系统，加快补齐分类收集转运设施能力短板。强化</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无废城市</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制度、技术、市场、监管、全民行动</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五大体系</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建设，推进城市固体废物精细化管理。</w:t>
                  </w:r>
                </w:p>
              </w:tc>
              <w:tc>
                <w:tcPr>
                  <w:tcW w:w="1241" w:type="dxa"/>
                  <w:noWrap w:val="0"/>
                  <w:vAlign w:val="center"/>
                </w:tcPr>
                <w:p w14:paraId="68E0E8A6">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w:t>
                  </w:r>
                  <w:r>
                    <w:rPr>
                      <w:rFonts w:hint="eastAsia"/>
                      <w:color w:val="auto"/>
                      <w:sz w:val="21"/>
                      <w:szCs w:val="21"/>
                      <w:lang w:val="en-US" w:eastAsia="zh-CN"/>
                    </w:rPr>
                    <w:t>项目不属于文件所列项目,项目采取了严格的污染物治理措施，废气、废水、固废污染物能够满足达标排放的要求。</w:t>
                  </w:r>
                </w:p>
              </w:tc>
              <w:tc>
                <w:tcPr>
                  <w:tcW w:w="785" w:type="dxa"/>
                  <w:noWrap w:val="0"/>
                  <w:vAlign w:val="center"/>
                </w:tcPr>
                <w:p w14:paraId="13708B86">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0D4BC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70ECFA13">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4DABB07B">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环境风险防控</w:t>
                  </w:r>
                </w:p>
              </w:tc>
              <w:tc>
                <w:tcPr>
                  <w:tcW w:w="3959" w:type="dxa"/>
                  <w:noWrap w:val="0"/>
                  <w:vAlign w:val="center"/>
                </w:tcPr>
                <w:p w14:paraId="35DAD722">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第十六条</w:t>
                  </w:r>
                  <w:r>
                    <w:rPr>
                      <w:rFonts w:hint="default" w:ascii="Times New Roman" w:hAnsi="Times New Roman" w:eastAsia="宋体" w:cs="Times New Roman"/>
                      <w:color w:val="auto"/>
                      <w:sz w:val="21"/>
                      <w:szCs w:val="21"/>
                      <w:vertAlign w:val="baseline"/>
                    </w:rPr>
                    <w:t xml:space="preserve"> 深入开展行政区域、重点流域、重点饮用水源、化工园区等突发环境事件风险评估，建立区域突发环境事件风险评估数据信息获取与动态更新机制。落实企业突发环境事件风险评估制度，推进突发环境事件风险分类分级管理，严格监管重大突发环境事件风险企业。</w:t>
                  </w:r>
                </w:p>
                <w:p w14:paraId="2B71EF26">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eastAsia"/>
                      <w:bCs/>
                      <w:snapToGrid w:val="0"/>
                      <w:color w:val="auto"/>
                      <w:szCs w:val="21"/>
                    </w:rPr>
                  </w:pPr>
                  <w:r>
                    <w:rPr>
                      <w:rFonts w:hint="default" w:ascii="Times New Roman" w:hAnsi="Times New Roman" w:eastAsia="宋体" w:cs="Times New Roman"/>
                      <w:color w:val="auto"/>
                      <w:sz w:val="21"/>
                      <w:szCs w:val="21"/>
                      <w:vertAlign w:val="baseline"/>
                    </w:rPr>
                    <w:t>第十七条  强化化工园区涉水突发环境事件四级环境风险防范体系建设。持续推进重点化工园区（化工集中区）建设有毒有害气体监测预警体系和水质生物毒性预警体系。</w:t>
                  </w:r>
                </w:p>
              </w:tc>
              <w:tc>
                <w:tcPr>
                  <w:tcW w:w="1241" w:type="dxa"/>
                  <w:noWrap w:val="0"/>
                  <w:vAlign w:val="center"/>
                </w:tcPr>
                <w:p w14:paraId="59FF13AC">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扩建项目将按照要求落实各项风险防范措施。</w:t>
                  </w:r>
                </w:p>
              </w:tc>
              <w:tc>
                <w:tcPr>
                  <w:tcW w:w="785" w:type="dxa"/>
                  <w:noWrap w:val="0"/>
                  <w:vAlign w:val="center"/>
                </w:tcPr>
                <w:p w14:paraId="3E665F06">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7705D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71465A9B">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0B22802B">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资源开发利用效率</w:t>
                  </w:r>
                </w:p>
              </w:tc>
              <w:tc>
                <w:tcPr>
                  <w:tcW w:w="3959" w:type="dxa"/>
                  <w:noWrap w:val="0"/>
                  <w:vAlign w:val="center"/>
                </w:tcPr>
                <w:p w14:paraId="5E61A6DA">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第十八条</w:t>
                  </w:r>
                  <w:r>
                    <w:rPr>
                      <w:rFonts w:hint="default" w:ascii="Times New Roman" w:hAnsi="Times New Roman" w:eastAsia="宋体" w:cs="Times New Roman"/>
                      <w:color w:val="auto"/>
                      <w:sz w:val="21"/>
                      <w:szCs w:val="21"/>
                      <w:vertAlign w:val="baseline"/>
                    </w:rPr>
                    <w:t xml:space="preserve"> 实施能源领域碳达峰碳中和行动，科学有序推动能源生产消费方式绿色低碳变革。实施可再生能源替代，减少化石能源消费。加强产业布局和能耗</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双控</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政策衔接，促进重点用能领域用能结构优化和能效提升。</w:t>
                  </w:r>
                </w:p>
                <w:p w14:paraId="65916791">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第十九条  鼓励企业对标能耗限额标准先进值或国际先进水平，加快主要产品工艺升级与绿色化改造，推动工业窑炉、锅炉、电机、压缩机、泵、变压器等重点用能设备系统节能改造。推动现有企业、园区生产过程清洁化转型，精准提升市场主体绿色低碳水平，引导绿色园区低碳发展。</w:t>
                  </w:r>
                </w:p>
                <w:p w14:paraId="5A4CCC95">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第二十条  新建、扩建</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两高</w:t>
                  </w:r>
                  <w:r>
                    <w:rPr>
                      <w:rFonts w:hint="eastAsia"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项目应采用先进适用的工艺技术和装备，单位产品物耗、能耗、水耗等达到清洁生产先进水平。</w:t>
                  </w:r>
                </w:p>
                <w:p w14:paraId="01AE37B8">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第二十一条  推进企业内部工业用水循环利用、园区内企业间用水系统集成优化。开展火电、石化、有色金属、造纸、印染等高耗水行业工业废水循环利用示范。根据区域水资源禀赋和行业特点，结合用水总量控制措施，引导区域工业布局和产业结构调整，大力推广工业水循环利用，加快淘汰落后用水工艺和技术。</w:t>
                  </w:r>
                </w:p>
                <w:p w14:paraId="2EE530A3">
                  <w:pPr>
                    <w:keepNext w:val="0"/>
                    <w:keepLines w:val="0"/>
                    <w:pageBreakBefore w:val="0"/>
                    <w:widowControl w:val="0"/>
                    <w:kinsoku/>
                    <w:wordWrap/>
                    <w:overflowPunct/>
                    <w:topLinePunct w:val="0"/>
                    <w:autoSpaceDE/>
                    <w:autoSpaceDN/>
                    <w:bidi w:val="0"/>
                    <w:adjustRightInd w:val="0"/>
                    <w:snapToGrid w:val="0"/>
                    <w:spacing w:before="157" w:beforeLines="50" w:after="157" w:afterLines="50" w:line="240" w:lineRule="auto"/>
                    <w:textAlignment w:val="auto"/>
                    <w:rPr>
                      <w:rFonts w:hint="eastAsia" w:ascii="Times New Roman" w:hAnsi="Times New Roman"/>
                      <w:bCs/>
                      <w:snapToGrid w:val="0"/>
                      <w:color w:val="auto"/>
                      <w:sz w:val="21"/>
                      <w:szCs w:val="21"/>
                    </w:rPr>
                  </w:pPr>
                  <w:r>
                    <w:rPr>
                      <w:rFonts w:hint="default" w:ascii="Times New Roman" w:hAnsi="Times New Roman" w:eastAsia="宋体" w:cs="Times New Roman"/>
                      <w:color w:val="auto"/>
                      <w:sz w:val="21"/>
                      <w:szCs w:val="21"/>
                      <w:vertAlign w:val="baseline"/>
                    </w:rPr>
                    <w:t>第二十二条  加快推进节水配套设施建设，加强再生水、雨水等非常规水多元、梯级和安全利用，逐年提高非常规水利用比例。结合现有污水处理设施提标升级扩能改造，系统规划城镇污水再生利用设施。</w:t>
                  </w:r>
                </w:p>
              </w:tc>
              <w:tc>
                <w:tcPr>
                  <w:tcW w:w="1241" w:type="dxa"/>
                  <w:noWrap w:val="0"/>
                  <w:vAlign w:val="center"/>
                </w:tcPr>
                <w:p w14:paraId="2D142F6E">
                  <w:pPr>
                    <w:widowControl/>
                    <w:jc w:val="left"/>
                    <w:rPr>
                      <w:rFonts w:hint="eastAsia" w:ascii="宋体" w:hAnsi="宋体" w:cs="宋体"/>
                      <w:color w:val="auto"/>
                      <w:kern w:val="0"/>
                      <w:szCs w:val="21"/>
                      <w:lang w:bidi="ar"/>
                    </w:rPr>
                  </w:pPr>
                  <w:r>
                    <w:rPr>
                      <w:rFonts w:hint="eastAsia"/>
                      <w:color w:val="auto"/>
                      <w:szCs w:val="21"/>
                    </w:rPr>
                    <w:t>扩建</w:t>
                  </w:r>
                  <w:r>
                    <w:rPr>
                      <w:rFonts w:hint="eastAsia" w:ascii="宋体" w:hAnsi="宋体" w:cs="宋体"/>
                      <w:color w:val="auto"/>
                      <w:kern w:val="0"/>
                      <w:szCs w:val="21"/>
                      <w:lang w:bidi="ar"/>
                    </w:rPr>
                    <w:t xml:space="preserve">项目采用电能等清洁能源。 </w:t>
                  </w:r>
                </w:p>
                <w:p w14:paraId="1A08C413">
                  <w:pPr>
                    <w:widowControl/>
                    <w:jc w:val="left"/>
                    <w:rPr>
                      <w:color w:val="auto"/>
                      <w:szCs w:val="21"/>
                    </w:rPr>
                  </w:pPr>
                </w:p>
                <w:p w14:paraId="6A7864B9">
                  <w:pPr>
                    <w:pStyle w:val="23"/>
                    <w:adjustRightInd w:val="0"/>
                    <w:snapToGrid w:val="0"/>
                    <w:spacing w:before="0" w:beforeAutospacing="0" w:after="0" w:afterAutospacing="0" w:line="320" w:lineRule="exact"/>
                    <w:jc w:val="both"/>
                    <w:rPr>
                      <w:rFonts w:hint="eastAsia"/>
                      <w:color w:val="auto"/>
                      <w:sz w:val="21"/>
                      <w:szCs w:val="21"/>
                    </w:rPr>
                  </w:pPr>
                </w:p>
              </w:tc>
              <w:tc>
                <w:tcPr>
                  <w:tcW w:w="785" w:type="dxa"/>
                  <w:noWrap w:val="0"/>
                  <w:vAlign w:val="center"/>
                </w:tcPr>
                <w:p w14:paraId="493F4D9A">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01181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restart"/>
                  <w:noWrap w:val="0"/>
                  <w:vAlign w:val="center"/>
                </w:tcPr>
                <w:p w14:paraId="718DA5A1">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九龙坡区总体管控要求</w:t>
                  </w:r>
                </w:p>
              </w:tc>
              <w:tc>
                <w:tcPr>
                  <w:tcW w:w="1080" w:type="dxa"/>
                  <w:noWrap w:val="0"/>
                  <w:vAlign w:val="center"/>
                </w:tcPr>
                <w:p w14:paraId="49019B45">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空间布局约束</w:t>
                  </w:r>
                </w:p>
              </w:tc>
              <w:tc>
                <w:tcPr>
                  <w:tcW w:w="3959" w:type="dxa"/>
                  <w:noWrap w:val="0"/>
                  <w:vAlign w:val="center"/>
                </w:tcPr>
                <w:p w14:paraId="1D5EBD8D">
                  <w:pPr>
                    <w:pStyle w:val="23"/>
                    <w:numPr>
                      <w:ilvl w:val="0"/>
                      <w:numId w:val="2"/>
                    </w:numPr>
                    <w:adjustRightInd w:val="0"/>
                    <w:snapToGrid w:val="0"/>
                    <w:spacing w:before="0" w:beforeAutospacing="0" w:after="0" w:afterAutospacing="0" w:line="320" w:lineRule="exact"/>
                    <w:jc w:val="both"/>
                    <w:rPr>
                      <w:rFonts w:hint="eastAsia"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执行重点管控单元市级总体要求第一条、第二条、第三条、第四条、第五条和第七条。</w:t>
                  </w:r>
                </w:p>
                <w:p w14:paraId="2C233C4C">
                  <w:pPr>
                    <w:pStyle w:val="23"/>
                    <w:numPr>
                      <w:ilvl w:val="0"/>
                      <w:numId w:val="0"/>
                    </w:numPr>
                    <w:adjustRightInd w:val="0"/>
                    <w:snapToGrid w:val="0"/>
                    <w:spacing w:before="0" w:beforeAutospacing="0" w:after="0" w:afterAutospacing="0" w:line="320" w:lineRule="exact"/>
                    <w:jc w:val="both"/>
                    <w:rPr>
                      <w:rFonts w:hint="eastAsia" w:ascii="Times New Roman" w:hAnsi="Times New Roman"/>
                      <w:bCs/>
                      <w:color w:val="auto"/>
                      <w:sz w:val="21"/>
                      <w:szCs w:val="21"/>
                    </w:rPr>
                  </w:pPr>
                  <w:r>
                    <w:rPr>
                      <w:rFonts w:hint="eastAsia" w:ascii="Times New Roman" w:hAnsi="Times New Roman"/>
                      <w:bCs/>
                      <w:color w:val="auto"/>
                      <w:sz w:val="21"/>
                      <w:szCs w:val="21"/>
                      <w:lang w:val="en-US" w:eastAsia="zh-CN"/>
                    </w:rPr>
                    <w:t>第二条 以完善优势产业链发展作为方向，科学合理优化工业用地空间布局，推进产城融合高质量发展。有序推动九龙工业园区“东三街”和九龙街道工业用地转型升级，重点发展制造服务业；推动九龙西城新能源、装备制造、新材料等产业往下游延伸。西彭工业园区内紧邻居住用地、中小学用地等的工业用地后续应严格控制高噪声、异味明显的项目入驻，并根据实际情况设置一定防护距离。</w:t>
                  </w:r>
                </w:p>
              </w:tc>
              <w:tc>
                <w:tcPr>
                  <w:tcW w:w="1241" w:type="dxa"/>
                  <w:noWrap w:val="0"/>
                  <w:vAlign w:val="center"/>
                </w:tcPr>
                <w:p w14:paraId="3C2303B8">
                  <w:pPr>
                    <w:pStyle w:val="59"/>
                    <w:widowControl/>
                    <w:adjustRightInd w:val="0"/>
                    <w:spacing w:line="320" w:lineRule="exact"/>
                    <w:jc w:val="left"/>
                    <w:rPr>
                      <w:color w:val="auto"/>
                      <w:kern w:val="0"/>
                      <w:szCs w:val="21"/>
                    </w:rPr>
                  </w:pPr>
                  <w:r>
                    <w:rPr>
                      <w:rFonts w:hint="eastAsia"/>
                      <w:color w:val="auto"/>
                      <w:szCs w:val="21"/>
                    </w:rPr>
                    <w:t>扩建</w:t>
                  </w:r>
                  <w:r>
                    <w:rPr>
                      <w:color w:val="auto"/>
                      <w:kern w:val="0"/>
                      <w:szCs w:val="21"/>
                    </w:rPr>
                    <w:t>项目不属于工业项目</w:t>
                  </w:r>
                  <w:r>
                    <w:rPr>
                      <w:rFonts w:hint="eastAsia"/>
                      <w:color w:val="auto"/>
                      <w:kern w:val="0"/>
                      <w:szCs w:val="21"/>
                    </w:rPr>
                    <w:t>。</w:t>
                  </w:r>
                </w:p>
                <w:p w14:paraId="3B2A06E2">
                  <w:pPr>
                    <w:pStyle w:val="59"/>
                    <w:widowControl/>
                    <w:adjustRightInd w:val="0"/>
                    <w:spacing w:line="320" w:lineRule="exact"/>
                    <w:jc w:val="left"/>
                    <w:rPr>
                      <w:rFonts w:hint="eastAsia"/>
                      <w:color w:val="auto"/>
                      <w:szCs w:val="21"/>
                    </w:rPr>
                  </w:pPr>
                </w:p>
              </w:tc>
              <w:tc>
                <w:tcPr>
                  <w:tcW w:w="785" w:type="dxa"/>
                  <w:noWrap w:val="0"/>
                  <w:vAlign w:val="center"/>
                </w:tcPr>
                <w:p w14:paraId="62BD24E0">
                  <w:pPr>
                    <w:pStyle w:val="59"/>
                    <w:widowControl/>
                    <w:adjustRightInd w:val="0"/>
                    <w:spacing w:line="320" w:lineRule="exact"/>
                    <w:rPr>
                      <w:rFonts w:hint="eastAsia"/>
                      <w:color w:val="auto"/>
                      <w:szCs w:val="21"/>
                    </w:rPr>
                  </w:pPr>
                  <w:r>
                    <w:rPr>
                      <w:bCs/>
                      <w:color w:val="auto"/>
                      <w:szCs w:val="21"/>
                    </w:rPr>
                    <w:t>符合</w:t>
                  </w:r>
                </w:p>
              </w:tc>
            </w:tr>
            <w:tr w14:paraId="4B453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7AD979F6">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1D00DE5F">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污染物排放管控</w:t>
                  </w:r>
                </w:p>
              </w:tc>
              <w:tc>
                <w:tcPr>
                  <w:tcW w:w="3959" w:type="dxa"/>
                  <w:noWrap w:val="0"/>
                  <w:vAlign w:val="center"/>
                </w:tcPr>
                <w:p w14:paraId="3F9D02C9">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 xml:space="preserve">第三条 执行重点管控单元市级总体要求第八条、第九条、第十一条、第十二条、第十四条和第十五条。 第四条 以重点行业为抓手，深化挥发性有机物治理，减缓工居混杂矛盾。以工业涂装、汽车维修、油品储运销等行业为重点，推动重点行业持续提升低（无）VOCs含量、低反应活性的原辅材料替代比例，推进重点监管企业VOCs综合整治。加强投诉较为集中的重点区域废气排放企业监督检查，加强重点排污企业污染治理设施和在线监控建设和运维。 </w:t>
                  </w:r>
                </w:p>
                <w:p w14:paraId="4F06CA4F">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 xml:space="preserve">第五条 以餐饮油烟为重点，强化生活污染防治。加大居民生活油烟排放治理，推动具备条件的餐饮单位安装餐饮油烟在线监控设施，加强对重点区域无油烟净化设施露天摊位的管理。 </w:t>
                  </w:r>
                </w:p>
                <w:p w14:paraId="5AEE290A">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 xml:space="preserve">第六条 以交通和扬尘污染治理为关键，提升环境空气质量。加快淘汰国三及以下排放标准柴油车、汽油车，以运输企业和用车大户为重点，建立车辆档案并制定淘汰计划；严格落实中心城区高排放车辆限行措施；大力推广新能源车；加快发展城市轨道交通、智能交通和慢行交通，加快建设滨江步道，鼓励绿色出行；以九龙半岛、西部片区等区域为重点，加强施工扬尘监管，逐步推进建筑面积2万平方米以上的工地安装在线监控系统。 第七条 以“三河六溪”污染综合治理为核心，改善次级河流水质。持续推进“三河六溪”污染综合治理。实施跳磴河水质提升攻坚行动，整治突出水环境问题，完成重点流域雨污分流整治、河道清淤疏 </w:t>
                  </w:r>
                </w:p>
                <w:p w14:paraId="2483EE46">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浚等措施；推进桃花溪流域雨污分流整治；实施大溪河流域整治，强化流域跨界协同治理机制；深化六条滨河污染治理，因地制宜开展水体内源污染治理和生态修复，增强河湖水体自净功能。</w:t>
                  </w:r>
                </w:p>
                <w:p w14:paraId="48BBCD64">
                  <w:pPr>
                    <w:pStyle w:val="23"/>
                    <w:adjustRightInd w:val="0"/>
                    <w:snapToGrid w:val="0"/>
                    <w:spacing w:before="0" w:beforeAutospacing="0" w:after="0" w:afterAutospacing="0" w:line="320" w:lineRule="exact"/>
                    <w:jc w:val="both"/>
                    <w:rPr>
                      <w:rFonts w:hint="eastAsia" w:ascii="Times New Roman" w:hAnsi="Times New Roman"/>
                      <w:bCs/>
                      <w:color w:val="auto"/>
                      <w:sz w:val="21"/>
                      <w:szCs w:val="21"/>
                    </w:rPr>
                  </w:pPr>
                  <w:r>
                    <w:rPr>
                      <w:rFonts w:hint="eastAsia" w:ascii="Times New Roman" w:hAnsi="Times New Roman"/>
                      <w:bCs/>
                      <w:color w:val="auto"/>
                      <w:sz w:val="21"/>
                      <w:szCs w:val="21"/>
                      <w:lang w:val="en-US" w:eastAsia="zh-CN"/>
                    </w:rPr>
                    <w:t>第八条 以农业种植和水产养殖为重点，强化面源污染防治。严格控制化肥农药使用量，推进化肥农药减量增效；加强九龙西城西彭镇高标准农田管护运营；以九龙西城水产养殖污染防治为重点，全面推进池塘水产养殖综合治理，提高养殖尾水治理设施覆盖率。</w:t>
                  </w:r>
                </w:p>
              </w:tc>
              <w:tc>
                <w:tcPr>
                  <w:tcW w:w="1241" w:type="dxa"/>
                  <w:noWrap w:val="0"/>
                  <w:vAlign w:val="center"/>
                </w:tcPr>
                <w:p w14:paraId="1BDE1194">
                  <w:pPr>
                    <w:widowControl/>
                    <w:jc w:val="left"/>
                    <w:rPr>
                      <w:rFonts w:hint="eastAsia"/>
                      <w:color w:val="auto"/>
                      <w:szCs w:val="21"/>
                    </w:rPr>
                  </w:pPr>
                  <w:r>
                    <w:rPr>
                      <w:rFonts w:hint="eastAsia"/>
                      <w:color w:val="auto"/>
                      <w:szCs w:val="21"/>
                    </w:rPr>
                    <w:t>扩建项目属于社会服务类（医院）项目，</w:t>
                  </w:r>
                  <w:r>
                    <w:rPr>
                      <w:rFonts w:hint="eastAsia"/>
                      <w:color w:val="auto"/>
                      <w:sz w:val="21"/>
                      <w:szCs w:val="21"/>
                      <w:lang w:val="en-US" w:eastAsia="zh-CN"/>
                    </w:rPr>
                    <w:t>项目采取了严格的污染物治理措施，废气、废水、固废污染物能够满足达标排放的要求</w:t>
                  </w:r>
                  <w:r>
                    <w:rPr>
                      <w:rFonts w:hint="eastAsia" w:ascii="宋体" w:hAnsi="宋体" w:cs="宋体"/>
                      <w:color w:val="auto"/>
                      <w:kern w:val="0"/>
                      <w:szCs w:val="21"/>
                      <w:lang w:bidi="ar"/>
                    </w:rPr>
                    <w:t>。</w:t>
                  </w:r>
                </w:p>
              </w:tc>
              <w:tc>
                <w:tcPr>
                  <w:tcW w:w="785" w:type="dxa"/>
                  <w:noWrap w:val="0"/>
                  <w:vAlign w:val="center"/>
                </w:tcPr>
                <w:p w14:paraId="7B064541">
                  <w:pPr>
                    <w:pStyle w:val="59"/>
                    <w:widowControl/>
                    <w:adjustRightInd w:val="0"/>
                    <w:spacing w:line="320" w:lineRule="exact"/>
                    <w:rPr>
                      <w:rFonts w:hint="eastAsia"/>
                      <w:color w:val="auto"/>
                      <w:szCs w:val="21"/>
                    </w:rPr>
                  </w:pPr>
                  <w:r>
                    <w:rPr>
                      <w:bCs/>
                      <w:color w:val="auto"/>
                      <w:szCs w:val="21"/>
                    </w:rPr>
                    <w:t>符合</w:t>
                  </w:r>
                </w:p>
              </w:tc>
            </w:tr>
            <w:tr w14:paraId="64F73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3" w:hRule="atLeast"/>
                <w:jc w:val="center"/>
              </w:trPr>
              <w:tc>
                <w:tcPr>
                  <w:tcW w:w="1122" w:type="dxa"/>
                  <w:vMerge w:val="continue"/>
                  <w:noWrap w:val="0"/>
                  <w:vAlign w:val="center"/>
                </w:tcPr>
                <w:p w14:paraId="7C34685B">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6A37B1C8">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环境风险防控</w:t>
                  </w:r>
                </w:p>
              </w:tc>
              <w:tc>
                <w:tcPr>
                  <w:tcW w:w="3959" w:type="dxa"/>
                  <w:noWrap w:val="0"/>
                  <w:vAlign w:val="center"/>
                </w:tcPr>
                <w:p w14:paraId="7C53142E">
                  <w:pPr>
                    <w:pStyle w:val="59"/>
                    <w:widowControl/>
                    <w:numPr>
                      <w:ilvl w:val="0"/>
                      <w:numId w:val="3"/>
                    </w:numPr>
                    <w:adjustRightInd w:val="0"/>
                    <w:spacing w:line="320" w:lineRule="exact"/>
                    <w:jc w:val="left"/>
                    <w:rPr>
                      <w:rFonts w:hint="eastAsia"/>
                      <w:bCs/>
                      <w:snapToGrid w:val="0"/>
                      <w:color w:val="auto"/>
                      <w:szCs w:val="21"/>
                      <w:lang w:val="en-US" w:eastAsia="zh-CN"/>
                    </w:rPr>
                  </w:pPr>
                  <w:r>
                    <w:rPr>
                      <w:rFonts w:hint="eastAsia"/>
                      <w:bCs/>
                      <w:snapToGrid w:val="0"/>
                      <w:color w:val="auto"/>
                      <w:szCs w:val="21"/>
                      <w:lang w:val="en-US" w:eastAsia="zh-CN"/>
                    </w:rPr>
                    <w:t xml:space="preserve">执行重点管控单元市级总体要求第十六条。 </w:t>
                  </w:r>
                </w:p>
                <w:p w14:paraId="035C501F">
                  <w:pPr>
                    <w:pStyle w:val="59"/>
                    <w:widowControl/>
                    <w:numPr>
                      <w:ilvl w:val="0"/>
                      <w:numId w:val="3"/>
                    </w:numPr>
                    <w:adjustRightInd w:val="0"/>
                    <w:spacing w:line="320" w:lineRule="exact"/>
                    <w:ind w:left="0" w:leftChars="0" w:firstLine="0" w:firstLineChars="0"/>
                    <w:jc w:val="left"/>
                    <w:rPr>
                      <w:rFonts w:hint="eastAsia"/>
                      <w:bCs/>
                      <w:snapToGrid w:val="0"/>
                      <w:color w:val="auto"/>
                      <w:szCs w:val="21"/>
                      <w:lang w:val="en-US" w:eastAsia="zh-CN"/>
                    </w:rPr>
                  </w:pPr>
                  <w:r>
                    <w:rPr>
                      <w:rFonts w:hint="eastAsia"/>
                      <w:bCs/>
                      <w:snapToGrid w:val="0"/>
                      <w:color w:val="auto"/>
                      <w:szCs w:val="21"/>
                      <w:lang w:val="en-US" w:eastAsia="zh-CN"/>
                    </w:rPr>
                    <w:t xml:space="preserve">以保障饮用水源安全为目标，完善区域环境风险措施。加强长江沿江1km范围内化工企业及危化品仓库环境风险监管，进一步完善西彭工业园区铜罐驿组团流域级环境风险防范措施；西彭工业园区应与下游饮用水水源取水口运营单位建立水源地突发环境事件应急联动机制。 </w:t>
                  </w:r>
                </w:p>
                <w:p w14:paraId="6F9B3AEC">
                  <w:pPr>
                    <w:pStyle w:val="59"/>
                    <w:widowControl/>
                    <w:numPr>
                      <w:ilvl w:val="0"/>
                      <w:numId w:val="0"/>
                    </w:numPr>
                    <w:adjustRightInd w:val="0"/>
                    <w:spacing w:line="320" w:lineRule="exact"/>
                    <w:ind w:leftChars="0"/>
                    <w:jc w:val="left"/>
                    <w:rPr>
                      <w:rFonts w:hint="eastAsia"/>
                      <w:bCs/>
                      <w:snapToGrid w:val="0"/>
                      <w:color w:val="auto"/>
                      <w:szCs w:val="21"/>
                    </w:rPr>
                  </w:pPr>
                  <w:r>
                    <w:rPr>
                      <w:rFonts w:hint="eastAsia"/>
                      <w:bCs/>
                      <w:snapToGrid w:val="0"/>
                      <w:color w:val="auto"/>
                      <w:szCs w:val="21"/>
                      <w:lang w:val="en-US" w:eastAsia="zh-CN"/>
                    </w:rPr>
                    <w:t xml:space="preserve">第十一条 以保障“一住两公”重点建设用地安全为目标，持续推进污染土壤治理，守牢土地安全利用底线。根据土壤污染状况合理确定土地用途，推进工业企业腾退地块土壤污染状况调查评估及治理修复。未依法完成土壤污染状况调查和风险评估的地块，不得开工建设与风险管控和修复无关的项目。 </w:t>
                  </w:r>
                </w:p>
              </w:tc>
              <w:tc>
                <w:tcPr>
                  <w:tcW w:w="1241" w:type="dxa"/>
                  <w:noWrap w:val="0"/>
                  <w:vAlign w:val="center"/>
                </w:tcPr>
                <w:p w14:paraId="6245E412">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扩建项目属于社会服务类（医院）项目，不在</w:t>
                  </w:r>
                  <w:r>
                    <w:rPr>
                      <w:rFonts w:hint="eastAsia" w:ascii="Times New Roman" w:hAnsi="Times New Roman"/>
                      <w:bCs/>
                      <w:snapToGrid w:val="0"/>
                      <w:color w:val="auto"/>
                      <w:kern w:val="2"/>
                      <w:sz w:val="21"/>
                      <w:szCs w:val="21"/>
                    </w:rPr>
                    <w:t>长江干流1公里</w:t>
                  </w:r>
                  <w:r>
                    <w:rPr>
                      <w:rFonts w:hint="eastAsia"/>
                      <w:color w:val="auto"/>
                      <w:sz w:val="21"/>
                      <w:szCs w:val="21"/>
                    </w:rPr>
                    <w:t>，项目不涉及重大环境安全隐患，采取可靠风险防范措施</w:t>
                  </w:r>
                </w:p>
              </w:tc>
              <w:tc>
                <w:tcPr>
                  <w:tcW w:w="785" w:type="dxa"/>
                  <w:noWrap w:val="0"/>
                  <w:vAlign w:val="center"/>
                </w:tcPr>
                <w:p w14:paraId="03C14EF2">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55500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09E8CFEE">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0DB503D8">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资源利用效率</w:t>
                  </w:r>
                </w:p>
              </w:tc>
              <w:tc>
                <w:tcPr>
                  <w:tcW w:w="3959" w:type="dxa"/>
                  <w:noWrap w:val="0"/>
                  <w:vAlign w:val="center"/>
                </w:tcPr>
                <w:p w14:paraId="089E708C">
                  <w:pPr>
                    <w:widowControl/>
                    <w:numPr>
                      <w:ilvl w:val="0"/>
                      <w:numId w:val="0"/>
                    </w:numPr>
                    <w:ind w:left="0" w:leftChars="0" w:firstLine="0" w:firstLineChars="0"/>
                    <w:jc w:val="left"/>
                    <w:rPr>
                      <w:rFonts w:hint="eastAsia"/>
                      <w:bCs/>
                      <w:snapToGrid w:val="0"/>
                      <w:color w:val="auto"/>
                      <w:kern w:val="0"/>
                      <w:szCs w:val="21"/>
                      <w:lang w:val="en-US" w:eastAsia="zh-CN"/>
                    </w:rPr>
                  </w:pPr>
                  <w:r>
                    <w:rPr>
                      <w:rFonts w:hint="eastAsia" w:ascii="Times New Roman" w:hAnsi="Times New Roman" w:eastAsia="宋体" w:cs="Times New Roman"/>
                      <w:bCs/>
                      <w:snapToGrid w:val="0"/>
                      <w:color w:val="auto"/>
                      <w:kern w:val="0"/>
                      <w:sz w:val="21"/>
                      <w:szCs w:val="21"/>
                      <w:lang w:val="en-US" w:eastAsia="zh-CN" w:bidi="ar-SA"/>
                    </w:rPr>
                    <w:t>第</w:t>
                  </w:r>
                  <w:r>
                    <w:rPr>
                      <w:rFonts w:hint="eastAsia" w:cs="Times New Roman"/>
                      <w:bCs/>
                      <w:snapToGrid w:val="0"/>
                      <w:color w:val="auto"/>
                      <w:kern w:val="0"/>
                      <w:sz w:val="21"/>
                      <w:szCs w:val="21"/>
                      <w:lang w:val="en-US" w:eastAsia="zh-CN" w:bidi="ar-SA"/>
                    </w:rPr>
                    <w:t>十二</w:t>
                  </w:r>
                  <w:r>
                    <w:rPr>
                      <w:rFonts w:hint="eastAsia" w:ascii="Times New Roman" w:hAnsi="Times New Roman" w:eastAsia="宋体" w:cs="Times New Roman"/>
                      <w:bCs/>
                      <w:snapToGrid w:val="0"/>
                      <w:color w:val="auto"/>
                      <w:kern w:val="0"/>
                      <w:sz w:val="21"/>
                      <w:szCs w:val="21"/>
                      <w:lang w:val="en-US" w:eastAsia="zh-CN" w:bidi="ar-SA"/>
                    </w:rPr>
                    <w:t>条</w:t>
                  </w:r>
                  <w:r>
                    <w:rPr>
                      <w:rFonts w:hint="eastAsia"/>
                      <w:bCs/>
                      <w:snapToGrid w:val="0"/>
                      <w:color w:val="auto"/>
                      <w:kern w:val="0"/>
                      <w:szCs w:val="21"/>
                      <w:lang w:val="en-US" w:eastAsia="zh-CN"/>
                    </w:rPr>
                    <w:t>执行重点管控单元市级总体要求第十八条、第十九条、第二十条、第二十一条。</w:t>
                  </w:r>
                </w:p>
                <w:p w14:paraId="0664DD53">
                  <w:pPr>
                    <w:widowControl/>
                    <w:numPr>
                      <w:ilvl w:val="0"/>
                      <w:numId w:val="0"/>
                    </w:numPr>
                    <w:ind w:left="0" w:leftChars="0" w:firstLine="0" w:firstLineChars="0"/>
                    <w:jc w:val="left"/>
                    <w:rPr>
                      <w:rFonts w:hint="eastAsia"/>
                      <w:bCs/>
                      <w:snapToGrid w:val="0"/>
                      <w:color w:val="auto"/>
                      <w:kern w:val="0"/>
                      <w:szCs w:val="21"/>
                      <w:lang w:val="en-US" w:eastAsia="zh-CN"/>
                    </w:rPr>
                  </w:pPr>
                  <w:r>
                    <w:rPr>
                      <w:rFonts w:hint="eastAsia" w:ascii="Times New Roman" w:hAnsi="Times New Roman" w:eastAsia="宋体" w:cs="Times New Roman"/>
                      <w:bCs/>
                      <w:snapToGrid w:val="0"/>
                      <w:color w:val="auto"/>
                      <w:kern w:val="0"/>
                      <w:sz w:val="21"/>
                      <w:szCs w:val="21"/>
                      <w:lang w:val="en-US" w:eastAsia="zh-CN" w:bidi="ar-SA"/>
                    </w:rPr>
                    <w:t>第十</w:t>
                  </w:r>
                  <w:r>
                    <w:rPr>
                      <w:rFonts w:hint="eastAsia" w:cs="Times New Roman"/>
                      <w:bCs/>
                      <w:snapToGrid w:val="0"/>
                      <w:color w:val="auto"/>
                      <w:kern w:val="0"/>
                      <w:sz w:val="21"/>
                      <w:szCs w:val="21"/>
                      <w:lang w:val="en-US" w:eastAsia="zh-CN" w:bidi="ar-SA"/>
                    </w:rPr>
                    <w:t>三</w:t>
                  </w:r>
                  <w:r>
                    <w:rPr>
                      <w:rFonts w:hint="eastAsia" w:ascii="Times New Roman" w:hAnsi="Times New Roman" w:eastAsia="宋体" w:cs="Times New Roman"/>
                      <w:bCs/>
                      <w:snapToGrid w:val="0"/>
                      <w:color w:val="auto"/>
                      <w:kern w:val="0"/>
                      <w:sz w:val="21"/>
                      <w:szCs w:val="21"/>
                      <w:lang w:val="en-US" w:eastAsia="zh-CN" w:bidi="ar-SA"/>
                    </w:rPr>
                    <w:t>条</w:t>
                  </w:r>
                  <w:r>
                    <w:rPr>
                      <w:rFonts w:hint="eastAsia" w:cs="Times New Roman"/>
                      <w:bCs/>
                      <w:snapToGrid w:val="0"/>
                      <w:color w:val="auto"/>
                      <w:kern w:val="0"/>
                      <w:sz w:val="21"/>
                      <w:szCs w:val="21"/>
                      <w:lang w:val="en-US" w:eastAsia="zh-CN" w:bidi="ar-SA"/>
                    </w:rPr>
                    <w:t xml:space="preserve"> </w:t>
                  </w:r>
                  <w:r>
                    <w:rPr>
                      <w:rFonts w:hint="eastAsia"/>
                      <w:bCs/>
                      <w:snapToGrid w:val="0"/>
                      <w:color w:val="auto"/>
                      <w:kern w:val="0"/>
                      <w:szCs w:val="21"/>
                      <w:lang w:val="en-US" w:eastAsia="zh-CN"/>
                    </w:rPr>
                    <w:t>以促进产业绿色低碳循环发展为导向，推动减污降碳协同共治。结合西彭工业园区近零碳园区建设，深化有色金属冶炼及压延加工业、化学原料及化学制品制造业和汽车制造业等行业减污降碳。</w:t>
                  </w:r>
                </w:p>
                <w:p w14:paraId="5DCC2CB4">
                  <w:pPr>
                    <w:widowControl/>
                    <w:numPr>
                      <w:ilvl w:val="0"/>
                      <w:numId w:val="0"/>
                    </w:numPr>
                    <w:ind w:leftChars="0"/>
                    <w:jc w:val="left"/>
                    <w:rPr>
                      <w:rFonts w:hint="eastAsia"/>
                      <w:bCs/>
                      <w:snapToGrid w:val="0"/>
                      <w:color w:val="auto"/>
                      <w:kern w:val="0"/>
                      <w:szCs w:val="21"/>
                    </w:rPr>
                  </w:pPr>
                  <w:r>
                    <w:rPr>
                      <w:rFonts w:hint="eastAsia"/>
                      <w:bCs/>
                      <w:snapToGrid w:val="0"/>
                      <w:color w:val="auto"/>
                      <w:kern w:val="0"/>
                      <w:szCs w:val="21"/>
                      <w:lang w:val="en-US" w:eastAsia="zh-CN"/>
                    </w:rPr>
                    <w:t xml:space="preserve">第十四条 提升工业、城镇生活、农业节水能力，推进再生水循环利用，提高水资源利用效率。加强工业节水改造，限制高耗水行业发展，加强重点监控用水单位监管。加强城镇节水，开展公共建筑节水改造、城镇供水管网漏损治理工程。加强农业节水，推进九龙西城西彭镇5000亩农业节水设施建设。深入挖掘非常规水资源开发利用潜力，推进再生水、雨水等非常规水资源的开发利用。 </w:t>
                  </w:r>
                </w:p>
              </w:tc>
              <w:tc>
                <w:tcPr>
                  <w:tcW w:w="1241" w:type="dxa"/>
                  <w:noWrap w:val="0"/>
                  <w:vAlign w:val="center"/>
                </w:tcPr>
                <w:p w14:paraId="773059DB">
                  <w:pPr>
                    <w:widowControl/>
                    <w:jc w:val="left"/>
                    <w:rPr>
                      <w:rFonts w:hint="eastAsia"/>
                      <w:color w:val="auto"/>
                      <w:szCs w:val="21"/>
                    </w:rPr>
                  </w:pPr>
                  <w:r>
                    <w:rPr>
                      <w:rFonts w:hint="eastAsia"/>
                      <w:color w:val="auto"/>
                      <w:szCs w:val="21"/>
                    </w:rPr>
                    <w:t>扩建</w:t>
                  </w:r>
                  <w:r>
                    <w:rPr>
                      <w:rFonts w:hint="eastAsia" w:ascii="宋体" w:hAnsi="宋体" w:cs="宋体"/>
                      <w:color w:val="auto"/>
                      <w:kern w:val="0"/>
                      <w:szCs w:val="21"/>
                      <w:lang w:bidi="ar"/>
                    </w:rPr>
                    <w:t>项目无生产废水排放，水耗及能耗满足上述要求。</w:t>
                  </w:r>
                </w:p>
              </w:tc>
              <w:tc>
                <w:tcPr>
                  <w:tcW w:w="785" w:type="dxa"/>
                  <w:noWrap w:val="0"/>
                  <w:vAlign w:val="center"/>
                </w:tcPr>
                <w:p w14:paraId="40FD7754">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03A4A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restart"/>
                  <w:noWrap w:val="0"/>
                  <w:vAlign w:val="center"/>
                </w:tcPr>
                <w:p w14:paraId="28FF6F36">
                  <w:pPr>
                    <w:pStyle w:val="23"/>
                    <w:adjustRightInd w:val="0"/>
                    <w:snapToGrid w:val="0"/>
                    <w:spacing w:before="0" w:beforeAutospacing="0" w:after="0" w:afterAutospacing="0" w:line="320" w:lineRule="exact"/>
                    <w:jc w:val="center"/>
                    <w:rPr>
                      <w:rFonts w:hint="eastAsia" w:ascii="Times New Roman" w:hAnsi="Times New Roman" w:eastAsia="宋体"/>
                      <w:color w:val="auto"/>
                      <w:sz w:val="21"/>
                      <w:szCs w:val="21"/>
                      <w:lang w:eastAsia="zh-CN"/>
                    </w:rPr>
                  </w:pPr>
                  <w:r>
                    <w:rPr>
                      <w:rFonts w:ascii="Times New Roman" w:hAnsi="Times New Roman"/>
                      <w:color w:val="auto"/>
                      <w:sz w:val="21"/>
                      <w:szCs w:val="21"/>
                    </w:rPr>
                    <w:t>单元管控要求（</w:t>
                  </w:r>
                  <w:r>
                    <w:rPr>
                      <w:rFonts w:hint="eastAsia" w:ascii="Times New Roman" w:hAnsi="Times New Roman"/>
                      <w:color w:val="auto"/>
                      <w:sz w:val="21"/>
                      <w:szCs w:val="21"/>
                      <w:lang w:eastAsia="zh-CN"/>
                    </w:rPr>
                    <w:t>九龙坡区工业城镇重点管控单元－九龙东城片区</w:t>
                  </w:r>
                </w:p>
                <w:p w14:paraId="337F0DDC">
                  <w:pPr>
                    <w:pStyle w:val="23"/>
                    <w:adjustRightInd w:val="0"/>
                    <w:snapToGrid w:val="0"/>
                    <w:spacing w:before="0" w:beforeAutospacing="0" w:after="0" w:afterAutospacing="0" w:line="320" w:lineRule="exact"/>
                    <w:jc w:val="center"/>
                    <w:rPr>
                      <w:rFonts w:hint="eastAsia"/>
                      <w:color w:val="auto"/>
                      <w:sz w:val="21"/>
                      <w:szCs w:val="21"/>
                    </w:rPr>
                  </w:pPr>
                  <w:r>
                    <w:rPr>
                      <w:rFonts w:hint="eastAsia" w:ascii="Times New Roman" w:hAnsi="Times New Roman"/>
                      <w:color w:val="auto"/>
                      <w:sz w:val="21"/>
                      <w:szCs w:val="21"/>
                      <w:lang w:eastAsia="zh-CN"/>
                    </w:rPr>
                    <w:t>ZH50010720001</w:t>
                  </w:r>
                  <w:r>
                    <w:rPr>
                      <w:rFonts w:ascii="Times New Roman" w:hAnsi="Times New Roman"/>
                      <w:color w:val="auto"/>
                      <w:sz w:val="21"/>
                      <w:szCs w:val="21"/>
                    </w:rPr>
                    <w:t>）</w:t>
                  </w:r>
                </w:p>
              </w:tc>
              <w:tc>
                <w:tcPr>
                  <w:tcW w:w="1080" w:type="dxa"/>
                  <w:noWrap w:val="0"/>
                  <w:vAlign w:val="center"/>
                </w:tcPr>
                <w:p w14:paraId="5CC508D1">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空间布局约束</w:t>
                  </w:r>
                </w:p>
              </w:tc>
              <w:tc>
                <w:tcPr>
                  <w:tcW w:w="3959" w:type="dxa"/>
                  <w:noWrap w:val="0"/>
                  <w:vAlign w:val="center"/>
                </w:tcPr>
                <w:p w14:paraId="700668C1">
                  <w:pPr>
                    <w:widowControl/>
                    <w:jc w:val="left"/>
                    <w:rPr>
                      <w:rFonts w:hint="eastAsia"/>
                      <w:color w:val="auto"/>
                      <w:szCs w:val="21"/>
                    </w:rPr>
                  </w:pPr>
                  <w:r>
                    <w:rPr>
                      <w:rFonts w:hint="default" w:ascii="Times New Roman" w:hAnsi="Times New Roman" w:cs="Times New Roman"/>
                      <w:color w:val="auto"/>
                      <w:kern w:val="0"/>
                      <w:szCs w:val="21"/>
                      <w:lang w:val="en-US" w:eastAsia="zh-CN" w:bidi="ar"/>
                    </w:rPr>
                    <w:t>1.有序推动九龙工业园区“东三街”和九龙街道工业用地转型升级，重点发展制造服务业；2.九龙工业园区B区为智能制造工业区，未来周边规划布局为居住区，应优化工业区内部布局，将污染较大的企业远离居住区一侧布设。</w:t>
                  </w:r>
                </w:p>
              </w:tc>
              <w:tc>
                <w:tcPr>
                  <w:tcW w:w="1241" w:type="dxa"/>
                  <w:noWrap w:val="0"/>
                  <w:vAlign w:val="center"/>
                </w:tcPr>
                <w:p w14:paraId="6F380CB7">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w:t>
                  </w:r>
                  <w:r>
                    <w:rPr>
                      <w:rFonts w:ascii="Times New Roman" w:hAnsi="Times New Roman"/>
                      <w:color w:val="auto"/>
                      <w:sz w:val="21"/>
                      <w:szCs w:val="21"/>
                    </w:rPr>
                    <w:t>项目不属于工业项目，</w:t>
                  </w:r>
                  <w:r>
                    <w:rPr>
                      <w:rFonts w:hint="eastAsia" w:ascii="Times New Roman" w:hAnsi="Times New Roman"/>
                      <w:color w:val="auto"/>
                      <w:sz w:val="21"/>
                      <w:szCs w:val="21"/>
                      <w:lang w:val="en-US" w:eastAsia="zh-CN"/>
                    </w:rPr>
                    <w:t>不在园区</w:t>
                  </w:r>
                  <w:r>
                    <w:rPr>
                      <w:rFonts w:hint="eastAsia" w:ascii="Times New Roman" w:hAnsi="Times New Roman"/>
                      <w:color w:val="auto"/>
                      <w:sz w:val="21"/>
                      <w:szCs w:val="21"/>
                    </w:rPr>
                    <w:t>。</w:t>
                  </w:r>
                </w:p>
              </w:tc>
              <w:tc>
                <w:tcPr>
                  <w:tcW w:w="785" w:type="dxa"/>
                  <w:noWrap w:val="0"/>
                  <w:vAlign w:val="center"/>
                </w:tcPr>
                <w:p w14:paraId="573DA243">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符合</w:t>
                  </w:r>
                </w:p>
              </w:tc>
            </w:tr>
            <w:tr w14:paraId="1DABC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31E6F072">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47E92139">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污染物排放管控</w:t>
                  </w:r>
                </w:p>
              </w:tc>
              <w:tc>
                <w:tcPr>
                  <w:tcW w:w="3959" w:type="dxa"/>
                  <w:noWrap w:val="0"/>
                  <w:vAlign w:val="center"/>
                </w:tcPr>
                <w:p w14:paraId="080F113E">
                  <w:pPr>
                    <w:widowControl/>
                    <w:jc w:val="left"/>
                    <w:rPr>
                      <w:rFonts w:hint="eastAsia"/>
                      <w:color w:val="auto"/>
                      <w:szCs w:val="21"/>
                    </w:rPr>
                  </w:pPr>
                  <w:r>
                    <w:rPr>
                      <w:rFonts w:hint="eastAsia"/>
                      <w:color w:val="auto"/>
                      <w:szCs w:val="21"/>
                      <w:lang w:val="en-US" w:eastAsia="zh-CN"/>
                    </w:rPr>
                    <w:t xml:space="preserve">1.九龙工业园区B区内新建、改建、扩建涉VOCs排放的项目，要加强源头控制，使用低（无）VOCs含量的原辅料，加强废气收集，安装高效治理设施；2.有序推动九龙工业园区“东三街”和九龙街道范围内现状工业制造类企业开展搬迁工作，搬迁前企业应深化污染治理，在减污、风险可控的前提下可进行改造升级。3.推进桃花溪流域、跳蹬河流域雨污分流整治；推进扬声桥污水处理厂提标改造，出水水质达到准Ⅳ类标准；4.加大居民生活油烟排放治理，以歇台子为重点区域，推进周边居民安装油烟净化器。推动具备条件的餐饮单位（具有独立烟道且已安装油烟净化器）安装餐饮油烟在线监控设施，将露天烧烤纳入网格化管理，加强对科园四路、奥体运动街等夜市和重点区域无油烟净化设施露天摊位的管理。5.加快淘汰国三及以下排放标准柴油车、汽油车，以运输企业和用车大户为重点，建立车辆档案并制定淘汰计划。以石桥铺等货运物流市场为重点，持续加强货运车辆限行路段的闯禁执法管理，严格落实中心城区高排放车辆限行措施。大力推广新能源车，推广公交车、出租车、网约车等公共领域用车纯电动化，机关单位示范带动新能源车使用，推进充电站等新能源汽车充换电及加氢配套基础设施建设。加快发展城市轨道 </w:t>
                  </w:r>
                </w:p>
                <w:p w14:paraId="34157291">
                  <w:pPr>
                    <w:widowControl/>
                    <w:jc w:val="left"/>
                    <w:rPr>
                      <w:rFonts w:hint="eastAsia"/>
                      <w:color w:val="auto"/>
                      <w:szCs w:val="21"/>
                    </w:rPr>
                  </w:pPr>
                  <w:r>
                    <w:rPr>
                      <w:rFonts w:hint="eastAsia"/>
                      <w:color w:val="auto"/>
                      <w:szCs w:val="21"/>
                      <w:lang w:val="en-US" w:eastAsia="zh-CN"/>
                    </w:rPr>
                    <w:t xml:space="preserve">交通、智能交通和慢行交通，加快建设滨江步道，鼓励绿色出行；6.以九龙半岛为重点，加强施工扬尘监管，逐步推进建筑面积2万平方米以上的工地安装在线监控系统。 </w:t>
                  </w:r>
                </w:p>
              </w:tc>
              <w:tc>
                <w:tcPr>
                  <w:tcW w:w="1241" w:type="dxa"/>
                  <w:noWrap w:val="0"/>
                  <w:vAlign w:val="center"/>
                </w:tcPr>
                <w:p w14:paraId="74630114">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扩建项目</w:t>
                  </w:r>
                  <w:r>
                    <w:rPr>
                      <w:rFonts w:hint="eastAsia"/>
                      <w:color w:val="auto"/>
                      <w:sz w:val="21"/>
                      <w:szCs w:val="21"/>
                      <w:lang w:val="en-US" w:eastAsia="zh-CN"/>
                    </w:rPr>
                    <w:t>位于九龙坡区石新路33号，</w:t>
                  </w:r>
                  <w:r>
                    <w:rPr>
                      <w:rFonts w:hint="eastAsia"/>
                      <w:color w:val="auto"/>
                      <w:sz w:val="21"/>
                      <w:szCs w:val="21"/>
                    </w:rPr>
                    <w:t>属于社会服务类（医院）项目，不排放持久性有机污染物。</w:t>
                  </w:r>
                </w:p>
              </w:tc>
              <w:tc>
                <w:tcPr>
                  <w:tcW w:w="785" w:type="dxa"/>
                  <w:noWrap w:val="0"/>
                  <w:vAlign w:val="center"/>
                </w:tcPr>
                <w:p w14:paraId="6D5E371F">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符合</w:t>
                  </w:r>
                </w:p>
              </w:tc>
            </w:tr>
            <w:tr w14:paraId="75582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22" w:type="dxa"/>
                  <w:vMerge w:val="continue"/>
                  <w:noWrap w:val="0"/>
                  <w:vAlign w:val="center"/>
                </w:tcPr>
                <w:p w14:paraId="6EFDF42D">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05C881D9">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环境风险防控</w:t>
                  </w:r>
                </w:p>
              </w:tc>
              <w:tc>
                <w:tcPr>
                  <w:tcW w:w="3959" w:type="dxa"/>
                  <w:noWrap w:val="0"/>
                  <w:vAlign w:val="center"/>
                </w:tcPr>
                <w:p w14:paraId="1E06D58B">
                  <w:pPr>
                    <w:widowControl/>
                    <w:jc w:val="left"/>
                    <w:rPr>
                      <w:rFonts w:hint="eastAsia"/>
                      <w:color w:val="auto"/>
                      <w:szCs w:val="21"/>
                    </w:rPr>
                  </w:pPr>
                  <w:r>
                    <w:rPr>
                      <w:rFonts w:hint="eastAsia"/>
                      <w:color w:val="auto"/>
                      <w:szCs w:val="21"/>
                      <w:lang w:val="en-US" w:eastAsia="zh-CN"/>
                    </w:rPr>
                    <w:t>1.九龙工业园区禁止新建、扩建排放重金属（铬、镉、汞、砷、铅等五类重金属）、剧毒物质和持久性有机污染物的工业项目；2.未达到土壤污染风险评估报告确定的风险管控、修复目标的地块，禁止开工建设任何与风险管控、修复无关的项目。</w:t>
                  </w:r>
                  <w:r>
                    <w:rPr>
                      <w:rFonts w:hint="eastAsia"/>
                      <w:color w:val="auto"/>
                      <w:szCs w:val="21"/>
                    </w:rPr>
                    <w:t xml:space="preserve"> </w:t>
                  </w:r>
                </w:p>
              </w:tc>
              <w:tc>
                <w:tcPr>
                  <w:tcW w:w="1241" w:type="dxa"/>
                  <w:noWrap w:val="0"/>
                  <w:vAlign w:val="center"/>
                </w:tcPr>
                <w:p w14:paraId="350D23F8">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扩建项目</w:t>
                  </w:r>
                  <w:r>
                    <w:rPr>
                      <w:rFonts w:hint="eastAsia"/>
                      <w:color w:val="auto"/>
                      <w:sz w:val="21"/>
                      <w:szCs w:val="21"/>
                      <w:lang w:val="en-US" w:eastAsia="zh-CN"/>
                    </w:rPr>
                    <w:t>不新增用地，</w:t>
                  </w:r>
                  <w:r>
                    <w:rPr>
                      <w:rFonts w:hint="eastAsia"/>
                      <w:color w:val="auto"/>
                      <w:sz w:val="21"/>
                      <w:szCs w:val="21"/>
                    </w:rPr>
                    <w:t>不排放重金属及剧毒物质和持久性有机污染物。</w:t>
                  </w:r>
                </w:p>
              </w:tc>
              <w:tc>
                <w:tcPr>
                  <w:tcW w:w="785" w:type="dxa"/>
                  <w:noWrap w:val="0"/>
                  <w:vAlign w:val="center"/>
                </w:tcPr>
                <w:p w14:paraId="6A5DB6B2">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符合</w:t>
                  </w:r>
                </w:p>
              </w:tc>
            </w:tr>
            <w:tr w14:paraId="10287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22" w:type="dxa"/>
                  <w:vMerge w:val="continue"/>
                  <w:noWrap w:val="0"/>
                  <w:vAlign w:val="center"/>
                </w:tcPr>
                <w:p w14:paraId="354664BD">
                  <w:pPr>
                    <w:pStyle w:val="23"/>
                    <w:adjustRightInd w:val="0"/>
                    <w:snapToGrid w:val="0"/>
                    <w:spacing w:before="0" w:beforeAutospacing="0" w:after="0" w:afterAutospacing="0" w:line="320" w:lineRule="exact"/>
                    <w:jc w:val="center"/>
                    <w:rPr>
                      <w:rFonts w:hint="eastAsia"/>
                      <w:color w:val="auto"/>
                      <w:sz w:val="21"/>
                      <w:szCs w:val="21"/>
                    </w:rPr>
                  </w:pPr>
                </w:p>
              </w:tc>
              <w:tc>
                <w:tcPr>
                  <w:tcW w:w="1080" w:type="dxa"/>
                  <w:noWrap w:val="0"/>
                  <w:vAlign w:val="center"/>
                </w:tcPr>
                <w:p w14:paraId="489FEE1E">
                  <w:pPr>
                    <w:pStyle w:val="23"/>
                    <w:adjustRightInd w:val="0"/>
                    <w:snapToGrid w:val="0"/>
                    <w:spacing w:before="0" w:beforeAutospacing="0" w:after="0" w:afterAutospacing="0" w:line="320" w:lineRule="exact"/>
                    <w:jc w:val="center"/>
                    <w:rPr>
                      <w:rFonts w:hint="eastAsia"/>
                      <w:color w:val="auto"/>
                      <w:sz w:val="21"/>
                      <w:szCs w:val="21"/>
                    </w:rPr>
                  </w:pPr>
                  <w:r>
                    <w:rPr>
                      <w:rFonts w:hint="eastAsia"/>
                      <w:color w:val="auto"/>
                      <w:sz w:val="21"/>
                      <w:szCs w:val="21"/>
                    </w:rPr>
                    <w:t>资源开发利用效率</w:t>
                  </w:r>
                </w:p>
              </w:tc>
              <w:tc>
                <w:tcPr>
                  <w:tcW w:w="3959" w:type="dxa"/>
                  <w:noWrap w:val="0"/>
                  <w:vAlign w:val="center"/>
                </w:tcPr>
                <w:p w14:paraId="67AF2292">
                  <w:pPr>
                    <w:widowControl/>
                    <w:numPr>
                      <w:ilvl w:val="0"/>
                      <w:numId w:val="4"/>
                    </w:numPr>
                    <w:jc w:val="left"/>
                    <w:rPr>
                      <w:rFonts w:hint="eastAsia"/>
                      <w:color w:val="auto"/>
                      <w:szCs w:val="21"/>
                      <w:lang w:val="en-US" w:eastAsia="zh-CN"/>
                    </w:rPr>
                  </w:pPr>
                  <w:r>
                    <w:rPr>
                      <w:rFonts w:hint="eastAsia"/>
                      <w:color w:val="auto"/>
                      <w:szCs w:val="21"/>
                      <w:lang w:val="en-US" w:eastAsia="zh-CN"/>
                    </w:rPr>
                    <w:t>新建和改、扩建的工业项目清洁生产水平应达到国内先进水平； 2.加强工业节水改造，限制高耗水行业发展，加强重点监控用水单位监管。</w:t>
                  </w:r>
                </w:p>
                <w:p w14:paraId="1B895087">
                  <w:pPr>
                    <w:widowControl/>
                    <w:numPr>
                      <w:ilvl w:val="0"/>
                      <w:numId w:val="0"/>
                    </w:numPr>
                    <w:ind w:leftChars="0"/>
                    <w:jc w:val="left"/>
                    <w:rPr>
                      <w:rFonts w:hint="eastAsia"/>
                      <w:color w:val="auto"/>
                      <w:szCs w:val="21"/>
                      <w:lang w:val="en-US" w:eastAsia="zh-CN"/>
                    </w:rPr>
                  </w:pPr>
                  <w:r>
                    <w:rPr>
                      <w:rFonts w:hint="eastAsia"/>
                      <w:color w:val="auto"/>
                      <w:szCs w:val="21"/>
                      <w:lang w:val="en-US" w:eastAsia="zh-CN"/>
                    </w:rPr>
                    <w:t>3.推进桃花溪流域中水回用工程建设，加快扬声桥污水处理厂尾水再生利用设施和管网建设。</w:t>
                  </w:r>
                </w:p>
                <w:p w14:paraId="699E1066">
                  <w:pPr>
                    <w:widowControl/>
                    <w:numPr>
                      <w:ilvl w:val="0"/>
                      <w:numId w:val="0"/>
                    </w:numPr>
                    <w:ind w:leftChars="0"/>
                    <w:jc w:val="left"/>
                    <w:rPr>
                      <w:rFonts w:hint="eastAsia"/>
                      <w:color w:val="auto"/>
                      <w:szCs w:val="21"/>
                    </w:rPr>
                  </w:pPr>
                  <w:r>
                    <w:rPr>
                      <w:rFonts w:hint="eastAsia"/>
                      <w:color w:val="auto"/>
                      <w:szCs w:val="21"/>
                      <w:lang w:val="en-US" w:eastAsia="zh-CN"/>
                    </w:rPr>
                    <w:t xml:space="preserve">4.加强城镇节水，开展公共建筑节水改造、城镇供水管网漏损治理工程。 </w:t>
                  </w:r>
                </w:p>
              </w:tc>
              <w:tc>
                <w:tcPr>
                  <w:tcW w:w="1241" w:type="dxa"/>
                  <w:noWrap w:val="0"/>
                  <w:vAlign w:val="center"/>
                </w:tcPr>
                <w:p w14:paraId="4EFECC5B">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扩建项目不属于工业项目，属于社会服务类，不使用高污染燃料。</w:t>
                  </w:r>
                </w:p>
              </w:tc>
              <w:tc>
                <w:tcPr>
                  <w:tcW w:w="785" w:type="dxa"/>
                  <w:noWrap w:val="0"/>
                  <w:vAlign w:val="center"/>
                </w:tcPr>
                <w:p w14:paraId="547440E3">
                  <w:pPr>
                    <w:pStyle w:val="23"/>
                    <w:adjustRightInd w:val="0"/>
                    <w:snapToGrid w:val="0"/>
                    <w:spacing w:before="0" w:beforeAutospacing="0" w:after="0" w:afterAutospacing="0" w:line="320" w:lineRule="exact"/>
                    <w:jc w:val="both"/>
                    <w:rPr>
                      <w:rFonts w:hint="eastAsia"/>
                      <w:color w:val="auto"/>
                      <w:sz w:val="21"/>
                      <w:szCs w:val="21"/>
                    </w:rPr>
                  </w:pPr>
                  <w:r>
                    <w:rPr>
                      <w:rFonts w:hint="eastAsia"/>
                      <w:color w:val="auto"/>
                      <w:sz w:val="21"/>
                      <w:szCs w:val="21"/>
                    </w:rPr>
                    <w:t>符合</w:t>
                  </w:r>
                </w:p>
              </w:tc>
            </w:tr>
          </w:tbl>
          <w:p w14:paraId="3F261B8F">
            <w:pPr>
              <w:pStyle w:val="9"/>
              <w:keepNext w:val="0"/>
              <w:keepLines w:val="0"/>
              <w:pageBreakBefore w:val="0"/>
              <w:widowControl w:val="0"/>
              <w:kinsoku/>
              <w:wordWrap/>
              <w:overflowPunct/>
              <w:topLinePunct w:val="0"/>
              <w:autoSpaceDE/>
              <w:autoSpaceDN/>
              <w:bidi w:val="0"/>
              <w:snapToGrid w:val="0"/>
              <w:ind w:firstLineChars="200"/>
              <w:textAlignment w:val="auto"/>
              <w:rPr>
                <w:rFonts w:hint="eastAsia" w:ascii="Times New Roman" w:hAnsi="Times New Roman"/>
                <w:color w:val="auto"/>
              </w:rPr>
            </w:pPr>
            <w:r>
              <w:rPr>
                <w:color w:val="auto"/>
                <w:szCs w:val="24"/>
              </w:rPr>
              <w:t>综上所述，</w:t>
            </w:r>
            <w:r>
              <w:rPr>
                <w:rFonts w:hint="eastAsia"/>
                <w:color w:val="auto"/>
                <w:szCs w:val="24"/>
              </w:rPr>
              <w:t>扩建项目符合</w:t>
            </w:r>
            <w:r>
              <w:rPr>
                <w:color w:val="auto"/>
                <w:szCs w:val="24"/>
              </w:rPr>
              <w:t>“</w:t>
            </w:r>
            <w:r>
              <w:rPr>
                <w:rFonts w:hint="eastAsia"/>
                <w:color w:val="auto"/>
                <w:szCs w:val="24"/>
              </w:rPr>
              <w:t>三线一单</w:t>
            </w:r>
            <w:r>
              <w:rPr>
                <w:color w:val="auto"/>
                <w:szCs w:val="24"/>
              </w:rPr>
              <w:t>”</w:t>
            </w:r>
            <w:r>
              <w:rPr>
                <w:rFonts w:hint="eastAsia"/>
                <w:color w:val="auto"/>
                <w:szCs w:val="24"/>
              </w:rPr>
              <w:t>管控</w:t>
            </w:r>
            <w:r>
              <w:rPr>
                <w:color w:val="auto"/>
                <w:szCs w:val="24"/>
              </w:rPr>
              <w:t>要求</w:t>
            </w:r>
            <w:r>
              <w:rPr>
                <w:rFonts w:hint="eastAsia"/>
                <w:color w:val="auto"/>
                <w:szCs w:val="24"/>
              </w:rPr>
              <w:t>。</w:t>
            </w:r>
          </w:p>
          <w:p w14:paraId="05A7BF7D">
            <w:pPr>
              <w:keepNext w:val="0"/>
              <w:keepLines w:val="0"/>
              <w:pageBreakBefore w:val="0"/>
              <w:widowControl w:val="0"/>
              <w:kinsoku/>
              <w:wordWrap/>
              <w:overflowPunct/>
              <w:topLinePunct w:val="0"/>
              <w:autoSpaceDE/>
              <w:autoSpaceDN/>
              <w:bidi w:val="0"/>
              <w:snapToGrid w:val="0"/>
              <w:spacing w:line="360" w:lineRule="auto"/>
              <w:textAlignment w:val="auto"/>
              <w:rPr>
                <w:b/>
                <w:color w:val="auto"/>
                <w:sz w:val="24"/>
              </w:rPr>
            </w:pPr>
            <w:r>
              <w:rPr>
                <w:rFonts w:hint="eastAsia"/>
                <w:b/>
                <w:color w:val="auto"/>
                <w:sz w:val="24"/>
                <w:lang w:val="en-US" w:eastAsia="zh-CN"/>
              </w:rPr>
              <w:t>1.2</w:t>
            </w:r>
            <w:r>
              <w:rPr>
                <w:b/>
                <w:color w:val="auto"/>
                <w:sz w:val="24"/>
              </w:rPr>
              <w:t>与《产业结构调整指导目录（20</w:t>
            </w:r>
            <w:r>
              <w:rPr>
                <w:rFonts w:hint="eastAsia"/>
                <w:b/>
                <w:color w:val="auto"/>
                <w:sz w:val="24"/>
                <w:lang w:val="en-US" w:eastAsia="zh-CN"/>
              </w:rPr>
              <w:t>24</w:t>
            </w:r>
            <w:r>
              <w:rPr>
                <w:b/>
                <w:color w:val="auto"/>
                <w:sz w:val="24"/>
              </w:rPr>
              <w:t>年本）》的符合性分析</w:t>
            </w:r>
          </w:p>
          <w:p w14:paraId="1DDAC36B">
            <w:pPr>
              <w:spacing w:line="360" w:lineRule="auto"/>
              <w:ind w:firstLine="480" w:firstLineChars="200"/>
              <w:rPr>
                <w:bCs/>
                <w:color w:val="auto"/>
                <w:sz w:val="24"/>
              </w:rPr>
            </w:pPr>
            <w:r>
              <w:rPr>
                <w:bCs/>
                <w:color w:val="auto"/>
                <w:sz w:val="24"/>
              </w:rPr>
              <w:t>扩建项目属于综合医院建设项目，根据《产业结构调整指导目录</w:t>
            </w:r>
            <w:r>
              <w:rPr>
                <w:rFonts w:hint="eastAsia"/>
                <w:bCs/>
                <w:color w:val="auto"/>
                <w:sz w:val="24"/>
                <w:lang w:eastAsia="zh-CN"/>
              </w:rPr>
              <w:t>（</w:t>
            </w:r>
            <w:r>
              <w:rPr>
                <w:bCs/>
                <w:color w:val="auto"/>
                <w:sz w:val="24"/>
              </w:rPr>
              <w:t>20</w:t>
            </w:r>
            <w:r>
              <w:rPr>
                <w:rFonts w:hint="eastAsia"/>
                <w:bCs/>
                <w:color w:val="auto"/>
                <w:sz w:val="24"/>
                <w:lang w:val="en-US" w:eastAsia="zh-CN"/>
              </w:rPr>
              <w:t>24</w:t>
            </w:r>
            <w:r>
              <w:rPr>
                <w:bCs/>
                <w:color w:val="auto"/>
                <w:sz w:val="24"/>
              </w:rPr>
              <w:t>年本</w:t>
            </w:r>
            <w:r>
              <w:rPr>
                <w:rFonts w:hint="eastAsia"/>
                <w:bCs/>
                <w:color w:val="auto"/>
                <w:sz w:val="24"/>
                <w:lang w:eastAsia="zh-CN"/>
              </w:rPr>
              <w:t>）</w:t>
            </w:r>
            <w:r>
              <w:rPr>
                <w:bCs/>
                <w:color w:val="auto"/>
                <w:sz w:val="24"/>
              </w:rPr>
              <w:t>》，扩建项目属于鼓励类：“三十七、卫生健康中</w:t>
            </w:r>
            <w:r>
              <w:rPr>
                <w:rFonts w:hint="eastAsia"/>
                <w:bCs/>
                <w:color w:val="auto"/>
                <w:sz w:val="24"/>
                <w:lang w:val="en-US" w:eastAsia="zh-CN"/>
              </w:rPr>
              <w:t xml:space="preserve"> </w:t>
            </w:r>
            <w:r>
              <w:rPr>
                <w:bCs/>
                <w:color w:val="auto"/>
                <w:sz w:val="24"/>
              </w:rPr>
              <w:t>5、医疗卫生服务设施建设”，符合国家产业结构调整政策。</w:t>
            </w:r>
          </w:p>
          <w:p w14:paraId="637152F3">
            <w:pPr>
              <w:spacing w:line="360" w:lineRule="auto"/>
              <w:ind w:firstLine="480" w:firstLineChars="200"/>
              <w:rPr>
                <w:color w:val="auto"/>
                <w:kern w:val="0"/>
                <w:sz w:val="24"/>
              </w:rPr>
            </w:pPr>
            <w:r>
              <w:rPr>
                <w:color w:val="auto"/>
                <w:sz w:val="24"/>
                <w:lang w:val="en-US" w:eastAsia="zh-CN"/>
              </w:rPr>
              <w:t>重庆同心医院</w:t>
            </w:r>
            <w:r>
              <w:rPr>
                <w:color w:val="auto"/>
                <w:sz w:val="24"/>
              </w:rPr>
              <w:t>于20</w:t>
            </w:r>
            <w:r>
              <w:rPr>
                <w:rFonts w:hint="eastAsia"/>
                <w:color w:val="auto"/>
                <w:sz w:val="24"/>
                <w:lang w:val="en-US" w:eastAsia="zh-CN"/>
              </w:rPr>
              <w:t>21</w:t>
            </w:r>
            <w:r>
              <w:rPr>
                <w:color w:val="auto"/>
                <w:sz w:val="24"/>
              </w:rPr>
              <w:t>年</w:t>
            </w:r>
            <w:r>
              <w:rPr>
                <w:rFonts w:hint="eastAsia"/>
                <w:color w:val="auto"/>
                <w:sz w:val="24"/>
                <w:lang w:val="en-US" w:eastAsia="zh-CN"/>
              </w:rPr>
              <w:t>1</w:t>
            </w:r>
            <w:r>
              <w:rPr>
                <w:color w:val="auto"/>
                <w:sz w:val="24"/>
              </w:rPr>
              <w:t>月取得重庆市</w:t>
            </w:r>
            <w:r>
              <w:rPr>
                <w:rFonts w:hint="eastAsia"/>
                <w:color w:val="auto"/>
                <w:sz w:val="24"/>
              </w:rPr>
              <w:t>九龙坡区</w:t>
            </w:r>
            <w:r>
              <w:rPr>
                <w:rFonts w:hint="eastAsia"/>
                <w:color w:val="auto"/>
                <w:sz w:val="24"/>
                <w:lang w:val="en-US" w:eastAsia="zh-CN"/>
              </w:rPr>
              <w:t>健康</w:t>
            </w:r>
            <w:r>
              <w:rPr>
                <w:rFonts w:hint="eastAsia"/>
                <w:color w:val="auto"/>
                <w:sz w:val="24"/>
              </w:rPr>
              <w:t>委员会</w:t>
            </w:r>
            <w:r>
              <w:rPr>
                <w:color w:val="auto"/>
                <w:sz w:val="24"/>
              </w:rPr>
              <w:t>核发的《医疗机构执业许可证》，于202</w:t>
            </w:r>
            <w:r>
              <w:rPr>
                <w:rFonts w:hint="eastAsia"/>
                <w:color w:val="auto"/>
                <w:sz w:val="24"/>
                <w:lang w:val="en-US" w:eastAsia="zh-CN"/>
              </w:rPr>
              <w:t>4</w:t>
            </w:r>
            <w:r>
              <w:rPr>
                <w:color w:val="auto"/>
                <w:sz w:val="24"/>
              </w:rPr>
              <w:t>年</w:t>
            </w:r>
            <w:r>
              <w:rPr>
                <w:rFonts w:hint="eastAsia"/>
                <w:color w:val="auto"/>
                <w:sz w:val="24"/>
                <w:lang w:val="en-US" w:eastAsia="zh-CN"/>
              </w:rPr>
              <w:t>10</w:t>
            </w:r>
            <w:r>
              <w:rPr>
                <w:color w:val="auto"/>
                <w:sz w:val="24"/>
              </w:rPr>
              <w:t>月</w:t>
            </w:r>
            <w:r>
              <w:rPr>
                <w:rFonts w:hint="eastAsia"/>
                <w:color w:val="auto"/>
                <w:sz w:val="24"/>
                <w:lang w:val="en-US" w:eastAsia="zh-CN"/>
              </w:rPr>
              <w:t>16</w:t>
            </w:r>
            <w:r>
              <w:rPr>
                <w:color w:val="auto"/>
                <w:sz w:val="24"/>
              </w:rPr>
              <w:t>日取得重庆市</w:t>
            </w:r>
            <w:r>
              <w:rPr>
                <w:rFonts w:hint="eastAsia"/>
                <w:color w:val="auto"/>
                <w:sz w:val="24"/>
                <w:lang w:val="en-US" w:eastAsia="zh-CN"/>
              </w:rPr>
              <w:t>九龙坡</w:t>
            </w:r>
            <w:r>
              <w:rPr>
                <w:color w:val="auto"/>
                <w:sz w:val="24"/>
              </w:rPr>
              <w:t>区发改委核发的《重庆市企业投资项目备案证》（项目代码：</w:t>
            </w:r>
            <w:r>
              <w:rPr>
                <w:rFonts w:hint="eastAsia"/>
                <w:color w:val="auto"/>
                <w:sz w:val="24"/>
                <w:lang w:val="en-US" w:eastAsia="zh-CN"/>
              </w:rPr>
              <w:t>2303-500107-04-05-293339</w:t>
            </w:r>
            <w:r>
              <w:rPr>
                <w:color w:val="auto"/>
                <w:sz w:val="24"/>
              </w:rPr>
              <w:t>）；</w:t>
            </w:r>
            <w:r>
              <w:rPr>
                <w:bCs/>
                <w:color w:val="auto"/>
                <w:sz w:val="24"/>
              </w:rPr>
              <w:t>综上所述，扩建项目符合国家及相关产业政策要求。</w:t>
            </w:r>
          </w:p>
          <w:p w14:paraId="1825A81D">
            <w:pPr>
              <w:adjustRightInd w:val="0"/>
              <w:snapToGrid w:val="0"/>
              <w:spacing w:line="360" w:lineRule="auto"/>
              <w:rPr>
                <w:b/>
                <w:bCs/>
                <w:color w:val="auto"/>
                <w:kern w:val="0"/>
                <w:sz w:val="24"/>
              </w:rPr>
            </w:pPr>
            <w:r>
              <w:rPr>
                <w:rFonts w:hint="eastAsia"/>
                <w:b/>
                <w:color w:val="auto"/>
                <w:sz w:val="24"/>
                <w:lang w:val="en-US" w:eastAsia="zh-CN" w:bidi="ar"/>
              </w:rPr>
              <w:t>1.3</w:t>
            </w:r>
            <w:r>
              <w:rPr>
                <w:b/>
                <w:color w:val="auto"/>
                <w:sz w:val="24"/>
                <w:lang w:bidi="ar"/>
              </w:rPr>
              <w:t>与</w:t>
            </w:r>
            <w:r>
              <w:rPr>
                <w:rFonts w:hint="eastAsia"/>
                <w:b/>
                <w:bCs/>
                <w:color w:val="auto"/>
                <w:sz w:val="24"/>
              </w:rPr>
              <w:t>推动长江经济带发展领导小组办公室</w:t>
            </w:r>
            <w:r>
              <w:rPr>
                <w:b/>
                <w:bCs/>
                <w:color w:val="auto"/>
                <w:sz w:val="24"/>
              </w:rPr>
              <w:t>关于印发《长江经济带发展负面清单实施细则（试行）</w:t>
            </w:r>
            <w:r>
              <w:rPr>
                <w:rFonts w:hint="eastAsia"/>
                <w:b/>
                <w:bCs/>
                <w:color w:val="auto"/>
                <w:sz w:val="24"/>
              </w:rPr>
              <w:t>，2022年版</w:t>
            </w:r>
            <w:r>
              <w:rPr>
                <w:b/>
                <w:bCs/>
                <w:color w:val="auto"/>
                <w:sz w:val="24"/>
              </w:rPr>
              <w:t>》的通知（长</w:t>
            </w:r>
            <w:r>
              <w:rPr>
                <w:rFonts w:hint="eastAsia"/>
                <w:b/>
                <w:bCs/>
                <w:color w:val="auto"/>
                <w:sz w:val="24"/>
              </w:rPr>
              <w:t>江</w:t>
            </w:r>
            <w:r>
              <w:rPr>
                <w:b/>
                <w:bCs/>
                <w:color w:val="auto"/>
                <w:sz w:val="24"/>
              </w:rPr>
              <w:t>办〔20</w:t>
            </w:r>
            <w:r>
              <w:rPr>
                <w:rFonts w:hint="eastAsia"/>
                <w:b/>
                <w:bCs/>
                <w:color w:val="auto"/>
                <w:sz w:val="24"/>
              </w:rPr>
              <w:t>22</w:t>
            </w:r>
            <w:r>
              <w:rPr>
                <w:b/>
                <w:bCs/>
                <w:color w:val="auto"/>
                <w:sz w:val="24"/>
              </w:rPr>
              <w:t>〕</w:t>
            </w:r>
            <w:r>
              <w:rPr>
                <w:rFonts w:hint="eastAsia"/>
                <w:b/>
                <w:bCs/>
                <w:color w:val="auto"/>
                <w:sz w:val="24"/>
              </w:rPr>
              <w:t>7</w:t>
            </w:r>
            <w:r>
              <w:rPr>
                <w:b/>
                <w:bCs/>
                <w:color w:val="auto"/>
                <w:sz w:val="24"/>
              </w:rPr>
              <w:t>号）符合性分析</w:t>
            </w:r>
          </w:p>
          <w:p w14:paraId="5E9FED2F">
            <w:pPr>
              <w:pStyle w:val="23"/>
              <w:widowControl w:val="0"/>
              <w:tabs>
                <w:tab w:val="left" w:pos="2340"/>
              </w:tabs>
              <w:adjustRightInd w:val="0"/>
              <w:snapToGrid w:val="0"/>
              <w:spacing w:before="0" w:beforeAutospacing="0" w:after="0" w:afterAutospacing="0"/>
              <w:ind w:right="-136" w:rightChars="-65"/>
              <w:jc w:val="center"/>
              <w:rPr>
                <w:rFonts w:ascii="Times New Roman" w:hAnsi="Times New Roman"/>
                <w:b/>
                <w:color w:val="auto"/>
                <w:sz w:val="21"/>
                <w:szCs w:val="21"/>
              </w:rPr>
            </w:pPr>
            <w:r>
              <w:rPr>
                <w:rFonts w:ascii="Times New Roman" w:hAnsi="Times New Roman"/>
                <w:b/>
                <w:color w:val="auto"/>
                <w:sz w:val="21"/>
                <w:szCs w:val="21"/>
                <w:lang w:bidi="ar"/>
              </w:rPr>
              <w:t>表1-</w:t>
            </w:r>
            <w:r>
              <w:rPr>
                <w:rFonts w:hint="eastAsia" w:ascii="Times New Roman" w:hAnsi="Times New Roman"/>
                <w:b/>
                <w:color w:val="auto"/>
                <w:sz w:val="21"/>
                <w:szCs w:val="21"/>
                <w:lang w:bidi="ar"/>
              </w:rPr>
              <w:t>2</w:t>
            </w:r>
            <w:r>
              <w:rPr>
                <w:rFonts w:ascii="Times New Roman" w:hAnsi="Times New Roman"/>
                <w:b/>
                <w:color w:val="auto"/>
                <w:sz w:val="21"/>
                <w:szCs w:val="21"/>
                <w:lang w:bidi="ar"/>
              </w:rPr>
              <w:t>与《长江经济带发展负面清单实施细则（试行），2022年版》的符合性分析</w:t>
            </w:r>
          </w:p>
          <w:tbl>
            <w:tblPr>
              <w:tblStyle w:val="25"/>
              <w:tblW w:w="4997" w:type="pct"/>
              <w:jc w:val="center"/>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6154"/>
              <w:gridCol w:w="1328"/>
              <w:gridCol w:w="768"/>
            </w:tblGrid>
            <w:tr w14:paraId="6A2B72C4">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8" w:space="0"/>
                    <w:left w:val="single" w:color="auto" w:sz="8" w:space="0"/>
                    <w:bottom w:val="single" w:color="auto" w:sz="6" w:space="0"/>
                    <w:right w:val="single" w:color="auto" w:sz="6" w:space="0"/>
                  </w:tcBorders>
                  <w:noWrap w:val="0"/>
                  <w:vAlign w:val="center"/>
                </w:tcPr>
                <w:p w14:paraId="641D8BE6">
                  <w:pPr>
                    <w:pStyle w:val="23"/>
                    <w:widowControl w:val="0"/>
                    <w:adjustRightInd w:val="0"/>
                    <w:snapToGrid w:val="0"/>
                    <w:spacing w:before="0" w:beforeAutospacing="0" w:after="0" w:afterAutospacing="0"/>
                    <w:jc w:val="center"/>
                    <w:rPr>
                      <w:rFonts w:ascii="Times New Roman" w:hAnsi="Times New Roman"/>
                      <w:b/>
                      <w:color w:val="auto"/>
                      <w:kern w:val="44"/>
                    </w:rPr>
                  </w:pPr>
                  <w:r>
                    <w:rPr>
                      <w:rFonts w:ascii="Times New Roman" w:hAnsi="Times New Roman"/>
                      <w:b/>
                      <w:bCs/>
                      <w:color w:val="auto"/>
                      <w:kern w:val="2"/>
                      <w:sz w:val="21"/>
                      <w:lang w:bidi="ar"/>
                    </w:rPr>
                    <w:t>政策中与本项目相关的要求</w:t>
                  </w:r>
                </w:p>
              </w:tc>
              <w:tc>
                <w:tcPr>
                  <w:tcW w:w="805" w:type="pct"/>
                  <w:tcBorders>
                    <w:top w:val="single" w:color="auto" w:sz="8" w:space="0"/>
                    <w:left w:val="single" w:color="auto" w:sz="6" w:space="0"/>
                    <w:bottom w:val="single" w:color="auto" w:sz="6" w:space="0"/>
                    <w:right w:val="single" w:color="auto" w:sz="6" w:space="0"/>
                  </w:tcBorders>
                  <w:noWrap w:val="0"/>
                  <w:vAlign w:val="center"/>
                </w:tcPr>
                <w:p w14:paraId="6FECB641">
                  <w:pPr>
                    <w:pStyle w:val="23"/>
                    <w:widowControl w:val="0"/>
                    <w:adjustRightInd w:val="0"/>
                    <w:snapToGrid w:val="0"/>
                    <w:spacing w:before="0" w:beforeAutospacing="0" w:after="0" w:afterAutospacing="0"/>
                    <w:jc w:val="center"/>
                    <w:rPr>
                      <w:rFonts w:ascii="Times New Roman" w:hAnsi="Times New Roman"/>
                      <w:b/>
                      <w:color w:val="auto"/>
                      <w:kern w:val="44"/>
                    </w:rPr>
                  </w:pPr>
                  <w:r>
                    <w:rPr>
                      <w:rFonts w:ascii="Times New Roman" w:hAnsi="Times New Roman"/>
                      <w:b/>
                      <w:bCs/>
                      <w:color w:val="auto"/>
                      <w:kern w:val="2"/>
                      <w:sz w:val="21"/>
                      <w:lang w:bidi="ar"/>
                    </w:rPr>
                    <w:t>本项目情况</w:t>
                  </w:r>
                </w:p>
              </w:tc>
              <w:tc>
                <w:tcPr>
                  <w:tcW w:w="466" w:type="pct"/>
                  <w:tcBorders>
                    <w:top w:val="single" w:color="auto" w:sz="8" w:space="0"/>
                    <w:left w:val="single" w:color="auto" w:sz="6" w:space="0"/>
                    <w:bottom w:val="single" w:color="auto" w:sz="6" w:space="0"/>
                    <w:right w:val="single" w:color="auto" w:sz="8" w:space="0"/>
                  </w:tcBorders>
                  <w:noWrap w:val="0"/>
                  <w:vAlign w:val="center"/>
                </w:tcPr>
                <w:p w14:paraId="2FE22BAD">
                  <w:pPr>
                    <w:pStyle w:val="23"/>
                    <w:widowControl w:val="0"/>
                    <w:adjustRightInd w:val="0"/>
                    <w:snapToGrid w:val="0"/>
                    <w:spacing w:before="0" w:beforeAutospacing="0" w:after="0" w:afterAutospacing="0"/>
                    <w:jc w:val="center"/>
                    <w:rPr>
                      <w:rFonts w:ascii="Times New Roman" w:hAnsi="Times New Roman"/>
                      <w:b/>
                      <w:color w:val="auto"/>
                      <w:kern w:val="44"/>
                    </w:rPr>
                  </w:pPr>
                  <w:r>
                    <w:rPr>
                      <w:rFonts w:ascii="Times New Roman" w:hAnsi="Times New Roman"/>
                      <w:b/>
                      <w:bCs/>
                      <w:color w:val="auto"/>
                      <w:kern w:val="2"/>
                      <w:sz w:val="21"/>
                      <w:lang w:bidi="ar"/>
                    </w:rPr>
                    <w:t>符合性分析</w:t>
                  </w:r>
                </w:p>
              </w:tc>
            </w:tr>
            <w:tr w14:paraId="1F6E5790">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39483BEB">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bCs/>
                      <w:color w:val="auto"/>
                      <w:kern w:val="2"/>
                      <w:sz w:val="21"/>
                      <w:szCs w:val="32"/>
                      <w:lang w:bidi="ar"/>
                    </w:rPr>
                    <w:t>禁止建设不符合全国和省级港口布局规划以及港口总体规划的码头项目，禁止建设不符合《长江干线过江通道布局规划》的过长江通道项目。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24CF6B80">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44"/>
                      <w:sz w:val="21"/>
                      <w:lang w:bidi="ar"/>
                    </w:rPr>
                    <w:t>非上述港口建设项目</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430AF926">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2"/>
                      <w:sz w:val="21"/>
                      <w:lang w:bidi="ar"/>
                    </w:rPr>
                    <w:t>符合</w:t>
                  </w:r>
                </w:p>
              </w:tc>
            </w:tr>
            <w:tr w14:paraId="70CD4179">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220A764D">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bCs/>
                      <w:color w:val="auto"/>
                      <w:kern w:val="2"/>
                      <w:sz w:val="21"/>
                      <w:szCs w:val="32"/>
                      <w:lang w:bidi="ar"/>
                    </w:rPr>
                    <w:t>禁止在自然保护区核心区、缓冲区的岸线和河段范围内投资建设旅游和生产经营项目。禁止在风景名胜区核心景区的岸线和河段范围内投资建设与风景名胜资源保护无关的项目。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25623425">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2"/>
                      <w:sz w:val="21"/>
                      <w:szCs w:val="21"/>
                      <w:lang w:bidi="ar"/>
                    </w:rPr>
                    <w:t>不涉及自然保护区</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25CD6340">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47038D8A">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3D129EBC">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bCs/>
                      <w:color w:val="auto"/>
                      <w:kern w:val="2"/>
                      <w:sz w:val="21"/>
                      <w:szCs w:val="32"/>
                      <w:lang w:bidi="ar"/>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5EFFB955">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2"/>
                      <w:sz w:val="21"/>
                      <w:szCs w:val="21"/>
                      <w:lang w:bidi="ar"/>
                    </w:rPr>
                    <w:t>不涉及饮用水源保护区</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6CC4F83B">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4DF6F5A6">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7805B5CB">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bCs/>
                      <w:color w:val="auto"/>
                      <w:kern w:val="2"/>
                      <w:sz w:val="21"/>
                      <w:szCs w:val="32"/>
                      <w:lang w:bidi="ar"/>
                    </w:rPr>
                    <w:t>禁止在水产种质资源保护区的岸线和河段范围内新建排污口，以及围湖造田、围海造地或围填海等投资建设项目。禁止在国家湿地公园的岸线和河段范围内挖砂、采矿，以及任何不符合主体功能定位的投资建设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74D1A289">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2"/>
                      <w:sz w:val="21"/>
                      <w:szCs w:val="21"/>
                      <w:lang w:bidi="ar"/>
                    </w:rPr>
                    <w:t>不涉及水产资源保护区</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21EEAB0C">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4CE56FE5">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8" w:space="0"/>
                    <w:left w:val="single" w:color="auto" w:sz="8" w:space="0"/>
                    <w:bottom w:val="single" w:color="auto" w:sz="6" w:space="0"/>
                    <w:right w:val="single" w:color="auto" w:sz="6" w:space="0"/>
                  </w:tcBorders>
                  <w:noWrap w:val="0"/>
                  <w:vAlign w:val="center"/>
                </w:tcPr>
                <w:p w14:paraId="108B5A12">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color w:val="auto"/>
                      <w:sz w:val="21"/>
                    </w:rPr>
                    <w:t>禁止</w:t>
                  </w:r>
                  <w:r>
                    <w:rPr>
                      <w:rFonts w:hint="eastAsia" w:ascii="Times New Roman" w:hAnsi="Times New Roman"/>
                      <w:color w:val="auto"/>
                      <w:sz w:val="21"/>
                    </w:rPr>
                    <w:t>违法利用、占用长江流域河湖岸线。禁止</w:t>
                  </w:r>
                  <w:r>
                    <w:rPr>
                      <w:rFonts w:ascii="Times New Roman" w:hAnsi="Times New Roman"/>
                      <w:color w:val="auto"/>
                      <w:sz w:val="21"/>
                    </w:rPr>
                    <w:t>在《长江岸线保护和开发利用总体规划》划定的岸线保护区内投资建设除保障防洪安全、河势稳定、供水安全、航道稳定以及保护生态环境以外的项目。禁止在《全国重要江河湖泊水功能区划》划定的河段保护区、保留区内投资建设不利于水资源及自然生态保护的项目。</w:t>
                  </w:r>
                </w:p>
              </w:tc>
              <w:tc>
                <w:tcPr>
                  <w:tcW w:w="805" w:type="pct"/>
                  <w:tcBorders>
                    <w:top w:val="single" w:color="auto" w:sz="8" w:space="0"/>
                    <w:left w:val="single" w:color="auto" w:sz="6" w:space="0"/>
                    <w:bottom w:val="single" w:color="auto" w:sz="6" w:space="0"/>
                    <w:right w:val="single" w:color="auto" w:sz="6" w:space="0"/>
                  </w:tcBorders>
                  <w:noWrap w:val="0"/>
                  <w:vAlign w:val="center"/>
                </w:tcPr>
                <w:p w14:paraId="4E6AA4E4">
                  <w:pPr>
                    <w:pStyle w:val="23"/>
                    <w:widowControl w:val="0"/>
                    <w:adjustRightInd w:val="0"/>
                    <w:snapToGrid w:val="0"/>
                    <w:spacing w:before="0" w:beforeAutospacing="0" w:after="0" w:afterAutospacing="0"/>
                    <w:jc w:val="center"/>
                    <w:rPr>
                      <w:rFonts w:ascii="Times New Roman" w:hAnsi="Times New Roman"/>
                      <w:color w:val="auto"/>
                      <w:kern w:val="44"/>
                    </w:rPr>
                  </w:pPr>
                  <w:r>
                    <w:rPr>
                      <w:rFonts w:ascii="Times New Roman" w:hAnsi="Times New Roman"/>
                      <w:bCs/>
                      <w:color w:val="auto"/>
                      <w:kern w:val="2"/>
                      <w:sz w:val="21"/>
                      <w:lang w:bidi="ar"/>
                    </w:rPr>
                    <w:t>距离长江</w:t>
                  </w:r>
                  <w:r>
                    <w:rPr>
                      <w:rFonts w:hint="eastAsia" w:ascii="Times New Roman" w:hAnsi="Times New Roman"/>
                      <w:bCs/>
                      <w:color w:val="auto"/>
                      <w:kern w:val="2"/>
                      <w:sz w:val="21"/>
                      <w:lang w:bidi="ar"/>
                    </w:rPr>
                    <w:t>5.1</w:t>
                  </w:r>
                  <w:r>
                    <w:rPr>
                      <w:rFonts w:ascii="Times New Roman" w:hAnsi="Times New Roman"/>
                      <w:bCs/>
                      <w:color w:val="auto"/>
                      <w:kern w:val="2"/>
                      <w:sz w:val="21"/>
                      <w:lang w:bidi="ar"/>
                    </w:rPr>
                    <w:t>km，属于医院（社会服务类），不在长江</w:t>
                  </w:r>
                  <w:r>
                    <w:rPr>
                      <w:rFonts w:ascii="Times New Roman" w:hAnsi="Times New Roman"/>
                      <w:bCs/>
                      <w:color w:val="auto"/>
                      <w:kern w:val="2"/>
                      <w:sz w:val="21"/>
                      <w:szCs w:val="32"/>
                      <w:lang w:bidi="ar"/>
                    </w:rPr>
                    <w:t>岸线保护区内</w:t>
                  </w:r>
                </w:p>
              </w:tc>
              <w:tc>
                <w:tcPr>
                  <w:tcW w:w="466" w:type="pct"/>
                  <w:tcBorders>
                    <w:top w:val="single" w:color="auto" w:sz="8" w:space="0"/>
                    <w:left w:val="single" w:color="auto" w:sz="6" w:space="0"/>
                    <w:bottom w:val="single" w:color="auto" w:sz="6" w:space="0"/>
                    <w:right w:val="single" w:color="auto" w:sz="8" w:space="0"/>
                  </w:tcBorders>
                  <w:noWrap w:val="0"/>
                  <w:vAlign w:val="center"/>
                </w:tcPr>
                <w:p w14:paraId="53180B30">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10C1F63D">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53B8D3AB">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color w:val="auto"/>
                      <w:sz w:val="21"/>
                    </w:rPr>
                    <w:t>禁止未经许可在长江干支流及湖泊新设、改设或扩大排污口。</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7634FD75">
                  <w:pPr>
                    <w:pStyle w:val="23"/>
                    <w:widowControl w:val="0"/>
                    <w:adjustRightInd w:val="0"/>
                    <w:snapToGrid w:val="0"/>
                    <w:spacing w:before="0" w:beforeAutospacing="0" w:after="0" w:afterAutospacing="0"/>
                    <w:jc w:val="center"/>
                    <w:rPr>
                      <w:rFonts w:hint="eastAsia" w:ascii="Times New Roman" w:hAnsi="Times New Roman" w:eastAsia="宋体"/>
                      <w:color w:val="auto"/>
                      <w:kern w:val="44"/>
                      <w:lang w:eastAsia="zh-CN"/>
                    </w:rPr>
                  </w:pPr>
                  <w:r>
                    <w:rPr>
                      <w:rFonts w:hint="eastAsia" w:ascii="Times New Roman" w:hAnsi="Times New Roman"/>
                      <w:color w:val="auto"/>
                      <w:kern w:val="44"/>
                      <w:sz w:val="21"/>
                      <w:szCs w:val="21"/>
                    </w:rPr>
                    <w:t>扩建项目位于</w:t>
                  </w:r>
                  <w:r>
                    <w:rPr>
                      <w:rFonts w:hint="eastAsia" w:ascii="Times New Roman" w:hAnsi="Times New Roman"/>
                      <w:color w:val="auto"/>
                      <w:kern w:val="44"/>
                      <w:sz w:val="21"/>
                      <w:szCs w:val="21"/>
                      <w:lang w:eastAsia="zh-CN"/>
                    </w:rPr>
                    <w:t>九龙坡区石新路33号</w:t>
                  </w:r>
                  <w:r>
                    <w:rPr>
                      <w:rFonts w:ascii="Times New Roman" w:hAnsi="Times New Roman"/>
                      <w:color w:val="auto"/>
                      <w:sz w:val="21"/>
                      <w:szCs w:val="21"/>
                    </w:rPr>
                    <w:t>，</w:t>
                  </w:r>
                  <w:r>
                    <w:rPr>
                      <w:rFonts w:hint="eastAsia" w:ascii="Times New Roman" w:hAnsi="Times New Roman"/>
                      <w:color w:val="auto"/>
                      <w:sz w:val="21"/>
                      <w:szCs w:val="21"/>
                    </w:rPr>
                    <w:t>废水排入</w:t>
                  </w:r>
                  <w:r>
                    <w:rPr>
                      <w:rFonts w:hint="eastAsia" w:ascii="Times New Roman" w:hAnsi="Times New Roman"/>
                      <w:color w:val="auto"/>
                      <w:sz w:val="21"/>
                      <w:szCs w:val="21"/>
                      <w:lang w:eastAsia="zh-CN"/>
                    </w:rPr>
                    <w:t>鸡冠石污水处理厂</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3506A8A0">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60CA1A3C">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57DBB3F7">
                  <w:pPr>
                    <w:pStyle w:val="23"/>
                    <w:widowControl w:val="0"/>
                    <w:adjustRightInd w:val="0"/>
                    <w:snapToGrid w:val="0"/>
                    <w:spacing w:before="0" w:beforeAutospacing="0" w:after="0" w:afterAutospacing="0"/>
                    <w:jc w:val="center"/>
                    <w:rPr>
                      <w:rFonts w:ascii="Times New Roman" w:hAnsi="Times New Roman"/>
                      <w:color w:val="auto"/>
                      <w:sz w:val="21"/>
                    </w:rPr>
                  </w:pPr>
                  <w:r>
                    <w:rPr>
                      <w:rFonts w:ascii="Times New Roman" w:hAnsi="Times New Roman"/>
                      <w:color w:val="auto"/>
                      <w:sz w:val="21"/>
                    </w:rPr>
                    <w:t>禁止在“一江一口两湖七河”和332个水生生物保护区开展生产性捕捞。</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4C36AFEE">
                  <w:pPr>
                    <w:pStyle w:val="23"/>
                    <w:widowControl w:val="0"/>
                    <w:adjustRightInd w:val="0"/>
                    <w:snapToGrid w:val="0"/>
                    <w:spacing w:before="0" w:beforeAutospacing="0" w:after="0" w:afterAutospacing="0"/>
                    <w:jc w:val="center"/>
                    <w:rPr>
                      <w:rFonts w:ascii="Times New Roman" w:hAnsi="Times New Roman"/>
                      <w:color w:val="auto"/>
                      <w:kern w:val="44"/>
                      <w:sz w:val="21"/>
                      <w:szCs w:val="21"/>
                    </w:rPr>
                  </w:pPr>
                  <w:r>
                    <w:rPr>
                      <w:rFonts w:hint="eastAsia" w:ascii="Times New Roman" w:hAnsi="Times New Roman"/>
                      <w:color w:val="auto"/>
                      <w:kern w:val="44"/>
                      <w:sz w:val="21"/>
                      <w:szCs w:val="21"/>
                    </w:rPr>
                    <w:t>不涉及</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284030C0">
                  <w:pPr>
                    <w:pStyle w:val="23"/>
                    <w:widowControl w:val="0"/>
                    <w:adjustRightInd w:val="0"/>
                    <w:snapToGrid w:val="0"/>
                    <w:spacing w:before="0" w:beforeAutospacing="0" w:after="0" w:afterAutospacing="0"/>
                    <w:jc w:val="center"/>
                    <w:rPr>
                      <w:rFonts w:ascii="Times New Roman" w:hAnsi="Times New Roman"/>
                      <w:bCs/>
                      <w:color w:val="auto"/>
                      <w:kern w:val="2"/>
                      <w:sz w:val="21"/>
                      <w:lang w:bidi="ar"/>
                    </w:rPr>
                  </w:pPr>
                  <w:r>
                    <w:rPr>
                      <w:rFonts w:ascii="Times New Roman" w:hAnsi="Times New Roman"/>
                      <w:bCs/>
                      <w:color w:val="auto"/>
                      <w:kern w:val="2"/>
                      <w:sz w:val="21"/>
                      <w:lang w:bidi="ar"/>
                    </w:rPr>
                    <w:t>符合</w:t>
                  </w:r>
                </w:p>
              </w:tc>
            </w:tr>
            <w:tr w14:paraId="704969DC">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1F97C093">
                  <w:pPr>
                    <w:pStyle w:val="53"/>
                    <w:spacing w:line="240" w:lineRule="auto"/>
                    <w:ind w:firstLine="0"/>
                    <w:rPr>
                      <w:rFonts w:ascii="Times New Roman" w:hAnsi="Times New Roman"/>
                      <w:color w:val="auto"/>
                      <w:sz w:val="21"/>
                    </w:rPr>
                  </w:pPr>
                  <w:r>
                    <w:rPr>
                      <w:rFonts w:ascii="Times New Roman" w:hAnsi="Times New Roman"/>
                      <w:color w:val="auto"/>
                      <w:sz w:val="21"/>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23725ADA">
                  <w:pPr>
                    <w:pStyle w:val="53"/>
                    <w:spacing w:line="240" w:lineRule="auto"/>
                    <w:ind w:firstLine="0"/>
                    <w:rPr>
                      <w:rFonts w:hint="eastAsia" w:ascii="Times New Roman" w:hAnsi="Times New Roman"/>
                      <w:color w:val="auto"/>
                      <w:kern w:val="44"/>
                      <w:sz w:val="21"/>
                    </w:rPr>
                  </w:pPr>
                  <w:r>
                    <w:rPr>
                      <w:rFonts w:hint="eastAsia" w:ascii="Times New Roman" w:hAnsi="Times New Roman"/>
                      <w:color w:val="auto"/>
                      <w:kern w:val="44"/>
                      <w:sz w:val="21"/>
                    </w:rPr>
                    <w:t>扩建项目</w:t>
                  </w:r>
                  <w:r>
                    <w:rPr>
                      <w:rFonts w:ascii="Times New Roman" w:hAnsi="Times New Roman"/>
                      <w:color w:val="auto"/>
                      <w:kern w:val="44"/>
                      <w:sz w:val="21"/>
                    </w:rPr>
                    <w:t>非石化、煤化工项目</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4D778F7A">
                  <w:pPr>
                    <w:pStyle w:val="53"/>
                    <w:spacing w:line="240" w:lineRule="auto"/>
                    <w:ind w:firstLine="0"/>
                    <w:rPr>
                      <w:rFonts w:ascii="Times New Roman" w:hAnsi="Times New Roman"/>
                      <w:bCs/>
                      <w:color w:val="auto"/>
                      <w:sz w:val="21"/>
                      <w:szCs w:val="20"/>
                      <w:lang w:bidi="ar"/>
                    </w:rPr>
                  </w:pPr>
                  <w:r>
                    <w:rPr>
                      <w:rFonts w:ascii="Times New Roman" w:hAnsi="Times New Roman"/>
                      <w:color w:val="auto"/>
                      <w:sz w:val="21"/>
                    </w:rPr>
                    <w:t>符合</w:t>
                  </w:r>
                </w:p>
              </w:tc>
            </w:tr>
            <w:tr w14:paraId="0BA51465">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6C4D1C24">
                  <w:pPr>
                    <w:pStyle w:val="53"/>
                    <w:spacing w:line="240" w:lineRule="auto"/>
                    <w:ind w:firstLine="0"/>
                    <w:rPr>
                      <w:rFonts w:ascii="Times New Roman" w:hAnsi="Times New Roman"/>
                      <w:color w:val="auto"/>
                      <w:sz w:val="21"/>
                    </w:rPr>
                  </w:pPr>
                  <w:r>
                    <w:rPr>
                      <w:rFonts w:ascii="Times New Roman" w:hAnsi="Times New Roman"/>
                      <w:color w:val="auto"/>
                      <w:sz w:val="21"/>
                    </w:rPr>
                    <w:t>禁止在合规园区外新建、扩建钢铁、石化、化工、焦化、建材、有色、制浆造纸等高污染项目。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0AF00F0D">
                  <w:pPr>
                    <w:pStyle w:val="53"/>
                    <w:spacing w:line="240" w:lineRule="auto"/>
                    <w:ind w:firstLine="0"/>
                    <w:rPr>
                      <w:rFonts w:ascii="Times New Roman" w:hAnsi="Times New Roman"/>
                      <w:color w:val="auto"/>
                      <w:kern w:val="44"/>
                      <w:sz w:val="21"/>
                    </w:rPr>
                  </w:pPr>
                  <w:r>
                    <w:rPr>
                      <w:rFonts w:hint="eastAsia" w:ascii="Times New Roman" w:hAnsi="Times New Roman"/>
                      <w:color w:val="auto"/>
                      <w:kern w:val="44"/>
                      <w:sz w:val="21"/>
                    </w:rPr>
                    <w:t>扩建项目属于社会服务类（医院）项目</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33267D3D">
                  <w:pPr>
                    <w:pStyle w:val="53"/>
                    <w:spacing w:line="240" w:lineRule="auto"/>
                    <w:ind w:firstLine="0"/>
                    <w:rPr>
                      <w:rFonts w:ascii="Times New Roman" w:hAnsi="Times New Roman"/>
                      <w:color w:val="auto"/>
                      <w:sz w:val="21"/>
                    </w:rPr>
                  </w:pPr>
                  <w:r>
                    <w:rPr>
                      <w:rFonts w:ascii="Times New Roman" w:hAnsi="Times New Roman"/>
                      <w:color w:val="auto"/>
                      <w:sz w:val="21"/>
                    </w:rPr>
                    <w:t>符合</w:t>
                  </w:r>
                </w:p>
              </w:tc>
            </w:tr>
            <w:tr w14:paraId="1BE4E463">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76E29FB9">
                  <w:pPr>
                    <w:pStyle w:val="23"/>
                    <w:widowControl w:val="0"/>
                    <w:adjustRightInd w:val="0"/>
                    <w:snapToGrid w:val="0"/>
                    <w:spacing w:before="0" w:beforeAutospacing="0" w:after="0" w:afterAutospacing="0"/>
                    <w:jc w:val="center"/>
                    <w:rPr>
                      <w:rFonts w:ascii="Times New Roman" w:hAnsi="Times New Roman"/>
                      <w:color w:val="auto"/>
                      <w:szCs w:val="32"/>
                    </w:rPr>
                  </w:pPr>
                  <w:r>
                    <w:rPr>
                      <w:rFonts w:ascii="Times New Roman" w:hAnsi="Times New Roman"/>
                      <w:bCs/>
                      <w:color w:val="auto"/>
                      <w:kern w:val="2"/>
                      <w:sz w:val="21"/>
                      <w:szCs w:val="32"/>
                      <w:lang w:bidi="ar"/>
                    </w:rPr>
                    <w:t>禁止新建、扩建不符合国家石化、现代煤化工等产业布局规划的项目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1920E6B1">
                  <w:pPr>
                    <w:pStyle w:val="23"/>
                    <w:widowControl w:val="0"/>
                    <w:adjustRightInd w:val="0"/>
                    <w:snapToGrid w:val="0"/>
                    <w:spacing w:before="0" w:beforeAutospacing="0" w:after="0" w:afterAutospacing="0"/>
                    <w:jc w:val="center"/>
                    <w:rPr>
                      <w:rFonts w:ascii="Times New Roman" w:hAnsi="Times New Roman"/>
                      <w:color w:val="auto"/>
                      <w:kern w:val="44"/>
                    </w:rPr>
                  </w:pPr>
                  <w:r>
                    <w:rPr>
                      <w:rFonts w:hint="eastAsia" w:ascii="Times New Roman" w:hAnsi="Times New Roman"/>
                      <w:color w:val="auto"/>
                      <w:kern w:val="44"/>
                      <w:sz w:val="21"/>
                      <w:szCs w:val="21"/>
                    </w:rPr>
                    <w:t>扩建项目属于社会服务类（医院）项目，</w:t>
                  </w:r>
                  <w:r>
                    <w:rPr>
                      <w:rFonts w:ascii="Times New Roman" w:hAnsi="Times New Roman"/>
                      <w:bCs/>
                      <w:color w:val="auto"/>
                      <w:kern w:val="44"/>
                      <w:sz w:val="21"/>
                      <w:lang w:bidi="ar"/>
                    </w:rPr>
                    <w:t>非石化、煤化工项目</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5841ACFD">
                  <w:pPr>
                    <w:pStyle w:val="23"/>
                    <w:widowControl w:val="0"/>
                    <w:adjustRightInd w:val="0"/>
                    <w:snapToGrid w:val="0"/>
                    <w:spacing w:before="0" w:beforeAutospacing="0" w:after="0" w:afterAutospacing="0"/>
                    <w:jc w:val="center"/>
                    <w:rPr>
                      <w:rFonts w:ascii="Times New Roman" w:hAnsi="Times New Roman"/>
                      <w:color w:val="auto"/>
                    </w:rPr>
                  </w:pPr>
                  <w:r>
                    <w:rPr>
                      <w:rFonts w:ascii="Times New Roman" w:hAnsi="Times New Roman"/>
                      <w:bCs/>
                      <w:color w:val="auto"/>
                      <w:kern w:val="2"/>
                      <w:sz w:val="21"/>
                      <w:lang w:bidi="ar"/>
                    </w:rPr>
                    <w:t>符合</w:t>
                  </w:r>
                </w:p>
              </w:tc>
            </w:tr>
            <w:tr w14:paraId="24A63343">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54748B9B">
                  <w:pPr>
                    <w:pStyle w:val="53"/>
                    <w:spacing w:line="240" w:lineRule="auto"/>
                    <w:ind w:firstLine="0"/>
                    <w:rPr>
                      <w:rFonts w:ascii="Times New Roman" w:hAnsi="Times New Roman"/>
                      <w:color w:val="auto"/>
                      <w:szCs w:val="32"/>
                    </w:rPr>
                  </w:pPr>
                  <w:r>
                    <w:rPr>
                      <w:rFonts w:ascii="Times New Roman" w:hAnsi="Times New Roman"/>
                      <w:color w:val="auto"/>
                      <w:sz w:val="21"/>
                    </w:rPr>
                    <w:t>禁止新建、扩建法律法规和相关政策明令禁止的落后产能项目。禁止新建、扩建不符合国家产能置换要求的严重过剩产能行业的项目。禁止新建、扩建不符合要求的高耗能高排放项目。</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0FB2752F">
                  <w:pPr>
                    <w:pStyle w:val="53"/>
                    <w:spacing w:line="240" w:lineRule="auto"/>
                    <w:ind w:firstLine="0"/>
                    <w:rPr>
                      <w:rFonts w:ascii="Times New Roman" w:hAnsi="Times New Roman"/>
                      <w:color w:val="auto"/>
                      <w:kern w:val="44"/>
                    </w:rPr>
                  </w:pPr>
                  <w:r>
                    <w:rPr>
                      <w:rFonts w:hint="eastAsia" w:ascii="Times New Roman" w:hAnsi="Times New Roman"/>
                      <w:color w:val="auto"/>
                      <w:kern w:val="44"/>
                      <w:sz w:val="21"/>
                    </w:rPr>
                    <w:t>扩建项目属于社会服务类（医院）项目，不使用高污染燃料。</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15733E3F">
                  <w:pPr>
                    <w:pStyle w:val="53"/>
                    <w:spacing w:line="240" w:lineRule="auto"/>
                    <w:ind w:firstLine="0"/>
                    <w:rPr>
                      <w:color w:val="auto"/>
                    </w:rPr>
                  </w:pPr>
                  <w:r>
                    <w:rPr>
                      <w:color w:val="auto"/>
                    </w:rPr>
                    <w:t>符合</w:t>
                  </w:r>
                </w:p>
                <w:p w14:paraId="670847BD">
                  <w:pPr>
                    <w:rPr>
                      <w:color w:val="auto"/>
                    </w:rPr>
                  </w:pPr>
                </w:p>
              </w:tc>
            </w:tr>
            <w:tr w14:paraId="36AD23E4">
              <w:tblPrEx>
                <w:tblBorders>
                  <w:top w:val="single" w:color="auto" w:sz="12" w:space="0"/>
                  <w:left w:val="single" w:color="auto" w:sz="12" w:space="0"/>
                  <w:bottom w:val="single" w:color="auto" w:sz="6"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728" w:type="pct"/>
                  <w:tcBorders>
                    <w:top w:val="single" w:color="auto" w:sz="6" w:space="0"/>
                    <w:left w:val="single" w:color="auto" w:sz="8" w:space="0"/>
                    <w:bottom w:val="single" w:color="auto" w:sz="6" w:space="0"/>
                    <w:right w:val="single" w:color="auto" w:sz="6" w:space="0"/>
                  </w:tcBorders>
                  <w:noWrap w:val="0"/>
                  <w:vAlign w:val="center"/>
                </w:tcPr>
                <w:p w14:paraId="542DF49D">
                  <w:pPr>
                    <w:pStyle w:val="53"/>
                    <w:spacing w:line="240" w:lineRule="auto"/>
                    <w:ind w:firstLine="0"/>
                    <w:rPr>
                      <w:rFonts w:ascii="Times New Roman" w:hAnsi="Times New Roman"/>
                      <w:color w:val="auto"/>
                      <w:szCs w:val="32"/>
                    </w:rPr>
                  </w:pPr>
                  <w:r>
                    <w:rPr>
                      <w:rFonts w:ascii="Times New Roman" w:hAnsi="Times New Roman"/>
                      <w:color w:val="auto"/>
                      <w:sz w:val="21"/>
                    </w:rPr>
                    <w:t>法律法规及相关政策文件有更加严格规定的从其规定。</w:t>
                  </w:r>
                </w:p>
              </w:tc>
              <w:tc>
                <w:tcPr>
                  <w:tcW w:w="805" w:type="pct"/>
                  <w:tcBorders>
                    <w:top w:val="single" w:color="auto" w:sz="6" w:space="0"/>
                    <w:left w:val="single" w:color="auto" w:sz="6" w:space="0"/>
                    <w:bottom w:val="single" w:color="auto" w:sz="6" w:space="0"/>
                    <w:right w:val="single" w:color="auto" w:sz="6" w:space="0"/>
                  </w:tcBorders>
                  <w:noWrap w:val="0"/>
                  <w:vAlign w:val="center"/>
                </w:tcPr>
                <w:p w14:paraId="5349E52A">
                  <w:pPr>
                    <w:pStyle w:val="53"/>
                    <w:spacing w:line="240" w:lineRule="auto"/>
                    <w:ind w:firstLine="0"/>
                    <w:rPr>
                      <w:rFonts w:ascii="Times New Roman" w:hAnsi="Times New Roman"/>
                      <w:color w:val="auto"/>
                      <w:kern w:val="44"/>
                    </w:rPr>
                  </w:pPr>
                  <w:r>
                    <w:rPr>
                      <w:rFonts w:hint="eastAsia" w:ascii="Times New Roman" w:hAnsi="Times New Roman"/>
                      <w:color w:val="auto"/>
                      <w:kern w:val="44"/>
                      <w:sz w:val="21"/>
                    </w:rPr>
                    <w:t>不涉及</w:t>
                  </w:r>
                </w:p>
              </w:tc>
              <w:tc>
                <w:tcPr>
                  <w:tcW w:w="466" w:type="pct"/>
                  <w:tcBorders>
                    <w:top w:val="single" w:color="auto" w:sz="6" w:space="0"/>
                    <w:left w:val="single" w:color="auto" w:sz="6" w:space="0"/>
                    <w:bottom w:val="single" w:color="auto" w:sz="6" w:space="0"/>
                    <w:right w:val="single" w:color="auto" w:sz="8" w:space="0"/>
                  </w:tcBorders>
                  <w:noWrap w:val="0"/>
                  <w:vAlign w:val="center"/>
                </w:tcPr>
                <w:p w14:paraId="3709DE5D">
                  <w:pPr>
                    <w:pStyle w:val="53"/>
                    <w:spacing w:line="240" w:lineRule="auto"/>
                    <w:ind w:firstLine="0"/>
                    <w:rPr>
                      <w:color w:val="auto"/>
                    </w:rPr>
                  </w:pPr>
                  <w:r>
                    <w:rPr>
                      <w:color w:val="auto"/>
                    </w:rPr>
                    <w:t>符合</w:t>
                  </w:r>
                </w:p>
                <w:p w14:paraId="06196DBD">
                  <w:pPr>
                    <w:rPr>
                      <w:color w:val="auto"/>
                    </w:rPr>
                  </w:pPr>
                </w:p>
              </w:tc>
            </w:tr>
          </w:tbl>
          <w:p w14:paraId="3025AC64">
            <w:pPr>
              <w:pStyle w:val="9"/>
              <w:spacing w:before="120" w:beforeLines="50"/>
              <w:rPr>
                <w:rFonts w:ascii="Times New Roman" w:hAnsi="Times New Roman"/>
                <w:color w:val="auto"/>
                <w:szCs w:val="24"/>
                <w:lang w:bidi="ar"/>
              </w:rPr>
            </w:pPr>
            <w:r>
              <w:rPr>
                <w:rFonts w:ascii="Times New Roman" w:hAnsi="Times New Roman"/>
                <w:color w:val="auto"/>
              </w:rPr>
              <w:t>综上，扩建项目符合</w:t>
            </w:r>
            <w:r>
              <w:rPr>
                <w:rFonts w:ascii="Times New Roman" w:hAnsi="Times New Roman"/>
                <w:color w:val="auto"/>
                <w:szCs w:val="24"/>
                <w:lang w:bidi="ar"/>
              </w:rPr>
              <w:t>重庆市推动长江经济带发展领导小组办公室关于印发《长江经济带发展负面清单实施细则（试行），2022年版</w:t>
            </w:r>
            <w:r>
              <w:rPr>
                <w:rFonts w:hint="eastAsia" w:ascii="Times New Roman" w:hAnsi="Times New Roman"/>
                <w:color w:val="auto"/>
                <w:szCs w:val="24"/>
                <w:lang w:bidi="ar"/>
              </w:rPr>
              <w:t>》</w:t>
            </w:r>
            <w:r>
              <w:rPr>
                <w:rFonts w:ascii="Times New Roman" w:hAnsi="Times New Roman"/>
                <w:color w:val="auto"/>
                <w:szCs w:val="24"/>
                <w:lang w:bidi="ar"/>
              </w:rPr>
              <w:t>文件要求。</w:t>
            </w:r>
          </w:p>
          <w:p w14:paraId="24F21519">
            <w:pPr>
              <w:spacing w:line="460" w:lineRule="exact"/>
              <w:jc w:val="left"/>
              <w:rPr>
                <w:b/>
                <w:bCs/>
                <w:color w:val="auto"/>
                <w:sz w:val="24"/>
              </w:rPr>
            </w:pPr>
            <w:r>
              <w:rPr>
                <w:rFonts w:hint="eastAsia"/>
                <w:b/>
                <w:color w:val="auto"/>
                <w:sz w:val="24"/>
                <w:lang w:val="en-US" w:eastAsia="zh-CN"/>
              </w:rPr>
              <w:t>1.4</w:t>
            </w:r>
            <w:r>
              <w:rPr>
                <w:rFonts w:hint="eastAsia"/>
                <w:b/>
                <w:bCs/>
                <w:color w:val="auto"/>
                <w:sz w:val="24"/>
              </w:rPr>
              <w:t>与《中华人民共和国长江保护法》符合性分析</w:t>
            </w:r>
          </w:p>
          <w:p w14:paraId="06E2CBA5">
            <w:pPr>
              <w:pStyle w:val="67"/>
              <w:ind w:firstLine="482"/>
              <w:rPr>
                <w:rFonts w:hint="eastAsia"/>
                <w:b/>
                <w:bCs/>
                <w:color w:val="auto"/>
              </w:rPr>
            </w:pPr>
          </w:p>
          <w:p w14:paraId="52780627">
            <w:pPr>
              <w:pStyle w:val="67"/>
              <w:ind w:firstLine="482"/>
              <w:rPr>
                <w:b/>
                <w:bCs/>
                <w:color w:val="auto"/>
              </w:rPr>
            </w:pPr>
            <w:r>
              <w:rPr>
                <w:rFonts w:hint="eastAsia"/>
                <w:b/>
                <w:bCs/>
                <w:color w:val="auto"/>
              </w:rPr>
              <w:t>表1-</w:t>
            </w:r>
            <w:r>
              <w:rPr>
                <w:rFonts w:hint="eastAsia"/>
                <w:b/>
                <w:bCs/>
                <w:color w:val="auto"/>
                <w:lang w:val="en-US" w:eastAsia="zh-CN"/>
              </w:rPr>
              <w:t>3</w:t>
            </w:r>
            <w:r>
              <w:rPr>
                <w:rFonts w:hint="eastAsia"/>
                <w:b/>
                <w:bCs/>
                <w:color w:val="auto"/>
              </w:rPr>
              <w:t xml:space="preserve">  中华人民共和国长江保护法</w:t>
            </w:r>
            <w:r>
              <w:rPr>
                <w:b/>
                <w:bCs/>
                <w:color w:val="auto"/>
              </w:rPr>
              <w:t>（节选）符合性分析</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5888"/>
              <w:gridCol w:w="1505"/>
            </w:tblGrid>
            <w:tr w14:paraId="4BCCF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30" w:type="pct"/>
                  <w:noWrap w:val="0"/>
                  <w:vAlign w:val="center"/>
                </w:tcPr>
                <w:p w14:paraId="7E7E25C5">
                  <w:pPr>
                    <w:pStyle w:val="68"/>
                    <w:snapToGrid w:val="0"/>
                    <w:spacing w:line="320" w:lineRule="exact"/>
                    <w:rPr>
                      <w:color w:val="auto"/>
                      <w:szCs w:val="21"/>
                      <w:lang w:val="en"/>
                    </w:rPr>
                  </w:pPr>
                  <w:r>
                    <w:rPr>
                      <w:color w:val="auto"/>
                      <w:szCs w:val="21"/>
                      <w:lang w:val="en"/>
                    </w:rPr>
                    <w:t>项目</w:t>
                  </w:r>
                </w:p>
              </w:tc>
              <w:tc>
                <w:tcPr>
                  <w:tcW w:w="3559" w:type="pct"/>
                  <w:noWrap w:val="0"/>
                  <w:vAlign w:val="center"/>
                </w:tcPr>
                <w:p w14:paraId="17E3E727">
                  <w:pPr>
                    <w:pStyle w:val="68"/>
                    <w:snapToGrid w:val="0"/>
                    <w:spacing w:line="320" w:lineRule="exact"/>
                    <w:rPr>
                      <w:color w:val="auto"/>
                      <w:szCs w:val="21"/>
                      <w:lang w:val="en"/>
                    </w:rPr>
                  </w:pPr>
                  <w:r>
                    <w:rPr>
                      <w:color w:val="auto"/>
                      <w:szCs w:val="21"/>
                      <w:lang w:val="en"/>
                    </w:rPr>
                    <w:t>负面清单细则</w:t>
                  </w:r>
                </w:p>
              </w:tc>
              <w:tc>
                <w:tcPr>
                  <w:tcW w:w="910" w:type="pct"/>
                  <w:noWrap w:val="0"/>
                  <w:vAlign w:val="center"/>
                </w:tcPr>
                <w:p w14:paraId="1E98371A">
                  <w:pPr>
                    <w:pStyle w:val="68"/>
                    <w:snapToGrid w:val="0"/>
                    <w:spacing w:line="320" w:lineRule="exact"/>
                    <w:rPr>
                      <w:color w:val="auto"/>
                      <w:szCs w:val="21"/>
                      <w:lang w:val="en"/>
                    </w:rPr>
                  </w:pPr>
                  <w:r>
                    <w:rPr>
                      <w:color w:val="auto"/>
                      <w:szCs w:val="21"/>
                      <w:lang w:val="en"/>
                    </w:rPr>
                    <w:t>项目</w:t>
                  </w:r>
                  <w:r>
                    <w:rPr>
                      <w:rFonts w:hint="eastAsia"/>
                      <w:color w:val="auto"/>
                      <w:szCs w:val="21"/>
                      <w:lang w:val="en"/>
                    </w:rPr>
                    <w:t>符合</w:t>
                  </w:r>
                  <w:r>
                    <w:rPr>
                      <w:color w:val="auto"/>
                      <w:szCs w:val="21"/>
                      <w:lang w:val="en"/>
                    </w:rPr>
                    <w:t>情况</w:t>
                  </w:r>
                </w:p>
              </w:tc>
            </w:tr>
            <w:tr w14:paraId="4A3EB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30" w:type="pct"/>
                  <w:noWrap w:val="0"/>
                  <w:vAlign w:val="center"/>
                </w:tcPr>
                <w:p w14:paraId="6E1F73A8">
                  <w:pPr>
                    <w:pStyle w:val="68"/>
                    <w:snapToGrid w:val="0"/>
                    <w:spacing w:line="320" w:lineRule="exact"/>
                    <w:rPr>
                      <w:color w:val="auto"/>
                      <w:szCs w:val="21"/>
                      <w:lang w:val="en"/>
                    </w:rPr>
                  </w:pPr>
                  <w:r>
                    <w:rPr>
                      <w:color w:val="auto"/>
                      <w:szCs w:val="21"/>
                      <w:lang w:val="en"/>
                    </w:rPr>
                    <w:t>一、规划与管控</w:t>
                  </w:r>
                </w:p>
              </w:tc>
              <w:tc>
                <w:tcPr>
                  <w:tcW w:w="3559" w:type="pct"/>
                  <w:noWrap w:val="0"/>
                  <w:vAlign w:val="center"/>
                </w:tcPr>
                <w:p w14:paraId="3DA0E75F">
                  <w:pPr>
                    <w:pStyle w:val="68"/>
                    <w:snapToGrid w:val="0"/>
                    <w:spacing w:line="320" w:lineRule="exact"/>
                    <w:jc w:val="left"/>
                    <w:rPr>
                      <w:color w:val="auto"/>
                      <w:szCs w:val="21"/>
                      <w:lang w:val="en"/>
                    </w:rPr>
                  </w:pPr>
                  <w:r>
                    <w:rPr>
                      <w:color w:val="auto"/>
                      <w:szCs w:val="21"/>
                      <w:lang w:val="en"/>
                    </w:rPr>
                    <w:t>  第二十二条 长江流域省级人民政</w:t>
                  </w:r>
                  <w:r>
                    <w:rPr>
                      <w:rFonts w:hint="eastAsia"/>
                      <w:color w:val="auto"/>
                      <w:szCs w:val="21"/>
                      <w:lang w:val="en" w:eastAsia="zh-CN"/>
                    </w:rPr>
                    <w:t>府根</w:t>
                  </w:r>
                  <w:r>
                    <w:rPr>
                      <w:color w:val="auto"/>
                      <w:szCs w:val="21"/>
                      <w:lang w:val="en"/>
                    </w:rPr>
                    <w:t>据本行政区域的生态环境和资源利用状况，制定生态环境分区管控方案和生态环境准入清单，报国务院生态环境主管部门备案后实施。生态环境分区管控方案和生态环境准入清单应当与国土空间规划相衔接。长江流域产业结构和布局应当与长江流域生态系统和资源环境承载能力相适应。禁止在长江流域重点生态功能区布局对生态系统有严重影响的产业。禁止重污染企业和项目向长江中上游转移。</w:t>
                  </w:r>
                </w:p>
                <w:p w14:paraId="3D40307F">
                  <w:pPr>
                    <w:pStyle w:val="68"/>
                    <w:snapToGrid w:val="0"/>
                    <w:spacing w:line="320" w:lineRule="exact"/>
                    <w:rPr>
                      <w:color w:val="auto"/>
                      <w:szCs w:val="21"/>
                      <w:lang w:val="en"/>
                    </w:rPr>
                  </w:pPr>
                  <w:r>
                    <w:rPr>
                      <w:color w:val="auto"/>
                      <w:szCs w:val="21"/>
                      <w:lang w:val="en"/>
                    </w:rPr>
                    <w:t>第二十六条 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禁止在长江干支流岸线一公里范围内新建、扩建化工园区和化工项目。禁止在长江干流岸线三公里范围内和重要支流岸线一公里范围内新建、改建、扩建尾矿库；但是以提升安全、生态环境保护水平为目的的改建除外。</w:t>
                  </w:r>
                </w:p>
              </w:tc>
              <w:tc>
                <w:tcPr>
                  <w:tcW w:w="910" w:type="pct"/>
                  <w:vMerge w:val="restart"/>
                  <w:noWrap w:val="0"/>
                  <w:vAlign w:val="center"/>
                </w:tcPr>
                <w:p w14:paraId="12E5FE58">
                  <w:pPr>
                    <w:pStyle w:val="68"/>
                    <w:snapToGrid w:val="0"/>
                    <w:spacing w:line="320" w:lineRule="exact"/>
                    <w:rPr>
                      <w:rFonts w:hint="eastAsia" w:eastAsia="宋体"/>
                      <w:color w:val="auto"/>
                      <w:szCs w:val="21"/>
                      <w:lang w:val="en" w:eastAsia="zh-CN"/>
                    </w:rPr>
                  </w:pPr>
                  <w:r>
                    <w:rPr>
                      <w:rFonts w:hint="eastAsia"/>
                      <w:color w:val="auto"/>
                      <w:szCs w:val="21"/>
                    </w:rPr>
                    <w:t>扩建项目</w:t>
                  </w:r>
                  <w:r>
                    <w:rPr>
                      <w:color w:val="auto"/>
                      <w:szCs w:val="21"/>
                    </w:rPr>
                    <w:t>位于</w:t>
                  </w:r>
                  <w:r>
                    <w:rPr>
                      <w:rFonts w:hint="eastAsia"/>
                      <w:color w:val="auto"/>
                      <w:szCs w:val="21"/>
                      <w:lang w:eastAsia="zh-CN"/>
                    </w:rPr>
                    <w:t>九龙坡区石新路</w:t>
                  </w:r>
                  <w:r>
                    <w:rPr>
                      <w:color w:val="auto"/>
                      <w:szCs w:val="21"/>
                      <w:lang w:val="en"/>
                    </w:rPr>
                    <w:t>，</w:t>
                  </w:r>
                  <w:r>
                    <w:rPr>
                      <w:rFonts w:hint="eastAsia"/>
                      <w:color w:val="auto"/>
                      <w:szCs w:val="21"/>
                      <w:lang w:val="en"/>
                    </w:rPr>
                    <w:t>距离长江干支流岸线距离大于</w:t>
                  </w:r>
                  <w:r>
                    <w:rPr>
                      <w:color w:val="auto"/>
                      <w:szCs w:val="21"/>
                      <w:lang w:val="en"/>
                    </w:rPr>
                    <w:t>1</w:t>
                  </w:r>
                  <w:r>
                    <w:rPr>
                      <w:rFonts w:hint="eastAsia"/>
                      <w:color w:val="auto"/>
                      <w:szCs w:val="21"/>
                      <w:lang w:val="en"/>
                    </w:rPr>
                    <w:t>公里，</w:t>
                  </w:r>
                  <w:r>
                    <w:rPr>
                      <w:color w:val="auto"/>
                      <w:szCs w:val="21"/>
                      <w:lang w:val="en"/>
                    </w:rPr>
                    <w:t>不涉及长江流域重点生态功能区、不属化工行业，无尾矿库</w:t>
                  </w:r>
                  <w:r>
                    <w:rPr>
                      <w:rFonts w:hint="eastAsia"/>
                      <w:color w:val="auto"/>
                      <w:szCs w:val="21"/>
                      <w:lang w:val="en" w:eastAsia="zh-CN"/>
                    </w:rPr>
                    <w:t>。</w:t>
                  </w:r>
                </w:p>
              </w:tc>
            </w:tr>
            <w:tr w14:paraId="12559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530" w:type="pct"/>
                  <w:noWrap w:val="0"/>
                  <w:vAlign w:val="center"/>
                </w:tcPr>
                <w:p w14:paraId="4EB3C482">
                  <w:pPr>
                    <w:pStyle w:val="68"/>
                    <w:snapToGrid w:val="0"/>
                    <w:spacing w:line="320" w:lineRule="exact"/>
                    <w:rPr>
                      <w:color w:val="auto"/>
                      <w:szCs w:val="21"/>
                      <w:lang w:val="en"/>
                    </w:rPr>
                  </w:pPr>
                  <w:r>
                    <w:rPr>
                      <w:color w:val="auto"/>
                      <w:szCs w:val="21"/>
                      <w:lang w:val="en"/>
                    </w:rPr>
                    <w:t>二、水污染防治</w:t>
                  </w:r>
                </w:p>
              </w:tc>
              <w:tc>
                <w:tcPr>
                  <w:tcW w:w="3559" w:type="pct"/>
                  <w:noWrap w:val="0"/>
                  <w:vAlign w:val="center"/>
                </w:tcPr>
                <w:p w14:paraId="104FE6CB">
                  <w:pPr>
                    <w:pStyle w:val="68"/>
                    <w:snapToGrid w:val="0"/>
                    <w:spacing w:line="320" w:lineRule="exact"/>
                    <w:jc w:val="left"/>
                    <w:rPr>
                      <w:color w:val="auto"/>
                      <w:szCs w:val="21"/>
                      <w:lang w:val="en"/>
                    </w:rPr>
                  </w:pPr>
                  <w:r>
                    <w:rPr>
                      <w:color w:val="auto"/>
                      <w:szCs w:val="21"/>
                      <w:lang w:val="en"/>
                    </w:rPr>
                    <w:t>第五十条 长江流域县级以上地方人民政府应当组织对沿河湖垃圾填埋场、加油站、矿山、尾矿库、危险废物处置场、化工园区和化工项目等地下水重点污染源及周边地下水环境风险隐患开展调查评估，并采取相应风险防范和整治措施。</w:t>
                  </w:r>
                </w:p>
              </w:tc>
              <w:tc>
                <w:tcPr>
                  <w:tcW w:w="910" w:type="pct"/>
                  <w:vMerge w:val="continue"/>
                  <w:noWrap w:val="0"/>
                  <w:vAlign w:val="center"/>
                </w:tcPr>
                <w:p w14:paraId="7FEC013E">
                  <w:pPr>
                    <w:pStyle w:val="68"/>
                    <w:rPr>
                      <w:color w:val="auto"/>
                    </w:rPr>
                  </w:pPr>
                </w:p>
              </w:tc>
            </w:tr>
          </w:tbl>
          <w:p w14:paraId="42AF1C79">
            <w:pPr>
              <w:pStyle w:val="70"/>
              <w:widowControl w:val="0"/>
              <w:spacing w:after="0"/>
              <w:ind w:left="0" w:leftChars="0" w:firstLine="480"/>
              <w:outlineLvl w:val="2"/>
              <w:rPr>
                <w:rFonts w:ascii="Times New Roman" w:hAnsi="Times New Roman"/>
                <w:bCs/>
                <w:iCs/>
                <w:color w:val="auto"/>
              </w:rPr>
            </w:pPr>
            <w:r>
              <w:rPr>
                <w:rFonts w:hint="eastAsia" w:ascii="Times New Roman" w:hAnsi="Times New Roman"/>
                <w:bCs/>
                <w:iCs/>
                <w:color w:val="auto"/>
                <w:sz w:val="24"/>
              </w:rPr>
              <w:t>由上表可知，扩建项目符合《中华人民共和国长江保护法》相关规定。</w:t>
            </w:r>
          </w:p>
          <w:p w14:paraId="2B07D2EE">
            <w:pPr>
              <w:spacing w:line="360" w:lineRule="auto"/>
              <w:rPr>
                <w:color w:val="auto"/>
                <w:sz w:val="24"/>
                <w:szCs w:val="24"/>
              </w:rPr>
            </w:pPr>
            <w:r>
              <w:rPr>
                <w:rFonts w:hint="eastAsia"/>
                <w:b/>
                <w:bCs/>
                <w:color w:val="auto"/>
                <w:sz w:val="24"/>
                <w:szCs w:val="24"/>
                <w:lang w:val="en-US" w:eastAsia="zh-CN"/>
              </w:rPr>
              <w:t>1.5与</w:t>
            </w:r>
            <w:r>
              <w:rPr>
                <w:rFonts w:hint="eastAsia"/>
                <w:b/>
                <w:bCs/>
                <w:color w:val="auto"/>
                <w:kern w:val="0"/>
                <w:sz w:val="24"/>
                <w:szCs w:val="24"/>
              </w:rPr>
              <w:t>《关于印发重庆市产业投资准入工作手册的通知》（渝发改投</w:t>
            </w:r>
            <w:r>
              <w:rPr>
                <w:rFonts w:hint="eastAsia"/>
                <w:b/>
                <w:bCs/>
                <w:color w:val="auto"/>
                <w:kern w:val="0"/>
                <w:sz w:val="24"/>
                <w:szCs w:val="24"/>
                <w:lang w:eastAsia="zh-CN"/>
              </w:rPr>
              <w:t>〔</w:t>
            </w:r>
            <w:r>
              <w:rPr>
                <w:rFonts w:hint="eastAsia"/>
                <w:b/>
                <w:bCs/>
                <w:color w:val="auto"/>
                <w:kern w:val="0"/>
                <w:sz w:val="24"/>
                <w:szCs w:val="24"/>
              </w:rPr>
              <w:t>20</w:t>
            </w:r>
            <w:r>
              <w:rPr>
                <w:rFonts w:hint="eastAsia"/>
                <w:b/>
                <w:bCs/>
                <w:color w:val="auto"/>
                <w:kern w:val="0"/>
                <w:sz w:val="24"/>
                <w:szCs w:val="24"/>
                <w:lang w:val="en-US" w:eastAsia="zh-CN"/>
              </w:rPr>
              <w:t>22</w:t>
            </w:r>
            <w:r>
              <w:rPr>
                <w:rFonts w:hint="eastAsia"/>
                <w:b/>
                <w:bCs/>
                <w:color w:val="auto"/>
                <w:kern w:val="0"/>
                <w:sz w:val="24"/>
                <w:szCs w:val="24"/>
                <w:lang w:eastAsia="zh-CN"/>
              </w:rPr>
              <w:t>〕</w:t>
            </w:r>
            <w:r>
              <w:rPr>
                <w:rFonts w:hint="eastAsia"/>
                <w:b/>
                <w:bCs/>
                <w:color w:val="auto"/>
                <w:kern w:val="0"/>
                <w:sz w:val="24"/>
                <w:szCs w:val="24"/>
                <w:lang w:val="en-US" w:eastAsia="zh-CN"/>
              </w:rPr>
              <w:t>1436</w:t>
            </w:r>
            <w:r>
              <w:rPr>
                <w:rFonts w:hint="eastAsia"/>
                <w:b/>
                <w:bCs/>
                <w:color w:val="auto"/>
                <w:kern w:val="0"/>
                <w:sz w:val="24"/>
                <w:szCs w:val="24"/>
              </w:rPr>
              <w:t>号）符合性分析</w:t>
            </w:r>
          </w:p>
          <w:p w14:paraId="77B3E852">
            <w:pPr>
              <w:jc w:val="center"/>
              <w:rPr>
                <w:b/>
                <w:bCs/>
                <w:color w:val="auto"/>
                <w:sz w:val="24"/>
              </w:rPr>
            </w:pPr>
            <w:r>
              <w:rPr>
                <w:b/>
                <w:bCs/>
                <w:color w:val="auto"/>
                <w:sz w:val="24"/>
              </w:rPr>
              <w:t>表1-</w:t>
            </w:r>
            <w:r>
              <w:rPr>
                <w:rFonts w:hint="eastAsia"/>
                <w:b/>
                <w:bCs/>
                <w:color w:val="auto"/>
                <w:sz w:val="24"/>
                <w:lang w:val="en-US" w:eastAsia="zh-CN"/>
              </w:rPr>
              <w:t>4</w:t>
            </w:r>
            <w:r>
              <w:rPr>
                <w:rFonts w:hint="eastAsia"/>
                <w:b/>
                <w:bCs/>
                <w:color w:val="auto"/>
                <w:sz w:val="24"/>
              </w:rPr>
              <w:t xml:space="preserve"> </w:t>
            </w:r>
            <w:r>
              <w:rPr>
                <w:b/>
                <w:bCs/>
                <w:color w:val="auto"/>
                <w:sz w:val="24"/>
              </w:rPr>
              <w:t>重庆市产业投资准入工作手册符合性分析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
              <w:gridCol w:w="3808"/>
              <w:gridCol w:w="2666"/>
              <w:gridCol w:w="1167"/>
            </w:tblGrid>
            <w:tr w14:paraId="36A75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ACC21B3">
                  <w:pPr>
                    <w:jc w:val="center"/>
                    <w:rPr>
                      <w:color w:val="auto"/>
                      <w:szCs w:val="21"/>
                    </w:rPr>
                  </w:pPr>
                  <w:r>
                    <w:rPr>
                      <w:rFonts w:hint="eastAsia"/>
                      <w:color w:val="auto"/>
                      <w:szCs w:val="21"/>
                    </w:rPr>
                    <w:t>序号</w:t>
                  </w:r>
                </w:p>
              </w:tc>
              <w:tc>
                <w:tcPr>
                  <w:tcW w:w="3750" w:type="dxa"/>
                  <w:noWrap w:val="0"/>
                  <w:vAlign w:val="center"/>
                </w:tcPr>
                <w:p w14:paraId="20A596DF">
                  <w:pPr>
                    <w:jc w:val="center"/>
                    <w:rPr>
                      <w:color w:val="auto"/>
                      <w:szCs w:val="21"/>
                    </w:rPr>
                  </w:pPr>
                  <w:r>
                    <w:rPr>
                      <w:rFonts w:hint="eastAsia"/>
                      <w:color w:val="auto"/>
                      <w:szCs w:val="21"/>
                    </w:rPr>
                    <w:t>《重庆市产业投资准入工作手册》规定</w:t>
                  </w:r>
                </w:p>
              </w:tc>
              <w:tc>
                <w:tcPr>
                  <w:tcW w:w="2626" w:type="dxa"/>
                  <w:noWrap w:val="0"/>
                  <w:vAlign w:val="center"/>
                </w:tcPr>
                <w:p w14:paraId="542DBCE6">
                  <w:pPr>
                    <w:jc w:val="center"/>
                    <w:rPr>
                      <w:color w:val="auto"/>
                      <w:szCs w:val="21"/>
                    </w:rPr>
                  </w:pPr>
                  <w:r>
                    <w:rPr>
                      <w:rFonts w:hint="eastAsia"/>
                      <w:color w:val="auto"/>
                      <w:szCs w:val="21"/>
                    </w:rPr>
                    <w:t>项目对比分析</w:t>
                  </w:r>
                </w:p>
              </w:tc>
              <w:tc>
                <w:tcPr>
                  <w:tcW w:w="1149" w:type="dxa"/>
                  <w:noWrap w:val="0"/>
                  <w:vAlign w:val="center"/>
                </w:tcPr>
                <w:p w14:paraId="6D1DA221">
                  <w:pPr>
                    <w:jc w:val="center"/>
                    <w:rPr>
                      <w:color w:val="auto"/>
                      <w:szCs w:val="21"/>
                    </w:rPr>
                  </w:pPr>
                  <w:r>
                    <w:rPr>
                      <w:rFonts w:hint="eastAsia"/>
                      <w:color w:val="auto"/>
                      <w:szCs w:val="21"/>
                    </w:rPr>
                    <w:t>分析结果</w:t>
                  </w:r>
                </w:p>
              </w:tc>
            </w:tr>
            <w:tr w14:paraId="34CE1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0" w:type="dxa"/>
                  <w:gridSpan w:val="4"/>
                  <w:noWrap w:val="0"/>
                  <w:vAlign w:val="center"/>
                </w:tcPr>
                <w:p w14:paraId="2ADFD57A">
                  <w:pPr>
                    <w:jc w:val="center"/>
                    <w:rPr>
                      <w:rFonts w:hint="eastAsia"/>
                      <w:color w:val="auto"/>
                      <w:szCs w:val="21"/>
                    </w:rPr>
                  </w:pPr>
                  <w:r>
                    <w:rPr>
                      <w:rFonts w:hint="eastAsia"/>
                      <w:color w:val="auto"/>
                      <w:szCs w:val="21"/>
                      <w:lang w:val="en-US" w:eastAsia="zh-CN"/>
                    </w:rPr>
                    <w:t>一、</w:t>
                  </w:r>
                  <w:r>
                    <w:rPr>
                      <w:rFonts w:hint="eastAsia"/>
                      <w:color w:val="auto"/>
                      <w:szCs w:val="21"/>
                    </w:rPr>
                    <w:t>不予准入类</w:t>
                  </w:r>
                </w:p>
              </w:tc>
            </w:tr>
            <w:tr w14:paraId="2AC9E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0" w:type="dxa"/>
                  <w:gridSpan w:val="4"/>
                  <w:noWrap w:val="0"/>
                  <w:vAlign w:val="center"/>
                </w:tcPr>
                <w:p w14:paraId="4BA4FFCD">
                  <w:pPr>
                    <w:jc w:val="center"/>
                    <w:rPr>
                      <w:color w:val="auto"/>
                      <w:szCs w:val="21"/>
                    </w:rPr>
                  </w:pPr>
                  <w:r>
                    <w:rPr>
                      <w:rFonts w:hint="eastAsia"/>
                      <w:color w:val="auto"/>
                      <w:szCs w:val="21"/>
                    </w:rPr>
                    <w:t>（一）全市范围内不予准入的产业</w:t>
                  </w:r>
                </w:p>
              </w:tc>
            </w:tr>
            <w:tr w14:paraId="02EB2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BDD31AB">
                  <w:pPr>
                    <w:jc w:val="center"/>
                    <w:rPr>
                      <w:color w:val="auto"/>
                      <w:szCs w:val="21"/>
                    </w:rPr>
                  </w:pPr>
                  <w:r>
                    <w:rPr>
                      <w:rFonts w:hint="eastAsia"/>
                      <w:color w:val="auto"/>
                      <w:szCs w:val="21"/>
                    </w:rPr>
                    <w:t>1</w:t>
                  </w:r>
                </w:p>
              </w:tc>
              <w:tc>
                <w:tcPr>
                  <w:tcW w:w="3750" w:type="dxa"/>
                  <w:noWrap w:val="0"/>
                  <w:vAlign w:val="center"/>
                </w:tcPr>
                <w:p w14:paraId="7C6C6681">
                  <w:pPr>
                    <w:jc w:val="center"/>
                    <w:rPr>
                      <w:color w:val="auto"/>
                      <w:szCs w:val="21"/>
                    </w:rPr>
                  </w:pPr>
                  <w:r>
                    <w:rPr>
                      <w:color w:val="auto"/>
                      <w:szCs w:val="21"/>
                    </w:rPr>
                    <w:t>国家产业结构调整指导目录中的淘汰类项目。</w:t>
                  </w:r>
                </w:p>
              </w:tc>
              <w:tc>
                <w:tcPr>
                  <w:tcW w:w="2626" w:type="dxa"/>
                  <w:noWrap w:val="0"/>
                  <w:vAlign w:val="center"/>
                </w:tcPr>
                <w:p w14:paraId="620FACA8">
                  <w:pPr>
                    <w:jc w:val="center"/>
                    <w:rPr>
                      <w:color w:val="auto"/>
                      <w:szCs w:val="21"/>
                    </w:rPr>
                  </w:pPr>
                  <w:r>
                    <w:rPr>
                      <w:rFonts w:hint="eastAsia" w:ascii="Times New Roman" w:hAnsi="Times New Roman"/>
                      <w:color w:val="auto"/>
                    </w:rPr>
                    <w:t>扩建</w:t>
                  </w:r>
                  <w:r>
                    <w:rPr>
                      <w:rFonts w:ascii="Times New Roman" w:hAnsi="Times New Roman"/>
                      <w:color w:val="auto"/>
                    </w:rPr>
                    <w:t>项目属于社会服务类（医院）项目，</w:t>
                  </w:r>
                  <w:r>
                    <w:rPr>
                      <w:rFonts w:hint="eastAsia"/>
                      <w:color w:val="auto"/>
                      <w:szCs w:val="21"/>
                    </w:rPr>
                    <w:t>不属于《产业结构调整指导目录（20</w:t>
                  </w:r>
                  <w:r>
                    <w:rPr>
                      <w:rFonts w:hint="eastAsia"/>
                      <w:color w:val="auto"/>
                      <w:szCs w:val="21"/>
                      <w:lang w:val="en-US" w:eastAsia="zh-CN"/>
                    </w:rPr>
                    <w:t>24</w:t>
                  </w:r>
                  <w:r>
                    <w:rPr>
                      <w:rFonts w:hint="eastAsia"/>
                      <w:color w:val="auto"/>
                      <w:szCs w:val="21"/>
                    </w:rPr>
                    <w:t>年本）》中淘汰类项目</w:t>
                  </w:r>
                </w:p>
              </w:tc>
              <w:tc>
                <w:tcPr>
                  <w:tcW w:w="1149" w:type="dxa"/>
                  <w:vMerge w:val="restart"/>
                  <w:noWrap w:val="0"/>
                  <w:vAlign w:val="center"/>
                </w:tcPr>
                <w:p w14:paraId="0A158A4B">
                  <w:pPr>
                    <w:jc w:val="center"/>
                    <w:rPr>
                      <w:color w:val="auto"/>
                      <w:szCs w:val="21"/>
                    </w:rPr>
                  </w:pPr>
                  <w:r>
                    <w:rPr>
                      <w:rFonts w:hint="eastAsia"/>
                      <w:color w:val="auto"/>
                      <w:szCs w:val="21"/>
                    </w:rPr>
                    <w:t>不属于《重庆市产业投资准入工作手册》全市范围内不予准入的项目。</w:t>
                  </w:r>
                </w:p>
              </w:tc>
            </w:tr>
            <w:tr w14:paraId="737DA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25" w:type="dxa"/>
                  <w:noWrap w:val="0"/>
                  <w:vAlign w:val="center"/>
                </w:tcPr>
                <w:p w14:paraId="19C9CAD1">
                  <w:pPr>
                    <w:jc w:val="center"/>
                    <w:rPr>
                      <w:color w:val="auto"/>
                      <w:szCs w:val="21"/>
                    </w:rPr>
                  </w:pPr>
                  <w:r>
                    <w:rPr>
                      <w:rFonts w:hint="eastAsia"/>
                      <w:color w:val="auto"/>
                      <w:szCs w:val="21"/>
                    </w:rPr>
                    <w:t>2</w:t>
                  </w:r>
                </w:p>
              </w:tc>
              <w:tc>
                <w:tcPr>
                  <w:tcW w:w="3750" w:type="dxa"/>
                  <w:noWrap w:val="0"/>
                  <w:vAlign w:val="center"/>
                </w:tcPr>
                <w:p w14:paraId="45599672">
                  <w:pPr>
                    <w:jc w:val="center"/>
                    <w:rPr>
                      <w:color w:val="auto"/>
                      <w:kern w:val="2"/>
                      <w:sz w:val="21"/>
                      <w:szCs w:val="21"/>
                      <w:lang w:val="en-US" w:eastAsia="zh-CN" w:bidi="ar-SA"/>
                    </w:rPr>
                  </w:pPr>
                  <w:r>
                    <w:rPr>
                      <w:color w:val="auto"/>
                      <w:szCs w:val="21"/>
                    </w:rPr>
                    <w:t>天然林商业性采伐。</w:t>
                  </w:r>
                </w:p>
              </w:tc>
              <w:tc>
                <w:tcPr>
                  <w:tcW w:w="2626" w:type="dxa"/>
                  <w:noWrap w:val="0"/>
                  <w:vAlign w:val="center"/>
                </w:tcPr>
                <w:p w14:paraId="04E8FB8A">
                  <w:pPr>
                    <w:jc w:val="center"/>
                    <w:rPr>
                      <w:color w:val="auto"/>
                      <w:kern w:val="2"/>
                      <w:sz w:val="21"/>
                      <w:szCs w:val="21"/>
                      <w:lang w:val="en-US" w:eastAsia="zh-CN"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项目不属于</w:t>
                  </w:r>
                  <w:r>
                    <w:rPr>
                      <w:color w:val="auto"/>
                      <w:szCs w:val="21"/>
                    </w:rPr>
                    <w:t>天然林商业性采伐</w:t>
                  </w:r>
                  <w:r>
                    <w:rPr>
                      <w:rFonts w:hint="eastAsia"/>
                      <w:color w:val="auto"/>
                      <w:szCs w:val="21"/>
                    </w:rPr>
                    <w:t>项目</w:t>
                  </w:r>
                </w:p>
              </w:tc>
              <w:tc>
                <w:tcPr>
                  <w:tcW w:w="1149" w:type="dxa"/>
                  <w:vMerge w:val="continue"/>
                  <w:noWrap w:val="0"/>
                  <w:vAlign w:val="center"/>
                </w:tcPr>
                <w:p w14:paraId="70BD2CC4">
                  <w:pPr>
                    <w:jc w:val="center"/>
                    <w:rPr>
                      <w:color w:val="auto"/>
                      <w:szCs w:val="21"/>
                    </w:rPr>
                  </w:pPr>
                </w:p>
              </w:tc>
            </w:tr>
            <w:tr w14:paraId="7B48A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2309606A">
                  <w:pPr>
                    <w:jc w:val="center"/>
                    <w:rPr>
                      <w:color w:val="auto"/>
                      <w:szCs w:val="21"/>
                    </w:rPr>
                  </w:pPr>
                  <w:r>
                    <w:rPr>
                      <w:rFonts w:hint="eastAsia"/>
                      <w:color w:val="auto"/>
                      <w:szCs w:val="21"/>
                    </w:rPr>
                    <w:t>3</w:t>
                  </w:r>
                </w:p>
              </w:tc>
              <w:tc>
                <w:tcPr>
                  <w:tcW w:w="3750" w:type="dxa"/>
                  <w:noWrap w:val="0"/>
                  <w:vAlign w:val="center"/>
                </w:tcPr>
                <w:p w14:paraId="52D0F366">
                  <w:pPr>
                    <w:jc w:val="center"/>
                    <w:rPr>
                      <w:color w:val="auto"/>
                      <w:kern w:val="2"/>
                      <w:sz w:val="21"/>
                      <w:szCs w:val="21"/>
                      <w:lang w:val="en-US" w:eastAsia="zh-CN" w:bidi="ar-SA"/>
                    </w:rPr>
                  </w:pPr>
                  <w:r>
                    <w:rPr>
                      <w:rFonts w:hint="eastAsia"/>
                      <w:color w:val="auto"/>
                      <w:szCs w:val="21"/>
                    </w:rPr>
                    <w:t>法律法规和相关政策明令不予准入的其他项目。</w:t>
                  </w:r>
                </w:p>
              </w:tc>
              <w:tc>
                <w:tcPr>
                  <w:tcW w:w="2626" w:type="dxa"/>
                  <w:noWrap w:val="0"/>
                  <w:vAlign w:val="center"/>
                </w:tcPr>
                <w:p w14:paraId="6FE1BC41">
                  <w:pPr>
                    <w:jc w:val="center"/>
                    <w:rPr>
                      <w:rFonts w:hint="eastAsia" w:eastAsia="宋体"/>
                      <w:color w:val="auto"/>
                      <w:kern w:val="2"/>
                      <w:sz w:val="21"/>
                      <w:szCs w:val="21"/>
                      <w:lang w:val="en-US" w:eastAsia="zh-CN"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项目不属于法律法规和相关政策明令不予准入的其他项目</w:t>
                  </w:r>
                  <w:r>
                    <w:rPr>
                      <w:rFonts w:hint="eastAsia"/>
                      <w:color w:val="auto"/>
                      <w:szCs w:val="21"/>
                      <w:lang w:eastAsia="zh-CN"/>
                    </w:rPr>
                    <w:t>。</w:t>
                  </w:r>
                </w:p>
              </w:tc>
              <w:tc>
                <w:tcPr>
                  <w:tcW w:w="1149" w:type="dxa"/>
                  <w:vMerge w:val="continue"/>
                  <w:noWrap w:val="0"/>
                  <w:vAlign w:val="center"/>
                </w:tcPr>
                <w:p w14:paraId="007A4DD4">
                  <w:pPr>
                    <w:jc w:val="center"/>
                    <w:rPr>
                      <w:color w:val="auto"/>
                      <w:szCs w:val="21"/>
                    </w:rPr>
                  </w:pPr>
                </w:p>
              </w:tc>
            </w:tr>
            <w:tr w14:paraId="5224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0" w:type="dxa"/>
                  <w:gridSpan w:val="4"/>
                  <w:noWrap w:val="0"/>
                  <w:vAlign w:val="center"/>
                </w:tcPr>
                <w:p w14:paraId="4EBA1DD4">
                  <w:pPr>
                    <w:jc w:val="center"/>
                    <w:rPr>
                      <w:color w:val="auto"/>
                      <w:szCs w:val="21"/>
                    </w:rPr>
                  </w:pPr>
                  <w:r>
                    <w:rPr>
                      <w:rFonts w:hint="eastAsia"/>
                      <w:color w:val="auto"/>
                      <w:szCs w:val="21"/>
                    </w:rPr>
                    <w:t>（二）重点区域范围内不予准入的产业</w:t>
                  </w:r>
                </w:p>
              </w:tc>
            </w:tr>
            <w:tr w14:paraId="08CA5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3A880C5">
                  <w:pPr>
                    <w:jc w:val="center"/>
                    <w:rPr>
                      <w:color w:val="auto"/>
                      <w:szCs w:val="21"/>
                    </w:rPr>
                  </w:pPr>
                  <w:r>
                    <w:rPr>
                      <w:rFonts w:hint="eastAsia"/>
                      <w:color w:val="auto"/>
                      <w:szCs w:val="21"/>
                    </w:rPr>
                    <w:t>1</w:t>
                  </w:r>
                </w:p>
              </w:tc>
              <w:tc>
                <w:tcPr>
                  <w:tcW w:w="3750" w:type="dxa"/>
                  <w:noWrap w:val="0"/>
                  <w:vAlign w:val="center"/>
                </w:tcPr>
                <w:p w14:paraId="3A4FF736">
                  <w:pPr>
                    <w:jc w:val="center"/>
                    <w:rPr>
                      <w:color w:val="auto"/>
                      <w:kern w:val="2"/>
                      <w:sz w:val="21"/>
                      <w:szCs w:val="21"/>
                      <w:lang w:val="en-US" w:eastAsia="zh-CN" w:bidi="ar-SA"/>
                    </w:rPr>
                  </w:pPr>
                  <w:r>
                    <w:rPr>
                      <w:color w:val="auto"/>
                      <w:szCs w:val="21"/>
                    </w:rPr>
                    <w:t>外环绕城高速公路以内长江、嘉陵江水域采砂。</w:t>
                  </w:r>
                </w:p>
              </w:tc>
              <w:tc>
                <w:tcPr>
                  <w:tcW w:w="2626" w:type="dxa"/>
                  <w:noWrap w:val="0"/>
                  <w:vAlign w:val="center"/>
                </w:tcPr>
                <w:p w14:paraId="1A9B0665">
                  <w:pPr>
                    <w:jc w:val="center"/>
                    <w:rPr>
                      <w:color w:val="auto"/>
                      <w:kern w:val="2"/>
                      <w:sz w:val="21"/>
                      <w:szCs w:val="21"/>
                      <w:lang w:val="en-US" w:eastAsia="zh-CN"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项目不属于</w:t>
                  </w:r>
                  <w:r>
                    <w:rPr>
                      <w:color w:val="auto"/>
                      <w:szCs w:val="21"/>
                    </w:rPr>
                    <w:t>采砂</w:t>
                  </w:r>
                  <w:r>
                    <w:rPr>
                      <w:rFonts w:hint="eastAsia"/>
                      <w:color w:val="auto"/>
                      <w:szCs w:val="21"/>
                    </w:rPr>
                    <w:t>项目</w:t>
                  </w:r>
                </w:p>
              </w:tc>
              <w:tc>
                <w:tcPr>
                  <w:tcW w:w="1149" w:type="dxa"/>
                  <w:vMerge w:val="restart"/>
                  <w:noWrap w:val="0"/>
                  <w:vAlign w:val="center"/>
                </w:tcPr>
                <w:p w14:paraId="454D1311">
                  <w:pPr>
                    <w:jc w:val="center"/>
                    <w:rPr>
                      <w:color w:val="auto"/>
                      <w:szCs w:val="21"/>
                    </w:rPr>
                  </w:pPr>
                  <w:r>
                    <w:rPr>
                      <w:rFonts w:hint="eastAsia"/>
                      <w:color w:val="auto"/>
                      <w:szCs w:val="21"/>
                      <w:lang w:val="en-US" w:eastAsia="zh-CN"/>
                    </w:rPr>
                    <w:t>扩建</w:t>
                  </w:r>
                  <w:r>
                    <w:rPr>
                      <w:rFonts w:hint="eastAsia"/>
                      <w:color w:val="auto"/>
                      <w:szCs w:val="21"/>
                    </w:rPr>
                    <w:t>项目不属于重点区域范围内不予准入的项目。</w:t>
                  </w:r>
                </w:p>
              </w:tc>
            </w:tr>
            <w:tr w14:paraId="1892E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182CBDC7">
                  <w:pPr>
                    <w:jc w:val="center"/>
                    <w:rPr>
                      <w:color w:val="auto"/>
                      <w:szCs w:val="21"/>
                    </w:rPr>
                  </w:pPr>
                  <w:r>
                    <w:rPr>
                      <w:rFonts w:hint="eastAsia"/>
                      <w:color w:val="auto"/>
                      <w:szCs w:val="21"/>
                    </w:rPr>
                    <w:t>2</w:t>
                  </w:r>
                </w:p>
              </w:tc>
              <w:tc>
                <w:tcPr>
                  <w:tcW w:w="3750" w:type="dxa"/>
                  <w:noWrap w:val="0"/>
                  <w:vAlign w:val="center"/>
                </w:tcPr>
                <w:p w14:paraId="10CF0CBB">
                  <w:pPr>
                    <w:jc w:val="center"/>
                    <w:rPr>
                      <w:color w:val="auto"/>
                      <w:kern w:val="2"/>
                      <w:sz w:val="21"/>
                      <w:szCs w:val="21"/>
                      <w:lang w:val="en-US" w:eastAsia="zh-CN" w:bidi="ar-SA"/>
                    </w:rPr>
                  </w:pPr>
                  <w:r>
                    <w:rPr>
                      <w:color w:val="auto"/>
                      <w:szCs w:val="21"/>
                    </w:rPr>
                    <w:t>二十五度以上陡坡地开垦种植农作物。</w:t>
                  </w:r>
                </w:p>
              </w:tc>
              <w:tc>
                <w:tcPr>
                  <w:tcW w:w="2626" w:type="dxa"/>
                  <w:noWrap w:val="0"/>
                  <w:vAlign w:val="center"/>
                </w:tcPr>
                <w:p w14:paraId="66E51DC3">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项目不属于开垦种植农作物项目</w:t>
                  </w:r>
                </w:p>
              </w:tc>
              <w:tc>
                <w:tcPr>
                  <w:tcW w:w="1149" w:type="dxa"/>
                  <w:vMerge w:val="continue"/>
                  <w:noWrap w:val="0"/>
                  <w:vAlign w:val="center"/>
                </w:tcPr>
                <w:p w14:paraId="0CB4FFC7">
                  <w:pPr>
                    <w:jc w:val="center"/>
                    <w:rPr>
                      <w:color w:val="auto"/>
                      <w:szCs w:val="21"/>
                    </w:rPr>
                  </w:pPr>
                </w:p>
              </w:tc>
            </w:tr>
            <w:tr w14:paraId="70BA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4E484E4">
                  <w:pPr>
                    <w:jc w:val="center"/>
                    <w:rPr>
                      <w:color w:val="auto"/>
                      <w:szCs w:val="21"/>
                    </w:rPr>
                  </w:pPr>
                  <w:r>
                    <w:rPr>
                      <w:rFonts w:hint="eastAsia"/>
                      <w:color w:val="auto"/>
                      <w:szCs w:val="21"/>
                    </w:rPr>
                    <w:t>3</w:t>
                  </w:r>
                </w:p>
              </w:tc>
              <w:tc>
                <w:tcPr>
                  <w:tcW w:w="3750" w:type="dxa"/>
                  <w:noWrap w:val="0"/>
                  <w:vAlign w:val="center"/>
                </w:tcPr>
                <w:p w14:paraId="24436717">
                  <w:pPr>
                    <w:jc w:val="center"/>
                    <w:rPr>
                      <w:color w:val="auto"/>
                      <w:kern w:val="2"/>
                      <w:sz w:val="21"/>
                      <w:szCs w:val="21"/>
                      <w:lang w:val="en-US" w:eastAsia="zh-CN" w:bidi="ar-SA"/>
                    </w:rPr>
                  </w:pPr>
                  <w:r>
                    <w:rPr>
                      <w:rFonts w:hint="eastAsia"/>
                      <w:color w:val="auto"/>
                      <w:szCs w:val="21"/>
                    </w:rPr>
                    <w:t>在自然保护区核心区、缓冲区的岸线和河段范围内投资建设旅游和生产经营项目。</w:t>
                  </w:r>
                </w:p>
              </w:tc>
              <w:tc>
                <w:tcPr>
                  <w:tcW w:w="2626" w:type="dxa"/>
                  <w:noWrap w:val="0"/>
                  <w:vAlign w:val="center"/>
                </w:tcPr>
                <w:p w14:paraId="7BB583C7">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3ECE3330">
                  <w:pPr>
                    <w:jc w:val="center"/>
                    <w:rPr>
                      <w:color w:val="auto"/>
                      <w:szCs w:val="21"/>
                    </w:rPr>
                  </w:pPr>
                </w:p>
              </w:tc>
            </w:tr>
            <w:tr w14:paraId="11E5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3DDFE6C4">
                  <w:pPr>
                    <w:jc w:val="center"/>
                    <w:rPr>
                      <w:color w:val="auto"/>
                      <w:szCs w:val="21"/>
                    </w:rPr>
                  </w:pPr>
                  <w:r>
                    <w:rPr>
                      <w:rFonts w:hint="eastAsia"/>
                      <w:color w:val="auto"/>
                      <w:szCs w:val="21"/>
                    </w:rPr>
                    <w:t>4</w:t>
                  </w:r>
                </w:p>
              </w:tc>
              <w:tc>
                <w:tcPr>
                  <w:tcW w:w="3750" w:type="dxa"/>
                  <w:noWrap w:val="0"/>
                  <w:vAlign w:val="center"/>
                </w:tcPr>
                <w:p w14:paraId="56673A7D">
                  <w:pPr>
                    <w:jc w:val="center"/>
                    <w:rPr>
                      <w:rFonts w:hint="eastAsia"/>
                      <w:color w:val="auto"/>
                      <w:kern w:val="2"/>
                      <w:sz w:val="21"/>
                      <w:szCs w:val="21"/>
                      <w:lang w:val="en-US" w:eastAsia="zh-CN" w:bidi="ar-SA"/>
                    </w:rPr>
                  </w:pPr>
                  <w:r>
                    <w:rPr>
                      <w:rFonts w:hint="eastAsia"/>
                      <w:color w:val="auto"/>
                      <w:szCs w:val="21"/>
                    </w:rPr>
                    <w:t>饮用水水源一级保护区的岸线和河段范围内新建、改建、扩建与供水设施和保护水源无关的项目，以及网箱养殖、畜禽养殖、放养畜禽、旅游等可能污染饮用水水体的投资建设项目。在饮用水水源二级保护区的岸线和河段范围内新建、改建、扩建排放污染物的投资建设项目。</w:t>
                  </w:r>
                </w:p>
              </w:tc>
              <w:tc>
                <w:tcPr>
                  <w:tcW w:w="2626" w:type="dxa"/>
                  <w:noWrap w:val="0"/>
                  <w:vAlign w:val="center"/>
                </w:tcPr>
                <w:p w14:paraId="14091A43">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50CB4948">
                  <w:pPr>
                    <w:jc w:val="center"/>
                    <w:rPr>
                      <w:color w:val="auto"/>
                      <w:szCs w:val="21"/>
                    </w:rPr>
                  </w:pPr>
                </w:p>
              </w:tc>
            </w:tr>
            <w:tr w14:paraId="7A00F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5" w:type="dxa"/>
                  <w:noWrap w:val="0"/>
                  <w:vAlign w:val="center"/>
                </w:tcPr>
                <w:p w14:paraId="31A4A813">
                  <w:pPr>
                    <w:jc w:val="center"/>
                    <w:rPr>
                      <w:color w:val="auto"/>
                      <w:szCs w:val="21"/>
                    </w:rPr>
                  </w:pPr>
                  <w:r>
                    <w:rPr>
                      <w:rFonts w:hint="eastAsia"/>
                      <w:color w:val="auto"/>
                      <w:szCs w:val="21"/>
                    </w:rPr>
                    <w:t>5</w:t>
                  </w:r>
                </w:p>
              </w:tc>
              <w:tc>
                <w:tcPr>
                  <w:tcW w:w="3750" w:type="dxa"/>
                  <w:noWrap w:val="0"/>
                  <w:vAlign w:val="center"/>
                </w:tcPr>
                <w:p w14:paraId="12CE6C9D">
                  <w:pPr>
                    <w:jc w:val="center"/>
                    <w:rPr>
                      <w:rFonts w:hint="eastAsia"/>
                      <w:color w:val="auto"/>
                      <w:kern w:val="2"/>
                      <w:sz w:val="21"/>
                      <w:szCs w:val="21"/>
                      <w:lang w:val="en-US" w:eastAsia="zh-CN" w:bidi="ar-SA"/>
                    </w:rPr>
                  </w:pPr>
                  <w:r>
                    <w:rPr>
                      <w:rFonts w:hint="eastAsia" w:ascii="Times New Roman" w:hAnsi="Times New Roman" w:eastAsia="宋体" w:cs="Times New Roman"/>
                      <w:color w:val="auto"/>
                      <w:szCs w:val="21"/>
                    </w:rPr>
                    <w:t>长江干流岸线3公里范围内和重要支流岸线1公里范围内新建、改建、扩建尾矿库、冶炼渣库和磷石膏库（以提升安全、生态环境保护水平为目的的改建除外）。</w:t>
                  </w:r>
                </w:p>
              </w:tc>
              <w:tc>
                <w:tcPr>
                  <w:tcW w:w="2626" w:type="dxa"/>
                  <w:noWrap w:val="0"/>
                  <w:vAlign w:val="center"/>
                </w:tcPr>
                <w:p w14:paraId="1C6BBF93">
                  <w:pPr>
                    <w:jc w:val="center"/>
                    <w:rPr>
                      <w:rFonts w:hint="default" w:eastAsia="宋体"/>
                      <w:color w:val="auto"/>
                      <w:kern w:val="2"/>
                      <w:sz w:val="21"/>
                      <w:szCs w:val="21"/>
                      <w:lang w:val="en-US" w:eastAsia="zh-CN"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w:t>
                  </w:r>
                  <w:r>
                    <w:rPr>
                      <w:rFonts w:hint="eastAsia"/>
                      <w:color w:val="auto"/>
                      <w:szCs w:val="21"/>
                      <w:lang w:val="en-US" w:eastAsia="zh-CN"/>
                    </w:rPr>
                    <w:t>不属于</w:t>
                  </w:r>
                  <w:r>
                    <w:rPr>
                      <w:rFonts w:hint="eastAsia" w:ascii="Times New Roman" w:hAnsi="Times New Roman" w:eastAsia="宋体" w:cs="Times New Roman"/>
                      <w:color w:val="auto"/>
                      <w:szCs w:val="21"/>
                    </w:rPr>
                    <w:t>尾矿库、冶炼渣库和磷石膏库</w:t>
                  </w:r>
                  <w:r>
                    <w:rPr>
                      <w:rFonts w:hint="eastAsia" w:ascii="Times New Roman" w:hAnsi="Times New Roman" w:eastAsia="宋体" w:cs="Times New Roman"/>
                      <w:color w:val="auto"/>
                      <w:szCs w:val="21"/>
                      <w:lang w:val="en-US" w:eastAsia="zh-CN"/>
                    </w:rPr>
                    <w:t>类项目</w:t>
                  </w:r>
                </w:p>
              </w:tc>
              <w:tc>
                <w:tcPr>
                  <w:tcW w:w="1149" w:type="dxa"/>
                  <w:vMerge w:val="continue"/>
                  <w:noWrap w:val="0"/>
                  <w:vAlign w:val="center"/>
                </w:tcPr>
                <w:p w14:paraId="0D5226AB">
                  <w:pPr>
                    <w:jc w:val="center"/>
                    <w:rPr>
                      <w:color w:val="auto"/>
                      <w:szCs w:val="21"/>
                    </w:rPr>
                  </w:pPr>
                </w:p>
              </w:tc>
            </w:tr>
            <w:tr w14:paraId="43C06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C78D1F8">
                  <w:pPr>
                    <w:jc w:val="center"/>
                    <w:rPr>
                      <w:color w:val="auto"/>
                      <w:szCs w:val="21"/>
                    </w:rPr>
                  </w:pPr>
                  <w:r>
                    <w:rPr>
                      <w:rFonts w:hint="eastAsia"/>
                      <w:color w:val="auto"/>
                      <w:szCs w:val="21"/>
                    </w:rPr>
                    <w:t>6</w:t>
                  </w:r>
                </w:p>
              </w:tc>
              <w:tc>
                <w:tcPr>
                  <w:tcW w:w="3750" w:type="dxa"/>
                  <w:noWrap w:val="0"/>
                  <w:vAlign w:val="center"/>
                </w:tcPr>
                <w:p w14:paraId="6F084265">
                  <w:pPr>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rPr>
                    <w:t>在风景名胜区核心景区的岸线和河段范围内投资建设与风景名胜资源保护无关的项目。</w:t>
                  </w:r>
                </w:p>
              </w:tc>
              <w:tc>
                <w:tcPr>
                  <w:tcW w:w="2626" w:type="dxa"/>
                  <w:noWrap w:val="0"/>
                  <w:vAlign w:val="center"/>
                </w:tcPr>
                <w:p w14:paraId="4585D74A">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0839F131">
                  <w:pPr>
                    <w:jc w:val="center"/>
                    <w:rPr>
                      <w:color w:val="auto"/>
                      <w:szCs w:val="21"/>
                    </w:rPr>
                  </w:pPr>
                </w:p>
              </w:tc>
            </w:tr>
            <w:tr w14:paraId="66D4F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479F09A7">
                  <w:pPr>
                    <w:jc w:val="center"/>
                    <w:rPr>
                      <w:color w:val="auto"/>
                      <w:szCs w:val="21"/>
                    </w:rPr>
                  </w:pPr>
                  <w:r>
                    <w:rPr>
                      <w:rFonts w:hint="eastAsia"/>
                      <w:color w:val="auto"/>
                      <w:szCs w:val="21"/>
                    </w:rPr>
                    <w:t>7</w:t>
                  </w:r>
                </w:p>
              </w:tc>
              <w:tc>
                <w:tcPr>
                  <w:tcW w:w="3750" w:type="dxa"/>
                  <w:noWrap w:val="0"/>
                  <w:vAlign w:val="center"/>
                </w:tcPr>
                <w:p w14:paraId="68EF69E5">
                  <w:pPr>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rPr>
                    <w:t>在国家湿地公园的岸线和河段范围内挖沙、采矿，以及任何不符合主体功能定位的投资建设项目。</w:t>
                  </w:r>
                </w:p>
              </w:tc>
              <w:tc>
                <w:tcPr>
                  <w:tcW w:w="2626" w:type="dxa"/>
                  <w:noWrap w:val="0"/>
                  <w:vAlign w:val="center"/>
                </w:tcPr>
                <w:p w14:paraId="19B8601B">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41CEBF3A">
                  <w:pPr>
                    <w:jc w:val="center"/>
                    <w:rPr>
                      <w:color w:val="auto"/>
                      <w:szCs w:val="21"/>
                    </w:rPr>
                  </w:pPr>
                </w:p>
              </w:tc>
            </w:tr>
            <w:tr w14:paraId="5771F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0F41BE42">
                  <w:pPr>
                    <w:jc w:val="center"/>
                    <w:rPr>
                      <w:color w:val="auto"/>
                      <w:szCs w:val="21"/>
                    </w:rPr>
                  </w:pPr>
                  <w:r>
                    <w:rPr>
                      <w:rFonts w:hint="eastAsia"/>
                      <w:color w:val="auto"/>
                      <w:szCs w:val="21"/>
                    </w:rPr>
                    <w:t>8</w:t>
                  </w:r>
                </w:p>
              </w:tc>
              <w:tc>
                <w:tcPr>
                  <w:tcW w:w="3750" w:type="dxa"/>
                  <w:noWrap w:val="0"/>
                  <w:vAlign w:val="center"/>
                </w:tcPr>
                <w:p w14:paraId="4557E50C">
                  <w:pPr>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rPr>
                    <w:t>在《长江岸线保护和开发利用总体规划》划定的岸线保护区和保留区内投资建设除事关公共安全及公众利益的防洪护岸、河道治理、供水、生态环境保护、航道整治、国家重要基础设施以外的项目。</w:t>
                  </w:r>
                </w:p>
              </w:tc>
              <w:tc>
                <w:tcPr>
                  <w:tcW w:w="2626" w:type="dxa"/>
                  <w:noWrap w:val="0"/>
                  <w:vAlign w:val="center"/>
                </w:tcPr>
                <w:p w14:paraId="7B95CBA9">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61609DFF">
                  <w:pPr>
                    <w:jc w:val="center"/>
                    <w:rPr>
                      <w:color w:val="auto"/>
                      <w:szCs w:val="21"/>
                    </w:rPr>
                  </w:pPr>
                </w:p>
              </w:tc>
            </w:tr>
            <w:tr w14:paraId="6B6F6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40B32926">
                  <w:pPr>
                    <w:jc w:val="center"/>
                    <w:rPr>
                      <w:color w:val="auto"/>
                      <w:szCs w:val="21"/>
                    </w:rPr>
                  </w:pPr>
                  <w:r>
                    <w:rPr>
                      <w:rFonts w:hint="eastAsia"/>
                      <w:color w:val="auto"/>
                      <w:szCs w:val="21"/>
                    </w:rPr>
                    <w:t>9</w:t>
                  </w:r>
                </w:p>
              </w:tc>
              <w:tc>
                <w:tcPr>
                  <w:tcW w:w="3750" w:type="dxa"/>
                  <w:noWrap w:val="0"/>
                  <w:vAlign w:val="center"/>
                </w:tcPr>
                <w:p w14:paraId="67ADE478">
                  <w:pPr>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rPr>
                    <w:t>在《全国重要江河湖泊水功能区划》划定的河段及湖泊保护区、保留区内投资建设不利于水资源及自然生态保护的项目。</w:t>
                  </w:r>
                </w:p>
              </w:tc>
              <w:tc>
                <w:tcPr>
                  <w:tcW w:w="2626" w:type="dxa"/>
                  <w:noWrap w:val="0"/>
                  <w:vAlign w:val="center"/>
                </w:tcPr>
                <w:p w14:paraId="528BCC70">
                  <w:pPr>
                    <w:jc w:val="center"/>
                    <w:rPr>
                      <w:rFonts w:hint="eastAsia"/>
                      <w:color w:val="auto"/>
                      <w:kern w:val="2"/>
                      <w:sz w:val="21"/>
                      <w:szCs w:val="21"/>
                      <w:lang w:val="en-US" w:eastAsia="zh-Hans" w:bidi="ar-SA"/>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项目不在该范围内</w:t>
                  </w:r>
                </w:p>
              </w:tc>
              <w:tc>
                <w:tcPr>
                  <w:tcW w:w="1149" w:type="dxa"/>
                  <w:vMerge w:val="continue"/>
                  <w:noWrap w:val="0"/>
                  <w:vAlign w:val="center"/>
                </w:tcPr>
                <w:p w14:paraId="0C8A3E0A">
                  <w:pPr>
                    <w:jc w:val="center"/>
                    <w:rPr>
                      <w:color w:val="auto"/>
                      <w:szCs w:val="21"/>
                    </w:rPr>
                  </w:pPr>
                </w:p>
              </w:tc>
            </w:tr>
            <w:tr w14:paraId="4A008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0" w:type="dxa"/>
                  <w:gridSpan w:val="4"/>
                  <w:noWrap w:val="0"/>
                  <w:vAlign w:val="center"/>
                </w:tcPr>
                <w:p w14:paraId="195F0935">
                  <w:pPr>
                    <w:jc w:val="center"/>
                    <w:rPr>
                      <w:color w:val="auto"/>
                      <w:szCs w:val="21"/>
                    </w:rPr>
                  </w:pPr>
                  <w:r>
                    <w:rPr>
                      <w:rFonts w:hint="eastAsia"/>
                      <w:color w:val="auto"/>
                      <w:szCs w:val="21"/>
                      <w:lang w:val="en-US" w:eastAsia="zh-CN"/>
                    </w:rPr>
                    <w:t>二、</w:t>
                  </w:r>
                  <w:r>
                    <w:rPr>
                      <w:rFonts w:hint="eastAsia"/>
                      <w:color w:val="auto"/>
                      <w:szCs w:val="21"/>
                    </w:rPr>
                    <w:t>限制准入类</w:t>
                  </w:r>
                </w:p>
              </w:tc>
            </w:tr>
            <w:tr w14:paraId="2B5B6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0" w:type="dxa"/>
                  <w:gridSpan w:val="4"/>
                  <w:noWrap w:val="0"/>
                  <w:vAlign w:val="center"/>
                </w:tcPr>
                <w:p w14:paraId="1619F7DB">
                  <w:pPr>
                    <w:jc w:val="center"/>
                    <w:rPr>
                      <w:rFonts w:hint="default"/>
                      <w:color w:val="auto"/>
                      <w:szCs w:val="21"/>
                      <w:lang w:val="en-US" w:eastAsia="zh-CN"/>
                    </w:rPr>
                  </w:pPr>
                  <w:r>
                    <w:rPr>
                      <w:rFonts w:hint="eastAsia"/>
                      <w:color w:val="auto"/>
                      <w:szCs w:val="21"/>
                      <w:lang w:val="en-US" w:eastAsia="zh-CN"/>
                    </w:rPr>
                    <w:t>（一）全市范围内限制准入的产业</w:t>
                  </w:r>
                </w:p>
              </w:tc>
            </w:tr>
            <w:tr w14:paraId="55412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4FC4AC6C">
                  <w:pPr>
                    <w:jc w:val="center"/>
                    <w:rPr>
                      <w:color w:val="auto"/>
                      <w:szCs w:val="21"/>
                    </w:rPr>
                  </w:pPr>
                  <w:r>
                    <w:rPr>
                      <w:rFonts w:hint="eastAsia"/>
                      <w:color w:val="auto"/>
                      <w:szCs w:val="21"/>
                    </w:rPr>
                    <w:t>1</w:t>
                  </w:r>
                </w:p>
              </w:tc>
              <w:tc>
                <w:tcPr>
                  <w:tcW w:w="3750" w:type="dxa"/>
                  <w:noWrap w:val="0"/>
                  <w:vAlign w:val="center"/>
                </w:tcPr>
                <w:p w14:paraId="0F0E43E3">
                  <w:pPr>
                    <w:jc w:val="center"/>
                    <w:rPr>
                      <w:color w:val="auto"/>
                      <w:szCs w:val="21"/>
                    </w:rPr>
                  </w:pPr>
                  <w:r>
                    <w:rPr>
                      <w:rFonts w:hint="eastAsia"/>
                      <w:color w:val="auto"/>
                      <w:szCs w:val="21"/>
                    </w:rPr>
                    <w:t>新建、扩建不符合国家产能置换要求的严重过剩产能行业的项目。新建、扩建不符合要求的高耗能高排放项目。</w:t>
                  </w:r>
                </w:p>
              </w:tc>
              <w:tc>
                <w:tcPr>
                  <w:tcW w:w="2626" w:type="dxa"/>
                  <w:noWrap w:val="0"/>
                  <w:vAlign w:val="center"/>
                </w:tcPr>
                <w:p w14:paraId="1C223721">
                  <w:pPr>
                    <w:jc w:val="center"/>
                    <w:rPr>
                      <w:rFonts w:hint="eastAsia" w:eastAsia="宋体"/>
                      <w:color w:val="auto"/>
                      <w:szCs w:val="21"/>
                      <w:lang w:eastAsia="zh-CN"/>
                    </w:rPr>
                  </w:pPr>
                  <w:r>
                    <w:rPr>
                      <w:rFonts w:hint="eastAsia" w:ascii="Times New Roman" w:hAnsi="Times New Roman"/>
                      <w:color w:val="auto"/>
                    </w:rPr>
                    <w:t>扩建</w:t>
                  </w:r>
                  <w:r>
                    <w:rPr>
                      <w:rFonts w:ascii="Times New Roman" w:hAnsi="Times New Roman"/>
                      <w:color w:val="auto"/>
                    </w:rPr>
                    <w:t>项目为社会服务类（医院）项目，属于鼓励类，不属于大气污染严重或高耗水项目。</w:t>
                  </w:r>
                </w:p>
              </w:tc>
              <w:tc>
                <w:tcPr>
                  <w:tcW w:w="1149" w:type="dxa"/>
                  <w:vMerge w:val="restart"/>
                  <w:noWrap w:val="0"/>
                  <w:vAlign w:val="center"/>
                </w:tcPr>
                <w:p w14:paraId="7C646102">
                  <w:pPr>
                    <w:jc w:val="center"/>
                    <w:rPr>
                      <w:color w:val="auto"/>
                      <w:szCs w:val="21"/>
                    </w:rPr>
                  </w:pPr>
                  <w:r>
                    <w:rPr>
                      <w:rFonts w:hint="eastAsia"/>
                      <w:color w:val="auto"/>
                      <w:szCs w:val="21"/>
                      <w:lang w:val="en-US" w:eastAsia="zh-CN"/>
                    </w:rPr>
                    <w:t>扩建</w:t>
                  </w:r>
                  <w:r>
                    <w:rPr>
                      <w:rFonts w:hint="eastAsia"/>
                      <w:color w:val="auto"/>
                      <w:szCs w:val="21"/>
                    </w:rPr>
                    <w:t>项目不属于</w:t>
                  </w:r>
                  <w:r>
                    <w:rPr>
                      <w:rFonts w:hint="eastAsia"/>
                      <w:color w:val="auto"/>
                      <w:szCs w:val="21"/>
                      <w:lang w:val="en-US" w:eastAsia="zh-CN"/>
                    </w:rPr>
                    <w:t>全市范围内</w:t>
                  </w:r>
                  <w:r>
                    <w:rPr>
                      <w:rFonts w:hint="eastAsia"/>
                      <w:color w:val="auto"/>
                      <w:szCs w:val="21"/>
                    </w:rPr>
                    <w:t>限制准入类项目。</w:t>
                  </w:r>
                </w:p>
              </w:tc>
            </w:tr>
            <w:tr w14:paraId="1D373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3B3CC98B">
                  <w:pPr>
                    <w:jc w:val="center"/>
                    <w:rPr>
                      <w:color w:val="auto"/>
                      <w:szCs w:val="21"/>
                    </w:rPr>
                  </w:pPr>
                  <w:r>
                    <w:rPr>
                      <w:rFonts w:hint="eastAsia"/>
                      <w:color w:val="auto"/>
                      <w:szCs w:val="21"/>
                    </w:rPr>
                    <w:t>2</w:t>
                  </w:r>
                </w:p>
              </w:tc>
              <w:tc>
                <w:tcPr>
                  <w:tcW w:w="3750" w:type="dxa"/>
                  <w:noWrap w:val="0"/>
                  <w:vAlign w:val="center"/>
                </w:tcPr>
                <w:p w14:paraId="7F017EA1">
                  <w:pPr>
                    <w:jc w:val="center"/>
                    <w:rPr>
                      <w:color w:val="auto"/>
                      <w:szCs w:val="21"/>
                    </w:rPr>
                  </w:pPr>
                  <w:r>
                    <w:rPr>
                      <w:rFonts w:hint="eastAsia"/>
                      <w:color w:val="auto"/>
                      <w:szCs w:val="21"/>
                    </w:rPr>
                    <w:t>新建、扩建不符合国家石化、现代煤化工等产业布局规划的项目</w:t>
                  </w:r>
                </w:p>
              </w:tc>
              <w:tc>
                <w:tcPr>
                  <w:tcW w:w="2626" w:type="dxa"/>
                  <w:noWrap w:val="0"/>
                  <w:vAlign w:val="center"/>
                </w:tcPr>
                <w:p w14:paraId="40464AA7">
                  <w:pPr>
                    <w:jc w:val="center"/>
                    <w:rPr>
                      <w:rFonts w:hint="eastAsia" w:eastAsia="宋体"/>
                      <w:color w:val="auto"/>
                      <w:szCs w:val="21"/>
                      <w:lang w:val="en-US" w:eastAsia="zh-CN"/>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w:t>
                  </w:r>
                  <w:r>
                    <w:rPr>
                      <w:rFonts w:hint="eastAsia"/>
                      <w:color w:val="auto"/>
                      <w:szCs w:val="21"/>
                      <w:lang w:val="en-US" w:eastAsia="zh-CN"/>
                    </w:rPr>
                    <w:t>涉及</w:t>
                  </w:r>
                </w:p>
              </w:tc>
              <w:tc>
                <w:tcPr>
                  <w:tcW w:w="1149" w:type="dxa"/>
                  <w:vMerge w:val="continue"/>
                  <w:noWrap w:val="0"/>
                  <w:vAlign w:val="center"/>
                </w:tcPr>
                <w:p w14:paraId="76D7959E">
                  <w:pPr>
                    <w:pStyle w:val="31"/>
                    <w:adjustRightInd/>
                    <w:jc w:val="center"/>
                    <w:rPr>
                      <w:rFonts w:cs="楷体_GB2312"/>
                      <w:color w:val="auto"/>
                      <w:sz w:val="21"/>
                      <w:szCs w:val="21"/>
                    </w:rPr>
                  </w:pPr>
                </w:p>
              </w:tc>
            </w:tr>
            <w:tr w14:paraId="057F5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0E79BA79">
                  <w:pPr>
                    <w:jc w:val="center"/>
                    <w:rPr>
                      <w:rFonts w:hint="eastAsia" w:eastAsia="宋体"/>
                      <w:color w:val="auto"/>
                      <w:szCs w:val="21"/>
                      <w:lang w:val="en-US" w:eastAsia="zh-CN"/>
                    </w:rPr>
                  </w:pPr>
                  <w:r>
                    <w:rPr>
                      <w:rFonts w:hint="eastAsia"/>
                      <w:color w:val="auto"/>
                      <w:szCs w:val="21"/>
                      <w:lang w:val="en-US" w:eastAsia="zh-CN"/>
                    </w:rPr>
                    <w:t>3</w:t>
                  </w:r>
                </w:p>
              </w:tc>
              <w:tc>
                <w:tcPr>
                  <w:tcW w:w="3750" w:type="dxa"/>
                  <w:noWrap w:val="0"/>
                  <w:vAlign w:val="center"/>
                </w:tcPr>
                <w:p w14:paraId="27DD3CEF">
                  <w:pPr>
                    <w:jc w:val="center"/>
                    <w:rPr>
                      <w:rFonts w:hint="eastAsia"/>
                      <w:color w:val="auto"/>
                      <w:szCs w:val="21"/>
                    </w:rPr>
                  </w:pPr>
                  <w:r>
                    <w:rPr>
                      <w:rFonts w:hint="eastAsia"/>
                      <w:color w:val="auto"/>
                      <w:szCs w:val="21"/>
                    </w:rPr>
                    <w:t>在合规园区外新建、扩建钢铁、石化、化工、焦化、建材、有色、制浆造纸等高污染项目。</w:t>
                  </w:r>
                </w:p>
              </w:tc>
              <w:tc>
                <w:tcPr>
                  <w:tcW w:w="2626" w:type="dxa"/>
                  <w:noWrap w:val="0"/>
                  <w:vAlign w:val="center"/>
                </w:tcPr>
                <w:p w14:paraId="4F58A6B9">
                  <w:pPr>
                    <w:jc w:val="center"/>
                    <w:rPr>
                      <w:rFonts w:hint="default" w:eastAsia="宋体"/>
                      <w:color w:val="auto"/>
                      <w:szCs w:val="21"/>
                      <w:lang w:val="en-US" w:eastAsia="zh-CN"/>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w:t>
                  </w:r>
                  <w:r>
                    <w:rPr>
                      <w:rFonts w:hint="eastAsia"/>
                      <w:color w:val="auto"/>
                      <w:szCs w:val="21"/>
                      <w:lang w:val="en-US" w:eastAsia="zh-CN"/>
                    </w:rPr>
                    <w:t>涉及</w:t>
                  </w:r>
                </w:p>
              </w:tc>
              <w:tc>
                <w:tcPr>
                  <w:tcW w:w="1149" w:type="dxa"/>
                  <w:vMerge w:val="continue"/>
                  <w:noWrap w:val="0"/>
                  <w:vAlign w:val="center"/>
                </w:tcPr>
                <w:p w14:paraId="47087DE3">
                  <w:pPr>
                    <w:pStyle w:val="31"/>
                    <w:adjustRightInd/>
                    <w:jc w:val="center"/>
                    <w:rPr>
                      <w:rFonts w:cs="楷体_GB2312"/>
                      <w:color w:val="auto"/>
                      <w:sz w:val="21"/>
                      <w:szCs w:val="21"/>
                    </w:rPr>
                  </w:pPr>
                </w:p>
              </w:tc>
            </w:tr>
            <w:tr w14:paraId="1555D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E0162B3">
                  <w:pPr>
                    <w:jc w:val="center"/>
                    <w:rPr>
                      <w:rFonts w:hint="eastAsia" w:eastAsia="宋体"/>
                      <w:color w:val="auto"/>
                      <w:szCs w:val="21"/>
                      <w:lang w:val="en-US" w:eastAsia="zh-CN"/>
                    </w:rPr>
                  </w:pPr>
                  <w:r>
                    <w:rPr>
                      <w:rFonts w:hint="eastAsia"/>
                      <w:color w:val="auto"/>
                      <w:szCs w:val="21"/>
                      <w:lang w:val="en-US" w:eastAsia="zh-CN"/>
                    </w:rPr>
                    <w:t>4</w:t>
                  </w:r>
                </w:p>
              </w:tc>
              <w:tc>
                <w:tcPr>
                  <w:tcW w:w="3750" w:type="dxa"/>
                  <w:noWrap w:val="0"/>
                  <w:vAlign w:val="center"/>
                </w:tcPr>
                <w:p w14:paraId="2A2C5C73">
                  <w:pPr>
                    <w:jc w:val="center"/>
                    <w:rPr>
                      <w:rFonts w:hint="eastAsia"/>
                      <w:color w:val="auto"/>
                      <w:szCs w:val="21"/>
                    </w:rPr>
                  </w:pPr>
                  <w:r>
                    <w:rPr>
                      <w:rFonts w:hint="eastAsia"/>
                      <w:color w:val="auto"/>
                      <w:szCs w:val="21"/>
                    </w:rPr>
                    <w:t>《汽车产业投资管理规定》（国家发展和改革委员会令第22号）明确禁止建设的汽车投资项目。</w:t>
                  </w:r>
                </w:p>
              </w:tc>
              <w:tc>
                <w:tcPr>
                  <w:tcW w:w="2626" w:type="dxa"/>
                  <w:noWrap w:val="0"/>
                  <w:vAlign w:val="center"/>
                </w:tcPr>
                <w:p w14:paraId="69A84C4C">
                  <w:pPr>
                    <w:jc w:val="center"/>
                    <w:rPr>
                      <w:rFonts w:hint="eastAsia"/>
                      <w:color w:val="auto"/>
                      <w:szCs w:val="21"/>
                      <w:lang w:val="en-US" w:eastAsia="zh-Hans"/>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w:t>
                  </w:r>
                  <w:r>
                    <w:rPr>
                      <w:rFonts w:hint="eastAsia"/>
                      <w:color w:val="auto"/>
                      <w:szCs w:val="21"/>
                      <w:lang w:val="en-US" w:eastAsia="zh-CN"/>
                    </w:rPr>
                    <w:t>涉及</w:t>
                  </w:r>
                </w:p>
              </w:tc>
              <w:tc>
                <w:tcPr>
                  <w:tcW w:w="1149" w:type="dxa"/>
                  <w:vMerge w:val="continue"/>
                  <w:noWrap w:val="0"/>
                  <w:vAlign w:val="center"/>
                </w:tcPr>
                <w:p w14:paraId="549B3719">
                  <w:pPr>
                    <w:pStyle w:val="31"/>
                    <w:adjustRightInd/>
                    <w:jc w:val="center"/>
                    <w:rPr>
                      <w:rFonts w:cs="楷体_GB2312"/>
                      <w:color w:val="auto"/>
                      <w:sz w:val="21"/>
                      <w:szCs w:val="21"/>
                    </w:rPr>
                  </w:pPr>
                </w:p>
              </w:tc>
            </w:tr>
            <w:tr w14:paraId="5A53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150" w:type="dxa"/>
                  <w:gridSpan w:val="4"/>
                  <w:noWrap w:val="0"/>
                  <w:vAlign w:val="center"/>
                </w:tcPr>
                <w:p w14:paraId="4D119575">
                  <w:pPr>
                    <w:pStyle w:val="31"/>
                    <w:adjustRightInd/>
                    <w:jc w:val="center"/>
                    <w:rPr>
                      <w:rFonts w:cs="楷体_GB2312"/>
                      <w:color w:val="auto"/>
                      <w:sz w:val="21"/>
                      <w:szCs w:val="21"/>
                    </w:rPr>
                  </w:pPr>
                  <w:r>
                    <w:rPr>
                      <w:rFonts w:hint="default" w:ascii="Times New Roman" w:hAnsi="Times New Roman" w:eastAsia="宋体" w:cs="Times New Roman"/>
                      <w:color w:val="auto"/>
                      <w:sz w:val="21"/>
                      <w:szCs w:val="21"/>
                      <w:lang w:val="en-US" w:eastAsia="zh-Hans"/>
                    </w:rPr>
                    <w:t>（二）重点区域范围内限制准入的产业</w:t>
                  </w:r>
                </w:p>
              </w:tc>
            </w:tr>
            <w:tr w14:paraId="7C655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72240B86">
                  <w:pPr>
                    <w:jc w:val="center"/>
                    <w:rPr>
                      <w:rFonts w:hint="eastAsia" w:eastAsia="宋体"/>
                      <w:color w:val="auto"/>
                      <w:szCs w:val="21"/>
                      <w:lang w:eastAsia="zh-CN"/>
                    </w:rPr>
                  </w:pPr>
                  <w:r>
                    <w:rPr>
                      <w:rFonts w:hint="eastAsia"/>
                      <w:color w:val="auto"/>
                      <w:szCs w:val="21"/>
                      <w:lang w:val="en-US" w:eastAsia="zh-CN"/>
                    </w:rPr>
                    <w:t>1</w:t>
                  </w:r>
                </w:p>
              </w:tc>
              <w:tc>
                <w:tcPr>
                  <w:tcW w:w="3750" w:type="dxa"/>
                  <w:noWrap w:val="0"/>
                  <w:vAlign w:val="center"/>
                </w:tcPr>
                <w:p w14:paraId="76154221">
                  <w:pPr>
                    <w:jc w:val="center"/>
                    <w:rPr>
                      <w:color w:val="auto"/>
                      <w:szCs w:val="21"/>
                    </w:rPr>
                  </w:pPr>
                  <w:r>
                    <w:rPr>
                      <w:rFonts w:hint="eastAsia"/>
                      <w:color w:val="auto"/>
                      <w:szCs w:val="21"/>
                    </w:rPr>
                    <w:t>长江干支流、重要湖泊岸线1公里范围内新建、扩建化工园区和化工项目，长江、嘉陵江、乌江岸线1公里范围内布局新建纸浆制造、印染等存在环境风险的项目。</w:t>
                  </w:r>
                </w:p>
              </w:tc>
              <w:tc>
                <w:tcPr>
                  <w:tcW w:w="2626" w:type="dxa"/>
                  <w:noWrap w:val="0"/>
                  <w:vAlign w:val="center"/>
                </w:tcPr>
                <w:p w14:paraId="43FA74E3">
                  <w:pPr>
                    <w:jc w:val="center"/>
                    <w:rPr>
                      <w:color w:val="auto"/>
                      <w:szCs w:val="21"/>
                    </w:rPr>
                  </w:pPr>
                  <w:r>
                    <w:rPr>
                      <w:rFonts w:hint="eastAsia" w:ascii="Times New Roman" w:hAnsi="Times New Roman"/>
                      <w:color w:val="auto"/>
                    </w:rPr>
                    <w:t>扩建</w:t>
                  </w:r>
                  <w:r>
                    <w:rPr>
                      <w:rFonts w:ascii="Times New Roman" w:hAnsi="Times New Roman"/>
                      <w:color w:val="auto"/>
                    </w:rPr>
                    <w:t>项目为社会服务类（医院）项目，</w:t>
                  </w:r>
                  <w:r>
                    <w:rPr>
                      <w:rFonts w:hint="eastAsia"/>
                      <w:color w:val="auto"/>
                      <w:szCs w:val="21"/>
                    </w:rPr>
                    <w:t>不属于重化工、纸浆制造、印染等存在污染风险的工业项目</w:t>
                  </w:r>
                </w:p>
              </w:tc>
              <w:tc>
                <w:tcPr>
                  <w:tcW w:w="1149" w:type="dxa"/>
                  <w:vMerge w:val="restart"/>
                  <w:noWrap w:val="0"/>
                  <w:vAlign w:val="center"/>
                </w:tcPr>
                <w:p w14:paraId="4806CAE5">
                  <w:pPr>
                    <w:pStyle w:val="31"/>
                    <w:adjustRightInd/>
                    <w:spacing w:line="240" w:lineRule="auto"/>
                    <w:jc w:val="center"/>
                    <w:rPr>
                      <w:rFonts w:cs="楷体_GB2312"/>
                      <w:color w:val="auto"/>
                      <w:sz w:val="21"/>
                      <w:szCs w:val="21"/>
                    </w:rPr>
                  </w:pPr>
                  <w:r>
                    <w:rPr>
                      <w:rFonts w:hint="eastAsia" w:ascii="宋体" w:hAnsi="宋体" w:eastAsia="宋体" w:cs="宋体"/>
                      <w:color w:val="auto"/>
                      <w:sz w:val="21"/>
                      <w:szCs w:val="21"/>
                      <w:lang w:val="en-US" w:eastAsia="zh-CN"/>
                    </w:rPr>
                    <w:t>扩建</w:t>
                  </w:r>
                  <w:r>
                    <w:rPr>
                      <w:rFonts w:hint="eastAsia" w:ascii="宋体" w:hAnsi="宋体" w:eastAsia="宋体" w:cs="宋体"/>
                      <w:color w:val="auto"/>
                      <w:sz w:val="21"/>
                      <w:szCs w:val="21"/>
                    </w:rPr>
                    <w:t>项目不属于</w:t>
                  </w:r>
                  <w:r>
                    <w:rPr>
                      <w:rFonts w:hint="eastAsia" w:ascii="宋体" w:hAnsi="宋体" w:eastAsia="宋体" w:cs="宋体"/>
                      <w:color w:val="auto"/>
                      <w:sz w:val="21"/>
                      <w:szCs w:val="21"/>
                      <w:lang w:val="en-US" w:eastAsia="zh-Hans"/>
                    </w:rPr>
                    <w:t>重点区域</w:t>
                  </w:r>
                  <w:r>
                    <w:rPr>
                      <w:rFonts w:hint="eastAsia" w:ascii="宋体" w:hAnsi="宋体" w:eastAsia="宋体" w:cs="宋体"/>
                      <w:color w:val="auto"/>
                      <w:sz w:val="21"/>
                      <w:szCs w:val="21"/>
                      <w:lang w:val="en-US" w:eastAsia="zh-CN"/>
                    </w:rPr>
                    <w:t>范围内</w:t>
                  </w:r>
                  <w:r>
                    <w:rPr>
                      <w:rFonts w:hint="eastAsia" w:ascii="宋体" w:hAnsi="宋体" w:eastAsia="宋体" w:cs="宋体"/>
                      <w:color w:val="auto"/>
                      <w:sz w:val="21"/>
                      <w:szCs w:val="21"/>
                    </w:rPr>
                    <w:t>限制准入类项目。</w:t>
                  </w:r>
                </w:p>
              </w:tc>
            </w:tr>
            <w:tr w14:paraId="7FE48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vAlign w:val="center"/>
                </w:tcPr>
                <w:p w14:paraId="6AE83DB0">
                  <w:pPr>
                    <w:jc w:val="center"/>
                    <w:rPr>
                      <w:rFonts w:hint="eastAsia" w:eastAsia="宋体"/>
                      <w:color w:val="auto"/>
                      <w:szCs w:val="21"/>
                      <w:lang w:eastAsia="zh-CN"/>
                    </w:rPr>
                  </w:pPr>
                  <w:r>
                    <w:rPr>
                      <w:rFonts w:hint="eastAsia"/>
                      <w:color w:val="auto"/>
                      <w:szCs w:val="21"/>
                      <w:lang w:val="en-US" w:eastAsia="zh-CN"/>
                    </w:rPr>
                    <w:t>2</w:t>
                  </w:r>
                </w:p>
              </w:tc>
              <w:tc>
                <w:tcPr>
                  <w:tcW w:w="3750" w:type="dxa"/>
                  <w:noWrap w:val="0"/>
                  <w:vAlign w:val="center"/>
                </w:tcPr>
                <w:p w14:paraId="375B48B8">
                  <w:pPr>
                    <w:jc w:val="center"/>
                    <w:rPr>
                      <w:color w:val="auto"/>
                      <w:szCs w:val="21"/>
                    </w:rPr>
                  </w:pPr>
                  <w:r>
                    <w:rPr>
                      <w:rFonts w:hint="eastAsia"/>
                      <w:color w:val="auto"/>
                      <w:szCs w:val="21"/>
                    </w:rPr>
                    <w:t>在水产种质资源保护区的岸线和河段范围内新建围湖造田等投资建设项目。</w:t>
                  </w:r>
                </w:p>
              </w:tc>
              <w:tc>
                <w:tcPr>
                  <w:tcW w:w="2626" w:type="dxa"/>
                  <w:noWrap w:val="0"/>
                  <w:vAlign w:val="center"/>
                </w:tcPr>
                <w:p w14:paraId="30A5F331">
                  <w:pPr>
                    <w:jc w:val="center"/>
                    <w:rPr>
                      <w:color w:val="auto"/>
                      <w:szCs w:val="21"/>
                    </w:rPr>
                  </w:pPr>
                  <w:r>
                    <w:rPr>
                      <w:rFonts w:hint="eastAsia"/>
                      <w:color w:val="auto"/>
                      <w:szCs w:val="21"/>
                      <w:lang w:val="en-US" w:eastAsia="zh-CN"/>
                    </w:rPr>
                    <w:t>扩</w:t>
                  </w:r>
                  <w:r>
                    <w:rPr>
                      <w:rFonts w:hint="eastAsia"/>
                      <w:color w:val="auto"/>
                      <w:szCs w:val="21"/>
                      <w:lang w:val="en-US" w:eastAsia="zh-Hans"/>
                    </w:rPr>
                    <w:t>建</w:t>
                  </w:r>
                  <w:r>
                    <w:rPr>
                      <w:rFonts w:hint="eastAsia"/>
                      <w:color w:val="auto"/>
                      <w:szCs w:val="21"/>
                    </w:rPr>
                    <w:t>项目不属于围湖造田等投资建设项目</w:t>
                  </w:r>
                </w:p>
              </w:tc>
              <w:tc>
                <w:tcPr>
                  <w:tcW w:w="1149" w:type="dxa"/>
                  <w:vMerge w:val="continue"/>
                  <w:noWrap w:val="0"/>
                  <w:vAlign w:val="center"/>
                </w:tcPr>
                <w:p w14:paraId="0A204DDF">
                  <w:pPr>
                    <w:pStyle w:val="31"/>
                    <w:adjustRightInd/>
                    <w:jc w:val="center"/>
                    <w:rPr>
                      <w:rFonts w:cs="楷体_GB2312"/>
                      <w:color w:val="auto"/>
                      <w:sz w:val="21"/>
                      <w:szCs w:val="21"/>
                    </w:rPr>
                  </w:pPr>
                </w:p>
              </w:tc>
            </w:tr>
          </w:tbl>
          <w:p w14:paraId="6922D4FA">
            <w:pPr>
              <w:adjustRightInd w:val="0"/>
              <w:snapToGrid w:val="0"/>
              <w:spacing w:before="120" w:beforeLines="50" w:line="360" w:lineRule="auto"/>
              <w:ind w:firstLine="480" w:firstLineChars="200"/>
              <w:rPr>
                <w:color w:val="auto"/>
                <w:sz w:val="24"/>
              </w:rPr>
            </w:pPr>
            <w:r>
              <w:rPr>
                <w:color w:val="auto"/>
                <w:sz w:val="24"/>
              </w:rPr>
              <w:t>由上表可知，扩建项目的建设符合</w:t>
            </w:r>
            <w:r>
              <w:rPr>
                <w:rFonts w:hint="eastAsia"/>
                <w:color w:val="auto"/>
                <w:sz w:val="24"/>
              </w:rPr>
              <w:t>《关于印发重庆市产业投资准入工作手册的通知》（渝发改投</w:t>
            </w:r>
            <w:r>
              <w:rPr>
                <w:rFonts w:hint="eastAsia"/>
                <w:color w:val="auto"/>
                <w:sz w:val="24"/>
                <w:lang w:eastAsia="zh-CN"/>
              </w:rPr>
              <w:t>〔</w:t>
            </w:r>
            <w:r>
              <w:rPr>
                <w:rFonts w:hint="eastAsia"/>
                <w:color w:val="auto"/>
                <w:sz w:val="24"/>
              </w:rPr>
              <w:t>20</w:t>
            </w:r>
            <w:r>
              <w:rPr>
                <w:rFonts w:hint="eastAsia"/>
                <w:color w:val="auto"/>
                <w:sz w:val="24"/>
                <w:lang w:val="en-US" w:eastAsia="zh-CN"/>
              </w:rPr>
              <w:t>22</w:t>
            </w:r>
            <w:r>
              <w:rPr>
                <w:rFonts w:hint="eastAsia"/>
                <w:color w:val="auto"/>
                <w:sz w:val="24"/>
                <w:lang w:eastAsia="zh-CN"/>
              </w:rPr>
              <w:t>〕</w:t>
            </w:r>
            <w:r>
              <w:rPr>
                <w:rFonts w:hint="eastAsia"/>
                <w:color w:val="auto"/>
                <w:sz w:val="24"/>
                <w:lang w:val="en-US" w:eastAsia="zh-CN"/>
              </w:rPr>
              <w:t>1436</w:t>
            </w:r>
            <w:r>
              <w:rPr>
                <w:rFonts w:hint="eastAsia"/>
                <w:color w:val="auto"/>
                <w:sz w:val="24"/>
              </w:rPr>
              <w:t>号）</w:t>
            </w:r>
            <w:r>
              <w:rPr>
                <w:color w:val="auto"/>
                <w:sz w:val="24"/>
              </w:rPr>
              <w:t>要求。</w:t>
            </w:r>
          </w:p>
          <w:p w14:paraId="23D0808D">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1.6与《重庆市卫生健康发展“十四五”规划》（渝卫发〔2021〕62号）符合性分析</w:t>
            </w:r>
          </w:p>
          <w:p w14:paraId="72B2AD31">
            <w:pPr>
              <w:bidi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重庆市卫生健康发展“十四五”规划》中“推动医疗服务高质量发展。完善现代医疗服务体系。加快构建布局合理、学科完备、特色鲜明、优质高效的三级医疗服务体系。推动优质医疗资源扩容下沉、均衡布局，到2025年，全市建成三级医院100个，市级医院全部建成三级甲等医院，重点支持大渡口、潼南、城口、酉阳、秀山等优质医疗资源缺乏的区县创建三级医院，新增10个左右三级甲等医院。每个区县至少建成1个三级医院，1个二级甲等以上公立中医类医院，1个标准化妇幼保健机构。建立等级医院动态调整机制，引导三级医院完善功能定位，实现更高质量发展。</w:t>
            </w:r>
          </w:p>
          <w:p w14:paraId="772880E4">
            <w:pPr>
              <w:bidi w:val="0"/>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项目为综合医院</w:t>
            </w:r>
            <w:r>
              <w:rPr>
                <w:rFonts w:hint="default" w:ascii="Times New Roman" w:hAnsi="Times New Roman" w:eastAsia="宋体" w:cs="Times New Roman"/>
                <w:color w:val="auto"/>
                <w:sz w:val="24"/>
                <w:szCs w:val="24"/>
                <w:lang w:val="en-US" w:eastAsia="zh-CN"/>
              </w:rPr>
              <w:t>扩建</w:t>
            </w:r>
            <w:r>
              <w:rPr>
                <w:rFonts w:hint="default" w:ascii="Times New Roman" w:hAnsi="Times New Roman" w:eastAsia="宋体" w:cs="Times New Roman"/>
                <w:color w:val="auto"/>
                <w:sz w:val="24"/>
                <w:szCs w:val="24"/>
              </w:rPr>
              <w:t>项目，可提升公共卫生服务能力，与《重庆市卫生健康发展“十四五”规划》（渝卫发〔2021〕62号）的要求相符。</w:t>
            </w:r>
          </w:p>
          <w:p w14:paraId="3B70434B">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 xml:space="preserve">1.7与《重庆市国民经济和社会发展第十四个五年规划和二〇三五年远景目标纲要》（渝府发〔2021〕6）的符合性分析 </w:t>
            </w:r>
          </w:p>
          <w:p w14:paraId="3F1AC464">
            <w:pPr>
              <w:bidi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根据《重庆市国民经济和社会发展第十四个五年规划和二〇三五年远景目标纲要》中“坚持基本医疗卫生事业公益属性，深化医药卫生体制改革，建设优质高效的医疗卫生服务体系。加快建设国家医学中心，建设儿科、口腔、心血管、呼吸、骨科、肿瘤等国家区域医疗中心，建成一批高水平研究型医院、知名专科，培养一批医德高尚的高水平卫生人才队伍。推动优质医疗资源扩容下沉和均衡布局，建成90所三级医院，每个区县重点办好1-2所综合性医院或中医院。 </w:t>
            </w:r>
          </w:p>
          <w:p w14:paraId="0BADC260">
            <w:pPr>
              <w:bidi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项目为综合医院扩建</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val="en-US" w:eastAsia="zh-CN"/>
              </w:rPr>
              <w:t>，可完善项目所在区域医疗卫生服务体系，本项目与《重庆市国民经济和社会发展第十四个五年规划和二〇三五年远景目标纲要》（渝府发</w:t>
            </w:r>
            <w:r>
              <w:rPr>
                <w:rFonts w:hint="default" w:ascii="Times New Roman" w:hAnsi="Times New Roman" w:eastAsia="宋体" w:cs="Times New Roman"/>
                <w:color w:val="auto"/>
                <w:sz w:val="24"/>
                <w:szCs w:val="24"/>
              </w:rPr>
              <w:t>〔2021〕</w:t>
            </w:r>
            <w:r>
              <w:rPr>
                <w:rFonts w:hint="default" w:ascii="Times New Roman" w:hAnsi="Times New Roman" w:eastAsia="宋体" w:cs="Times New Roman"/>
                <w:color w:val="auto"/>
                <w:sz w:val="24"/>
                <w:szCs w:val="24"/>
                <w:lang w:val="en-US" w:eastAsia="zh-CN"/>
              </w:rPr>
              <w:t>6）的要求相符。</w:t>
            </w:r>
          </w:p>
          <w:p w14:paraId="03B6960A">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 xml:space="preserve">1.8与《重庆市医疗卫生服务体系“十四五”规划（2021―2025 年）》（渝府发〔2022〕6 号）的符合性分析 </w:t>
            </w:r>
          </w:p>
          <w:p w14:paraId="768E5E61">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根据《重庆市医疗卫生服务体系“十四五”规划（2021―2025 年）》（渝府发〔2022〕6 号）中“推动医疗卫生服务体系高质量发展，加快建设国家医学中心和国家区域医疗中心，形成优质的医疗卫生服务集群，持续提升医疗卫生服务辐射力和影响力。到2025年，基本建成体系完整、分工明确、功能互补、密切协作、运行高效的整合型医疗卫生服务体系，以“一老一小”为重点的全周期健康服务能力明显增强，实现优质医疗卫生资源配置均衡化、基本医疗卫生服务均质化、基本公共卫生服务均等化，形成基层首诊、双向转诊、上下联动、急慢分治的分级诊疗格局，居民健康水平居全国前列。“...合理增加床位规模。到 2025 年，全市每千人口医疗卫生机构床位数达到8张...”。 </w:t>
            </w:r>
          </w:p>
          <w:p w14:paraId="59DE4F3F">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扩建项目为综合医院，增加床位数量，与周边居民健康需求相匹配，与《重庆市医疗卫生服务体系“十四五”规划（2021―2025 年）》（渝府发〔2022〕6 号）的要求相符。</w:t>
            </w:r>
          </w:p>
          <w:p w14:paraId="30D32D3D">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 xml:space="preserve">1.9与《九龙坡区大健康产业发展“十四五”》（九龙坡府办发〔2021〕104号）的符合性分析 </w:t>
            </w:r>
          </w:p>
          <w:p w14:paraId="407454AB">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根据《九龙坡区大健康产业发展“十四五”规划》（九龙坡府办发〔2021〕104 号）中“加大建设中高端医疗卫生机构。着力提升医疗服务水平...。延伸医疗机构养老服务功能。推动公立医疗机构举办养老务，增加康复、护理、医养结合、安宁疗护机构和床位数量。推动二级以上综合医院、中医医院开设老年医学科、康复科或治未病科...”。 </w:t>
            </w:r>
          </w:p>
          <w:p w14:paraId="2EF7CE55">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扩建项目为综合医院项目，增加</w:t>
            </w:r>
            <w:r>
              <w:rPr>
                <w:rFonts w:hint="eastAsia" w:cs="Times New Roman"/>
                <w:color w:val="auto"/>
                <w:sz w:val="24"/>
                <w:szCs w:val="24"/>
                <w:lang w:val="en-US" w:eastAsia="zh-CN"/>
              </w:rPr>
              <w:t>住院</w:t>
            </w:r>
            <w:r>
              <w:rPr>
                <w:rFonts w:hint="default" w:ascii="Times New Roman" w:hAnsi="Times New Roman" w:eastAsia="宋体" w:cs="Times New Roman"/>
                <w:color w:val="auto"/>
                <w:sz w:val="24"/>
                <w:szCs w:val="24"/>
                <w:lang w:val="en-US" w:eastAsia="zh-CN"/>
              </w:rPr>
              <w:t>床位，与《九龙坡区大健康产业发展“十四五”规划》（九龙坡府办发〔2021〕104号）的要求相符。</w:t>
            </w:r>
          </w:p>
          <w:p w14:paraId="6EB81392">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val="en-US" w:eastAsia="zh-CN"/>
              </w:rPr>
              <w:t>10</w:t>
            </w:r>
            <w:r>
              <w:rPr>
                <w:rFonts w:hint="default" w:ascii="Times New Roman" w:hAnsi="Times New Roman" w:eastAsia="宋体" w:cs="Times New Roman"/>
                <w:b/>
                <w:bCs/>
                <w:color w:val="auto"/>
                <w:sz w:val="24"/>
                <w:szCs w:val="24"/>
                <w:lang w:val="en-US" w:eastAsia="zh-CN"/>
              </w:rPr>
              <w:t>与《关于加快补齐医疗机构污水处理设施短板 提高污染治理能力的通知》（环办水体〔2021〕</w:t>
            </w:r>
            <w:r>
              <w:rPr>
                <w:rFonts w:hint="eastAsia" w:ascii="Times New Roman" w:hAnsi="Times New Roman" w:eastAsia="宋体" w:cs="Times New Roman"/>
                <w:b/>
                <w:bCs/>
                <w:color w:val="auto"/>
                <w:sz w:val="24"/>
                <w:szCs w:val="24"/>
                <w:lang w:val="en-US" w:eastAsia="zh-CN"/>
              </w:rPr>
              <w:t>19</w:t>
            </w:r>
            <w:r>
              <w:rPr>
                <w:rFonts w:hint="default" w:ascii="Times New Roman" w:hAnsi="Times New Roman" w:eastAsia="宋体" w:cs="Times New Roman"/>
                <w:b/>
                <w:bCs/>
                <w:color w:val="auto"/>
                <w:sz w:val="24"/>
                <w:szCs w:val="24"/>
                <w:lang w:val="en-US" w:eastAsia="zh-CN"/>
              </w:rPr>
              <w:t xml:space="preserve">号）的符合性分析 </w:t>
            </w:r>
          </w:p>
          <w:p w14:paraId="206FF35D">
            <w:pPr>
              <w:pStyle w:val="67"/>
              <w:ind w:firstLine="482"/>
              <w:rPr>
                <w:b/>
                <w:bCs/>
                <w:color w:val="auto"/>
              </w:rPr>
            </w:pPr>
            <w:r>
              <w:rPr>
                <w:rFonts w:hint="eastAsia"/>
                <w:b/>
                <w:bCs/>
                <w:color w:val="auto"/>
              </w:rPr>
              <w:t>表1-</w:t>
            </w:r>
            <w:r>
              <w:rPr>
                <w:rFonts w:hint="eastAsia"/>
                <w:b/>
                <w:bCs/>
                <w:color w:val="auto"/>
                <w:lang w:val="en-US" w:eastAsia="zh-CN"/>
              </w:rPr>
              <w:t>5</w:t>
            </w:r>
            <w:r>
              <w:rPr>
                <w:rFonts w:hint="eastAsia"/>
                <w:b/>
                <w:bCs/>
                <w:color w:val="auto"/>
              </w:rPr>
              <w:t xml:space="preserve">  </w:t>
            </w:r>
            <w:r>
              <w:rPr>
                <w:rFonts w:hint="eastAsia"/>
                <w:b/>
                <w:bCs/>
                <w:color w:val="auto"/>
                <w:lang w:val="en-US" w:eastAsia="zh-CN"/>
              </w:rPr>
              <w:t>《关于加快补齐医疗机构污水处理设施短板 提高污染治理能力的通知》（节选）</w:t>
            </w:r>
            <w:r>
              <w:rPr>
                <w:b/>
                <w:bCs/>
                <w:color w:val="auto"/>
              </w:rPr>
              <w:t>符合性分析</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3605"/>
              <w:gridCol w:w="3785"/>
            </w:tblGrid>
            <w:tr w14:paraId="655C7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30" w:type="pct"/>
                  <w:noWrap w:val="0"/>
                  <w:vAlign w:val="center"/>
                </w:tcPr>
                <w:p w14:paraId="4EDFE9DB">
                  <w:pPr>
                    <w:pStyle w:val="68"/>
                    <w:snapToGrid w:val="0"/>
                    <w:spacing w:line="320" w:lineRule="exact"/>
                    <w:rPr>
                      <w:color w:val="auto"/>
                      <w:szCs w:val="21"/>
                      <w:lang w:val="en"/>
                    </w:rPr>
                  </w:pPr>
                  <w:r>
                    <w:rPr>
                      <w:color w:val="auto"/>
                      <w:szCs w:val="21"/>
                      <w:lang w:val="en"/>
                    </w:rPr>
                    <w:t>项目</w:t>
                  </w:r>
                </w:p>
              </w:tc>
              <w:tc>
                <w:tcPr>
                  <w:tcW w:w="2180" w:type="pct"/>
                  <w:noWrap w:val="0"/>
                  <w:vAlign w:val="center"/>
                </w:tcPr>
                <w:p w14:paraId="3E7A6670">
                  <w:pPr>
                    <w:pStyle w:val="68"/>
                    <w:snapToGrid w:val="0"/>
                    <w:spacing w:line="320" w:lineRule="exact"/>
                    <w:rPr>
                      <w:color w:val="auto"/>
                      <w:szCs w:val="21"/>
                      <w:lang w:val="en"/>
                    </w:rPr>
                  </w:pPr>
                  <w:r>
                    <w:rPr>
                      <w:color w:val="auto"/>
                      <w:szCs w:val="21"/>
                      <w:lang w:val="en"/>
                    </w:rPr>
                    <w:t>负面清单细则</w:t>
                  </w:r>
                </w:p>
              </w:tc>
              <w:tc>
                <w:tcPr>
                  <w:tcW w:w="2289" w:type="pct"/>
                  <w:noWrap w:val="0"/>
                  <w:vAlign w:val="center"/>
                </w:tcPr>
                <w:p w14:paraId="573AD56C">
                  <w:pPr>
                    <w:pStyle w:val="68"/>
                    <w:snapToGrid w:val="0"/>
                    <w:spacing w:line="320" w:lineRule="exact"/>
                    <w:rPr>
                      <w:color w:val="auto"/>
                      <w:szCs w:val="21"/>
                      <w:lang w:val="en"/>
                    </w:rPr>
                  </w:pPr>
                  <w:r>
                    <w:rPr>
                      <w:color w:val="auto"/>
                      <w:szCs w:val="21"/>
                      <w:lang w:val="en"/>
                    </w:rPr>
                    <w:t>项目</w:t>
                  </w:r>
                  <w:r>
                    <w:rPr>
                      <w:rFonts w:hint="eastAsia"/>
                      <w:color w:val="auto"/>
                      <w:szCs w:val="21"/>
                      <w:lang w:val="en"/>
                    </w:rPr>
                    <w:t>符合</w:t>
                  </w:r>
                  <w:r>
                    <w:rPr>
                      <w:color w:val="auto"/>
                      <w:szCs w:val="21"/>
                      <w:lang w:val="en"/>
                    </w:rPr>
                    <w:t>情况</w:t>
                  </w:r>
                </w:p>
              </w:tc>
            </w:tr>
            <w:tr w14:paraId="526EE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30" w:type="pct"/>
                  <w:noWrap w:val="0"/>
                  <w:vAlign w:val="center"/>
                </w:tcPr>
                <w:p w14:paraId="1C6027F5">
                  <w:pPr>
                    <w:pStyle w:val="68"/>
                    <w:snapToGrid w:val="0"/>
                    <w:spacing w:line="320" w:lineRule="exact"/>
                    <w:rPr>
                      <w:color w:val="auto"/>
                      <w:szCs w:val="21"/>
                      <w:lang w:val="en"/>
                    </w:rPr>
                  </w:pPr>
                  <w:r>
                    <w:rPr>
                      <w:color w:val="auto"/>
                      <w:szCs w:val="21"/>
                      <w:lang w:val="en"/>
                    </w:rPr>
                    <w:t>一、</w:t>
                  </w:r>
                  <w:r>
                    <w:rPr>
                      <w:rFonts w:hint="eastAsia"/>
                      <w:color w:val="auto"/>
                      <w:szCs w:val="21"/>
                      <w:lang w:val="en"/>
                    </w:rPr>
                    <w:t>完善医疗机构污水处理设施</w:t>
                  </w:r>
                </w:p>
              </w:tc>
              <w:tc>
                <w:tcPr>
                  <w:tcW w:w="2180" w:type="pct"/>
                  <w:noWrap w:val="0"/>
                  <w:vAlign w:val="center"/>
                </w:tcPr>
                <w:p w14:paraId="4B07DCCC">
                  <w:pPr>
                    <w:pStyle w:val="68"/>
                    <w:snapToGrid w:val="0"/>
                    <w:spacing w:line="320" w:lineRule="exact"/>
                    <w:rPr>
                      <w:color w:val="auto"/>
                      <w:szCs w:val="21"/>
                      <w:lang w:val="en"/>
                    </w:rPr>
                  </w:pPr>
                  <w:r>
                    <w:rPr>
                      <w:color w:val="auto"/>
                      <w:szCs w:val="21"/>
                      <w:lang w:val="en"/>
                    </w:rPr>
                    <w:t>  </w:t>
                  </w:r>
                  <w:r>
                    <w:rPr>
                      <w:rFonts w:hint="default" w:ascii="Times New Roman" w:hAnsi="Times New Roman" w:eastAsia="宋体" w:cs="Times New Roman"/>
                      <w:i w:val="0"/>
                      <w:iCs w:val="0"/>
                      <w:caps w:val="0"/>
                      <w:color w:val="auto"/>
                      <w:spacing w:val="0"/>
                      <w:sz w:val="21"/>
                      <w:szCs w:val="21"/>
                      <w:shd w:val="clear" w:fill="FFFFFF"/>
                    </w:rPr>
                    <w:t>按照“谁污染，谁治理”的原则，传染病医疗机构、20张床位及以上的医疗机构，应按照《医疗机构水污染物排放标准》（GB 18466）相关规定，并参照《医院污水处理工程技术规范》（HJ 2029，以下简称《规范》）要求，科学确定污水处理设施的规模、工艺，确保出水达标排放。</w:t>
                  </w:r>
                </w:p>
              </w:tc>
              <w:tc>
                <w:tcPr>
                  <w:tcW w:w="2289" w:type="pct"/>
                  <w:noWrap w:val="0"/>
                  <w:vAlign w:val="center"/>
                </w:tcPr>
                <w:p w14:paraId="4883253D">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textAlignment w:val="auto"/>
                    <w:rPr>
                      <w:rFonts w:hint="eastAsia" w:eastAsia="宋体"/>
                      <w:color w:val="auto"/>
                      <w:szCs w:val="21"/>
                      <w:lang w:val="en" w:eastAsia="zh-CN"/>
                    </w:rPr>
                  </w:pPr>
                  <w:r>
                    <w:rPr>
                      <w:rFonts w:hint="eastAsia"/>
                      <w:color w:val="auto"/>
                      <w:sz w:val="21"/>
                      <w:szCs w:val="21"/>
                      <w:lang w:val="en-US" w:eastAsia="zh-CN"/>
                    </w:rPr>
                    <w:t>项目废水采用</w:t>
                  </w:r>
                  <w:r>
                    <w:rPr>
                      <w:rFonts w:hint="eastAsia"/>
                      <w:color w:val="auto"/>
                      <w:sz w:val="21"/>
                      <w:szCs w:val="21"/>
                      <w:lang w:eastAsia="zh-CN"/>
                    </w:rPr>
                    <w:t>“</w:t>
                  </w:r>
                  <w:r>
                    <w:rPr>
                      <w:rFonts w:hint="eastAsia"/>
                      <w:color w:val="auto"/>
                      <w:sz w:val="21"/>
                      <w:szCs w:val="21"/>
                      <w:lang w:val="en-US" w:eastAsia="zh-CN"/>
                    </w:rPr>
                    <w:t>调节池+厌氧水解+接触氧化+沉淀+次氯酸钠消毒</w:t>
                  </w:r>
                  <w:r>
                    <w:rPr>
                      <w:rFonts w:hint="eastAsia"/>
                      <w:color w:val="auto"/>
                      <w:sz w:val="21"/>
                      <w:szCs w:val="21"/>
                      <w:lang w:eastAsia="zh-CN"/>
                    </w:rPr>
                    <w:t>”</w:t>
                  </w:r>
                  <w:r>
                    <w:rPr>
                      <w:color w:val="auto"/>
                      <w:sz w:val="21"/>
                      <w:szCs w:val="21"/>
                    </w:rPr>
                    <w:t>工艺</w:t>
                  </w:r>
                  <w:r>
                    <w:rPr>
                      <w:rFonts w:hint="eastAsia"/>
                      <w:color w:val="auto"/>
                      <w:sz w:val="21"/>
                      <w:szCs w:val="21"/>
                      <w:lang w:eastAsia="zh-CN"/>
                    </w:rPr>
                    <w:t>，处理达标后达《医疗机构水污染物排放标准》（GB18466-2005）表2综合医疗机构和其他医疗机构水污染物排放限值中的预处理标准后排入市政污水管网。</w:t>
                  </w:r>
                  <w:r>
                    <w:rPr>
                      <w:rFonts w:hint="eastAsia"/>
                      <w:color w:val="auto"/>
                      <w:sz w:val="21"/>
                      <w:szCs w:val="21"/>
                      <w:lang w:val="en-US" w:eastAsia="zh-CN"/>
                    </w:rPr>
                    <w:t>根据</w:t>
                  </w:r>
                  <w:r>
                    <w:rPr>
                      <w:rFonts w:hint="eastAsia"/>
                      <w:color w:val="auto"/>
                      <w:sz w:val="21"/>
                      <w:szCs w:val="21"/>
                      <w:lang w:eastAsia="zh-CN"/>
                    </w:rPr>
                    <w:t>《医院污水处理工程技术规范》（HJ2029—2013）</w:t>
                  </w:r>
                  <w:r>
                    <w:rPr>
                      <w:rFonts w:hint="eastAsia"/>
                      <w:color w:val="auto"/>
                      <w:sz w:val="21"/>
                      <w:szCs w:val="21"/>
                      <w:lang w:val="en-US" w:eastAsia="zh-CN"/>
                    </w:rPr>
                    <w:t>中“医院污水处理工程设计水量应在实测或测算的基础上留有设计裕量，设计裕量宜取实测值或测算值的 10%~20%。”扩建项目全院经计算污水排放量达80.46m</w:t>
                  </w:r>
                  <w:r>
                    <w:rPr>
                      <w:rFonts w:hint="eastAsia"/>
                      <w:color w:val="auto"/>
                      <w:sz w:val="21"/>
                      <w:szCs w:val="21"/>
                      <w:vertAlign w:val="superscript"/>
                      <w:lang w:val="en-US" w:eastAsia="zh-CN"/>
                    </w:rPr>
                    <w:t>3</w:t>
                  </w:r>
                  <w:r>
                    <w:rPr>
                      <w:rFonts w:hint="eastAsia"/>
                      <w:color w:val="auto"/>
                      <w:sz w:val="21"/>
                      <w:szCs w:val="21"/>
                      <w:lang w:val="en-US" w:eastAsia="zh-CN"/>
                    </w:rPr>
                    <w:t>/d，</w:t>
                  </w:r>
                  <w:r>
                    <w:rPr>
                      <w:rFonts w:hint="eastAsia"/>
                      <w:color w:val="auto"/>
                      <w:sz w:val="21"/>
                      <w:szCs w:val="21"/>
                    </w:rPr>
                    <w:t>扩建后污水处理站处理能力不低于</w:t>
                  </w:r>
                  <w:r>
                    <w:rPr>
                      <w:rFonts w:hint="eastAsia"/>
                      <w:color w:val="auto"/>
                      <w:sz w:val="21"/>
                      <w:szCs w:val="21"/>
                      <w:lang w:val="en-US" w:eastAsia="zh-CN"/>
                    </w:rPr>
                    <w:t>100</w:t>
                  </w:r>
                  <w:r>
                    <w:rPr>
                      <w:rFonts w:hint="eastAsia"/>
                      <w:color w:val="auto"/>
                      <w:sz w:val="21"/>
                      <w:szCs w:val="21"/>
                    </w:rPr>
                    <w:t>m</w:t>
                  </w:r>
                  <w:r>
                    <w:rPr>
                      <w:rFonts w:hint="eastAsia"/>
                      <w:color w:val="auto"/>
                      <w:sz w:val="21"/>
                      <w:szCs w:val="21"/>
                      <w:vertAlign w:val="superscript"/>
                    </w:rPr>
                    <w:t>3</w:t>
                  </w:r>
                  <w:r>
                    <w:rPr>
                      <w:rFonts w:hint="eastAsia"/>
                      <w:color w:val="auto"/>
                      <w:sz w:val="21"/>
                      <w:szCs w:val="21"/>
                    </w:rPr>
                    <w:t>/d，</w:t>
                  </w:r>
                  <w:r>
                    <w:rPr>
                      <w:rFonts w:hint="eastAsia"/>
                      <w:color w:val="auto"/>
                      <w:sz w:val="21"/>
                      <w:szCs w:val="21"/>
                      <w:lang w:val="en-US" w:eastAsia="zh-CN"/>
                    </w:rPr>
                    <w:t>满足10%~20%设计裕量。</w:t>
                  </w:r>
                </w:p>
              </w:tc>
            </w:tr>
            <w:tr w14:paraId="50F13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530" w:type="pct"/>
                  <w:noWrap w:val="0"/>
                  <w:vAlign w:val="center"/>
                </w:tcPr>
                <w:p w14:paraId="0BF1C676">
                  <w:pPr>
                    <w:pStyle w:val="68"/>
                    <w:snapToGrid w:val="0"/>
                    <w:spacing w:line="320" w:lineRule="exact"/>
                    <w:rPr>
                      <w:color w:val="auto"/>
                      <w:szCs w:val="21"/>
                      <w:lang w:val="en"/>
                    </w:rPr>
                  </w:pPr>
                  <w:r>
                    <w:rPr>
                      <w:color w:val="auto"/>
                      <w:szCs w:val="21"/>
                      <w:lang w:val="en"/>
                    </w:rPr>
                    <w:t>二、</w:t>
                  </w:r>
                  <w:r>
                    <w:rPr>
                      <w:rFonts w:hint="eastAsia"/>
                      <w:color w:val="auto"/>
                      <w:szCs w:val="21"/>
                      <w:lang w:val="en"/>
                    </w:rPr>
                    <w:t>加强日常运维管理</w:t>
                  </w:r>
                </w:p>
              </w:tc>
              <w:tc>
                <w:tcPr>
                  <w:tcW w:w="2180" w:type="pct"/>
                  <w:noWrap w:val="0"/>
                  <w:vAlign w:val="center"/>
                </w:tcPr>
                <w:p w14:paraId="3A3F966B">
                  <w:pPr>
                    <w:pStyle w:val="68"/>
                    <w:snapToGrid w:val="0"/>
                    <w:spacing w:line="320" w:lineRule="exact"/>
                    <w:jc w:val="left"/>
                    <w:rPr>
                      <w:rFonts w:hint="eastAsia" w:eastAsia="宋体"/>
                      <w:color w:val="auto"/>
                      <w:szCs w:val="21"/>
                      <w:lang w:val="en" w:eastAsia="zh-CN"/>
                    </w:rPr>
                  </w:pPr>
                  <w:r>
                    <w:rPr>
                      <w:rFonts w:hint="eastAsia"/>
                      <w:color w:val="auto"/>
                      <w:szCs w:val="21"/>
                      <w:lang w:val="en"/>
                    </w:rPr>
                    <w:t>医疗机构应依法取得排污许可证，或填报排污登记表，并落实载明的各项生态环境管理要求。要将污水处理设施运行维护纳入医疗机构日常管理工作，依法建立健全医疗机构污水处理设施运行台账制度，落实岗位职责，规范记录进出水水量、水质、消毒药剂类型和使用量等信息。依法开展自行监测</w:t>
                  </w:r>
                  <w:r>
                    <w:rPr>
                      <w:rFonts w:hint="eastAsia"/>
                      <w:color w:val="auto"/>
                      <w:szCs w:val="21"/>
                      <w:lang w:val="en" w:eastAsia="zh-CN"/>
                    </w:rPr>
                    <w:t>。</w:t>
                  </w:r>
                </w:p>
              </w:tc>
              <w:tc>
                <w:tcPr>
                  <w:tcW w:w="2289" w:type="pct"/>
                  <w:noWrap w:val="0"/>
                  <w:vAlign w:val="center"/>
                </w:tcPr>
                <w:p w14:paraId="1EAD0452">
                  <w:pPr>
                    <w:pStyle w:val="68"/>
                    <w:rPr>
                      <w:rFonts w:hint="eastAsia" w:eastAsia="宋体"/>
                      <w:color w:val="auto"/>
                      <w:lang w:val="en-US" w:eastAsia="zh-CN"/>
                    </w:rPr>
                  </w:pPr>
                  <w:r>
                    <w:rPr>
                      <w:rFonts w:hint="eastAsia"/>
                      <w:color w:val="auto"/>
                      <w:lang w:val="en-US" w:eastAsia="zh-CN"/>
                    </w:rPr>
                    <w:t>扩建项目将办理排污许可变更，</w:t>
                  </w:r>
                  <w:r>
                    <w:rPr>
                      <w:rFonts w:hint="eastAsia"/>
                      <w:color w:val="auto"/>
                      <w:szCs w:val="21"/>
                      <w:lang w:val="en"/>
                    </w:rPr>
                    <w:t>依法开展自行监测</w:t>
                  </w:r>
                  <w:r>
                    <w:rPr>
                      <w:rFonts w:hint="eastAsia"/>
                      <w:color w:val="auto"/>
                      <w:szCs w:val="21"/>
                      <w:lang w:val="en" w:eastAsia="zh-CN"/>
                    </w:rPr>
                    <w:t>，</w:t>
                  </w:r>
                  <w:r>
                    <w:rPr>
                      <w:rFonts w:hint="eastAsia"/>
                      <w:color w:val="auto"/>
                      <w:szCs w:val="21"/>
                      <w:lang w:val="en"/>
                    </w:rPr>
                    <w:t>建立健全医疗机构污水处理设施运行台账制度</w:t>
                  </w:r>
                  <w:r>
                    <w:rPr>
                      <w:rFonts w:hint="eastAsia"/>
                      <w:color w:val="auto"/>
                      <w:szCs w:val="21"/>
                      <w:lang w:val="en" w:eastAsia="zh-CN"/>
                    </w:rPr>
                    <w:t>。</w:t>
                  </w:r>
                </w:p>
              </w:tc>
            </w:tr>
            <w:tr w14:paraId="53183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530" w:type="pct"/>
                  <w:noWrap w:val="0"/>
                  <w:vAlign w:val="center"/>
                </w:tcPr>
                <w:p w14:paraId="51E2898B">
                  <w:pPr>
                    <w:pStyle w:val="68"/>
                    <w:snapToGrid w:val="0"/>
                    <w:spacing w:line="320" w:lineRule="exact"/>
                    <w:rPr>
                      <w:color w:val="auto"/>
                      <w:szCs w:val="21"/>
                      <w:lang w:val="en"/>
                    </w:rPr>
                  </w:pPr>
                  <w:r>
                    <w:rPr>
                      <w:rFonts w:hint="eastAsia"/>
                      <w:color w:val="auto"/>
                      <w:szCs w:val="21"/>
                      <w:lang w:val="en"/>
                    </w:rPr>
                    <w:t>三、认真落实各方责任</w:t>
                  </w:r>
                </w:p>
              </w:tc>
              <w:tc>
                <w:tcPr>
                  <w:tcW w:w="2180" w:type="pct"/>
                  <w:noWrap w:val="0"/>
                  <w:vAlign w:val="center"/>
                </w:tcPr>
                <w:p w14:paraId="7342FD27">
                  <w:pPr>
                    <w:pStyle w:val="68"/>
                    <w:snapToGrid w:val="0"/>
                    <w:spacing w:line="320" w:lineRule="exact"/>
                    <w:jc w:val="left"/>
                    <w:rPr>
                      <w:rFonts w:hint="eastAsia"/>
                      <w:color w:val="auto"/>
                      <w:szCs w:val="21"/>
                      <w:lang w:val="en"/>
                    </w:rPr>
                  </w:pPr>
                  <w:r>
                    <w:rPr>
                      <w:rFonts w:hint="eastAsia"/>
                      <w:color w:val="auto"/>
                      <w:szCs w:val="21"/>
                      <w:lang w:val="en"/>
                    </w:rPr>
                    <w:t>医疗机构要切实履行污染治理主体责任，做好污水收集、处理、消毒等工作，确保达标排放。</w:t>
                  </w:r>
                </w:p>
              </w:tc>
              <w:tc>
                <w:tcPr>
                  <w:tcW w:w="2289" w:type="pct"/>
                  <w:noWrap w:val="0"/>
                  <w:vAlign w:val="center"/>
                </w:tcPr>
                <w:p w14:paraId="63BCA1D4">
                  <w:pPr>
                    <w:pStyle w:val="68"/>
                    <w:rPr>
                      <w:rFonts w:hint="default" w:eastAsia="宋体"/>
                      <w:color w:val="auto"/>
                      <w:lang w:val="en-US" w:eastAsia="zh-CN"/>
                    </w:rPr>
                  </w:pPr>
                  <w:r>
                    <w:rPr>
                      <w:rFonts w:hint="eastAsia"/>
                      <w:color w:val="auto"/>
                      <w:lang w:val="en-US" w:eastAsia="zh-CN"/>
                    </w:rPr>
                    <w:t>院区废水收集后经污水处理站处理</w:t>
                  </w:r>
                  <w:r>
                    <w:rPr>
                      <w:rFonts w:hint="eastAsia"/>
                      <w:color w:val="auto"/>
                      <w:sz w:val="21"/>
                      <w:szCs w:val="21"/>
                      <w:lang w:eastAsia="zh-CN"/>
                    </w:rPr>
                    <w:t>达《医疗机构水污染物排放标准》（GB18466-2005）表2综合医疗机构和其他医疗机构水污染物排放限值中的预处理标准后排入市政污水管网。</w:t>
                  </w:r>
                  <w:r>
                    <w:rPr>
                      <w:rFonts w:hint="eastAsia"/>
                      <w:color w:val="auto"/>
                      <w:sz w:val="21"/>
                      <w:szCs w:val="21"/>
                      <w:lang w:val="en-US" w:eastAsia="zh-CN"/>
                    </w:rPr>
                    <w:t>消毒采用次氯酸钠消毒。</w:t>
                  </w:r>
                </w:p>
              </w:tc>
            </w:tr>
          </w:tbl>
          <w:p w14:paraId="62953111">
            <w:pPr>
              <w:pStyle w:val="16"/>
              <w:rPr>
                <w:color w:val="auto"/>
                <w:sz w:val="24"/>
              </w:rPr>
            </w:pPr>
          </w:p>
          <w:p w14:paraId="634C1007">
            <w:pPr>
              <w:pStyle w:val="16"/>
              <w:rPr>
                <w:color w:val="auto"/>
                <w:sz w:val="24"/>
              </w:rPr>
            </w:pPr>
          </w:p>
          <w:p w14:paraId="6C5EC877">
            <w:pPr>
              <w:pStyle w:val="16"/>
              <w:rPr>
                <w:color w:val="auto"/>
                <w:sz w:val="24"/>
              </w:rPr>
            </w:pPr>
          </w:p>
          <w:p w14:paraId="38011E94">
            <w:pPr>
              <w:pStyle w:val="16"/>
              <w:adjustRightInd w:val="0"/>
              <w:snapToGrid w:val="0"/>
              <w:spacing w:after="0" w:line="360" w:lineRule="auto"/>
              <w:ind w:left="0" w:leftChars="0"/>
              <w:rPr>
                <w:color w:val="auto"/>
                <w:kern w:val="0"/>
                <w:szCs w:val="21"/>
              </w:rPr>
            </w:pPr>
          </w:p>
        </w:tc>
      </w:tr>
    </w:tbl>
    <w:p w14:paraId="75A33642">
      <w:pPr>
        <w:spacing w:line="360" w:lineRule="auto"/>
        <w:outlineLvl w:val="0"/>
        <w:rPr>
          <w:color w:val="auto"/>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74A10EB5">
      <w:pPr>
        <w:pStyle w:val="23"/>
        <w:spacing w:before="0" w:beforeAutospacing="0" w:after="0" w:afterAutospacing="0"/>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二、建设项目工程分析</w:t>
      </w:r>
    </w:p>
    <w:tbl>
      <w:tblPr>
        <w:tblStyle w:val="25"/>
        <w:tblW w:w="99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170"/>
      </w:tblGrid>
      <w:tr w14:paraId="1B4811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67" w:hRule="atLeast"/>
          <w:jc w:val="center"/>
        </w:trPr>
        <w:tc>
          <w:tcPr>
            <w:tcW w:w="823" w:type="dxa"/>
            <w:noWrap w:val="0"/>
            <w:vAlign w:val="center"/>
          </w:tcPr>
          <w:p w14:paraId="375A361A">
            <w:pPr>
              <w:pStyle w:val="23"/>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建设内容</w:t>
            </w:r>
          </w:p>
        </w:tc>
        <w:tc>
          <w:tcPr>
            <w:tcW w:w="9170" w:type="dxa"/>
            <w:noWrap w:val="0"/>
            <w:vAlign w:val="top"/>
          </w:tcPr>
          <w:p w14:paraId="592C4184">
            <w:pPr>
              <w:adjustRightInd w:val="0"/>
              <w:snapToGrid w:val="0"/>
              <w:spacing w:line="360" w:lineRule="auto"/>
              <w:rPr>
                <w:b/>
                <w:bCs/>
                <w:color w:val="auto"/>
                <w:sz w:val="24"/>
              </w:rPr>
            </w:pPr>
            <w:r>
              <w:rPr>
                <w:rFonts w:hint="eastAsia"/>
                <w:b/>
                <w:bCs/>
                <w:color w:val="auto"/>
                <w:sz w:val="24"/>
              </w:rPr>
              <w:t>2.1</w:t>
            </w:r>
            <w:r>
              <w:rPr>
                <w:b/>
                <w:bCs/>
                <w:color w:val="auto"/>
                <w:sz w:val="24"/>
              </w:rPr>
              <w:t>项目由来及概况</w:t>
            </w:r>
          </w:p>
          <w:p w14:paraId="0A2574BA">
            <w:pPr>
              <w:adjustRightInd w:val="0"/>
              <w:snapToGrid w:val="0"/>
              <w:spacing w:line="360" w:lineRule="auto"/>
              <w:ind w:firstLine="482" w:firstLineChars="200"/>
              <w:rPr>
                <w:b/>
                <w:bCs/>
                <w:color w:val="auto"/>
                <w:sz w:val="24"/>
              </w:rPr>
            </w:pPr>
            <w:r>
              <w:rPr>
                <w:b/>
                <w:bCs/>
                <w:color w:val="auto"/>
                <w:sz w:val="24"/>
              </w:rPr>
              <w:t>1）项目由来</w:t>
            </w:r>
          </w:p>
          <w:p w14:paraId="688B4C03">
            <w:pPr>
              <w:widowControl/>
              <w:snapToGrid w:val="0"/>
              <w:spacing w:line="360" w:lineRule="auto"/>
              <w:ind w:firstLine="480" w:firstLineChars="200"/>
              <w:jc w:val="left"/>
              <w:rPr>
                <w:color w:val="auto"/>
                <w:kern w:val="0"/>
                <w:sz w:val="24"/>
                <w:lang w:bidi="ar"/>
              </w:rPr>
            </w:pPr>
            <w:r>
              <w:rPr>
                <w:rFonts w:hint="eastAsia"/>
                <w:color w:val="auto"/>
                <w:kern w:val="0"/>
                <w:sz w:val="24"/>
                <w:lang w:eastAsia="zh-CN" w:bidi="ar"/>
              </w:rPr>
              <w:t>重庆同心医院是一家以医疗、预防、保健、康复、妇幼保健为一体的综合性，医院</w:t>
            </w:r>
            <w:r>
              <w:rPr>
                <w:color w:val="auto"/>
                <w:kern w:val="0"/>
                <w:sz w:val="24"/>
                <w:lang w:bidi="ar"/>
              </w:rPr>
              <w:t>位于</w:t>
            </w:r>
            <w:r>
              <w:rPr>
                <w:rFonts w:hint="eastAsia"/>
                <w:color w:val="auto"/>
                <w:kern w:val="0"/>
                <w:sz w:val="24"/>
                <w:lang w:eastAsia="zh-CN" w:bidi="ar"/>
              </w:rPr>
              <w:t>九龙坡区石新路33号渝州新城7号楼</w:t>
            </w:r>
            <w:r>
              <w:rPr>
                <w:color w:val="auto"/>
                <w:kern w:val="0"/>
                <w:sz w:val="24"/>
                <w:lang w:bidi="ar"/>
              </w:rPr>
              <w:t>，租用</w:t>
            </w:r>
            <w:r>
              <w:rPr>
                <w:rFonts w:hint="eastAsia"/>
                <w:color w:val="auto"/>
                <w:kern w:val="0"/>
                <w:sz w:val="24"/>
                <w:lang w:eastAsia="zh-CN" w:bidi="ar"/>
              </w:rPr>
              <w:t>渝州新城7号楼</w:t>
            </w:r>
            <w:r>
              <w:rPr>
                <w:color w:val="auto"/>
                <w:kern w:val="0"/>
                <w:sz w:val="24"/>
                <w:lang w:bidi="ar"/>
              </w:rPr>
              <w:t>1F</w:t>
            </w:r>
            <w:r>
              <w:rPr>
                <w:rFonts w:hint="eastAsia"/>
                <w:color w:val="auto"/>
                <w:kern w:val="0"/>
                <w:sz w:val="24"/>
                <w:lang w:val="en-US" w:eastAsia="zh-CN" w:bidi="ar"/>
              </w:rPr>
              <w:t>部分</w:t>
            </w:r>
            <w:r>
              <w:rPr>
                <w:color w:val="auto"/>
                <w:kern w:val="0"/>
                <w:sz w:val="24"/>
                <w:lang w:bidi="ar"/>
              </w:rPr>
              <w:t>、</w:t>
            </w:r>
            <w:r>
              <w:rPr>
                <w:rFonts w:hint="eastAsia"/>
                <w:color w:val="auto"/>
                <w:kern w:val="0"/>
                <w:sz w:val="24"/>
                <w:lang w:val="en-US" w:eastAsia="zh-CN" w:bidi="ar"/>
              </w:rPr>
              <w:t>2～4</w:t>
            </w:r>
            <w:r>
              <w:rPr>
                <w:color w:val="auto"/>
                <w:kern w:val="0"/>
                <w:sz w:val="24"/>
                <w:lang w:bidi="ar"/>
              </w:rPr>
              <w:t>F。现有项目</w:t>
            </w:r>
            <w:r>
              <w:rPr>
                <w:rFonts w:hint="eastAsia"/>
                <w:color w:val="auto"/>
                <w:kern w:val="0"/>
                <w:sz w:val="24"/>
                <w:lang w:bidi="ar"/>
              </w:rPr>
              <w:t>设置有内科、外科、妇产科、中医科、儿科、皮肤科、口腔科、医学检验科、医学影像科及托老院等科室；该医院共设</w:t>
            </w:r>
            <w:r>
              <w:rPr>
                <w:rFonts w:hint="eastAsia"/>
                <w:color w:val="auto"/>
                <w:kern w:val="0"/>
                <w:sz w:val="24"/>
                <w:lang w:val="en-US" w:eastAsia="zh-CN" w:bidi="ar"/>
              </w:rPr>
              <w:t>住院</w:t>
            </w:r>
            <w:r>
              <w:rPr>
                <w:rFonts w:hint="eastAsia"/>
                <w:color w:val="auto"/>
                <w:kern w:val="0"/>
                <w:sz w:val="24"/>
                <w:lang w:bidi="ar"/>
              </w:rPr>
              <w:t>床位90张，托老院床位数为120张</w:t>
            </w:r>
            <w:r>
              <w:rPr>
                <w:color w:val="auto"/>
                <w:kern w:val="0"/>
                <w:sz w:val="24"/>
                <w:lang w:bidi="ar"/>
              </w:rPr>
              <w:t>，不</w:t>
            </w:r>
            <w:r>
              <w:rPr>
                <w:rFonts w:hint="eastAsia"/>
                <w:color w:val="auto"/>
                <w:kern w:val="0"/>
                <w:sz w:val="24"/>
                <w:lang w:val="en-US" w:eastAsia="zh-CN" w:bidi="ar"/>
              </w:rPr>
              <w:t>设置</w:t>
            </w:r>
            <w:r>
              <w:rPr>
                <w:rFonts w:hint="eastAsia"/>
                <w:color w:val="auto"/>
                <w:sz w:val="24"/>
                <w:szCs w:val="24"/>
                <w:lang w:val="en-US" w:eastAsia="zh-CN"/>
              </w:rPr>
              <w:t>传染科、肠道发热门诊、生化检验、太平间、医疗废物焚烧炉</w:t>
            </w:r>
            <w:r>
              <w:rPr>
                <w:color w:val="auto"/>
                <w:kern w:val="0"/>
                <w:sz w:val="24"/>
                <w:lang w:bidi="ar"/>
              </w:rPr>
              <w:t>、食堂。</w:t>
            </w:r>
            <w:r>
              <w:rPr>
                <w:rFonts w:hint="eastAsia"/>
                <w:color w:val="auto"/>
                <w:kern w:val="0"/>
                <w:sz w:val="24"/>
                <w:lang w:bidi="ar"/>
              </w:rPr>
              <w:t>201</w:t>
            </w:r>
            <w:r>
              <w:rPr>
                <w:rFonts w:hint="eastAsia"/>
                <w:color w:val="auto"/>
                <w:kern w:val="0"/>
                <w:sz w:val="24"/>
                <w:lang w:val="en-US" w:eastAsia="zh-CN" w:bidi="ar"/>
              </w:rPr>
              <w:t>4</w:t>
            </w:r>
            <w:r>
              <w:rPr>
                <w:rFonts w:hint="eastAsia"/>
                <w:color w:val="auto"/>
                <w:kern w:val="0"/>
                <w:sz w:val="24"/>
                <w:lang w:bidi="ar"/>
              </w:rPr>
              <w:t>年</w:t>
            </w:r>
            <w:r>
              <w:rPr>
                <w:rFonts w:hint="eastAsia"/>
                <w:color w:val="auto"/>
                <w:kern w:val="0"/>
                <w:sz w:val="24"/>
                <w:lang w:val="en-US" w:eastAsia="zh-CN" w:bidi="ar"/>
              </w:rPr>
              <w:t>6</w:t>
            </w:r>
            <w:r>
              <w:rPr>
                <w:rFonts w:hint="eastAsia"/>
                <w:color w:val="auto"/>
                <w:kern w:val="0"/>
                <w:sz w:val="24"/>
                <w:lang w:bidi="ar"/>
              </w:rPr>
              <w:t>月1</w:t>
            </w:r>
            <w:r>
              <w:rPr>
                <w:rFonts w:hint="eastAsia"/>
                <w:color w:val="auto"/>
                <w:kern w:val="0"/>
                <w:sz w:val="24"/>
                <w:lang w:val="en-US" w:eastAsia="zh-CN" w:bidi="ar"/>
              </w:rPr>
              <w:t>1</w:t>
            </w:r>
            <w:r>
              <w:rPr>
                <w:rFonts w:hint="eastAsia"/>
                <w:color w:val="auto"/>
                <w:kern w:val="0"/>
                <w:sz w:val="24"/>
                <w:lang w:bidi="ar"/>
              </w:rPr>
              <w:t>日</w:t>
            </w:r>
            <w:r>
              <w:rPr>
                <w:color w:val="auto"/>
                <w:kern w:val="0"/>
                <w:sz w:val="24"/>
                <w:lang w:bidi="ar"/>
              </w:rPr>
              <w:t>九龙坡区</w:t>
            </w:r>
            <w:r>
              <w:rPr>
                <w:rFonts w:hint="eastAsia"/>
                <w:color w:val="auto"/>
                <w:kern w:val="0"/>
                <w:sz w:val="24"/>
                <w:lang w:bidi="ar"/>
              </w:rPr>
              <w:t>生态环境局</w:t>
            </w:r>
            <w:r>
              <w:rPr>
                <w:color w:val="auto"/>
                <w:kern w:val="0"/>
                <w:sz w:val="24"/>
                <w:lang w:bidi="ar"/>
              </w:rPr>
              <w:t>以</w:t>
            </w:r>
            <w:r>
              <w:rPr>
                <w:rFonts w:hint="eastAsia"/>
                <w:color w:val="auto"/>
                <w:kern w:val="0"/>
                <w:sz w:val="24"/>
                <w:lang w:eastAsia="zh-CN" w:bidi="ar"/>
              </w:rPr>
              <w:t>“</w:t>
            </w:r>
            <w:r>
              <w:rPr>
                <w:color w:val="auto"/>
                <w:kern w:val="0"/>
                <w:sz w:val="24"/>
                <w:lang w:bidi="ar"/>
              </w:rPr>
              <w:t>渝（九）环准</w:t>
            </w:r>
            <w:r>
              <w:rPr>
                <w:rFonts w:hint="eastAsia"/>
                <w:color w:val="auto"/>
                <w:kern w:val="0"/>
                <w:sz w:val="24"/>
                <w:lang w:eastAsia="zh-CN" w:bidi="ar"/>
              </w:rPr>
              <w:t>〔</w:t>
            </w:r>
            <w:r>
              <w:rPr>
                <w:color w:val="auto"/>
                <w:kern w:val="0"/>
                <w:sz w:val="24"/>
                <w:lang w:bidi="ar"/>
              </w:rPr>
              <w:t>201</w:t>
            </w:r>
            <w:r>
              <w:rPr>
                <w:rFonts w:hint="eastAsia"/>
                <w:color w:val="auto"/>
                <w:kern w:val="0"/>
                <w:sz w:val="24"/>
                <w:lang w:val="en-US" w:eastAsia="zh-CN" w:bidi="ar"/>
              </w:rPr>
              <w:t>4</w:t>
            </w:r>
            <w:r>
              <w:rPr>
                <w:rFonts w:hint="eastAsia"/>
                <w:color w:val="auto"/>
                <w:kern w:val="0"/>
                <w:sz w:val="24"/>
                <w:lang w:eastAsia="zh-CN" w:bidi="ar"/>
              </w:rPr>
              <w:t>〕</w:t>
            </w:r>
            <w:r>
              <w:rPr>
                <w:rFonts w:hint="eastAsia"/>
                <w:color w:val="auto"/>
                <w:kern w:val="0"/>
                <w:sz w:val="24"/>
                <w:lang w:val="en-US" w:eastAsia="zh-CN" w:bidi="ar"/>
              </w:rPr>
              <w:t>73</w:t>
            </w:r>
            <w:r>
              <w:rPr>
                <w:color w:val="auto"/>
                <w:kern w:val="0"/>
                <w:sz w:val="24"/>
                <w:lang w:bidi="ar"/>
              </w:rPr>
              <w:t>号</w:t>
            </w:r>
            <w:r>
              <w:rPr>
                <w:rFonts w:hint="eastAsia"/>
                <w:color w:val="auto"/>
                <w:kern w:val="0"/>
                <w:sz w:val="24"/>
                <w:lang w:eastAsia="zh-CN" w:bidi="ar"/>
              </w:rPr>
              <w:t>”</w:t>
            </w:r>
            <w:r>
              <w:rPr>
                <w:color w:val="auto"/>
                <w:kern w:val="0"/>
                <w:sz w:val="24"/>
                <w:lang w:bidi="ar"/>
              </w:rPr>
              <w:t>文</w:t>
            </w:r>
            <w:r>
              <w:rPr>
                <w:rFonts w:hint="eastAsia"/>
                <w:color w:val="auto"/>
                <w:kern w:val="0"/>
                <w:sz w:val="24"/>
                <w:lang w:bidi="ar"/>
              </w:rPr>
              <w:t>对现有项目</w:t>
            </w:r>
            <w:r>
              <w:rPr>
                <w:color w:val="auto"/>
                <w:kern w:val="0"/>
                <w:sz w:val="24"/>
                <w:lang w:bidi="ar"/>
              </w:rPr>
              <w:t>进行了批复，201</w:t>
            </w:r>
            <w:r>
              <w:rPr>
                <w:rFonts w:hint="eastAsia"/>
                <w:color w:val="auto"/>
                <w:kern w:val="0"/>
                <w:sz w:val="24"/>
                <w:lang w:val="en-US" w:eastAsia="zh-CN" w:bidi="ar"/>
              </w:rPr>
              <w:t>5</w:t>
            </w:r>
            <w:r>
              <w:rPr>
                <w:color w:val="auto"/>
                <w:kern w:val="0"/>
                <w:sz w:val="24"/>
                <w:lang w:bidi="ar"/>
              </w:rPr>
              <w:t>年</w:t>
            </w:r>
            <w:r>
              <w:rPr>
                <w:rFonts w:hint="eastAsia"/>
                <w:color w:val="auto"/>
                <w:kern w:val="0"/>
                <w:sz w:val="24"/>
                <w:lang w:val="en-US" w:eastAsia="zh-CN" w:bidi="ar"/>
              </w:rPr>
              <w:t>8</w:t>
            </w:r>
            <w:r>
              <w:rPr>
                <w:color w:val="auto"/>
                <w:kern w:val="0"/>
                <w:sz w:val="24"/>
                <w:lang w:bidi="ar"/>
              </w:rPr>
              <w:t>月</w:t>
            </w:r>
            <w:r>
              <w:rPr>
                <w:bCs/>
                <w:color w:val="auto"/>
                <w:sz w:val="24"/>
              </w:rPr>
              <w:t>完成了竣工环境保护验收。现有项目已取得排污许可证，证书编号为91500107663553044C001U。</w:t>
            </w:r>
          </w:p>
          <w:p w14:paraId="07707F78">
            <w:pPr>
              <w:widowControl/>
              <w:snapToGrid w:val="0"/>
              <w:spacing w:line="360" w:lineRule="auto"/>
              <w:ind w:firstLine="480" w:firstLineChars="200"/>
              <w:jc w:val="left"/>
              <w:rPr>
                <w:rFonts w:hint="eastAsia"/>
                <w:iCs/>
                <w:color w:val="auto"/>
                <w:sz w:val="24"/>
              </w:rPr>
            </w:pPr>
            <w:r>
              <w:rPr>
                <w:rFonts w:hint="eastAsia"/>
                <w:color w:val="auto"/>
                <w:kern w:val="0"/>
                <w:sz w:val="24"/>
                <w:lang w:bidi="ar"/>
              </w:rPr>
              <w:t>为加快推进基层医疗卫生体系建设，健全基层医疗卫生服务网络，满足人民群众不断提高的医疗需求，重庆同心医院</w:t>
            </w:r>
            <w:r>
              <w:rPr>
                <w:rFonts w:hint="eastAsia"/>
                <w:color w:val="auto"/>
                <w:kern w:val="0"/>
                <w:sz w:val="24"/>
                <w:lang w:val="en-US" w:eastAsia="zh-CN" w:bidi="ar"/>
              </w:rPr>
              <w:t>住院</w:t>
            </w:r>
            <w:r>
              <w:rPr>
                <w:rFonts w:hint="eastAsia"/>
                <w:color w:val="auto"/>
                <w:kern w:val="0"/>
                <w:sz w:val="24"/>
                <w:lang w:bidi="ar"/>
              </w:rPr>
              <w:t>床位拟由90张增加至150张，增设60张</w:t>
            </w:r>
            <w:r>
              <w:rPr>
                <w:rFonts w:hint="eastAsia"/>
                <w:color w:val="auto"/>
                <w:kern w:val="0"/>
                <w:sz w:val="24"/>
                <w:lang w:val="en-US" w:eastAsia="zh-CN" w:bidi="ar"/>
              </w:rPr>
              <w:t>住院</w:t>
            </w:r>
            <w:r>
              <w:rPr>
                <w:rFonts w:hint="eastAsia"/>
                <w:color w:val="auto"/>
                <w:kern w:val="0"/>
                <w:sz w:val="24"/>
                <w:lang w:bidi="ar"/>
              </w:rPr>
              <w:t>床位（不新增科室），托老区床位数由120张增加至150张，并获得重庆市九龙坡区卫生健康委员会核准</w:t>
            </w:r>
            <w:r>
              <w:rPr>
                <w:rFonts w:hint="eastAsia"/>
                <w:color w:val="auto"/>
                <w:kern w:val="0"/>
                <w:sz w:val="24"/>
                <w:lang w:eastAsia="zh-CN" w:bidi="ar"/>
              </w:rPr>
              <w:t>，</w:t>
            </w:r>
            <w:r>
              <w:rPr>
                <w:rFonts w:hint="eastAsia"/>
                <w:color w:val="auto"/>
                <w:kern w:val="0"/>
                <w:sz w:val="24"/>
                <w:lang w:val="en-US" w:eastAsia="zh-CN" w:bidi="ar"/>
              </w:rPr>
              <w:t>以及重庆市九龙坡区民政局备案</w:t>
            </w:r>
            <w:r>
              <w:rPr>
                <w:rFonts w:hint="eastAsia"/>
                <w:color w:val="auto"/>
                <w:kern w:val="0"/>
                <w:sz w:val="24"/>
                <w:lang w:bidi="ar"/>
              </w:rPr>
              <w:t>。</w:t>
            </w:r>
            <w:r>
              <w:rPr>
                <w:color w:val="auto"/>
                <w:sz w:val="24"/>
              </w:rPr>
              <w:t>重庆市</w:t>
            </w:r>
            <w:r>
              <w:rPr>
                <w:rFonts w:hint="eastAsia"/>
                <w:color w:val="auto"/>
                <w:sz w:val="24"/>
                <w:lang w:val="en-US" w:eastAsia="zh-CN"/>
              </w:rPr>
              <w:t>九龙坡</w:t>
            </w:r>
            <w:r>
              <w:rPr>
                <w:color w:val="auto"/>
                <w:sz w:val="24"/>
              </w:rPr>
              <w:t>区发改委于202</w:t>
            </w:r>
            <w:r>
              <w:rPr>
                <w:rFonts w:hint="eastAsia"/>
                <w:color w:val="auto"/>
                <w:sz w:val="24"/>
                <w:lang w:val="en-US" w:eastAsia="zh-CN"/>
              </w:rPr>
              <w:t>4</w:t>
            </w:r>
            <w:r>
              <w:rPr>
                <w:color w:val="auto"/>
                <w:sz w:val="24"/>
              </w:rPr>
              <w:t>年</w:t>
            </w:r>
            <w:r>
              <w:rPr>
                <w:rFonts w:hint="eastAsia"/>
                <w:color w:val="auto"/>
                <w:sz w:val="24"/>
                <w:lang w:val="en-US" w:eastAsia="zh-CN"/>
              </w:rPr>
              <w:t>10</w:t>
            </w:r>
            <w:r>
              <w:rPr>
                <w:color w:val="auto"/>
                <w:sz w:val="24"/>
              </w:rPr>
              <w:t>月</w:t>
            </w:r>
            <w:r>
              <w:rPr>
                <w:rFonts w:hint="eastAsia"/>
                <w:color w:val="auto"/>
                <w:sz w:val="24"/>
                <w:lang w:val="en-US" w:eastAsia="zh-CN"/>
              </w:rPr>
              <w:t>16</w:t>
            </w:r>
            <w:r>
              <w:rPr>
                <w:color w:val="auto"/>
                <w:sz w:val="24"/>
              </w:rPr>
              <w:t>日核发《重庆市企业投资项目备案证》（项目代码：</w:t>
            </w:r>
            <w:r>
              <w:rPr>
                <w:rFonts w:hint="eastAsia"/>
                <w:color w:val="auto"/>
                <w:sz w:val="24"/>
                <w:lang w:val="en-US" w:eastAsia="zh-CN"/>
              </w:rPr>
              <w:t>2303-500107-04-05-293339</w:t>
            </w:r>
            <w:r>
              <w:rPr>
                <w:color w:val="auto"/>
                <w:sz w:val="24"/>
              </w:rPr>
              <w:t>）</w:t>
            </w:r>
            <w:r>
              <w:rPr>
                <w:rFonts w:hint="eastAsia"/>
                <w:color w:val="auto"/>
                <w:sz w:val="24"/>
              </w:rPr>
              <w:t>，</w:t>
            </w:r>
            <w:r>
              <w:rPr>
                <w:color w:val="auto"/>
                <w:sz w:val="24"/>
              </w:rPr>
              <w:t>对照《建设项目环境影响评价分类管理名录》（2021年修订版），扩建项目属于“四十九、卫生”中的“医院841”项目，扩建</w:t>
            </w:r>
            <w:r>
              <w:rPr>
                <w:rFonts w:hint="eastAsia"/>
                <w:color w:val="auto"/>
                <w:sz w:val="24"/>
                <w:lang w:val="en-US" w:eastAsia="zh-CN"/>
              </w:rPr>
              <w:t>60</w:t>
            </w:r>
            <w:r>
              <w:rPr>
                <w:color w:val="auto"/>
                <w:sz w:val="24"/>
              </w:rPr>
              <w:t>张</w:t>
            </w:r>
            <w:r>
              <w:rPr>
                <w:rFonts w:hint="eastAsia"/>
                <w:color w:val="auto"/>
                <w:kern w:val="0"/>
                <w:sz w:val="24"/>
                <w:lang w:val="en-US" w:eastAsia="zh-CN" w:bidi="ar"/>
              </w:rPr>
              <w:t>住院床位</w:t>
            </w:r>
            <w:r>
              <w:rPr>
                <w:rFonts w:hint="eastAsia"/>
                <w:color w:val="auto"/>
                <w:sz w:val="24"/>
                <w:lang w:eastAsia="zh-CN"/>
              </w:rPr>
              <w:t>，</w:t>
            </w:r>
            <w:r>
              <w:rPr>
                <w:color w:val="auto"/>
                <w:sz w:val="24"/>
              </w:rPr>
              <w:t>根据要求，需要编制环境影响报告表。</w:t>
            </w:r>
            <w:r>
              <w:rPr>
                <w:rFonts w:hint="eastAsia"/>
                <w:color w:val="auto"/>
                <w:sz w:val="24"/>
                <w:lang w:val="en-US" w:eastAsia="zh-CN"/>
              </w:rPr>
              <w:t>根据“</w:t>
            </w:r>
            <w:r>
              <w:rPr>
                <w:rFonts w:hint="eastAsia"/>
                <w:color w:val="auto"/>
                <w:sz w:val="24"/>
              </w:rPr>
              <w:t>重庆市生态环境局关于印发《重庆市不纳入环境影响评价管理的建设项目名录（2023年版）》的通知</w:t>
            </w:r>
            <w:r>
              <w:rPr>
                <w:rFonts w:hint="eastAsia"/>
                <w:color w:val="auto"/>
                <w:sz w:val="24"/>
                <w:lang w:val="en-US" w:eastAsia="zh-CN"/>
              </w:rPr>
              <w:t>”</w:t>
            </w:r>
            <w:r>
              <w:rPr>
                <w:rFonts w:hint="eastAsia"/>
                <w:color w:val="auto"/>
                <w:sz w:val="24"/>
                <w:lang w:eastAsia="zh-CN"/>
              </w:rPr>
              <w:t>（</w:t>
            </w:r>
            <w:r>
              <w:rPr>
                <w:rFonts w:hint="eastAsia"/>
                <w:color w:val="auto"/>
                <w:sz w:val="24"/>
              </w:rPr>
              <w:t>渝环规〔2023〕8号</w:t>
            </w:r>
            <w:r>
              <w:rPr>
                <w:rFonts w:hint="eastAsia"/>
                <w:color w:val="auto"/>
                <w:sz w:val="24"/>
                <w:lang w:eastAsia="zh-CN"/>
              </w:rPr>
              <w:t>），</w:t>
            </w:r>
            <w:r>
              <w:rPr>
                <w:rFonts w:hint="eastAsia"/>
                <w:color w:val="auto"/>
                <w:sz w:val="24"/>
                <w:lang w:val="en-US" w:eastAsia="zh-CN"/>
              </w:rPr>
              <w:t>不属于《重庆市不纳入环境影响评价管理的建设项目名录（2023年版）》中列明的项目。</w:t>
            </w:r>
            <w:r>
              <w:rPr>
                <w:rFonts w:hint="eastAsia"/>
                <w:color w:val="auto"/>
                <w:sz w:val="24"/>
              </w:rPr>
              <w:t>我司接受建设单位委托，编制了</w:t>
            </w:r>
            <w:r>
              <w:rPr>
                <w:color w:val="auto"/>
                <w:sz w:val="24"/>
              </w:rPr>
              <w:t>《</w:t>
            </w:r>
            <w:r>
              <w:rPr>
                <w:rFonts w:hint="eastAsia"/>
                <w:color w:val="auto"/>
                <w:sz w:val="24"/>
                <w:lang w:eastAsia="zh-CN"/>
              </w:rPr>
              <w:t>同心医院扩建项目</w:t>
            </w:r>
            <w:r>
              <w:rPr>
                <w:rFonts w:hint="eastAsia"/>
                <w:color w:val="auto"/>
                <w:sz w:val="24"/>
              </w:rPr>
              <w:t>环境影响报告表</w:t>
            </w:r>
            <w:r>
              <w:rPr>
                <w:color w:val="auto"/>
                <w:sz w:val="24"/>
              </w:rPr>
              <w:t>》</w:t>
            </w:r>
            <w:r>
              <w:rPr>
                <w:rFonts w:hint="eastAsia"/>
                <w:color w:val="auto"/>
                <w:sz w:val="24"/>
              </w:rPr>
              <w:t>，</w:t>
            </w:r>
            <w:r>
              <w:rPr>
                <w:color w:val="auto"/>
                <w:sz w:val="24"/>
              </w:rPr>
              <w:t>由建设单位报请环保主管部门审</w:t>
            </w:r>
            <w:r>
              <w:rPr>
                <w:rFonts w:hint="eastAsia"/>
                <w:color w:val="auto"/>
                <w:sz w:val="24"/>
              </w:rPr>
              <w:t>批</w:t>
            </w:r>
            <w:r>
              <w:rPr>
                <w:rFonts w:hint="eastAsia"/>
                <w:iCs/>
                <w:color w:val="auto"/>
                <w:sz w:val="24"/>
              </w:rPr>
              <w:t>。</w:t>
            </w:r>
          </w:p>
          <w:p w14:paraId="793CC36A">
            <w:pPr>
              <w:pStyle w:val="16"/>
              <w:numPr>
                <w:ilvl w:val="0"/>
                <w:numId w:val="5"/>
              </w:numPr>
              <w:spacing w:after="0" w:line="360" w:lineRule="auto"/>
              <w:rPr>
                <w:rFonts w:hint="eastAsia"/>
                <w:b/>
                <w:bCs/>
                <w:iCs/>
                <w:color w:val="auto"/>
                <w:sz w:val="24"/>
              </w:rPr>
            </w:pPr>
            <w:r>
              <w:rPr>
                <w:rFonts w:hint="eastAsia"/>
                <w:b/>
                <w:bCs/>
                <w:iCs/>
                <w:color w:val="auto"/>
                <w:sz w:val="24"/>
              </w:rPr>
              <w:t>项目概况</w:t>
            </w:r>
          </w:p>
          <w:p w14:paraId="72BBE099">
            <w:pPr>
              <w:spacing w:line="360" w:lineRule="auto"/>
              <w:ind w:firstLine="480" w:firstLineChars="200"/>
              <w:rPr>
                <w:iCs/>
                <w:color w:val="auto"/>
                <w:sz w:val="24"/>
              </w:rPr>
            </w:pPr>
            <w:r>
              <w:rPr>
                <w:color w:val="auto"/>
                <w:sz w:val="24"/>
              </w:rPr>
              <w:t>项目名称：</w:t>
            </w:r>
            <w:r>
              <w:rPr>
                <w:rFonts w:hint="eastAsia"/>
                <w:color w:val="auto"/>
                <w:sz w:val="24"/>
                <w:lang w:eastAsia="zh-CN"/>
              </w:rPr>
              <w:t>同心医院扩建项目</w:t>
            </w:r>
            <w:r>
              <w:rPr>
                <w:iCs/>
                <w:color w:val="auto"/>
                <w:sz w:val="24"/>
              </w:rPr>
              <w:t>；</w:t>
            </w:r>
          </w:p>
          <w:p w14:paraId="1C9F6BEC">
            <w:pPr>
              <w:spacing w:line="360" w:lineRule="auto"/>
              <w:ind w:firstLine="480" w:firstLineChars="200"/>
              <w:rPr>
                <w:rFonts w:hint="eastAsia" w:eastAsia="宋体"/>
                <w:iCs/>
                <w:color w:val="auto"/>
                <w:sz w:val="24"/>
                <w:lang w:eastAsia="zh-CN"/>
              </w:rPr>
            </w:pPr>
            <w:r>
              <w:rPr>
                <w:rFonts w:hint="eastAsia"/>
                <w:iCs/>
                <w:color w:val="auto"/>
                <w:sz w:val="24"/>
              </w:rPr>
              <w:t>建设单位：</w:t>
            </w:r>
            <w:r>
              <w:rPr>
                <w:rFonts w:hint="eastAsia"/>
                <w:iCs/>
                <w:color w:val="auto"/>
                <w:sz w:val="24"/>
                <w:lang w:eastAsia="zh-CN"/>
              </w:rPr>
              <w:t>重庆同心医院（有限合伙）；</w:t>
            </w:r>
          </w:p>
          <w:p w14:paraId="6E0A9D1E">
            <w:pPr>
              <w:spacing w:line="360" w:lineRule="auto"/>
              <w:ind w:firstLine="480" w:firstLineChars="200"/>
              <w:rPr>
                <w:iCs/>
                <w:color w:val="auto"/>
                <w:sz w:val="24"/>
              </w:rPr>
            </w:pPr>
            <w:r>
              <w:rPr>
                <w:iCs/>
                <w:color w:val="auto"/>
                <w:sz w:val="24"/>
              </w:rPr>
              <w:t>项目性质：改扩建；</w:t>
            </w:r>
          </w:p>
          <w:p w14:paraId="37F4E5EC">
            <w:pPr>
              <w:spacing w:line="360" w:lineRule="auto"/>
              <w:ind w:firstLine="480" w:firstLineChars="200"/>
              <w:rPr>
                <w:color w:val="auto"/>
                <w:sz w:val="24"/>
              </w:rPr>
            </w:pPr>
            <w:r>
              <w:rPr>
                <w:iCs/>
                <w:color w:val="auto"/>
                <w:sz w:val="24"/>
              </w:rPr>
              <w:t>建设地点：</w:t>
            </w:r>
            <w:r>
              <w:rPr>
                <w:rFonts w:hint="eastAsia"/>
                <w:color w:val="auto"/>
                <w:sz w:val="24"/>
                <w:lang w:eastAsia="zh-CN"/>
              </w:rPr>
              <w:t>重庆市九龙坡区石新路33号渝州新城7号楼</w:t>
            </w:r>
            <w:r>
              <w:rPr>
                <w:color w:val="auto"/>
                <w:sz w:val="24"/>
              </w:rPr>
              <w:t>；</w:t>
            </w:r>
          </w:p>
          <w:p w14:paraId="14287745">
            <w:pPr>
              <w:spacing w:line="360" w:lineRule="auto"/>
              <w:ind w:firstLine="480" w:firstLineChars="200"/>
              <w:rPr>
                <w:color w:val="auto"/>
                <w:sz w:val="24"/>
              </w:rPr>
            </w:pPr>
            <w:r>
              <w:rPr>
                <w:bCs/>
                <w:color w:val="auto"/>
                <w:sz w:val="24"/>
              </w:rPr>
              <w:t>建筑面积：</w:t>
            </w:r>
            <w:r>
              <w:rPr>
                <w:rFonts w:hint="eastAsia"/>
                <w:color w:val="auto"/>
                <w:kern w:val="0"/>
                <w:sz w:val="24"/>
                <w:lang w:val="en-US" w:eastAsia="zh-CN" w:bidi="ar"/>
              </w:rPr>
              <w:t>扩建项目依托现有项目场地</w:t>
            </w:r>
            <w:r>
              <w:rPr>
                <w:rFonts w:hint="eastAsia"/>
                <w:color w:val="auto"/>
                <w:kern w:val="0"/>
                <w:sz w:val="24"/>
                <w:lang w:eastAsia="zh-CN" w:bidi="ar"/>
              </w:rPr>
              <w:t>，</w:t>
            </w:r>
            <w:r>
              <w:rPr>
                <w:rFonts w:hint="eastAsia"/>
                <w:color w:val="auto"/>
                <w:kern w:val="0"/>
                <w:sz w:val="24"/>
                <w:lang w:val="en-US" w:eastAsia="zh-CN" w:bidi="ar"/>
              </w:rPr>
              <w:t>另在3F新增租赁面积</w:t>
            </w:r>
            <w:r>
              <w:rPr>
                <w:color w:val="auto"/>
                <w:sz w:val="24"/>
              </w:rPr>
              <w:t>约</w:t>
            </w:r>
            <w:r>
              <w:rPr>
                <w:rFonts w:hint="eastAsia"/>
                <w:color w:val="auto"/>
                <w:sz w:val="24"/>
                <w:lang w:val="en-US" w:eastAsia="zh-CN"/>
              </w:rPr>
              <w:t>2229.11</w:t>
            </w:r>
            <w:r>
              <w:rPr>
                <w:bCs/>
                <w:color w:val="auto"/>
                <w:sz w:val="24"/>
              </w:rPr>
              <w:t>m</w:t>
            </w:r>
            <w:r>
              <w:rPr>
                <w:bCs/>
                <w:color w:val="auto"/>
                <w:sz w:val="24"/>
                <w:vertAlign w:val="superscript"/>
              </w:rPr>
              <w:t>2</w:t>
            </w:r>
            <w:r>
              <w:rPr>
                <w:bCs/>
                <w:color w:val="auto"/>
                <w:sz w:val="24"/>
              </w:rPr>
              <w:t>；</w:t>
            </w:r>
          </w:p>
          <w:p w14:paraId="3B217585">
            <w:pPr>
              <w:spacing w:line="360" w:lineRule="auto"/>
              <w:ind w:firstLine="480" w:firstLineChars="200"/>
              <w:rPr>
                <w:color w:val="auto"/>
                <w:sz w:val="24"/>
              </w:rPr>
            </w:pPr>
            <w:r>
              <w:rPr>
                <w:color w:val="auto"/>
                <w:sz w:val="24"/>
              </w:rPr>
              <w:t>总投资：</w:t>
            </w:r>
            <w:r>
              <w:rPr>
                <w:rFonts w:hint="eastAsia"/>
                <w:color w:val="auto"/>
                <w:sz w:val="24"/>
                <w:lang w:val="en-US" w:eastAsia="zh-CN"/>
              </w:rPr>
              <w:t>25</w:t>
            </w:r>
            <w:r>
              <w:rPr>
                <w:color w:val="auto"/>
                <w:sz w:val="24"/>
              </w:rPr>
              <w:t>0万元，其中环保投资</w:t>
            </w:r>
            <w:r>
              <w:rPr>
                <w:rFonts w:hint="eastAsia"/>
                <w:color w:val="auto"/>
                <w:sz w:val="24"/>
              </w:rPr>
              <w:t>10</w:t>
            </w:r>
            <w:r>
              <w:rPr>
                <w:color w:val="auto"/>
                <w:sz w:val="24"/>
              </w:rPr>
              <w:t>万元；</w:t>
            </w:r>
          </w:p>
          <w:p w14:paraId="54DE319E">
            <w:pPr>
              <w:spacing w:line="360" w:lineRule="auto"/>
              <w:ind w:firstLine="480" w:firstLineChars="200"/>
              <w:rPr>
                <w:rFonts w:hint="eastAsia"/>
                <w:color w:val="auto"/>
                <w:sz w:val="24"/>
                <w:lang w:eastAsia="zh-CN"/>
              </w:rPr>
            </w:pPr>
            <w:r>
              <w:rPr>
                <w:color w:val="auto"/>
                <w:sz w:val="24"/>
              </w:rPr>
              <w:t>建设工期：</w:t>
            </w:r>
            <w:r>
              <w:rPr>
                <w:rFonts w:hint="eastAsia"/>
                <w:color w:val="auto"/>
                <w:sz w:val="24"/>
              </w:rPr>
              <w:t>2</w:t>
            </w:r>
            <w:r>
              <w:rPr>
                <w:color w:val="auto"/>
                <w:sz w:val="24"/>
              </w:rPr>
              <w:t>个月</w:t>
            </w:r>
            <w:r>
              <w:rPr>
                <w:rFonts w:hint="eastAsia"/>
                <w:color w:val="auto"/>
                <w:sz w:val="24"/>
                <w:lang w:eastAsia="zh-CN"/>
              </w:rPr>
              <w:t>；</w:t>
            </w:r>
          </w:p>
          <w:p w14:paraId="4B4763AF">
            <w:pPr>
              <w:spacing w:line="360" w:lineRule="auto"/>
              <w:ind w:firstLine="480" w:firstLineChars="200"/>
              <w:rPr>
                <w:color w:val="auto"/>
                <w:sz w:val="24"/>
                <w:szCs w:val="24"/>
              </w:rPr>
            </w:pPr>
            <w:r>
              <w:rPr>
                <w:rFonts w:hint="eastAsia"/>
                <w:color w:val="auto"/>
                <w:sz w:val="24"/>
                <w:szCs w:val="24"/>
                <w:lang w:val="en-US" w:eastAsia="zh-CN"/>
              </w:rPr>
              <w:t>劳动定员及工作制度：</w:t>
            </w:r>
            <w:r>
              <w:rPr>
                <w:color w:val="auto"/>
                <w:sz w:val="24"/>
              </w:rPr>
              <w:t>扩建项目新增劳动定员</w:t>
            </w:r>
            <w:r>
              <w:rPr>
                <w:rFonts w:hint="eastAsia"/>
                <w:color w:val="auto"/>
                <w:sz w:val="24"/>
                <w:lang w:val="en-US" w:eastAsia="zh-CN"/>
              </w:rPr>
              <w:t>30</w:t>
            </w:r>
            <w:r>
              <w:rPr>
                <w:color w:val="auto"/>
                <w:sz w:val="24"/>
              </w:rPr>
              <w:t>人，扩建完成后全院劳动定员约</w:t>
            </w:r>
            <w:r>
              <w:rPr>
                <w:rFonts w:hint="eastAsia"/>
                <w:color w:val="auto"/>
                <w:sz w:val="24"/>
                <w:lang w:val="en-US" w:eastAsia="zh-CN"/>
              </w:rPr>
              <w:t>100</w:t>
            </w:r>
            <w:r>
              <w:rPr>
                <w:color w:val="auto"/>
                <w:sz w:val="24"/>
              </w:rPr>
              <w:t>人，其中医护</w:t>
            </w:r>
            <w:r>
              <w:rPr>
                <w:rFonts w:hint="eastAsia"/>
                <w:color w:val="auto"/>
                <w:sz w:val="24"/>
                <w:lang w:val="en-US" w:eastAsia="zh-CN"/>
              </w:rPr>
              <w:t>7</w:t>
            </w:r>
            <w:r>
              <w:rPr>
                <w:rFonts w:hint="eastAsia"/>
                <w:color w:val="auto"/>
                <w:sz w:val="24"/>
              </w:rPr>
              <w:t>5</w:t>
            </w:r>
            <w:r>
              <w:rPr>
                <w:color w:val="auto"/>
                <w:sz w:val="24"/>
              </w:rPr>
              <w:t>人，管理人员和后勤</w:t>
            </w:r>
            <w:r>
              <w:rPr>
                <w:rFonts w:hint="eastAsia"/>
                <w:color w:val="auto"/>
                <w:sz w:val="24"/>
              </w:rPr>
              <w:t>2</w:t>
            </w:r>
            <w:r>
              <w:rPr>
                <w:rFonts w:hint="eastAsia"/>
                <w:color w:val="auto"/>
                <w:sz w:val="24"/>
                <w:lang w:val="en-US" w:eastAsia="zh-CN"/>
              </w:rPr>
              <w:t>5</w:t>
            </w:r>
            <w:r>
              <w:rPr>
                <w:color w:val="auto"/>
                <w:sz w:val="24"/>
              </w:rPr>
              <w:t>人；管理人员和后勤人员实行一班制，医护人员</w:t>
            </w:r>
            <w:r>
              <w:rPr>
                <w:color w:val="auto"/>
                <w:sz w:val="24"/>
                <w:szCs w:val="24"/>
              </w:rPr>
              <w:t>实行三班轮换制，年工作365天。</w:t>
            </w:r>
          </w:p>
          <w:p w14:paraId="56564440">
            <w:pPr>
              <w:bidi w:val="0"/>
              <w:spacing w:line="360" w:lineRule="auto"/>
              <w:ind w:firstLine="480" w:firstLineChars="200"/>
              <w:jc w:val="both"/>
              <w:rPr>
                <w:rFonts w:hint="eastAsia"/>
                <w:color w:val="auto"/>
                <w:sz w:val="24"/>
                <w:szCs w:val="24"/>
                <w:lang w:val="en-US" w:eastAsia="zh-CN"/>
              </w:rPr>
            </w:pPr>
            <w:r>
              <w:rPr>
                <w:rFonts w:hint="eastAsia"/>
                <w:color w:val="auto"/>
                <w:sz w:val="24"/>
                <w:szCs w:val="24"/>
                <w:lang w:val="en-US" w:eastAsia="zh-CN"/>
              </w:rPr>
              <w:t>建设内容及规模：在现有的医院内扩建住院床位60张，扩建完成后全院共设置住院床位150张；</w:t>
            </w:r>
            <w:r>
              <w:rPr>
                <w:rFonts w:hint="eastAsia"/>
                <w:color w:val="auto"/>
                <w:kern w:val="0"/>
                <w:sz w:val="24"/>
                <w:lang w:val="en-US" w:eastAsia="zh-CN" w:bidi="ar"/>
              </w:rPr>
              <w:t>托老区床位数增加30张</w:t>
            </w:r>
            <w:r>
              <w:rPr>
                <w:rFonts w:hint="eastAsia"/>
                <w:color w:val="auto"/>
                <w:sz w:val="24"/>
                <w:lang w:eastAsia="zh-CN"/>
              </w:rPr>
              <w:t>，</w:t>
            </w:r>
            <w:r>
              <w:rPr>
                <w:rFonts w:hint="eastAsia"/>
                <w:color w:val="auto"/>
                <w:sz w:val="24"/>
                <w:lang w:val="en-US" w:eastAsia="zh-CN"/>
              </w:rPr>
              <w:t>托老区</w:t>
            </w:r>
            <w:r>
              <w:rPr>
                <w:rFonts w:hint="eastAsia"/>
                <w:color w:val="auto"/>
                <w:sz w:val="24"/>
                <w:szCs w:val="24"/>
                <w:lang w:val="en-US" w:eastAsia="zh-CN"/>
              </w:rPr>
              <w:t>床位共设置</w:t>
            </w:r>
            <w:r>
              <w:rPr>
                <w:rFonts w:hint="eastAsia"/>
                <w:color w:val="auto"/>
                <w:sz w:val="24"/>
              </w:rPr>
              <w:t>1</w:t>
            </w:r>
            <w:r>
              <w:rPr>
                <w:rFonts w:hint="eastAsia"/>
                <w:color w:val="auto"/>
                <w:sz w:val="24"/>
                <w:lang w:val="en-US" w:eastAsia="zh-CN"/>
              </w:rPr>
              <w:t>50</w:t>
            </w:r>
            <w:r>
              <w:rPr>
                <w:color w:val="auto"/>
                <w:sz w:val="24"/>
              </w:rPr>
              <w:t>张</w:t>
            </w:r>
            <w:r>
              <w:rPr>
                <w:rFonts w:hint="eastAsia"/>
                <w:color w:val="auto"/>
                <w:sz w:val="24"/>
                <w:szCs w:val="24"/>
                <w:lang w:val="en-US" w:eastAsia="zh-CN"/>
              </w:rPr>
              <w:t>。</w:t>
            </w:r>
          </w:p>
          <w:p w14:paraId="3A2BB4EE">
            <w:pPr>
              <w:pStyle w:val="16"/>
              <w:spacing w:after="0" w:line="360" w:lineRule="auto"/>
              <w:ind w:left="0" w:leftChars="0"/>
              <w:rPr>
                <w:b/>
                <w:bCs/>
                <w:color w:val="auto"/>
                <w:sz w:val="24"/>
              </w:rPr>
            </w:pPr>
            <w:r>
              <w:rPr>
                <w:rFonts w:hint="eastAsia"/>
                <w:b/>
                <w:bCs/>
                <w:color w:val="auto"/>
                <w:sz w:val="24"/>
              </w:rPr>
              <w:t>2.2</w:t>
            </w:r>
            <w:r>
              <w:rPr>
                <w:b/>
                <w:bCs/>
                <w:color w:val="auto"/>
                <w:sz w:val="24"/>
              </w:rPr>
              <w:t>建设内容及规模</w:t>
            </w:r>
          </w:p>
          <w:p w14:paraId="1713F1D3">
            <w:pPr>
              <w:spacing w:line="360" w:lineRule="auto"/>
              <w:ind w:firstLine="480" w:firstLineChars="200"/>
              <w:rPr>
                <w:color w:val="auto"/>
                <w:sz w:val="24"/>
              </w:rPr>
            </w:pPr>
            <w:r>
              <w:rPr>
                <w:rFonts w:hint="eastAsia"/>
                <w:color w:val="auto"/>
                <w:sz w:val="24"/>
              </w:rPr>
              <w:t>（1）项目组成</w:t>
            </w:r>
          </w:p>
          <w:p w14:paraId="265344CA">
            <w:pPr>
              <w:spacing w:line="360" w:lineRule="auto"/>
              <w:ind w:firstLine="480" w:firstLineChars="200"/>
              <w:rPr>
                <w:color w:val="auto"/>
                <w:kern w:val="0"/>
                <w:sz w:val="24"/>
                <w:lang w:bidi="ar"/>
              </w:rPr>
            </w:pPr>
            <w:r>
              <w:rPr>
                <w:rFonts w:hint="eastAsia"/>
                <w:color w:val="auto"/>
                <w:kern w:val="0"/>
                <w:sz w:val="24"/>
                <w:lang w:val="en-US" w:eastAsia="zh-CN" w:bidi="ar"/>
              </w:rPr>
              <w:t>重庆同心医院</w:t>
            </w:r>
            <w:r>
              <w:rPr>
                <w:color w:val="auto"/>
                <w:kern w:val="0"/>
                <w:sz w:val="24"/>
                <w:lang w:bidi="ar"/>
              </w:rPr>
              <w:t>租用</w:t>
            </w:r>
            <w:r>
              <w:rPr>
                <w:rFonts w:hint="eastAsia"/>
                <w:color w:val="auto"/>
                <w:kern w:val="0"/>
                <w:sz w:val="24"/>
                <w:lang w:eastAsia="zh-CN" w:bidi="ar"/>
              </w:rPr>
              <w:t>渝州新城7号楼</w:t>
            </w:r>
            <w:r>
              <w:rPr>
                <w:color w:val="auto"/>
                <w:kern w:val="0"/>
                <w:sz w:val="24"/>
                <w:lang w:bidi="ar"/>
              </w:rPr>
              <w:t>1F</w:t>
            </w:r>
            <w:r>
              <w:rPr>
                <w:rFonts w:hint="eastAsia"/>
                <w:color w:val="auto"/>
                <w:kern w:val="0"/>
                <w:sz w:val="24"/>
                <w:lang w:val="en-US" w:eastAsia="zh-CN" w:bidi="ar"/>
              </w:rPr>
              <w:t>部分</w:t>
            </w:r>
            <w:r>
              <w:rPr>
                <w:color w:val="auto"/>
                <w:kern w:val="0"/>
                <w:sz w:val="24"/>
                <w:lang w:bidi="ar"/>
              </w:rPr>
              <w:t>、</w:t>
            </w:r>
            <w:r>
              <w:rPr>
                <w:rFonts w:hint="eastAsia"/>
                <w:color w:val="auto"/>
                <w:kern w:val="0"/>
                <w:sz w:val="24"/>
                <w:lang w:val="en-US" w:eastAsia="zh-CN" w:bidi="ar"/>
              </w:rPr>
              <w:t>2～4</w:t>
            </w:r>
            <w:r>
              <w:rPr>
                <w:color w:val="auto"/>
                <w:kern w:val="0"/>
                <w:sz w:val="24"/>
                <w:lang w:bidi="ar"/>
              </w:rPr>
              <w:t>F。</w:t>
            </w:r>
            <w:r>
              <w:rPr>
                <w:rFonts w:hint="eastAsia"/>
                <w:color w:val="auto"/>
                <w:kern w:val="0"/>
                <w:sz w:val="24"/>
                <w:lang w:val="en-US" w:eastAsia="zh-CN" w:bidi="ar"/>
              </w:rPr>
              <w:t>扩建项目依托现有项目场地</w:t>
            </w:r>
            <w:r>
              <w:rPr>
                <w:rFonts w:hint="eastAsia"/>
                <w:color w:val="auto"/>
                <w:kern w:val="0"/>
                <w:sz w:val="24"/>
                <w:lang w:eastAsia="zh-CN" w:bidi="ar"/>
              </w:rPr>
              <w:t>，</w:t>
            </w:r>
            <w:r>
              <w:rPr>
                <w:rFonts w:hint="eastAsia"/>
                <w:color w:val="auto"/>
                <w:kern w:val="0"/>
                <w:sz w:val="24"/>
                <w:lang w:val="en-US" w:eastAsia="zh-CN" w:bidi="ar"/>
              </w:rPr>
              <w:t>另在3F新增租赁用房设置</w:t>
            </w:r>
            <w:r>
              <w:rPr>
                <w:rFonts w:hint="eastAsia"/>
                <w:color w:val="auto"/>
                <w:sz w:val="24"/>
                <w:lang w:eastAsia="zh-CN"/>
              </w:rPr>
              <w:t>病房区</w:t>
            </w:r>
            <w:r>
              <w:rPr>
                <w:rFonts w:hint="eastAsia"/>
                <w:color w:val="auto"/>
                <w:sz w:val="24"/>
                <w:lang w:val="en-US" w:eastAsia="zh-CN"/>
              </w:rPr>
              <w:t>扩建60张</w:t>
            </w:r>
            <w:r>
              <w:rPr>
                <w:rFonts w:hint="eastAsia"/>
                <w:color w:val="auto"/>
                <w:kern w:val="0"/>
                <w:sz w:val="24"/>
                <w:lang w:val="en-US" w:eastAsia="zh-CN" w:bidi="ar"/>
              </w:rPr>
              <w:t>住院</w:t>
            </w:r>
            <w:r>
              <w:rPr>
                <w:rFonts w:hint="eastAsia"/>
                <w:color w:val="auto"/>
                <w:sz w:val="24"/>
                <w:lang w:val="en-US" w:eastAsia="zh-CN"/>
              </w:rPr>
              <w:t>床位</w:t>
            </w:r>
            <w:r>
              <w:rPr>
                <w:rFonts w:hint="eastAsia"/>
                <w:color w:val="auto"/>
                <w:sz w:val="24"/>
                <w:lang w:eastAsia="zh-CN"/>
              </w:rPr>
              <w:t>（</w:t>
            </w:r>
            <w:r>
              <w:rPr>
                <w:rFonts w:hint="eastAsia"/>
                <w:color w:val="auto"/>
                <w:sz w:val="24"/>
                <w:lang w:val="en-US" w:eastAsia="zh-CN"/>
              </w:rPr>
              <w:t>原项目3F仅租赁部分，现将3F全部租赁用于医院用房</w:t>
            </w:r>
            <w:r>
              <w:rPr>
                <w:rFonts w:hint="eastAsia"/>
                <w:color w:val="auto"/>
                <w:sz w:val="24"/>
                <w:lang w:eastAsia="zh-CN"/>
              </w:rPr>
              <w:t>），</w:t>
            </w:r>
            <w:r>
              <w:rPr>
                <w:rFonts w:hint="eastAsia"/>
                <w:color w:val="auto"/>
                <w:sz w:val="24"/>
                <w:lang w:val="en-US" w:eastAsia="zh-CN"/>
              </w:rPr>
              <w:t>在2F托老区新增30张床位，</w:t>
            </w:r>
            <w:r>
              <w:rPr>
                <w:rFonts w:hint="eastAsia"/>
                <w:color w:val="auto"/>
                <w:kern w:val="0"/>
                <w:sz w:val="24"/>
                <w:lang w:val="en-US" w:eastAsia="zh-CN" w:bidi="ar"/>
              </w:rPr>
              <w:t>不新增</w:t>
            </w:r>
            <w:r>
              <w:rPr>
                <w:color w:val="auto"/>
                <w:sz w:val="24"/>
              </w:rPr>
              <w:t>科室</w:t>
            </w:r>
            <w:r>
              <w:rPr>
                <w:rFonts w:hint="eastAsia"/>
                <w:color w:val="auto"/>
                <w:sz w:val="24"/>
              </w:rPr>
              <w:t>和门诊</w:t>
            </w:r>
            <w:r>
              <w:rPr>
                <w:rFonts w:hint="eastAsia"/>
                <w:color w:val="auto"/>
                <w:kern w:val="0"/>
                <w:sz w:val="24"/>
                <w:lang w:eastAsia="zh-CN" w:bidi="ar"/>
              </w:rPr>
              <w:t>（</w:t>
            </w:r>
            <w:r>
              <w:rPr>
                <w:rFonts w:hint="eastAsia"/>
                <w:color w:val="auto"/>
                <w:kern w:val="0"/>
                <w:sz w:val="24"/>
                <w:lang w:bidi="ar"/>
              </w:rPr>
              <w:t>内科、外科、妇产科、中医科、儿科、皮肤科、口腔科、医学检验科、医学影像科及托老</w:t>
            </w:r>
            <w:r>
              <w:rPr>
                <w:rFonts w:hint="eastAsia"/>
                <w:color w:val="auto"/>
                <w:kern w:val="0"/>
                <w:sz w:val="24"/>
                <w:lang w:val="en-US" w:eastAsia="zh-CN" w:bidi="ar"/>
              </w:rPr>
              <w:t>区</w:t>
            </w:r>
            <w:r>
              <w:rPr>
                <w:rFonts w:hint="eastAsia"/>
                <w:color w:val="auto"/>
                <w:kern w:val="0"/>
                <w:sz w:val="24"/>
                <w:lang w:bidi="ar"/>
              </w:rPr>
              <w:t>等科室</w:t>
            </w:r>
            <w:r>
              <w:rPr>
                <w:rFonts w:hint="eastAsia"/>
                <w:color w:val="auto"/>
                <w:kern w:val="0"/>
                <w:sz w:val="24"/>
                <w:lang w:eastAsia="zh-CN" w:bidi="ar"/>
              </w:rPr>
              <w:t>），</w:t>
            </w:r>
            <w:r>
              <w:rPr>
                <w:rFonts w:hint="eastAsia"/>
                <w:color w:val="auto"/>
                <w:kern w:val="0"/>
                <w:sz w:val="24"/>
                <w:lang w:val="en-US" w:eastAsia="zh-CN" w:bidi="ar"/>
              </w:rPr>
              <w:t>仅对</w:t>
            </w:r>
            <w:r>
              <w:rPr>
                <w:rFonts w:hint="eastAsia"/>
                <w:color w:val="auto"/>
                <w:sz w:val="24"/>
              </w:rPr>
              <w:t>现有的科室</w:t>
            </w:r>
            <w:r>
              <w:rPr>
                <w:rFonts w:hint="eastAsia"/>
                <w:color w:val="auto"/>
                <w:sz w:val="24"/>
                <w:lang w:val="en-US" w:eastAsia="zh-CN"/>
              </w:rPr>
              <w:t>平面</w:t>
            </w:r>
            <w:r>
              <w:rPr>
                <w:rFonts w:hint="eastAsia"/>
                <w:color w:val="auto"/>
                <w:sz w:val="24"/>
              </w:rPr>
              <w:t>布置</w:t>
            </w:r>
            <w:r>
              <w:rPr>
                <w:rFonts w:hint="eastAsia"/>
                <w:color w:val="auto"/>
                <w:sz w:val="24"/>
                <w:lang w:val="en-US" w:eastAsia="zh-CN"/>
              </w:rPr>
              <w:t>进行了</w:t>
            </w:r>
            <w:r>
              <w:rPr>
                <w:rFonts w:hint="eastAsia"/>
                <w:color w:val="auto"/>
                <w:sz w:val="24"/>
              </w:rPr>
              <w:t>调整</w:t>
            </w:r>
            <w:r>
              <w:rPr>
                <w:rFonts w:hint="eastAsia"/>
                <w:color w:val="auto"/>
                <w:sz w:val="24"/>
                <w:szCs w:val="24"/>
                <w:lang w:val="en-US" w:eastAsia="zh-CN"/>
              </w:rPr>
              <w:t>。扩建项目不设置传染科、肠道发热门诊、生化检验、太平间、医疗废物焚烧炉</w:t>
            </w:r>
            <w:r>
              <w:rPr>
                <w:color w:val="auto"/>
                <w:kern w:val="0"/>
                <w:sz w:val="24"/>
                <w:lang w:bidi="ar"/>
              </w:rPr>
              <w:t>、食堂</w:t>
            </w:r>
            <w:r>
              <w:rPr>
                <w:rFonts w:hint="eastAsia"/>
                <w:color w:val="auto"/>
                <w:kern w:val="0"/>
                <w:sz w:val="24"/>
                <w:lang w:val="en-US" w:eastAsia="zh-CN" w:bidi="ar"/>
              </w:rPr>
              <w:t>等</w:t>
            </w:r>
            <w:r>
              <w:rPr>
                <w:color w:val="auto"/>
                <w:kern w:val="0"/>
                <w:sz w:val="24"/>
                <w:lang w:bidi="ar"/>
              </w:rPr>
              <w:t>。</w:t>
            </w:r>
          </w:p>
          <w:p w14:paraId="5CC95E8A">
            <w:pPr>
              <w:spacing w:line="360" w:lineRule="auto"/>
              <w:ind w:firstLine="480" w:firstLineChars="200"/>
              <w:rPr>
                <w:bCs/>
                <w:color w:val="auto"/>
                <w:sz w:val="24"/>
              </w:rPr>
            </w:pPr>
            <w:r>
              <w:rPr>
                <w:bCs/>
                <w:color w:val="auto"/>
                <w:sz w:val="24"/>
              </w:rPr>
              <w:t>扩建项目组成及规模见表2-1。</w:t>
            </w:r>
          </w:p>
          <w:p w14:paraId="6876E903">
            <w:pPr>
              <w:adjustRightInd w:val="0"/>
              <w:snapToGrid w:val="0"/>
              <w:jc w:val="center"/>
              <w:rPr>
                <w:b/>
                <w:color w:val="auto"/>
                <w:sz w:val="24"/>
              </w:rPr>
            </w:pPr>
            <w:r>
              <w:rPr>
                <w:b/>
                <w:color w:val="auto"/>
                <w:sz w:val="24"/>
              </w:rPr>
              <w:t>表2-1扩建项目组成一览表</w:t>
            </w:r>
          </w:p>
          <w:tbl>
            <w:tblPr>
              <w:tblStyle w:val="25"/>
              <w:tblW w:w="4939"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475"/>
              <w:gridCol w:w="735"/>
              <w:gridCol w:w="2685"/>
              <w:gridCol w:w="2447"/>
              <w:gridCol w:w="2488"/>
            </w:tblGrid>
            <w:tr w14:paraId="490D9A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685" w:type="pct"/>
                  <w:gridSpan w:val="2"/>
                  <w:tcBorders>
                    <w:bottom w:val="single" w:color="auto" w:sz="4" w:space="0"/>
                  </w:tcBorders>
                  <w:noWrap w:val="0"/>
                  <w:vAlign w:val="center"/>
                </w:tcPr>
                <w:p w14:paraId="5E89E834">
                  <w:pPr>
                    <w:adjustRightInd w:val="0"/>
                    <w:snapToGrid w:val="0"/>
                    <w:jc w:val="center"/>
                    <w:rPr>
                      <w:b/>
                      <w:color w:val="auto"/>
                      <w:szCs w:val="21"/>
                    </w:rPr>
                  </w:pPr>
                  <w:r>
                    <w:rPr>
                      <w:b/>
                      <w:color w:val="auto"/>
                      <w:szCs w:val="21"/>
                    </w:rPr>
                    <w:t>工程组成</w:t>
                  </w:r>
                </w:p>
              </w:tc>
              <w:tc>
                <w:tcPr>
                  <w:tcW w:w="1520" w:type="pct"/>
                  <w:tcBorders>
                    <w:right w:val="single" w:color="auto" w:sz="4" w:space="0"/>
                  </w:tcBorders>
                  <w:noWrap w:val="0"/>
                  <w:vAlign w:val="center"/>
                </w:tcPr>
                <w:p w14:paraId="24006FE0">
                  <w:pPr>
                    <w:pStyle w:val="68"/>
                    <w:bidi w:val="0"/>
                    <w:ind w:firstLine="0" w:firstLineChars="0"/>
                    <w:jc w:val="center"/>
                    <w:rPr>
                      <w:b/>
                      <w:bCs/>
                      <w:color w:val="auto"/>
                      <w:szCs w:val="21"/>
                    </w:rPr>
                  </w:pPr>
                  <w:r>
                    <w:rPr>
                      <w:rFonts w:hint="eastAsia"/>
                      <w:b/>
                      <w:bCs/>
                      <w:color w:val="auto"/>
                      <w:lang w:val="en-US" w:eastAsia="zh-CN"/>
                    </w:rPr>
                    <w:t>现有项目组成</w:t>
                  </w:r>
                </w:p>
              </w:tc>
              <w:tc>
                <w:tcPr>
                  <w:tcW w:w="1385" w:type="pct"/>
                  <w:tcBorders>
                    <w:left w:val="single" w:color="auto" w:sz="4" w:space="0"/>
                  </w:tcBorders>
                  <w:noWrap w:val="0"/>
                  <w:vAlign w:val="center"/>
                </w:tcPr>
                <w:p w14:paraId="28CBA993">
                  <w:pPr>
                    <w:pStyle w:val="68"/>
                    <w:bidi w:val="0"/>
                    <w:jc w:val="center"/>
                    <w:rPr>
                      <w:b/>
                      <w:bCs/>
                      <w:color w:val="auto"/>
                      <w:szCs w:val="21"/>
                    </w:rPr>
                  </w:pPr>
                  <w:r>
                    <w:rPr>
                      <w:rFonts w:hint="eastAsia"/>
                      <w:b/>
                      <w:bCs/>
                      <w:color w:val="auto"/>
                      <w:lang w:val="en-US" w:eastAsia="zh-CN"/>
                    </w:rPr>
                    <w:t>扩建项目建设内容及规模</w:t>
                  </w:r>
                </w:p>
              </w:tc>
              <w:tc>
                <w:tcPr>
                  <w:tcW w:w="1408" w:type="pct"/>
                  <w:noWrap w:val="0"/>
                  <w:vAlign w:val="center"/>
                </w:tcPr>
                <w:p w14:paraId="3117131A">
                  <w:pPr>
                    <w:pStyle w:val="68"/>
                    <w:bidi w:val="0"/>
                    <w:jc w:val="center"/>
                    <w:rPr>
                      <w:rFonts w:hint="eastAsia" w:eastAsia="宋体"/>
                      <w:b/>
                      <w:bCs/>
                      <w:color w:val="auto"/>
                      <w:szCs w:val="21"/>
                      <w:lang w:val="en-US" w:eastAsia="zh-CN"/>
                    </w:rPr>
                  </w:pPr>
                  <w:r>
                    <w:rPr>
                      <w:rFonts w:hint="eastAsia"/>
                      <w:b/>
                      <w:bCs/>
                      <w:color w:val="auto"/>
                      <w:lang w:val="en-US" w:eastAsia="zh-CN"/>
                    </w:rPr>
                    <w:t>扩建后的建设内容及规模</w:t>
                  </w:r>
                </w:p>
              </w:tc>
            </w:tr>
            <w:tr w14:paraId="455CA6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13" w:hRule="atLeast"/>
              </w:trPr>
              <w:tc>
                <w:tcPr>
                  <w:tcW w:w="268" w:type="pct"/>
                  <w:vMerge w:val="restart"/>
                  <w:tcBorders>
                    <w:top w:val="single" w:color="auto" w:sz="4" w:space="0"/>
                  </w:tcBorders>
                  <w:noWrap w:val="0"/>
                  <w:vAlign w:val="center"/>
                </w:tcPr>
                <w:p w14:paraId="254A4621">
                  <w:pPr>
                    <w:jc w:val="center"/>
                    <w:rPr>
                      <w:color w:val="auto"/>
                      <w:szCs w:val="21"/>
                    </w:rPr>
                  </w:pPr>
                  <w:r>
                    <w:rPr>
                      <w:color w:val="auto"/>
                      <w:szCs w:val="21"/>
                    </w:rPr>
                    <w:t>主体</w:t>
                  </w:r>
                </w:p>
                <w:p w14:paraId="18389BA8">
                  <w:pPr>
                    <w:jc w:val="center"/>
                    <w:rPr>
                      <w:color w:val="auto"/>
                      <w:szCs w:val="21"/>
                    </w:rPr>
                  </w:pPr>
                  <w:r>
                    <w:rPr>
                      <w:color w:val="auto"/>
                      <w:szCs w:val="21"/>
                    </w:rPr>
                    <w:t>工程</w:t>
                  </w:r>
                </w:p>
              </w:tc>
              <w:tc>
                <w:tcPr>
                  <w:tcW w:w="416" w:type="pct"/>
                  <w:vMerge w:val="restart"/>
                  <w:tcBorders>
                    <w:top w:val="single" w:color="auto" w:sz="4" w:space="0"/>
                    <w:right w:val="single" w:color="auto" w:sz="4" w:space="0"/>
                  </w:tcBorders>
                  <w:noWrap w:val="0"/>
                  <w:vAlign w:val="center"/>
                </w:tcPr>
                <w:p w14:paraId="255C5FBF">
                  <w:pPr>
                    <w:adjustRightInd w:val="0"/>
                    <w:snapToGrid w:val="0"/>
                    <w:jc w:val="center"/>
                    <w:rPr>
                      <w:color w:val="auto"/>
                      <w:szCs w:val="21"/>
                    </w:rPr>
                  </w:pPr>
                  <w:r>
                    <w:rPr>
                      <w:rFonts w:hint="eastAsia"/>
                      <w:color w:val="auto"/>
                      <w:kern w:val="0"/>
                      <w:szCs w:val="21"/>
                    </w:rPr>
                    <w:t>医院</w:t>
                  </w:r>
                </w:p>
              </w:tc>
              <w:tc>
                <w:tcPr>
                  <w:tcW w:w="1520" w:type="pct"/>
                  <w:tcBorders>
                    <w:top w:val="single" w:color="auto" w:sz="4" w:space="0"/>
                    <w:left w:val="single" w:color="auto" w:sz="4" w:space="0"/>
                    <w:right w:val="single" w:color="auto" w:sz="4" w:space="0"/>
                  </w:tcBorders>
                  <w:noWrap w:val="0"/>
                  <w:vAlign w:val="center"/>
                </w:tcPr>
                <w:p w14:paraId="7BD615CC">
                  <w:pPr>
                    <w:rPr>
                      <w:color w:val="auto"/>
                      <w:kern w:val="2"/>
                      <w:sz w:val="21"/>
                      <w:szCs w:val="21"/>
                      <w:lang w:val="en-US" w:eastAsia="zh-CN" w:bidi="ar-SA"/>
                    </w:rPr>
                  </w:pPr>
                  <w:r>
                    <w:rPr>
                      <w:rFonts w:hint="eastAsia"/>
                      <w:color w:val="auto"/>
                      <w:szCs w:val="21"/>
                    </w:rPr>
                    <w:t>1F</w:t>
                  </w:r>
                  <w:r>
                    <w:rPr>
                      <w:color w:val="auto"/>
                      <w:szCs w:val="21"/>
                    </w:rPr>
                    <w:t>建筑</w:t>
                  </w:r>
                  <w:r>
                    <w:rPr>
                      <w:color w:val="auto"/>
                      <w:szCs w:val="21"/>
                      <w:shd w:val="clear" w:color="auto" w:fill="FFFFFF"/>
                    </w:rPr>
                    <w:t>面积共</w:t>
                  </w:r>
                  <w:r>
                    <w:rPr>
                      <w:rFonts w:hint="eastAsia"/>
                      <w:color w:val="auto"/>
                      <w:szCs w:val="21"/>
                      <w:lang w:val="en-US" w:eastAsia="zh-CN"/>
                    </w:rPr>
                    <w:t>722.99</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szCs w:val="21"/>
                    </w:rPr>
                    <w:t>设皮肤科、肛肠科、内科、口腔科、药房</w:t>
                  </w:r>
                  <w:r>
                    <w:rPr>
                      <w:rFonts w:hint="eastAsia"/>
                      <w:color w:val="auto"/>
                      <w:szCs w:val="21"/>
                      <w:lang w:val="en-US" w:eastAsia="zh-CN"/>
                    </w:rPr>
                    <w:t>等</w:t>
                  </w:r>
                  <w:r>
                    <w:rPr>
                      <w:rFonts w:hint="eastAsia"/>
                      <w:color w:val="auto"/>
                      <w:szCs w:val="21"/>
                    </w:rPr>
                    <w:t>。</w:t>
                  </w:r>
                </w:p>
              </w:tc>
              <w:tc>
                <w:tcPr>
                  <w:tcW w:w="1385" w:type="pct"/>
                  <w:tcBorders>
                    <w:left w:val="single" w:color="auto" w:sz="4" w:space="0"/>
                  </w:tcBorders>
                  <w:noWrap w:val="0"/>
                  <w:vAlign w:val="center"/>
                </w:tcPr>
                <w:p w14:paraId="3BFEB377">
                  <w:pPr>
                    <w:adjustRightInd w:val="0"/>
                    <w:snapToGrid w:val="0"/>
                    <w:jc w:val="center"/>
                    <w:rPr>
                      <w:color w:val="auto"/>
                      <w:kern w:val="0"/>
                      <w:szCs w:val="21"/>
                    </w:rPr>
                  </w:pPr>
                  <w:r>
                    <w:rPr>
                      <w:rFonts w:hint="eastAsia"/>
                      <w:color w:val="auto"/>
                      <w:szCs w:val="21"/>
                      <w:lang w:val="en-US" w:eastAsia="zh-CN"/>
                    </w:rPr>
                    <w:t>将原3F、4F的门诊科室全部统一设置在1F，平面布置进行了调整。</w:t>
                  </w:r>
                </w:p>
              </w:tc>
              <w:tc>
                <w:tcPr>
                  <w:tcW w:w="1408" w:type="pct"/>
                  <w:noWrap w:val="0"/>
                  <w:vAlign w:val="center"/>
                </w:tcPr>
                <w:p w14:paraId="6927C5D8">
                  <w:pPr>
                    <w:jc w:val="center"/>
                    <w:rPr>
                      <w:rFonts w:hint="default" w:eastAsia="宋体"/>
                      <w:color w:val="auto"/>
                      <w:szCs w:val="21"/>
                      <w:lang w:val="en-US" w:eastAsia="zh-CN"/>
                    </w:rPr>
                  </w:pPr>
                  <w:r>
                    <w:rPr>
                      <w:rFonts w:hint="eastAsia"/>
                      <w:color w:val="auto"/>
                      <w:szCs w:val="21"/>
                    </w:rPr>
                    <w:t>项目1F</w:t>
                  </w:r>
                  <w:r>
                    <w:rPr>
                      <w:color w:val="auto"/>
                      <w:szCs w:val="21"/>
                    </w:rPr>
                    <w:t>建筑</w:t>
                  </w:r>
                  <w:r>
                    <w:rPr>
                      <w:color w:val="auto"/>
                      <w:szCs w:val="21"/>
                      <w:shd w:val="clear" w:color="auto" w:fill="FFFFFF"/>
                    </w:rPr>
                    <w:t>面积共</w:t>
                  </w:r>
                  <w:r>
                    <w:rPr>
                      <w:rFonts w:hint="eastAsia"/>
                      <w:color w:val="auto"/>
                      <w:szCs w:val="21"/>
                      <w:lang w:val="en-US" w:eastAsia="zh-CN"/>
                    </w:rPr>
                    <w:t>722.99</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szCs w:val="21"/>
                    </w:rPr>
                    <w:t>设</w:t>
                  </w:r>
                  <w:r>
                    <w:rPr>
                      <w:rFonts w:hint="eastAsia"/>
                      <w:color w:val="auto"/>
                      <w:szCs w:val="21"/>
                      <w:lang w:val="en-US" w:eastAsia="zh-CN"/>
                    </w:rPr>
                    <w:t>门诊（内</w:t>
                  </w:r>
                  <w:r>
                    <w:rPr>
                      <w:rFonts w:hint="eastAsia"/>
                      <w:color w:val="auto"/>
                      <w:szCs w:val="21"/>
                    </w:rPr>
                    <w:t>科、</w:t>
                  </w:r>
                  <w:r>
                    <w:rPr>
                      <w:rFonts w:hint="eastAsia"/>
                      <w:color w:val="auto"/>
                      <w:szCs w:val="21"/>
                      <w:lang w:val="en-US" w:eastAsia="zh-CN"/>
                    </w:rPr>
                    <w:t>外</w:t>
                  </w:r>
                  <w:r>
                    <w:rPr>
                      <w:rFonts w:hint="eastAsia"/>
                      <w:color w:val="auto"/>
                      <w:szCs w:val="21"/>
                    </w:rPr>
                    <w:t>科、口腔科、</w:t>
                  </w:r>
                  <w:r>
                    <w:rPr>
                      <w:rFonts w:hint="eastAsia"/>
                      <w:color w:val="auto"/>
                      <w:szCs w:val="21"/>
                      <w:lang w:val="en-US" w:eastAsia="zh-CN"/>
                    </w:rPr>
                    <w:t>妇科、儿科、</w:t>
                  </w:r>
                  <w:r>
                    <w:rPr>
                      <w:rFonts w:hint="eastAsia" w:ascii="Times New Roman" w:hAnsi="Times New Roman" w:cs="Times New Roman"/>
                      <w:color w:val="auto"/>
                      <w:lang w:eastAsia="zh-CN"/>
                    </w:rPr>
                    <w:t>医学影像科</w:t>
                  </w:r>
                  <w:r>
                    <w:rPr>
                      <w:rFonts w:hint="eastAsia"/>
                      <w:color w:val="auto"/>
                      <w:kern w:val="2"/>
                      <w:sz w:val="21"/>
                      <w:szCs w:val="21"/>
                      <w:lang w:val="en-US" w:eastAsia="zh-CN" w:bidi="ar-SA"/>
                    </w:rPr>
                    <w:t>、</w:t>
                  </w:r>
                  <w:r>
                    <w:rPr>
                      <w:rFonts w:hint="eastAsia"/>
                      <w:color w:val="auto"/>
                      <w:szCs w:val="21"/>
                      <w:lang w:val="en-US" w:eastAsia="zh-CN"/>
                    </w:rPr>
                    <w:t>检验科等），</w:t>
                  </w:r>
                  <w:r>
                    <w:rPr>
                      <w:rFonts w:hint="eastAsia"/>
                      <w:color w:val="auto"/>
                      <w:szCs w:val="21"/>
                    </w:rPr>
                    <w:t>药房</w:t>
                  </w:r>
                  <w:r>
                    <w:rPr>
                      <w:rFonts w:hint="eastAsia"/>
                      <w:color w:val="auto"/>
                      <w:szCs w:val="21"/>
                      <w:lang w:val="en-US" w:eastAsia="zh-CN"/>
                    </w:rPr>
                    <w:t>等</w:t>
                  </w:r>
                  <w:r>
                    <w:rPr>
                      <w:rFonts w:hint="eastAsia"/>
                      <w:color w:val="auto"/>
                      <w:szCs w:val="21"/>
                    </w:rPr>
                    <w:t>。</w:t>
                  </w:r>
                </w:p>
              </w:tc>
            </w:tr>
            <w:tr w14:paraId="4E63E9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13" w:hRule="atLeast"/>
              </w:trPr>
              <w:tc>
                <w:tcPr>
                  <w:tcW w:w="268" w:type="pct"/>
                  <w:vMerge w:val="continue"/>
                  <w:noWrap w:val="0"/>
                  <w:vAlign w:val="center"/>
                </w:tcPr>
                <w:p w14:paraId="36EC5544">
                  <w:pPr>
                    <w:jc w:val="center"/>
                    <w:rPr>
                      <w:color w:val="auto"/>
                      <w:szCs w:val="21"/>
                    </w:rPr>
                  </w:pPr>
                </w:p>
              </w:tc>
              <w:tc>
                <w:tcPr>
                  <w:tcW w:w="416" w:type="pct"/>
                  <w:vMerge w:val="continue"/>
                  <w:tcBorders>
                    <w:right w:val="single" w:color="auto" w:sz="4" w:space="0"/>
                  </w:tcBorders>
                  <w:noWrap w:val="0"/>
                  <w:vAlign w:val="center"/>
                </w:tcPr>
                <w:p w14:paraId="2697451D">
                  <w:pPr>
                    <w:adjustRightInd w:val="0"/>
                    <w:snapToGrid w:val="0"/>
                    <w:jc w:val="center"/>
                    <w:rPr>
                      <w:rFonts w:hint="eastAsia"/>
                      <w:color w:val="auto"/>
                      <w:kern w:val="0"/>
                      <w:szCs w:val="21"/>
                    </w:rPr>
                  </w:pPr>
                </w:p>
              </w:tc>
              <w:tc>
                <w:tcPr>
                  <w:tcW w:w="1520" w:type="pct"/>
                  <w:tcBorders>
                    <w:left w:val="single" w:color="auto" w:sz="4" w:space="0"/>
                    <w:right w:val="single" w:color="auto" w:sz="4" w:space="0"/>
                  </w:tcBorders>
                  <w:noWrap w:val="0"/>
                  <w:vAlign w:val="center"/>
                </w:tcPr>
                <w:p w14:paraId="73AE2973">
                  <w:pPr>
                    <w:adjustRightInd w:val="0"/>
                    <w:snapToGrid w:val="0"/>
                    <w:rPr>
                      <w:rFonts w:hint="eastAsia"/>
                      <w:color w:val="auto"/>
                      <w:kern w:val="2"/>
                      <w:sz w:val="21"/>
                      <w:szCs w:val="21"/>
                      <w:lang w:val="en-US" w:eastAsia="zh-CN" w:bidi="ar-SA"/>
                    </w:rPr>
                  </w:pPr>
                  <w:r>
                    <w:rPr>
                      <w:color w:val="auto"/>
                      <w:szCs w:val="21"/>
                    </w:rPr>
                    <w:t>2F托老</w:t>
                  </w:r>
                  <w:r>
                    <w:rPr>
                      <w:rFonts w:hint="eastAsia"/>
                      <w:color w:val="auto"/>
                      <w:szCs w:val="21"/>
                      <w:lang w:val="en-US" w:eastAsia="zh-CN"/>
                    </w:rPr>
                    <w:t>区</w:t>
                  </w:r>
                  <w:r>
                    <w:rPr>
                      <w:color w:val="auto"/>
                      <w:szCs w:val="21"/>
                    </w:rPr>
                    <w:t>建筑</w:t>
                  </w:r>
                  <w:r>
                    <w:rPr>
                      <w:color w:val="auto"/>
                      <w:szCs w:val="21"/>
                      <w:shd w:val="clear" w:color="auto" w:fill="FFFFFF"/>
                    </w:rPr>
                    <w:t>面积共</w:t>
                  </w:r>
                  <w:r>
                    <w:rPr>
                      <w:rFonts w:hint="eastAsia"/>
                      <w:color w:val="auto"/>
                      <w:szCs w:val="21"/>
                      <w:lang w:val="en-US" w:eastAsia="zh-CN"/>
                    </w:rPr>
                    <w:t>2376.41</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szCs w:val="21"/>
                      <w:lang w:val="en-US" w:eastAsia="zh-CN"/>
                    </w:rPr>
                    <w:t>共设120张托老床位</w:t>
                  </w:r>
                  <w:r>
                    <w:rPr>
                      <w:color w:val="auto"/>
                      <w:szCs w:val="21"/>
                    </w:rPr>
                    <w:t>。</w:t>
                  </w:r>
                </w:p>
              </w:tc>
              <w:tc>
                <w:tcPr>
                  <w:tcW w:w="1385" w:type="pct"/>
                  <w:tcBorders>
                    <w:left w:val="single" w:color="auto" w:sz="4" w:space="0"/>
                  </w:tcBorders>
                  <w:noWrap w:val="0"/>
                  <w:vAlign w:val="center"/>
                </w:tcPr>
                <w:p w14:paraId="7DC28B18">
                  <w:pPr>
                    <w:adjustRightInd w:val="0"/>
                    <w:snapToGrid w:val="0"/>
                    <w:jc w:val="center"/>
                    <w:rPr>
                      <w:rFonts w:hint="eastAsia"/>
                      <w:color w:val="auto"/>
                      <w:kern w:val="0"/>
                      <w:szCs w:val="21"/>
                    </w:rPr>
                  </w:pPr>
                  <w:r>
                    <w:rPr>
                      <w:rFonts w:hint="eastAsia"/>
                      <w:color w:val="auto"/>
                      <w:szCs w:val="21"/>
                      <w:lang w:val="en-US" w:eastAsia="zh-CN"/>
                    </w:rPr>
                    <w:t>在现</w:t>
                  </w:r>
                  <w:r>
                    <w:rPr>
                      <w:color w:val="auto"/>
                      <w:szCs w:val="21"/>
                    </w:rPr>
                    <w:t>2F</w:t>
                  </w:r>
                  <w:r>
                    <w:rPr>
                      <w:rFonts w:hint="eastAsia"/>
                      <w:color w:val="auto"/>
                      <w:szCs w:val="21"/>
                      <w:lang w:val="en-US" w:eastAsia="zh-CN"/>
                    </w:rPr>
                    <w:t>租赁范围内新增30张托老床位。</w:t>
                  </w:r>
                </w:p>
              </w:tc>
              <w:tc>
                <w:tcPr>
                  <w:tcW w:w="1408" w:type="pct"/>
                  <w:noWrap w:val="0"/>
                  <w:vAlign w:val="center"/>
                </w:tcPr>
                <w:p w14:paraId="553595EF">
                  <w:pPr>
                    <w:jc w:val="center"/>
                    <w:rPr>
                      <w:rFonts w:hint="default" w:eastAsia="宋体"/>
                      <w:color w:val="auto"/>
                      <w:szCs w:val="21"/>
                      <w:lang w:val="en-US" w:eastAsia="zh-CN"/>
                    </w:rPr>
                  </w:pPr>
                  <w:r>
                    <w:rPr>
                      <w:color w:val="auto"/>
                      <w:szCs w:val="21"/>
                    </w:rPr>
                    <w:t>2F托老</w:t>
                  </w:r>
                  <w:r>
                    <w:rPr>
                      <w:rFonts w:hint="eastAsia"/>
                      <w:color w:val="auto"/>
                      <w:szCs w:val="21"/>
                      <w:lang w:val="en-US" w:eastAsia="zh-CN"/>
                    </w:rPr>
                    <w:t>区</w:t>
                  </w:r>
                  <w:r>
                    <w:rPr>
                      <w:color w:val="auto"/>
                      <w:szCs w:val="21"/>
                    </w:rPr>
                    <w:t>建筑</w:t>
                  </w:r>
                  <w:r>
                    <w:rPr>
                      <w:color w:val="auto"/>
                      <w:szCs w:val="21"/>
                      <w:shd w:val="clear" w:color="auto" w:fill="FFFFFF"/>
                    </w:rPr>
                    <w:t>面积共</w:t>
                  </w:r>
                  <w:r>
                    <w:rPr>
                      <w:rFonts w:hint="eastAsia"/>
                      <w:color w:val="auto"/>
                      <w:szCs w:val="21"/>
                      <w:lang w:val="en-US" w:eastAsia="zh-CN"/>
                    </w:rPr>
                    <w:t>2376.41</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szCs w:val="21"/>
                      <w:lang w:val="en-US" w:eastAsia="zh-CN"/>
                    </w:rPr>
                    <w:t>共设150张托老床位</w:t>
                  </w:r>
                  <w:r>
                    <w:rPr>
                      <w:color w:val="auto"/>
                      <w:szCs w:val="21"/>
                    </w:rPr>
                    <w:t>。</w:t>
                  </w:r>
                </w:p>
              </w:tc>
            </w:tr>
            <w:tr w14:paraId="3EFD02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268" w:type="pct"/>
                  <w:vMerge w:val="continue"/>
                  <w:noWrap w:val="0"/>
                  <w:vAlign w:val="center"/>
                </w:tcPr>
                <w:p w14:paraId="29B86043">
                  <w:pPr>
                    <w:jc w:val="center"/>
                    <w:rPr>
                      <w:color w:val="auto"/>
                      <w:szCs w:val="21"/>
                    </w:rPr>
                  </w:pPr>
                </w:p>
              </w:tc>
              <w:tc>
                <w:tcPr>
                  <w:tcW w:w="416" w:type="pct"/>
                  <w:vMerge w:val="continue"/>
                  <w:tcBorders>
                    <w:right w:val="single" w:color="auto" w:sz="4" w:space="0"/>
                  </w:tcBorders>
                  <w:noWrap w:val="0"/>
                  <w:vAlign w:val="center"/>
                </w:tcPr>
                <w:p w14:paraId="7746A16E">
                  <w:pPr>
                    <w:adjustRightInd w:val="0"/>
                    <w:snapToGrid w:val="0"/>
                    <w:jc w:val="center"/>
                    <w:rPr>
                      <w:rFonts w:hint="eastAsia"/>
                      <w:color w:val="auto"/>
                      <w:kern w:val="0"/>
                      <w:szCs w:val="21"/>
                    </w:rPr>
                  </w:pPr>
                </w:p>
              </w:tc>
              <w:tc>
                <w:tcPr>
                  <w:tcW w:w="1520" w:type="pct"/>
                  <w:tcBorders>
                    <w:left w:val="single" w:color="auto" w:sz="4" w:space="0"/>
                    <w:right w:val="single" w:color="auto" w:sz="4" w:space="0"/>
                  </w:tcBorders>
                  <w:noWrap w:val="0"/>
                  <w:vAlign w:val="center"/>
                </w:tcPr>
                <w:p w14:paraId="06F4F086">
                  <w:pPr>
                    <w:adjustRightInd w:val="0"/>
                    <w:snapToGrid w:val="0"/>
                    <w:jc w:val="left"/>
                    <w:rPr>
                      <w:rFonts w:hint="default"/>
                      <w:color w:val="auto"/>
                      <w:kern w:val="2"/>
                      <w:sz w:val="21"/>
                      <w:szCs w:val="21"/>
                      <w:lang w:val="en-US" w:eastAsia="zh-CN" w:bidi="ar-SA"/>
                    </w:rPr>
                  </w:pPr>
                  <w:r>
                    <w:rPr>
                      <w:rFonts w:hint="eastAsia"/>
                      <w:color w:val="auto"/>
                      <w:kern w:val="2"/>
                      <w:sz w:val="21"/>
                      <w:szCs w:val="21"/>
                      <w:lang w:val="en-US" w:eastAsia="zh-CN" w:bidi="ar-SA"/>
                    </w:rPr>
                    <w:t>3F</w:t>
                  </w:r>
                  <w:r>
                    <w:rPr>
                      <w:color w:val="auto"/>
                      <w:szCs w:val="21"/>
                    </w:rPr>
                    <w:t>建筑</w:t>
                  </w:r>
                  <w:r>
                    <w:rPr>
                      <w:color w:val="auto"/>
                      <w:szCs w:val="21"/>
                      <w:shd w:val="clear" w:color="auto" w:fill="FFFFFF"/>
                    </w:rPr>
                    <w:t>面积共</w:t>
                  </w:r>
                  <w:r>
                    <w:rPr>
                      <w:rFonts w:hint="eastAsia"/>
                      <w:color w:val="auto"/>
                      <w:szCs w:val="21"/>
                      <w:lang w:val="en-US" w:eastAsia="zh-CN"/>
                    </w:rPr>
                    <w:t>247.3</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kern w:val="2"/>
                      <w:sz w:val="21"/>
                      <w:szCs w:val="21"/>
                      <w:lang w:val="en-US" w:eastAsia="zh-CN" w:bidi="ar-SA"/>
                    </w:rPr>
                    <w:t>设中医科、康复理疗区，</w:t>
                  </w:r>
                  <w:r>
                    <w:rPr>
                      <w:color w:val="auto"/>
                      <w:kern w:val="0"/>
                      <w:szCs w:val="21"/>
                    </w:rPr>
                    <w:t>共计</w:t>
                  </w:r>
                  <w:r>
                    <w:rPr>
                      <w:rFonts w:hint="eastAsia"/>
                      <w:color w:val="auto"/>
                      <w:kern w:val="0"/>
                      <w:szCs w:val="21"/>
                      <w:lang w:val="en-US" w:eastAsia="zh-CN"/>
                    </w:rPr>
                    <w:t>10</w:t>
                  </w:r>
                  <w:r>
                    <w:rPr>
                      <w:color w:val="auto"/>
                      <w:kern w:val="0"/>
                      <w:szCs w:val="21"/>
                    </w:rPr>
                    <w:t>张</w:t>
                  </w:r>
                  <w:r>
                    <w:rPr>
                      <w:rFonts w:hint="eastAsia"/>
                      <w:color w:val="auto"/>
                      <w:kern w:val="0"/>
                      <w:szCs w:val="21"/>
                      <w:lang w:val="en-US" w:eastAsia="zh-CN"/>
                    </w:rPr>
                    <w:t>住院床位</w:t>
                  </w:r>
                  <w:r>
                    <w:rPr>
                      <w:rFonts w:hint="eastAsia"/>
                      <w:color w:val="auto"/>
                      <w:kern w:val="2"/>
                      <w:sz w:val="21"/>
                      <w:szCs w:val="21"/>
                      <w:lang w:val="en-US" w:eastAsia="zh-CN" w:bidi="ar-SA"/>
                    </w:rPr>
                    <w:t>。</w:t>
                  </w:r>
                </w:p>
              </w:tc>
              <w:tc>
                <w:tcPr>
                  <w:tcW w:w="1385" w:type="pct"/>
                  <w:tcBorders>
                    <w:left w:val="single" w:color="auto" w:sz="4" w:space="0"/>
                  </w:tcBorders>
                  <w:noWrap w:val="0"/>
                  <w:vAlign w:val="center"/>
                </w:tcPr>
                <w:p w14:paraId="0544DE64">
                  <w:pPr>
                    <w:spacing w:line="240" w:lineRule="auto"/>
                    <w:rPr>
                      <w:rFonts w:hint="eastAsia"/>
                      <w:color w:val="auto"/>
                      <w:kern w:val="0"/>
                      <w:szCs w:val="21"/>
                    </w:rPr>
                  </w:pPr>
                  <w:r>
                    <w:rPr>
                      <w:rFonts w:hint="eastAsia" w:ascii="Times New Roman" w:hAnsi="Times New Roman" w:eastAsia="宋体" w:cs="Times New Roman"/>
                      <w:color w:val="auto"/>
                      <w:szCs w:val="21"/>
                      <w:lang w:val="en-US" w:eastAsia="zh-CN"/>
                    </w:rPr>
                    <w:t>新租赁</w:t>
                  </w:r>
                  <w:r>
                    <w:rPr>
                      <w:color w:val="auto"/>
                      <w:szCs w:val="21"/>
                    </w:rPr>
                    <w:t>建筑</w:t>
                  </w:r>
                  <w:r>
                    <w:rPr>
                      <w:color w:val="auto"/>
                      <w:szCs w:val="21"/>
                      <w:shd w:val="clear" w:color="auto" w:fill="FFFFFF"/>
                    </w:rPr>
                    <w:t>面积</w:t>
                  </w:r>
                  <w:r>
                    <w:rPr>
                      <w:rFonts w:hint="eastAsia"/>
                      <w:color w:val="auto"/>
                      <w:szCs w:val="21"/>
                      <w:shd w:val="clear" w:color="auto" w:fill="FFFFFF"/>
                      <w:lang w:val="en-US" w:eastAsia="zh-CN"/>
                    </w:rPr>
                    <w:t>约2229.11</w:t>
                  </w:r>
                  <w:r>
                    <w:rPr>
                      <w:color w:val="auto"/>
                      <w:szCs w:val="21"/>
                    </w:rPr>
                    <w:t>m</w:t>
                  </w:r>
                  <w:r>
                    <w:rPr>
                      <w:rFonts w:hint="eastAsia"/>
                      <w:color w:val="auto"/>
                      <w:szCs w:val="21"/>
                      <w:vertAlign w:val="superscript"/>
                    </w:rPr>
                    <w:t>2</w:t>
                  </w:r>
                  <w:r>
                    <w:rPr>
                      <w:rFonts w:hint="eastAsia"/>
                      <w:color w:val="auto"/>
                      <w:szCs w:val="21"/>
                      <w:lang w:val="en-US" w:eastAsia="zh-CN"/>
                    </w:rPr>
                    <w:t>，新增60张住院床位</w:t>
                  </w:r>
                  <w:r>
                    <w:rPr>
                      <w:color w:val="auto"/>
                      <w:szCs w:val="21"/>
                      <w:shd w:val="clear" w:color="auto" w:fill="FFFFFF"/>
                    </w:rPr>
                    <w:t>，</w:t>
                  </w:r>
                  <w:r>
                    <w:rPr>
                      <w:rFonts w:hint="eastAsia" w:ascii="Times New Roman" w:hAnsi="Times New Roman" w:eastAsia="宋体" w:cs="Times New Roman"/>
                      <w:color w:val="auto"/>
                      <w:szCs w:val="21"/>
                      <w:lang w:val="en-US" w:eastAsia="zh-CN"/>
                    </w:rPr>
                    <w:t>平面</w:t>
                  </w:r>
                  <w:r>
                    <w:rPr>
                      <w:rFonts w:hint="eastAsia"/>
                      <w:color w:val="auto"/>
                      <w:szCs w:val="21"/>
                      <w:lang w:val="en-US" w:eastAsia="zh-CN"/>
                    </w:rPr>
                    <w:t>布置进行了调整，</w:t>
                  </w:r>
                  <w:r>
                    <w:rPr>
                      <w:rFonts w:hint="eastAsia"/>
                      <w:color w:val="auto"/>
                      <w:kern w:val="2"/>
                      <w:sz w:val="21"/>
                      <w:szCs w:val="21"/>
                      <w:lang w:val="en-US" w:eastAsia="zh-CN" w:bidi="ar-SA"/>
                    </w:rPr>
                    <w:t>康复理疗区迁至四楼</w:t>
                  </w:r>
                  <w:r>
                    <w:rPr>
                      <w:color w:val="auto"/>
                      <w:szCs w:val="21"/>
                    </w:rPr>
                    <w:t>。</w:t>
                  </w:r>
                </w:p>
              </w:tc>
              <w:tc>
                <w:tcPr>
                  <w:tcW w:w="1408" w:type="pct"/>
                  <w:noWrap w:val="0"/>
                  <w:vAlign w:val="center"/>
                </w:tcPr>
                <w:p w14:paraId="6092EDD3">
                  <w:pPr>
                    <w:jc w:val="both"/>
                    <w:rPr>
                      <w:rFonts w:hint="eastAsia"/>
                      <w:color w:val="auto"/>
                      <w:szCs w:val="21"/>
                    </w:rPr>
                  </w:pPr>
                  <w:r>
                    <w:rPr>
                      <w:rFonts w:hint="eastAsia"/>
                      <w:color w:val="auto"/>
                      <w:lang w:val="en-US" w:eastAsia="zh-CN"/>
                    </w:rPr>
                    <w:t>项目3F</w:t>
                  </w:r>
                  <w:r>
                    <w:rPr>
                      <w:color w:val="auto"/>
                      <w:szCs w:val="21"/>
                    </w:rPr>
                    <w:t>建筑</w:t>
                  </w:r>
                  <w:r>
                    <w:rPr>
                      <w:color w:val="auto"/>
                      <w:szCs w:val="21"/>
                      <w:shd w:val="clear" w:color="auto" w:fill="FFFFFF"/>
                    </w:rPr>
                    <w:t>面积共</w:t>
                  </w:r>
                  <w:r>
                    <w:rPr>
                      <w:rFonts w:hint="eastAsia"/>
                      <w:color w:val="auto"/>
                      <w:szCs w:val="21"/>
                      <w:lang w:val="en-US" w:eastAsia="zh-CN"/>
                    </w:rPr>
                    <w:t>2476.41</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lang w:val="en-US" w:eastAsia="zh-CN"/>
                    </w:rPr>
                    <w:t>设置</w:t>
                  </w:r>
                  <w:r>
                    <w:rPr>
                      <w:rFonts w:hint="eastAsia"/>
                      <w:color w:val="auto"/>
                      <w:kern w:val="2"/>
                      <w:sz w:val="21"/>
                      <w:szCs w:val="21"/>
                      <w:lang w:val="en-US" w:eastAsia="zh-CN" w:bidi="ar-SA"/>
                    </w:rPr>
                    <w:t>综合病区病房（</w:t>
                  </w:r>
                  <w:r>
                    <w:rPr>
                      <w:rFonts w:hint="eastAsia"/>
                      <w:color w:val="auto"/>
                      <w:lang w:val="en-US" w:eastAsia="zh-CN"/>
                    </w:rPr>
                    <w:t>内科</w:t>
                  </w:r>
                  <w:r>
                    <w:rPr>
                      <w:rFonts w:hint="eastAsia"/>
                      <w:color w:val="auto"/>
                      <w:kern w:val="2"/>
                      <w:sz w:val="21"/>
                      <w:szCs w:val="21"/>
                      <w:lang w:val="en-US" w:eastAsia="zh-CN" w:bidi="ar-SA"/>
                    </w:rPr>
                    <w:t>）</w:t>
                  </w:r>
                  <w:r>
                    <w:rPr>
                      <w:rFonts w:hint="eastAsia"/>
                      <w:color w:val="auto"/>
                      <w:lang w:val="en-US" w:eastAsia="zh-CN"/>
                    </w:rPr>
                    <w:t>，</w:t>
                  </w:r>
                  <w:r>
                    <w:rPr>
                      <w:rFonts w:hint="eastAsia"/>
                      <w:color w:val="auto"/>
                      <w:kern w:val="0"/>
                      <w:szCs w:val="21"/>
                      <w:lang w:val="en-US" w:eastAsia="zh-CN"/>
                    </w:rPr>
                    <w:t>共设70</w:t>
                  </w:r>
                  <w:r>
                    <w:rPr>
                      <w:color w:val="auto"/>
                      <w:kern w:val="0"/>
                      <w:szCs w:val="21"/>
                    </w:rPr>
                    <w:t>张</w:t>
                  </w:r>
                  <w:r>
                    <w:rPr>
                      <w:rFonts w:hint="eastAsia"/>
                      <w:color w:val="auto"/>
                      <w:kern w:val="0"/>
                      <w:szCs w:val="21"/>
                      <w:lang w:val="en-US" w:eastAsia="zh-CN"/>
                    </w:rPr>
                    <w:t>住院床位</w:t>
                  </w:r>
                  <w:r>
                    <w:rPr>
                      <w:color w:val="auto"/>
                      <w:kern w:val="0"/>
                      <w:szCs w:val="21"/>
                    </w:rPr>
                    <w:t>，分为两人间、三人间、四人间和五人间，用于病人住院。</w:t>
                  </w:r>
                </w:p>
              </w:tc>
            </w:tr>
            <w:tr w14:paraId="1E5FDE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13" w:hRule="atLeast"/>
              </w:trPr>
              <w:tc>
                <w:tcPr>
                  <w:tcW w:w="268" w:type="pct"/>
                  <w:vMerge w:val="continue"/>
                  <w:noWrap w:val="0"/>
                  <w:vAlign w:val="center"/>
                </w:tcPr>
                <w:p w14:paraId="24A3E6B0">
                  <w:pPr>
                    <w:jc w:val="center"/>
                    <w:rPr>
                      <w:color w:val="auto"/>
                      <w:szCs w:val="21"/>
                    </w:rPr>
                  </w:pPr>
                </w:p>
              </w:tc>
              <w:tc>
                <w:tcPr>
                  <w:tcW w:w="416" w:type="pct"/>
                  <w:vMerge w:val="continue"/>
                  <w:tcBorders>
                    <w:right w:val="single" w:color="auto" w:sz="4" w:space="0"/>
                  </w:tcBorders>
                  <w:noWrap w:val="0"/>
                  <w:vAlign w:val="center"/>
                </w:tcPr>
                <w:p w14:paraId="55167F84">
                  <w:pPr>
                    <w:adjustRightInd w:val="0"/>
                    <w:snapToGrid w:val="0"/>
                    <w:jc w:val="center"/>
                    <w:rPr>
                      <w:rFonts w:hint="eastAsia"/>
                      <w:color w:val="auto"/>
                      <w:kern w:val="0"/>
                      <w:szCs w:val="21"/>
                    </w:rPr>
                  </w:pPr>
                </w:p>
              </w:tc>
              <w:tc>
                <w:tcPr>
                  <w:tcW w:w="1520" w:type="pct"/>
                  <w:tcBorders>
                    <w:left w:val="single" w:color="auto" w:sz="4" w:space="0"/>
                    <w:right w:val="single" w:color="auto" w:sz="4" w:space="0"/>
                  </w:tcBorders>
                  <w:noWrap w:val="0"/>
                  <w:vAlign w:val="center"/>
                </w:tcPr>
                <w:p w14:paraId="22485958">
                  <w:pPr>
                    <w:widowControl/>
                    <w:jc w:val="left"/>
                    <w:rPr>
                      <w:rFonts w:hint="eastAsia"/>
                      <w:color w:val="auto"/>
                      <w:kern w:val="2"/>
                      <w:sz w:val="21"/>
                      <w:szCs w:val="21"/>
                      <w:lang w:val="en-US" w:eastAsia="zh-CN" w:bidi="ar-SA"/>
                    </w:rPr>
                  </w:pPr>
                  <w:r>
                    <w:rPr>
                      <w:rFonts w:hint="eastAsia"/>
                      <w:color w:val="auto"/>
                      <w:kern w:val="2"/>
                      <w:sz w:val="21"/>
                      <w:szCs w:val="21"/>
                      <w:lang w:val="en-US" w:eastAsia="zh-CN" w:bidi="ar-SA"/>
                    </w:rPr>
                    <w:t>4F</w:t>
                  </w:r>
                  <w:r>
                    <w:rPr>
                      <w:color w:val="auto"/>
                      <w:szCs w:val="21"/>
                    </w:rPr>
                    <w:t>建筑</w:t>
                  </w:r>
                  <w:r>
                    <w:rPr>
                      <w:color w:val="auto"/>
                      <w:szCs w:val="21"/>
                      <w:shd w:val="clear" w:color="auto" w:fill="FFFFFF"/>
                    </w:rPr>
                    <w:t>面积共</w:t>
                  </w:r>
                  <w:r>
                    <w:rPr>
                      <w:rFonts w:hint="eastAsia"/>
                      <w:color w:val="auto"/>
                      <w:szCs w:val="21"/>
                      <w:lang w:val="en-US" w:eastAsia="zh-CN"/>
                    </w:rPr>
                    <w:t>2476.41</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kern w:val="2"/>
                      <w:sz w:val="21"/>
                      <w:szCs w:val="21"/>
                      <w:lang w:val="en-US" w:eastAsia="zh-CN" w:bidi="ar-SA"/>
                    </w:rPr>
                    <w:t>设皮肤科、妇科、儿科、内科、五官科、外科、手术室、住院部，</w:t>
                  </w:r>
                  <w:r>
                    <w:rPr>
                      <w:color w:val="auto"/>
                      <w:kern w:val="0"/>
                      <w:szCs w:val="21"/>
                    </w:rPr>
                    <w:t>共计</w:t>
                  </w:r>
                  <w:r>
                    <w:rPr>
                      <w:rFonts w:hint="eastAsia"/>
                      <w:color w:val="auto"/>
                      <w:kern w:val="0"/>
                      <w:szCs w:val="21"/>
                      <w:lang w:val="en-US" w:eastAsia="zh-CN"/>
                    </w:rPr>
                    <w:t>80</w:t>
                  </w:r>
                  <w:r>
                    <w:rPr>
                      <w:color w:val="auto"/>
                      <w:kern w:val="0"/>
                      <w:szCs w:val="21"/>
                    </w:rPr>
                    <w:t>张</w:t>
                  </w:r>
                  <w:r>
                    <w:rPr>
                      <w:rFonts w:hint="eastAsia"/>
                      <w:color w:val="auto"/>
                      <w:kern w:val="0"/>
                      <w:szCs w:val="21"/>
                      <w:lang w:val="en-US" w:eastAsia="zh-CN"/>
                    </w:rPr>
                    <w:t>住院床位</w:t>
                  </w:r>
                  <w:r>
                    <w:rPr>
                      <w:rFonts w:hint="eastAsia"/>
                      <w:color w:val="auto"/>
                      <w:kern w:val="2"/>
                      <w:sz w:val="21"/>
                      <w:szCs w:val="21"/>
                      <w:lang w:val="en-US" w:eastAsia="zh-CN" w:bidi="ar-SA"/>
                    </w:rPr>
                    <w:t>。</w:t>
                  </w:r>
                </w:p>
              </w:tc>
              <w:tc>
                <w:tcPr>
                  <w:tcW w:w="1385" w:type="pct"/>
                  <w:tcBorders>
                    <w:left w:val="single" w:color="auto" w:sz="4" w:space="0"/>
                  </w:tcBorders>
                  <w:noWrap w:val="0"/>
                  <w:vAlign w:val="center"/>
                </w:tcPr>
                <w:p w14:paraId="719079D0">
                  <w:pPr>
                    <w:adjustRightInd w:val="0"/>
                    <w:snapToGrid w:val="0"/>
                    <w:jc w:val="center"/>
                    <w:rPr>
                      <w:rFonts w:hint="eastAsia"/>
                      <w:color w:val="auto"/>
                      <w:kern w:val="0"/>
                      <w:szCs w:val="21"/>
                    </w:rPr>
                  </w:pPr>
                  <w:r>
                    <w:rPr>
                      <w:rFonts w:hint="eastAsia"/>
                      <w:color w:val="auto"/>
                      <w:szCs w:val="21"/>
                      <w:lang w:val="en-US" w:eastAsia="zh-CN"/>
                    </w:rPr>
                    <w:t>平面布置进行了调整，原皮肤科、妇科、儿科等科室已迁至一楼，保留手术室及医生办公室，对病房进行调整，原3F康复理疗区设置在4F</w:t>
                  </w:r>
                  <w:r>
                    <w:rPr>
                      <w:rFonts w:hint="eastAsia"/>
                      <w:color w:val="auto"/>
                      <w:szCs w:val="21"/>
                    </w:rPr>
                    <w:t>。</w:t>
                  </w:r>
                </w:p>
              </w:tc>
              <w:tc>
                <w:tcPr>
                  <w:tcW w:w="1408" w:type="pct"/>
                  <w:noWrap w:val="0"/>
                  <w:vAlign w:val="center"/>
                </w:tcPr>
                <w:p w14:paraId="5B05643B">
                  <w:pPr>
                    <w:jc w:val="center"/>
                    <w:rPr>
                      <w:rFonts w:hint="eastAsia"/>
                      <w:color w:val="auto"/>
                      <w:szCs w:val="21"/>
                    </w:rPr>
                  </w:pPr>
                  <w:r>
                    <w:rPr>
                      <w:rFonts w:hint="eastAsia"/>
                      <w:color w:val="auto"/>
                      <w:kern w:val="2"/>
                      <w:sz w:val="21"/>
                      <w:szCs w:val="21"/>
                      <w:lang w:val="en-US" w:eastAsia="zh-CN" w:bidi="ar-SA"/>
                    </w:rPr>
                    <w:t>4F</w:t>
                  </w:r>
                  <w:r>
                    <w:rPr>
                      <w:color w:val="auto"/>
                      <w:szCs w:val="21"/>
                    </w:rPr>
                    <w:t>建筑</w:t>
                  </w:r>
                  <w:r>
                    <w:rPr>
                      <w:color w:val="auto"/>
                      <w:szCs w:val="21"/>
                      <w:shd w:val="clear" w:color="auto" w:fill="FFFFFF"/>
                    </w:rPr>
                    <w:t>面积共</w:t>
                  </w:r>
                  <w:r>
                    <w:rPr>
                      <w:rFonts w:hint="eastAsia"/>
                      <w:color w:val="auto"/>
                      <w:szCs w:val="21"/>
                      <w:lang w:val="en-US" w:eastAsia="zh-CN"/>
                    </w:rPr>
                    <w:t>2476.41</w:t>
                  </w:r>
                  <w:r>
                    <w:rPr>
                      <w:color w:val="auto"/>
                      <w:szCs w:val="21"/>
                    </w:rPr>
                    <w:t>m</w:t>
                  </w:r>
                  <w:r>
                    <w:rPr>
                      <w:rFonts w:hint="eastAsia"/>
                      <w:color w:val="auto"/>
                      <w:szCs w:val="21"/>
                      <w:vertAlign w:val="superscript"/>
                    </w:rPr>
                    <w:t>2</w:t>
                  </w:r>
                  <w:r>
                    <w:rPr>
                      <w:color w:val="auto"/>
                      <w:szCs w:val="21"/>
                      <w:shd w:val="clear" w:color="auto" w:fill="FFFFFF"/>
                    </w:rPr>
                    <w:t>，</w:t>
                  </w:r>
                  <w:r>
                    <w:rPr>
                      <w:color w:val="auto"/>
                      <w:kern w:val="0"/>
                      <w:szCs w:val="21"/>
                    </w:rPr>
                    <w:t>共计</w:t>
                  </w:r>
                  <w:r>
                    <w:rPr>
                      <w:rFonts w:hint="eastAsia"/>
                      <w:color w:val="auto"/>
                      <w:kern w:val="0"/>
                      <w:szCs w:val="21"/>
                      <w:lang w:val="en-US" w:eastAsia="zh-CN"/>
                    </w:rPr>
                    <w:t>80</w:t>
                  </w:r>
                  <w:r>
                    <w:rPr>
                      <w:color w:val="auto"/>
                      <w:kern w:val="0"/>
                      <w:szCs w:val="21"/>
                    </w:rPr>
                    <w:t>张</w:t>
                  </w:r>
                  <w:r>
                    <w:rPr>
                      <w:rFonts w:hint="eastAsia"/>
                      <w:color w:val="auto"/>
                      <w:kern w:val="0"/>
                      <w:szCs w:val="21"/>
                      <w:lang w:val="en-US" w:eastAsia="zh-CN"/>
                    </w:rPr>
                    <w:t>住院床位</w:t>
                  </w:r>
                  <w:r>
                    <w:rPr>
                      <w:color w:val="auto"/>
                      <w:kern w:val="0"/>
                      <w:szCs w:val="21"/>
                    </w:rPr>
                    <w:t>，</w:t>
                  </w:r>
                  <w:r>
                    <w:rPr>
                      <w:rFonts w:hint="eastAsia"/>
                      <w:color w:val="auto"/>
                      <w:kern w:val="2"/>
                      <w:sz w:val="21"/>
                      <w:szCs w:val="21"/>
                      <w:lang w:val="en-US" w:eastAsia="zh-CN" w:bidi="ar-SA"/>
                    </w:rPr>
                    <w:t>设综合病区病房（中医科、妇科、外科），康复理疗区、手术室，医生办公室。</w:t>
                  </w:r>
                </w:p>
              </w:tc>
            </w:tr>
            <w:tr w14:paraId="2C0B35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restart"/>
                  <w:tcBorders>
                    <w:top w:val="single" w:color="auto" w:sz="4" w:space="0"/>
                  </w:tcBorders>
                  <w:noWrap w:val="0"/>
                  <w:vAlign w:val="center"/>
                </w:tcPr>
                <w:p w14:paraId="5F6035A0">
                  <w:pPr>
                    <w:jc w:val="center"/>
                    <w:rPr>
                      <w:color w:val="auto"/>
                      <w:szCs w:val="21"/>
                    </w:rPr>
                  </w:pPr>
                  <w:r>
                    <w:rPr>
                      <w:color w:val="auto"/>
                      <w:szCs w:val="21"/>
                    </w:rPr>
                    <w:t>辅助工程</w:t>
                  </w:r>
                </w:p>
              </w:tc>
              <w:tc>
                <w:tcPr>
                  <w:tcW w:w="416" w:type="pct"/>
                  <w:tcBorders>
                    <w:right w:val="single" w:color="auto" w:sz="4" w:space="0"/>
                  </w:tcBorders>
                  <w:noWrap w:val="0"/>
                  <w:vAlign w:val="center"/>
                </w:tcPr>
                <w:p w14:paraId="08CF9C6A">
                  <w:pPr>
                    <w:adjustRightInd w:val="0"/>
                    <w:snapToGrid w:val="0"/>
                    <w:jc w:val="center"/>
                    <w:rPr>
                      <w:color w:val="auto"/>
                      <w:szCs w:val="21"/>
                    </w:rPr>
                  </w:pPr>
                  <w:r>
                    <w:rPr>
                      <w:color w:val="auto"/>
                      <w:szCs w:val="21"/>
                    </w:rPr>
                    <w:t>行政办公室</w:t>
                  </w:r>
                </w:p>
              </w:tc>
              <w:tc>
                <w:tcPr>
                  <w:tcW w:w="4314" w:type="pct"/>
                  <w:gridSpan w:val="3"/>
                  <w:tcBorders>
                    <w:left w:val="single" w:color="auto" w:sz="4" w:space="0"/>
                  </w:tcBorders>
                  <w:noWrap w:val="0"/>
                  <w:vAlign w:val="center"/>
                </w:tcPr>
                <w:p w14:paraId="0A4365D9">
                  <w:pPr>
                    <w:adjustRightInd w:val="0"/>
                    <w:snapToGrid w:val="0"/>
                    <w:jc w:val="both"/>
                    <w:rPr>
                      <w:color w:val="auto"/>
                      <w:szCs w:val="21"/>
                    </w:rPr>
                  </w:pPr>
                  <w:r>
                    <w:rPr>
                      <w:color w:val="auto"/>
                      <w:szCs w:val="21"/>
                    </w:rPr>
                    <w:t>依托已建</w:t>
                  </w:r>
                  <w:r>
                    <w:rPr>
                      <w:rFonts w:hint="eastAsia"/>
                      <w:color w:val="auto"/>
                      <w:szCs w:val="21"/>
                      <w:lang w:eastAsia="zh-CN"/>
                    </w:rPr>
                    <w:t>，</w:t>
                  </w:r>
                  <w:r>
                    <w:rPr>
                      <w:color w:val="auto"/>
                      <w:kern w:val="0"/>
                      <w:szCs w:val="21"/>
                    </w:rPr>
                    <w:t>后勤综合办公区设置于</w:t>
                  </w:r>
                  <w:r>
                    <w:rPr>
                      <w:rFonts w:hint="eastAsia"/>
                      <w:color w:val="auto"/>
                      <w:kern w:val="0"/>
                      <w:szCs w:val="21"/>
                      <w:lang w:val="en-US" w:eastAsia="zh-CN"/>
                    </w:rPr>
                    <w:t>2F</w:t>
                  </w:r>
                  <w:r>
                    <w:rPr>
                      <w:color w:val="auto"/>
                      <w:kern w:val="0"/>
                      <w:szCs w:val="21"/>
                    </w:rPr>
                    <w:t>，建筑面积共计约</w:t>
                  </w:r>
                  <w:r>
                    <w:rPr>
                      <w:rFonts w:hint="eastAsia"/>
                      <w:color w:val="auto"/>
                      <w:kern w:val="0"/>
                      <w:szCs w:val="21"/>
                    </w:rPr>
                    <w:t>100</w:t>
                  </w:r>
                  <w:r>
                    <w:rPr>
                      <w:color w:val="auto"/>
                      <w:kern w:val="0"/>
                      <w:szCs w:val="21"/>
                    </w:rPr>
                    <w:t>m</w:t>
                  </w:r>
                  <w:r>
                    <w:rPr>
                      <w:color w:val="auto"/>
                      <w:kern w:val="0"/>
                      <w:szCs w:val="21"/>
                      <w:vertAlign w:val="superscript"/>
                    </w:rPr>
                    <w:t>2</w:t>
                  </w:r>
                  <w:r>
                    <w:rPr>
                      <w:color w:val="auto"/>
                      <w:kern w:val="0"/>
                      <w:szCs w:val="21"/>
                    </w:rPr>
                    <w:t>。</w:t>
                  </w:r>
                </w:p>
              </w:tc>
            </w:tr>
            <w:tr w14:paraId="3FF35C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375ACA7A">
                  <w:pPr>
                    <w:jc w:val="center"/>
                    <w:rPr>
                      <w:color w:val="auto"/>
                      <w:szCs w:val="21"/>
                    </w:rPr>
                  </w:pPr>
                </w:p>
              </w:tc>
              <w:tc>
                <w:tcPr>
                  <w:tcW w:w="416" w:type="pct"/>
                  <w:tcBorders>
                    <w:right w:val="single" w:color="auto" w:sz="4" w:space="0"/>
                  </w:tcBorders>
                  <w:noWrap w:val="0"/>
                  <w:vAlign w:val="center"/>
                </w:tcPr>
                <w:p w14:paraId="6665B687">
                  <w:pPr>
                    <w:adjustRightInd w:val="0"/>
                    <w:snapToGrid w:val="0"/>
                    <w:jc w:val="center"/>
                    <w:rPr>
                      <w:color w:val="auto"/>
                      <w:szCs w:val="21"/>
                    </w:rPr>
                  </w:pPr>
                  <w:r>
                    <w:rPr>
                      <w:rFonts w:hint="eastAsia"/>
                      <w:color w:val="auto"/>
                      <w:szCs w:val="21"/>
                      <w:lang w:val="en-US" w:eastAsia="zh-CN"/>
                    </w:rPr>
                    <w:t>气瓶室</w:t>
                  </w:r>
                </w:p>
              </w:tc>
              <w:tc>
                <w:tcPr>
                  <w:tcW w:w="4314" w:type="pct"/>
                  <w:gridSpan w:val="3"/>
                  <w:tcBorders>
                    <w:left w:val="single" w:color="auto" w:sz="4" w:space="0"/>
                  </w:tcBorders>
                  <w:noWrap w:val="0"/>
                  <w:vAlign w:val="center"/>
                </w:tcPr>
                <w:p w14:paraId="3EF8E73D">
                  <w:pPr>
                    <w:adjustRightInd w:val="0"/>
                    <w:snapToGrid w:val="0"/>
                    <w:jc w:val="both"/>
                    <w:rPr>
                      <w:color w:val="auto"/>
                      <w:szCs w:val="21"/>
                    </w:rPr>
                  </w:pPr>
                  <w:r>
                    <w:rPr>
                      <w:color w:val="auto"/>
                      <w:szCs w:val="21"/>
                    </w:rPr>
                    <w:t>依托已建</w:t>
                  </w:r>
                  <w:r>
                    <w:rPr>
                      <w:rFonts w:hint="eastAsia"/>
                      <w:color w:val="auto"/>
                      <w:szCs w:val="21"/>
                      <w:lang w:eastAsia="zh-CN"/>
                    </w:rPr>
                    <w:t>，</w:t>
                  </w:r>
                  <w:r>
                    <w:rPr>
                      <w:rFonts w:hint="eastAsia"/>
                      <w:color w:val="auto"/>
                      <w:szCs w:val="21"/>
                    </w:rPr>
                    <w:t>氧气主要来自于制氧公司配送的钢瓶氧气（每瓶80L）</w:t>
                  </w:r>
                  <w:r>
                    <w:rPr>
                      <w:rFonts w:hint="eastAsia"/>
                      <w:color w:val="auto"/>
                    </w:rPr>
                    <w:t>。</w:t>
                  </w:r>
                </w:p>
              </w:tc>
            </w:tr>
            <w:tr w14:paraId="047260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49590C24">
                  <w:pPr>
                    <w:jc w:val="center"/>
                    <w:rPr>
                      <w:color w:val="auto"/>
                      <w:szCs w:val="21"/>
                    </w:rPr>
                  </w:pPr>
                </w:p>
              </w:tc>
              <w:tc>
                <w:tcPr>
                  <w:tcW w:w="416" w:type="pct"/>
                  <w:tcBorders>
                    <w:right w:val="single" w:color="auto" w:sz="4" w:space="0"/>
                  </w:tcBorders>
                  <w:noWrap w:val="0"/>
                  <w:vAlign w:val="center"/>
                </w:tcPr>
                <w:p w14:paraId="10CDFB8F">
                  <w:pPr>
                    <w:adjustRightInd w:val="0"/>
                    <w:snapToGrid w:val="0"/>
                    <w:jc w:val="center"/>
                    <w:rPr>
                      <w:color w:val="auto"/>
                      <w:kern w:val="2"/>
                      <w:sz w:val="21"/>
                      <w:szCs w:val="21"/>
                      <w:lang w:val="en-US" w:eastAsia="zh-CN" w:bidi="ar-SA"/>
                    </w:rPr>
                  </w:pPr>
                  <w:r>
                    <w:rPr>
                      <w:color w:val="auto"/>
                      <w:szCs w:val="21"/>
                    </w:rPr>
                    <w:t>卫生间</w:t>
                  </w:r>
                </w:p>
              </w:tc>
              <w:tc>
                <w:tcPr>
                  <w:tcW w:w="4314" w:type="pct"/>
                  <w:gridSpan w:val="3"/>
                  <w:tcBorders>
                    <w:left w:val="single" w:color="auto" w:sz="4" w:space="0"/>
                  </w:tcBorders>
                  <w:noWrap w:val="0"/>
                  <w:vAlign w:val="center"/>
                </w:tcPr>
                <w:p w14:paraId="1007C610">
                  <w:pPr>
                    <w:adjustRightInd w:val="0"/>
                    <w:snapToGrid w:val="0"/>
                    <w:jc w:val="both"/>
                    <w:rPr>
                      <w:color w:val="auto"/>
                      <w:szCs w:val="21"/>
                    </w:rPr>
                  </w:pPr>
                  <w:r>
                    <w:rPr>
                      <w:color w:val="auto"/>
                      <w:kern w:val="0"/>
                      <w:szCs w:val="21"/>
                    </w:rPr>
                    <w:t>各病房、部分办公室旁分别布设有卫生间，用于病人、医护人员</w:t>
                  </w:r>
                  <w:r>
                    <w:rPr>
                      <w:rFonts w:hint="eastAsia"/>
                      <w:color w:val="auto"/>
                      <w:kern w:val="0"/>
                      <w:szCs w:val="21"/>
                      <w:lang w:eastAsia="zh-CN"/>
                    </w:rPr>
                    <w:t>如厕</w:t>
                  </w:r>
                  <w:r>
                    <w:rPr>
                      <w:color w:val="auto"/>
                      <w:kern w:val="0"/>
                      <w:szCs w:val="21"/>
                    </w:rPr>
                    <w:t>。</w:t>
                  </w:r>
                </w:p>
              </w:tc>
            </w:tr>
            <w:tr w14:paraId="7656AD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4C52C3DD">
                  <w:pPr>
                    <w:jc w:val="center"/>
                    <w:rPr>
                      <w:color w:val="auto"/>
                      <w:szCs w:val="21"/>
                    </w:rPr>
                  </w:pPr>
                </w:p>
              </w:tc>
              <w:tc>
                <w:tcPr>
                  <w:tcW w:w="416" w:type="pct"/>
                  <w:tcBorders>
                    <w:right w:val="single" w:color="auto" w:sz="4" w:space="0"/>
                  </w:tcBorders>
                  <w:noWrap w:val="0"/>
                  <w:vAlign w:val="center"/>
                </w:tcPr>
                <w:p w14:paraId="24FF62E3">
                  <w:pPr>
                    <w:adjustRightInd w:val="0"/>
                    <w:snapToGrid w:val="0"/>
                    <w:jc w:val="center"/>
                    <w:rPr>
                      <w:snapToGrid w:val="0"/>
                      <w:color w:val="auto"/>
                      <w:kern w:val="0"/>
                      <w:sz w:val="21"/>
                      <w:szCs w:val="21"/>
                      <w:lang w:val="en-US" w:eastAsia="zh-CN" w:bidi="ar-SA"/>
                    </w:rPr>
                  </w:pPr>
                  <w:r>
                    <w:rPr>
                      <w:snapToGrid w:val="0"/>
                      <w:color w:val="auto"/>
                      <w:kern w:val="0"/>
                      <w:szCs w:val="21"/>
                    </w:rPr>
                    <w:t>洗衣</w:t>
                  </w:r>
                  <w:r>
                    <w:rPr>
                      <w:rFonts w:hint="eastAsia"/>
                      <w:color w:val="auto"/>
                      <w:kern w:val="0"/>
                      <w:szCs w:val="21"/>
                    </w:rPr>
                    <w:t>房</w:t>
                  </w:r>
                </w:p>
              </w:tc>
              <w:tc>
                <w:tcPr>
                  <w:tcW w:w="4314" w:type="pct"/>
                  <w:gridSpan w:val="3"/>
                  <w:tcBorders>
                    <w:left w:val="single" w:color="auto" w:sz="4" w:space="0"/>
                  </w:tcBorders>
                  <w:noWrap w:val="0"/>
                  <w:vAlign w:val="center"/>
                </w:tcPr>
                <w:p w14:paraId="0C1220E3">
                  <w:pPr>
                    <w:adjustRightInd w:val="0"/>
                    <w:snapToGrid w:val="0"/>
                    <w:jc w:val="both"/>
                    <w:rPr>
                      <w:color w:val="auto"/>
                      <w:szCs w:val="21"/>
                    </w:rPr>
                  </w:pPr>
                  <w:r>
                    <w:rPr>
                      <w:rFonts w:hint="eastAsia"/>
                      <w:color w:val="auto"/>
                      <w:kern w:val="0"/>
                      <w:szCs w:val="21"/>
                    </w:rPr>
                    <w:t>位于裙楼楼顶，</w:t>
                  </w:r>
                  <w:r>
                    <w:rPr>
                      <w:rFonts w:hint="eastAsia"/>
                      <w:color w:val="auto"/>
                      <w:szCs w:val="21"/>
                    </w:rPr>
                    <w:t>面积约20m</w:t>
                  </w:r>
                  <w:r>
                    <w:rPr>
                      <w:rFonts w:hint="eastAsia"/>
                      <w:color w:val="auto"/>
                      <w:szCs w:val="21"/>
                      <w:vertAlign w:val="superscript"/>
                    </w:rPr>
                    <w:t>2</w:t>
                  </w:r>
                  <w:r>
                    <w:rPr>
                      <w:rFonts w:hint="eastAsia"/>
                      <w:color w:val="auto"/>
                      <w:szCs w:val="21"/>
                    </w:rPr>
                    <w:t>。</w:t>
                  </w:r>
                  <w:r>
                    <w:rPr>
                      <w:color w:val="auto"/>
                      <w:kern w:val="0"/>
                      <w:szCs w:val="21"/>
                    </w:rPr>
                    <w:t>用于衣物、</w:t>
                  </w:r>
                  <w:r>
                    <w:rPr>
                      <w:rFonts w:hint="eastAsia"/>
                      <w:color w:val="auto"/>
                      <w:kern w:val="0"/>
                      <w:szCs w:val="21"/>
                    </w:rPr>
                    <w:t>床单、</w:t>
                  </w:r>
                  <w:r>
                    <w:rPr>
                      <w:color w:val="auto"/>
                      <w:kern w:val="0"/>
                      <w:szCs w:val="21"/>
                    </w:rPr>
                    <w:t>污物清洗。</w:t>
                  </w:r>
                </w:p>
              </w:tc>
            </w:tr>
            <w:tr w14:paraId="377D27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restart"/>
                  <w:noWrap w:val="0"/>
                  <w:vAlign w:val="center"/>
                </w:tcPr>
                <w:p w14:paraId="1EB020B4">
                  <w:pPr>
                    <w:jc w:val="center"/>
                    <w:rPr>
                      <w:color w:val="auto"/>
                      <w:szCs w:val="21"/>
                    </w:rPr>
                  </w:pPr>
                  <w:r>
                    <w:rPr>
                      <w:color w:val="auto"/>
                      <w:szCs w:val="21"/>
                    </w:rPr>
                    <w:t>公用</w:t>
                  </w:r>
                </w:p>
                <w:p w14:paraId="3A52A8BB">
                  <w:pPr>
                    <w:jc w:val="center"/>
                    <w:rPr>
                      <w:color w:val="auto"/>
                      <w:szCs w:val="21"/>
                    </w:rPr>
                  </w:pPr>
                  <w:r>
                    <w:rPr>
                      <w:color w:val="auto"/>
                      <w:szCs w:val="21"/>
                    </w:rPr>
                    <w:t>工程</w:t>
                  </w:r>
                </w:p>
              </w:tc>
              <w:tc>
                <w:tcPr>
                  <w:tcW w:w="416" w:type="pct"/>
                  <w:tcBorders>
                    <w:right w:val="single" w:color="auto" w:sz="4" w:space="0"/>
                  </w:tcBorders>
                  <w:noWrap w:val="0"/>
                  <w:vAlign w:val="center"/>
                </w:tcPr>
                <w:p w14:paraId="7A2D8011">
                  <w:pPr>
                    <w:adjustRightInd w:val="0"/>
                    <w:snapToGrid w:val="0"/>
                    <w:jc w:val="center"/>
                    <w:rPr>
                      <w:snapToGrid w:val="0"/>
                      <w:color w:val="auto"/>
                      <w:kern w:val="0"/>
                      <w:sz w:val="21"/>
                      <w:szCs w:val="21"/>
                      <w:lang w:val="en-US" w:eastAsia="zh-CN" w:bidi="ar-SA"/>
                    </w:rPr>
                  </w:pPr>
                  <w:r>
                    <w:rPr>
                      <w:snapToGrid w:val="0"/>
                      <w:color w:val="auto"/>
                      <w:kern w:val="0"/>
                      <w:szCs w:val="21"/>
                    </w:rPr>
                    <w:t>供电设施</w:t>
                  </w:r>
                </w:p>
              </w:tc>
              <w:tc>
                <w:tcPr>
                  <w:tcW w:w="4314" w:type="pct"/>
                  <w:gridSpan w:val="3"/>
                  <w:tcBorders>
                    <w:left w:val="single" w:color="auto" w:sz="4" w:space="0"/>
                  </w:tcBorders>
                  <w:noWrap w:val="0"/>
                  <w:vAlign w:val="center"/>
                </w:tcPr>
                <w:p w14:paraId="70B6132C">
                  <w:pPr>
                    <w:adjustRightInd w:val="0"/>
                    <w:snapToGrid w:val="0"/>
                    <w:rPr>
                      <w:rFonts w:hint="eastAsia"/>
                      <w:snapToGrid w:val="0"/>
                      <w:color w:val="auto"/>
                      <w:kern w:val="0"/>
                      <w:sz w:val="21"/>
                      <w:szCs w:val="21"/>
                      <w:lang w:val="en-US" w:eastAsia="zh-CN" w:bidi="ar-SA"/>
                    </w:rPr>
                  </w:pPr>
                  <w:r>
                    <w:rPr>
                      <w:snapToGrid w:val="0"/>
                      <w:color w:val="auto"/>
                      <w:kern w:val="0"/>
                      <w:szCs w:val="21"/>
                    </w:rPr>
                    <w:t>由市政电网供给</w:t>
                  </w:r>
                </w:p>
              </w:tc>
            </w:tr>
            <w:tr w14:paraId="2F3281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6EADCBBF">
                  <w:pPr>
                    <w:jc w:val="center"/>
                    <w:rPr>
                      <w:color w:val="auto"/>
                      <w:szCs w:val="21"/>
                    </w:rPr>
                  </w:pPr>
                </w:p>
              </w:tc>
              <w:tc>
                <w:tcPr>
                  <w:tcW w:w="416" w:type="pct"/>
                  <w:tcBorders>
                    <w:right w:val="single" w:color="auto" w:sz="4" w:space="0"/>
                  </w:tcBorders>
                  <w:noWrap w:val="0"/>
                  <w:vAlign w:val="center"/>
                </w:tcPr>
                <w:p w14:paraId="4721BD5E">
                  <w:pPr>
                    <w:adjustRightInd w:val="0"/>
                    <w:snapToGrid w:val="0"/>
                    <w:jc w:val="center"/>
                    <w:rPr>
                      <w:snapToGrid w:val="0"/>
                      <w:color w:val="auto"/>
                      <w:kern w:val="0"/>
                      <w:sz w:val="21"/>
                      <w:szCs w:val="21"/>
                      <w:lang w:val="en-US" w:eastAsia="zh-CN" w:bidi="ar-SA"/>
                    </w:rPr>
                  </w:pPr>
                  <w:r>
                    <w:rPr>
                      <w:snapToGrid w:val="0"/>
                      <w:color w:val="auto"/>
                      <w:kern w:val="0"/>
                      <w:szCs w:val="21"/>
                    </w:rPr>
                    <w:t>供水设施</w:t>
                  </w:r>
                </w:p>
              </w:tc>
              <w:tc>
                <w:tcPr>
                  <w:tcW w:w="4314" w:type="pct"/>
                  <w:gridSpan w:val="3"/>
                  <w:tcBorders>
                    <w:left w:val="single" w:color="auto" w:sz="4" w:space="0"/>
                  </w:tcBorders>
                  <w:noWrap w:val="0"/>
                  <w:vAlign w:val="center"/>
                </w:tcPr>
                <w:p w14:paraId="3FCD14D6">
                  <w:pPr>
                    <w:adjustRightInd w:val="0"/>
                    <w:snapToGrid w:val="0"/>
                    <w:jc w:val="both"/>
                    <w:rPr>
                      <w:rFonts w:hint="eastAsia"/>
                      <w:snapToGrid w:val="0"/>
                      <w:color w:val="auto"/>
                      <w:kern w:val="0"/>
                      <w:sz w:val="21"/>
                      <w:szCs w:val="21"/>
                      <w:lang w:val="en-US" w:eastAsia="zh-CN" w:bidi="ar-SA"/>
                    </w:rPr>
                  </w:pPr>
                  <w:r>
                    <w:rPr>
                      <w:snapToGrid w:val="0"/>
                      <w:color w:val="auto"/>
                      <w:kern w:val="0"/>
                      <w:szCs w:val="21"/>
                    </w:rPr>
                    <w:t>由当地自来水管网供给，院区</w:t>
                  </w:r>
                  <w:r>
                    <w:rPr>
                      <w:snapToGrid w:val="0"/>
                      <w:color w:val="auto"/>
                      <w:szCs w:val="21"/>
                      <w:lang w:bidi="ar"/>
                    </w:rPr>
                    <w:t>采用分散的电热水器和饮水机供应热水</w:t>
                  </w:r>
                </w:p>
              </w:tc>
            </w:tr>
            <w:tr w14:paraId="150A58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10673E79">
                  <w:pPr>
                    <w:jc w:val="center"/>
                    <w:rPr>
                      <w:color w:val="auto"/>
                      <w:szCs w:val="21"/>
                    </w:rPr>
                  </w:pPr>
                </w:p>
              </w:tc>
              <w:tc>
                <w:tcPr>
                  <w:tcW w:w="416" w:type="pct"/>
                  <w:tcBorders>
                    <w:right w:val="single" w:color="auto" w:sz="4" w:space="0"/>
                  </w:tcBorders>
                  <w:noWrap w:val="0"/>
                  <w:vAlign w:val="center"/>
                </w:tcPr>
                <w:p w14:paraId="6395F4D5">
                  <w:pPr>
                    <w:adjustRightInd w:val="0"/>
                    <w:snapToGrid w:val="0"/>
                    <w:jc w:val="center"/>
                    <w:rPr>
                      <w:snapToGrid w:val="0"/>
                      <w:color w:val="auto"/>
                      <w:kern w:val="0"/>
                      <w:sz w:val="21"/>
                      <w:szCs w:val="21"/>
                      <w:lang w:val="en-US" w:eastAsia="zh-CN" w:bidi="ar-SA"/>
                    </w:rPr>
                  </w:pPr>
                  <w:r>
                    <w:rPr>
                      <w:snapToGrid w:val="0"/>
                      <w:color w:val="auto"/>
                      <w:kern w:val="0"/>
                      <w:szCs w:val="21"/>
                    </w:rPr>
                    <w:t>通风设施</w:t>
                  </w:r>
                </w:p>
              </w:tc>
              <w:tc>
                <w:tcPr>
                  <w:tcW w:w="4314" w:type="pct"/>
                  <w:gridSpan w:val="3"/>
                  <w:tcBorders>
                    <w:left w:val="single" w:color="auto" w:sz="4" w:space="0"/>
                  </w:tcBorders>
                  <w:noWrap w:val="0"/>
                  <w:vAlign w:val="center"/>
                </w:tcPr>
                <w:p w14:paraId="1FECADCB">
                  <w:pPr>
                    <w:widowControl/>
                    <w:jc w:val="left"/>
                    <w:rPr>
                      <w:rFonts w:hint="eastAsia"/>
                      <w:snapToGrid w:val="0"/>
                      <w:color w:val="auto"/>
                      <w:kern w:val="0"/>
                      <w:sz w:val="21"/>
                      <w:szCs w:val="21"/>
                      <w:lang w:val="en-US" w:eastAsia="zh-CN" w:bidi="ar-SA"/>
                    </w:rPr>
                  </w:pPr>
                  <w:r>
                    <w:rPr>
                      <w:rFonts w:hint="eastAsia"/>
                      <w:snapToGrid w:val="0"/>
                      <w:color w:val="auto"/>
                      <w:kern w:val="0"/>
                      <w:szCs w:val="21"/>
                      <w:lang w:val="en-US" w:eastAsia="zh-CN"/>
                    </w:rPr>
                    <w:t>采用自然通风；设备用房、检验科、卫生间等均设置机械排风系统</w:t>
                  </w:r>
                  <w:r>
                    <w:rPr>
                      <w:snapToGrid w:val="0"/>
                      <w:color w:val="auto"/>
                      <w:kern w:val="0"/>
                      <w:szCs w:val="21"/>
                    </w:rPr>
                    <w:t>。</w:t>
                  </w:r>
                </w:p>
              </w:tc>
            </w:tr>
            <w:tr w14:paraId="239FEB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77F8CF08">
                  <w:pPr>
                    <w:jc w:val="center"/>
                    <w:rPr>
                      <w:color w:val="auto"/>
                      <w:szCs w:val="21"/>
                    </w:rPr>
                  </w:pPr>
                </w:p>
              </w:tc>
              <w:tc>
                <w:tcPr>
                  <w:tcW w:w="416" w:type="pct"/>
                  <w:tcBorders>
                    <w:right w:val="single" w:color="auto" w:sz="4" w:space="0"/>
                  </w:tcBorders>
                  <w:shd w:val="clear" w:color="auto" w:fill="auto"/>
                  <w:noWrap w:val="0"/>
                  <w:vAlign w:val="center"/>
                </w:tcPr>
                <w:p w14:paraId="1C5D94AD">
                  <w:pPr>
                    <w:adjustRightInd w:val="0"/>
                    <w:snapToGrid w:val="0"/>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空调系统</w:t>
                  </w:r>
                </w:p>
              </w:tc>
              <w:tc>
                <w:tcPr>
                  <w:tcW w:w="4314" w:type="pct"/>
                  <w:gridSpan w:val="3"/>
                  <w:tcBorders>
                    <w:left w:val="single" w:color="auto" w:sz="4" w:space="0"/>
                  </w:tcBorders>
                  <w:shd w:val="clear" w:color="auto" w:fill="auto"/>
                  <w:noWrap w:val="0"/>
                  <w:vAlign w:val="center"/>
                </w:tcPr>
                <w:p w14:paraId="57748C4A">
                  <w:pPr>
                    <w:widowControl/>
                    <w:jc w:val="left"/>
                    <w:rPr>
                      <w:rFonts w:hint="eastAsia"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设置分体式挂机</w:t>
                  </w:r>
                  <w:r>
                    <w:rPr>
                      <w:rFonts w:hint="eastAsia" w:ascii="宋体" w:hAnsi="宋体" w:cs="宋体"/>
                      <w:color w:val="auto"/>
                      <w:kern w:val="0"/>
                      <w:szCs w:val="21"/>
                      <w:lang w:eastAsia="zh-CN" w:bidi="ar"/>
                    </w:rPr>
                    <w:t>。</w:t>
                  </w:r>
                </w:p>
              </w:tc>
            </w:tr>
            <w:tr w14:paraId="228B21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45013C4B">
                  <w:pPr>
                    <w:jc w:val="center"/>
                    <w:rPr>
                      <w:color w:val="auto"/>
                      <w:szCs w:val="21"/>
                    </w:rPr>
                  </w:pPr>
                </w:p>
              </w:tc>
              <w:tc>
                <w:tcPr>
                  <w:tcW w:w="416" w:type="pct"/>
                  <w:tcBorders>
                    <w:right w:val="single" w:color="auto" w:sz="4" w:space="0"/>
                  </w:tcBorders>
                  <w:noWrap w:val="0"/>
                  <w:vAlign w:val="center"/>
                </w:tcPr>
                <w:p w14:paraId="61E30C6F">
                  <w:pPr>
                    <w:adjustRightInd w:val="0"/>
                    <w:snapToGrid w:val="0"/>
                    <w:jc w:val="center"/>
                    <w:rPr>
                      <w:snapToGrid w:val="0"/>
                      <w:color w:val="auto"/>
                      <w:kern w:val="0"/>
                      <w:sz w:val="21"/>
                      <w:szCs w:val="21"/>
                      <w:lang w:val="en-US" w:eastAsia="zh-CN" w:bidi="ar-SA"/>
                    </w:rPr>
                  </w:pPr>
                  <w:r>
                    <w:rPr>
                      <w:snapToGrid w:val="0"/>
                      <w:color w:val="auto"/>
                      <w:kern w:val="0"/>
                      <w:szCs w:val="21"/>
                    </w:rPr>
                    <w:t>排水设施</w:t>
                  </w:r>
                </w:p>
              </w:tc>
              <w:tc>
                <w:tcPr>
                  <w:tcW w:w="4314" w:type="pct"/>
                  <w:gridSpan w:val="3"/>
                  <w:tcBorders>
                    <w:left w:val="single" w:color="auto" w:sz="4" w:space="0"/>
                  </w:tcBorders>
                  <w:noWrap w:val="0"/>
                  <w:vAlign w:val="center"/>
                </w:tcPr>
                <w:p w14:paraId="57593271">
                  <w:pPr>
                    <w:adjustRightInd w:val="0"/>
                    <w:snapToGrid w:val="0"/>
                    <w:jc w:val="left"/>
                    <w:rPr>
                      <w:rFonts w:hint="eastAsia"/>
                      <w:snapToGrid w:val="0"/>
                      <w:color w:val="auto"/>
                      <w:kern w:val="0"/>
                      <w:sz w:val="21"/>
                      <w:szCs w:val="21"/>
                      <w:lang w:val="en-US" w:eastAsia="zh-CN" w:bidi="ar-SA"/>
                    </w:rPr>
                  </w:pPr>
                  <w:r>
                    <w:rPr>
                      <w:snapToGrid w:val="0"/>
                      <w:color w:val="auto"/>
                      <w:kern w:val="0"/>
                      <w:szCs w:val="21"/>
                    </w:rPr>
                    <w:t>雨水经雨水沟排入市政雨水管网；生活、医疗废水</w:t>
                  </w:r>
                  <w:r>
                    <w:rPr>
                      <w:rFonts w:hint="eastAsia"/>
                      <w:snapToGrid w:val="0"/>
                      <w:color w:val="auto"/>
                      <w:kern w:val="0"/>
                      <w:szCs w:val="21"/>
                      <w:lang w:val="en-US" w:eastAsia="zh-CN"/>
                    </w:rPr>
                    <w:t>经</w:t>
                  </w:r>
                  <w:r>
                    <w:rPr>
                      <w:snapToGrid w:val="0"/>
                      <w:color w:val="auto"/>
                      <w:kern w:val="0"/>
                      <w:szCs w:val="21"/>
                    </w:rPr>
                    <w:t>污水处理站处理，</w:t>
                  </w:r>
                  <w:r>
                    <w:rPr>
                      <w:color w:val="auto"/>
                      <w:szCs w:val="21"/>
                    </w:rPr>
                    <w:t>排入市政污水管网，废水经市政管网汇入</w:t>
                  </w:r>
                  <w:r>
                    <w:rPr>
                      <w:rFonts w:hint="eastAsia"/>
                      <w:color w:val="auto"/>
                      <w:szCs w:val="21"/>
                      <w:lang w:eastAsia="zh-CN"/>
                    </w:rPr>
                    <w:t>鸡冠石污水处理厂</w:t>
                  </w:r>
                  <w:r>
                    <w:rPr>
                      <w:color w:val="auto"/>
                      <w:szCs w:val="21"/>
                    </w:rPr>
                    <w:t>深度处理后排入</w:t>
                  </w:r>
                  <w:r>
                    <w:rPr>
                      <w:rFonts w:hint="eastAsia"/>
                      <w:color w:val="auto"/>
                      <w:szCs w:val="21"/>
                    </w:rPr>
                    <w:t>长江</w:t>
                  </w:r>
                  <w:r>
                    <w:rPr>
                      <w:color w:val="auto"/>
                      <w:szCs w:val="21"/>
                    </w:rPr>
                    <w:t>。</w:t>
                  </w:r>
                </w:p>
              </w:tc>
            </w:tr>
            <w:tr w14:paraId="20CB93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restart"/>
                  <w:noWrap w:val="0"/>
                  <w:vAlign w:val="center"/>
                </w:tcPr>
                <w:p w14:paraId="57A824C6">
                  <w:pPr>
                    <w:jc w:val="center"/>
                    <w:rPr>
                      <w:color w:val="auto"/>
                      <w:szCs w:val="21"/>
                    </w:rPr>
                  </w:pPr>
                  <w:r>
                    <w:rPr>
                      <w:color w:val="auto"/>
                      <w:szCs w:val="21"/>
                    </w:rPr>
                    <w:t>环保工程</w:t>
                  </w:r>
                </w:p>
              </w:tc>
              <w:tc>
                <w:tcPr>
                  <w:tcW w:w="416" w:type="pct"/>
                  <w:tcBorders>
                    <w:right w:val="single" w:color="auto" w:sz="4" w:space="0"/>
                  </w:tcBorders>
                  <w:noWrap w:val="0"/>
                  <w:vAlign w:val="center"/>
                </w:tcPr>
                <w:p w14:paraId="16164326">
                  <w:pPr>
                    <w:adjustRightInd w:val="0"/>
                    <w:snapToGrid w:val="0"/>
                    <w:jc w:val="center"/>
                    <w:rPr>
                      <w:snapToGrid w:val="0"/>
                      <w:color w:val="auto"/>
                      <w:kern w:val="0"/>
                      <w:szCs w:val="21"/>
                    </w:rPr>
                  </w:pPr>
                  <w:r>
                    <w:rPr>
                      <w:color w:val="auto"/>
                      <w:szCs w:val="21"/>
                    </w:rPr>
                    <w:t>废水</w:t>
                  </w:r>
                </w:p>
              </w:tc>
              <w:tc>
                <w:tcPr>
                  <w:tcW w:w="1520" w:type="pct"/>
                  <w:tcBorders>
                    <w:left w:val="single" w:color="auto" w:sz="4" w:space="0"/>
                  </w:tcBorders>
                  <w:noWrap w:val="0"/>
                  <w:vAlign w:val="center"/>
                </w:tcPr>
                <w:p w14:paraId="3F7BA50C">
                  <w:pPr>
                    <w:adjustRightInd w:val="0"/>
                    <w:snapToGrid w:val="0"/>
                    <w:jc w:val="left"/>
                    <w:rPr>
                      <w:rFonts w:hint="eastAsia" w:eastAsia="宋体"/>
                      <w:snapToGrid w:val="0"/>
                      <w:color w:val="auto"/>
                      <w:kern w:val="0"/>
                      <w:szCs w:val="21"/>
                      <w:lang w:eastAsia="zh-CN"/>
                    </w:rPr>
                  </w:pPr>
                  <w:r>
                    <w:rPr>
                      <w:color w:val="auto"/>
                      <w:szCs w:val="21"/>
                      <w:lang w:val="zh-CN"/>
                    </w:rPr>
                    <w:t>项目实行雨污分流，雨水经收集后直接排入市政雨水管网。项目污水</w:t>
                  </w:r>
                  <w:r>
                    <w:rPr>
                      <w:rFonts w:hint="eastAsia"/>
                      <w:color w:val="auto"/>
                      <w:szCs w:val="21"/>
                    </w:rPr>
                    <w:t>经污水处理</w:t>
                  </w:r>
                  <w:r>
                    <w:rPr>
                      <w:rFonts w:hint="eastAsia"/>
                      <w:color w:val="auto"/>
                      <w:szCs w:val="21"/>
                      <w:lang w:val="zh-CN"/>
                    </w:rPr>
                    <w:t>（</w:t>
                  </w:r>
                  <w:r>
                    <w:rPr>
                      <w:color w:val="auto"/>
                      <w:szCs w:val="21"/>
                      <w:lang w:val="zh-CN"/>
                    </w:rPr>
                    <w:t>日处理量</w:t>
                  </w:r>
                  <w:r>
                    <w:rPr>
                      <w:rFonts w:hint="eastAsia"/>
                      <w:color w:val="auto"/>
                      <w:szCs w:val="21"/>
                      <w:lang w:val="en-US" w:eastAsia="zh-CN"/>
                    </w:rPr>
                    <w:t>85</w:t>
                  </w:r>
                  <w:r>
                    <w:rPr>
                      <w:rFonts w:hint="eastAsia"/>
                      <w:color w:val="auto"/>
                      <w:szCs w:val="21"/>
                      <w:lang w:eastAsia="zh-CN"/>
                    </w:rPr>
                    <w:t>m</w:t>
                  </w:r>
                  <w:r>
                    <w:rPr>
                      <w:color w:val="auto"/>
                      <w:szCs w:val="21"/>
                      <w:vertAlign w:val="superscript"/>
                    </w:rPr>
                    <w:t>3</w:t>
                  </w:r>
                  <w:r>
                    <w:rPr>
                      <w:color w:val="auto"/>
                      <w:szCs w:val="21"/>
                    </w:rPr>
                    <w:t>/d</w:t>
                  </w:r>
                  <w:r>
                    <w:rPr>
                      <w:rFonts w:hint="eastAsia"/>
                      <w:color w:val="auto"/>
                      <w:szCs w:val="21"/>
                      <w:lang w:val="zh-CN"/>
                    </w:rPr>
                    <w:t>）</w:t>
                  </w:r>
                  <w:r>
                    <w:rPr>
                      <w:color w:val="auto"/>
                      <w:szCs w:val="21"/>
                      <w:lang w:val="zh-CN"/>
                    </w:rPr>
                    <w:t>，</w:t>
                  </w:r>
                  <w:r>
                    <w:rPr>
                      <w:color w:val="auto"/>
                      <w:szCs w:val="21"/>
                    </w:rPr>
                    <w:t>污水处理站工艺流程为“</w:t>
                  </w:r>
                  <w:r>
                    <w:rPr>
                      <w:rFonts w:hint="eastAsia"/>
                      <w:color w:val="auto"/>
                      <w:szCs w:val="21"/>
                      <w:lang w:val="en-US" w:eastAsia="zh-CN"/>
                    </w:rPr>
                    <w:t>调节池+厌氧水解+接触氧化+沉淀</w:t>
                  </w:r>
                  <w:r>
                    <w:rPr>
                      <w:rFonts w:hint="eastAsia"/>
                      <w:color w:val="auto"/>
                      <w:szCs w:val="21"/>
                      <w:lang w:eastAsia="zh-CN"/>
                    </w:rPr>
                    <w:t>+次氯酸钠消毒</w:t>
                  </w:r>
                  <w:r>
                    <w:rPr>
                      <w:color w:val="auto"/>
                      <w:szCs w:val="21"/>
                    </w:rPr>
                    <w:t>”，</w:t>
                  </w:r>
                  <w:r>
                    <w:rPr>
                      <w:color w:val="auto"/>
                      <w:szCs w:val="21"/>
                      <w:lang w:val="zh-CN"/>
                    </w:rPr>
                    <w:t>污水处理后接入市政污水管网后进入</w:t>
                  </w:r>
                  <w:r>
                    <w:rPr>
                      <w:rFonts w:hint="eastAsia"/>
                      <w:color w:val="auto"/>
                      <w:szCs w:val="21"/>
                      <w:lang w:val="zh-CN"/>
                    </w:rPr>
                    <w:t>鸡冠石污水处理厂</w:t>
                  </w:r>
                  <w:r>
                    <w:rPr>
                      <w:color w:val="auto"/>
                      <w:szCs w:val="21"/>
                    </w:rPr>
                    <w:t>深度处理达《城镇污水处理厂排放标准》（GB18918-2002）一级A标后排入</w:t>
                  </w:r>
                  <w:r>
                    <w:rPr>
                      <w:rFonts w:hint="eastAsia"/>
                      <w:color w:val="auto"/>
                      <w:szCs w:val="21"/>
                      <w:lang w:val="en-US" w:eastAsia="zh-CN"/>
                    </w:rPr>
                    <w:t>长江</w:t>
                  </w:r>
                  <w:r>
                    <w:rPr>
                      <w:color w:val="auto"/>
                      <w:szCs w:val="21"/>
                    </w:rPr>
                    <w:t>。</w:t>
                  </w:r>
                </w:p>
              </w:tc>
              <w:tc>
                <w:tcPr>
                  <w:tcW w:w="1385" w:type="pct"/>
                  <w:tcBorders>
                    <w:left w:val="single" w:color="auto" w:sz="4" w:space="0"/>
                  </w:tcBorders>
                  <w:noWrap w:val="0"/>
                  <w:vAlign w:val="center"/>
                </w:tcPr>
                <w:p w14:paraId="73C86ABC">
                  <w:pPr>
                    <w:adjustRightInd w:val="0"/>
                    <w:snapToGrid w:val="0"/>
                    <w:jc w:val="left"/>
                    <w:rPr>
                      <w:b/>
                      <w:bCs/>
                      <w:color w:val="auto"/>
                      <w:szCs w:val="21"/>
                    </w:rPr>
                  </w:pPr>
                  <w:r>
                    <w:rPr>
                      <w:rFonts w:hint="eastAsia"/>
                      <w:snapToGrid w:val="0"/>
                      <w:color w:val="auto"/>
                      <w:kern w:val="0"/>
                      <w:szCs w:val="21"/>
                    </w:rPr>
                    <w:t>将现有污水处理站进行扩建，</w:t>
                  </w:r>
                  <w:r>
                    <w:rPr>
                      <w:color w:val="auto"/>
                      <w:szCs w:val="21"/>
                    </w:rPr>
                    <w:t>污水处理站工艺流程为“</w:t>
                  </w:r>
                  <w:r>
                    <w:rPr>
                      <w:rFonts w:hint="eastAsia"/>
                      <w:color w:val="auto"/>
                      <w:szCs w:val="21"/>
                      <w:lang w:val="en-US" w:eastAsia="zh-CN"/>
                    </w:rPr>
                    <w:t>调节池+厌氧水解+接触氧化+沉淀</w:t>
                  </w:r>
                  <w:r>
                    <w:rPr>
                      <w:rFonts w:hint="eastAsia"/>
                      <w:color w:val="auto"/>
                      <w:szCs w:val="21"/>
                      <w:lang w:eastAsia="zh-CN"/>
                    </w:rPr>
                    <w:t>+次氯酸钠消毒</w:t>
                  </w:r>
                  <w:r>
                    <w:rPr>
                      <w:color w:val="auto"/>
                      <w:szCs w:val="21"/>
                    </w:rPr>
                    <w:t>”，</w:t>
                  </w:r>
                  <w:r>
                    <w:rPr>
                      <w:rFonts w:hint="default"/>
                      <w:color w:val="auto"/>
                      <w:kern w:val="0"/>
                      <w:szCs w:val="21"/>
                      <w:lang w:val="en-US" w:eastAsia="zh-CN"/>
                    </w:rPr>
                    <w:t>将原有厌氧池、好氧池、</w:t>
                  </w:r>
                  <w:r>
                    <w:rPr>
                      <w:rFonts w:hint="eastAsia"/>
                      <w:color w:val="auto"/>
                      <w:szCs w:val="21"/>
                      <w:lang w:val="en-US" w:eastAsia="zh-CN"/>
                    </w:rPr>
                    <w:t>沉淀</w:t>
                  </w:r>
                  <w:r>
                    <w:rPr>
                      <w:rFonts w:hint="default"/>
                      <w:color w:val="auto"/>
                      <w:kern w:val="0"/>
                      <w:szCs w:val="21"/>
                      <w:lang w:val="en-US" w:eastAsia="zh-CN"/>
                    </w:rPr>
                    <w:t>池</w:t>
                  </w:r>
                  <w:r>
                    <w:rPr>
                      <w:rFonts w:hint="eastAsia"/>
                      <w:color w:val="auto"/>
                      <w:kern w:val="0"/>
                      <w:szCs w:val="21"/>
                      <w:lang w:val="en-US" w:eastAsia="zh-CN"/>
                    </w:rPr>
                    <w:t>进行扩容。</w:t>
                  </w:r>
                  <w:r>
                    <w:rPr>
                      <w:color w:val="auto"/>
                      <w:szCs w:val="21"/>
                    </w:rPr>
                    <w:t>污水</w:t>
                  </w:r>
                  <w:r>
                    <w:rPr>
                      <w:color w:val="auto"/>
                      <w:kern w:val="0"/>
                      <w:szCs w:val="21"/>
                    </w:rPr>
                    <w:t>处理能力</w:t>
                  </w:r>
                  <w:r>
                    <w:rPr>
                      <w:rFonts w:hint="eastAsia"/>
                      <w:color w:val="auto"/>
                      <w:kern w:val="0"/>
                      <w:szCs w:val="21"/>
                    </w:rPr>
                    <w:t>扩建</w:t>
                  </w:r>
                  <w:r>
                    <w:rPr>
                      <w:color w:val="auto"/>
                      <w:kern w:val="0"/>
                      <w:szCs w:val="21"/>
                    </w:rPr>
                    <w:t>为</w:t>
                  </w:r>
                  <w:r>
                    <w:rPr>
                      <w:rFonts w:hint="eastAsia"/>
                      <w:color w:val="auto"/>
                      <w:kern w:val="0"/>
                      <w:szCs w:val="21"/>
                      <w:lang w:val="en-US" w:eastAsia="zh-CN"/>
                    </w:rPr>
                    <w:t>110</w:t>
                  </w:r>
                  <w:r>
                    <w:rPr>
                      <w:color w:val="auto"/>
                      <w:kern w:val="0"/>
                      <w:szCs w:val="21"/>
                    </w:rPr>
                    <w:t>m</w:t>
                  </w:r>
                  <w:r>
                    <w:rPr>
                      <w:color w:val="auto"/>
                      <w:kern w:val="0"/>
                      <w:szCs w:val="21"/>
                      <w:vertAlign w:val="superscript"/>
                    </w:rPr>
                    <w:t>3</w:t>
                  </w:r>
                  <w:r>
                    <w:rPr>
                      <w:color w:val="auto"/>
                      <w:kern w:val="0"/>
                      <w:szCs w:val="21"/>
                    </w:rPr>
                    <w:t>/d。</w:t>
                  </w:r>
                </w:p>
              </w:tc>
              <w:tc>
                <w:tcPr>
                  <w:tcW w:w="1408" w:type="pct"/>
                  <w:tcBorders>
                    <w:left w:val="single" w:color="auto" w:sz="4" w:space="0"/>
                  </w:tcBorders>
                  <w:noWrap w:val="0"/>
                  <w:vAlign w:val="center"/>
                </w:tcPr>
                <w:p w14:paraId="51E8DECD">
                  <w:pPr>
                    <w:adjustRightInd w:val="0"/>
                    <w:snapToGrid w:val="0"/>
                    <w:jc w:val="center"/>
                    <w:rPr>
                      <w:b/>
                      <w:bCs/>
                      <w:color w:val="auto"/>
                      <w:szCs w:val="21"/>
                    </w:rPr>
                  </w:pPr>
                  <w:r>
                    <w:rPr>
                      <w:color w:val="auto"/>
                      <w:szCs w:val="21"/>
                      <w:lang w:val="zh-CN"/>
                    </w:rPr>
                    <w:t>项目实行雨污分流，雨水经收集后直接排入市政雨水管网。</w:t>
                  </w:r>
                  <w:r>
                    <w:rPr>
                      <w:rFonts w:hint="eastAsia"/>
                      <w:color w:val="auto"/>
                      <w:szCs w:val="21"/>
                      <w:lang w:val="en-US" w:eastAsia="zh-CN"/>
                    </w:rPr>
                    <w:t>项目污水经</w:t>
                  </w:r>
                  <w:r>
                    <w:rPr>
                      <w:color w:val="auto"/>
                      <w:szCs w:val="21"/>
                      <w:lang w:val="zh-CN"/>
                    </w:rPr>
                    <w:t>污水</w:t>
                  </w:r>
                  <w:r>
                    <w:rPr>
                      <w:rFonts w:hint="eastAsia"/>
                      <w:color w:val="auto"/>
                      <w:szCs w:val="21"/>
                    </w:rPr>
                    <w:t>处理</w:t>
                  </w:r>
                  <w:r>
                    <w:rPr>
                      <w:rFonts w:hint="eastAsia"/>
                      <w:color w:val="auto"/>
                      <w:szCs w:val="21"/>
                      <w:lang w:val="en-US" w:eastAsia="zh-CN"/>
                    </w:rPr>
                    <w:t>站</w:t>
                  </w:r>
                  <w:r>
                    <w:rPr>
                      <w:color w:val="auto"/>
                      <w:szCs w:val="21"/>
                      <w:lang w:val="zh-CN"/>
                    </w:rPr>
                    <w:t>处理后接入市政污水管网后进入</w:t>
                  </w:r>
                  <w:r>
                    <w:rPr>
                      <w:rFonts w:hint="eastAsia"/>
                      <w:color w:val="auto"/>
                      <w:szCs w:val="21"/>
                      <w:lang w:val="zh-CN"/>
                    </w:rPr>
                    <w:t>鸡冠石污水处理厂</w:t>
                  </w:r>
                  <w:r>
                    <w:rPr>
                      <w:color w:val="auto"/>
                      <w:szCs w:val="21"/>
                    </w:rPr>
                    <w:t>深度处理达《城镇污水处理厂排放标准》（GB18918-2002）一级A标后排入</w:t>
                  </w:r>
                  <w:r>
                    <w:rPr>
                      <w:rFonts w:hint="eastAsia"/>
                      <w:color w:val="auto"/>
                      <w:szCs w:val="21"/>
                      <w:lang w:val="en-US" w:eastAsia="zh-CN"/>
                    </w:rPr>
                    <w:t>长江</w:t>
                  </w:r>
                  <w:r>
                    <w:rPr>
                      <w:color w:val="auto"/>
                      <w:szCs w:val="21"/>
                    </w:rPr>
                    <w:t>。</w:t>
                  </w:r>
                </w:p>
              </w:tc>
            </w:tr>
            <w:tr w14:paraId="50CC89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40F2AFA5">
                  <w:pPr>
                    <w:jc w:val="center"/>
                    <w:rPr>
                      <w:color w:val="auto"/>
                      <w:szCs w:val="21"/>
                    </w:rPr>
                  </w:pPr>
                </w:p>
              </w:tc>
              <w:tc>
                <w:tcPr>
                  <w:tcW w:w="416" w:type="pct"/>
                  <w:vMerge w:val="restart"/>
                  <w:tcBorders>
                    <w:right w:val="single" w:color="auto" w:sz="4" w:space="0"/>
                  </w:tcBorders>
                  <w:noWrap w:val="0"/>
                  <w:vAlign w:val="center"/>
                </w:tcPr>
                <w:p w14:paraId="6D265FF4">
                  <w:pPr>
                    <w:adjustRightInd w:val="0"/>
                    <w:snapToGrid w:val="0"/>
                    <w:jc w:val="center"/>
                    <w:rPr>
                      <w:color w:val="auto"/>
                      <w:szCs w:val="21"/>
                    </w:rPr>
                  </w:pPr>
                  <w:r>
                    <w:rPr>
                      <w:color w:val="auto"/>
                      <w:szCs w:val="21"/>
                    </w:rPr>
                    <w:t>废气</w:t>
                  </w:r>
                </w:p>
              </w:tc>
              <w:tc>
                <w:tcPr>
                  <w:tcW w:w="1520" w:type="pct"/>
                  <w:tcBorders>
                    <w:left w:val="single" w:color="auto" w:sz="4" w:space="0"/>
                  </w:tcBorders>
                  <w:noWrap w:val="0"/>
                  <w:vAlign w:val="center"/>
                </w:tcPr>
                <w:p w14:paraId="478AD2A0">
                  <w:pPr>
                    <w:adjustRightInd w:val="0"/>
                    <w:snapToGrid w:val="0"/>
                    <w:jc w:val="left"/>
                    <w:rPr>
                      <w:b/>
                      <w:bCs/>
                      <w:color w:val="auto"/>
                      <w:szCs w:val="21"/>
                    </w:rPr>
                  </w:pPr>
                  <w:r>
                    <w:rPr>
                      <w:b w:val="0"/>
                      <w:bCs w:val="0"/>
                      <w:color w:val="auto"/>
                      <w:szCs w:val="21"/>
                    </w:rPr>
                    <w:t>污水处理站废气</w:t>
                  </w:r>
                  <w:r>
                    <w:rPr>
                      <w:color w:val="auto"/>
                      <w:szCs w:val="21"/>
                    </w:rPr>
                    <w:t>：污水处理工艺池置于地下并密闭，</w:t>
                  </w:r>
                  <w:r>
                    <w:rPr>
                      <w:rFonts w:hint="eastAsia"/>
                      <w:color w:val="auto"/>
                      <w:szCs w:val="21"/>
                      <w:lang w:val="en-US" w:eastAsia="zh-CN"/>
                    </w:rPr>
                    <w:t>经</w:t>
                  </w:r>
                  <w:r>
                    <w:rPr>
                      <w:color w:val="auto"/>
                      <w:szCs w:val="21"/>
                    </w:rPr>
                    <w:t>废气</w:t>
                  </w:r>
                  <w:r>
                    <w:rPr>
                      <w:rFonts w:hint="eastAsia"/>
                      <w:color w:val="auto"/>
                      <w:szCs w:val="21"/>
                    </w:rPr>
                    <w:t>专用</w:t>
                  </w:r>
                  <w:r>
                    <w:rPr>
                      <w:color w:val="auto"/>
                      <w:szCs w:val="21"/>
                    </w:rPr>
                    <w:t>管道</w:t>
                  </w:r>
                  <w:r>
                    <w:rPr>
                      <w:rFonts w:hint="eastAsia"/>
                      <w:color w:val="auto"/>
                      <w:szCs w:val="21"/>
                      <w:lang w:val="en-US" w:eastAsia="zh-CN"/>
                    </w:rPr>
                    <w:t>引至绿化带</w:t>
                  </w:r>
                  <w:r>
                    <w:rPr>
                      <w:color w:val="auto"/>
                      <w:szCs w:val="21"/>
                    </w:rPr>
                    <w:t>排放；</w:t>
                  </w:r>
                </w:p>
              </w:tc>
              <w:tc>
                <w:tcPr>
                  <w:tcW w:w="1385" w:type="pct"/>
                  <w:tcBorders>
                    <w:left w:val="single" w:color="auto" w:sz="4" w:space="0"/>
                  </w:tcBorders>
                  <w:noWrap w:val="0"/>
                  <w:vAlign w:val="center"/>
                </w:tcPr>
                <w:p w14:paraId="5C93ADC1">
                  <w:pPr>
                    <w:adjustRightInd w:val="0"/>
                    <w:snapToGrid w:val="0"/>
                    <w:jc w:val="left"/>
                    <w:rPr>
                      <w:rFonts w:hint="default" w:ascii="Times New Roman" w:hAnsi="Times New Roman" w:eastAsia="宋体" w:cs="Times New Roman"/>
                      <w:b/>
                      <w:bCs/>
                      <w:color w:val="auto"/>
                      <w:kern w:val="2"/>
                      <w:sz w:val="21"/>
                      <w:szCs w:val="21"/>
                      <w:lang w:val="en-US" w:eastAsia="zh-CN" w:bidi="ar-SA"/>
                    </w:rPr>
                  </w:pPr>
                  <w:r>
                    <w:rPr>
                      <w:rFonts w:hint="eastAsia" w:cs="Times New Roman"/>
                      <w:b w:val="0"/>
                      <w:bCs w:val="0"/>
                      <w:color w:val="auto"/>
                      <w:kern w:val="2"/>
                      <w:sz w:val="21"/>
                      <w:szCs w:val="21"/>
                      <w:lang w:val="en-US" w:eastAsia="zh-CN" w:bidi="ar-SA"/>
                    </w:rPr>
                    <w:t>新增活性炭吸附措施</w:t>
                  </w:r>
                </w:p>
              </w:tc>
              <w:tc>
                <w:tcPr>
                  <w:tcW w:w="1408" w:type="pct"/>
                  <w:tcBorders>
                    <w:left w:val="single" w:color="auto" w:sz="4" w:space="0"/>
                  </w:tcBorders>
                  <w:noWrap w:val="0"/>
                  <w:vAlign w:val="center"/>
                </w:tcPr>
                <w:p w14:paraId="25838A50">
                  <w:pPr>
                    <w:adjustRightInd w:val="0"/>
                    <w:snapToGrid w:val="0"/>
                    <w:jc w:val="center"/>
                    <w:rPr>
                      <w:b/>
                      <w:bCs/>
                      <w:color w:val="auto"/>
                      <w:szCs w:val="21"/>
                    </w:rPr>
                  </w:pPr>
                  <w:r>
                    <w:rPr>
                      <w:color w:val="auto"/>
                      <w:szCs w:val="21"/>
                    </w:rPr>
                    <w:t>污水处理工艺池置于地下并密闭，</w:t>
                  </w:r>
                  <w:r>
                    <w:rPr>
                      <w:rFonts w:hint="eastAsia"/>
                      <w:color w:val="auto"/>
                      <w:szCs w:val="21"/>
                      <w:lang w:val="en-US" w:eastAsia="zh-CN"/>
                    </w:rPr>
                    <w:t>臭气</w:t>
                  </w:r>
                  <w:r>
                    <w:rPr>
                      <w:rFonts w:hint="eastAsia"/>
                      <w:color w:val="auto"/>
                      <w:szCs w:val="21"/>
                    </w:rPr>
                    <w:t>经</w:t>
                  </w:r>
                  <w:r>
                    <w:rPr>
                      <w:color w:val="auto"/>
                      <w:szCs w:val="21"/>
                    </w:rPr>
                    <w:t>活性炭吸附装置处理</w:t>
                  </w:r>
                  <w:r>
                    <w:rPr>
                      <w:rFonts w:hint="eastAsia"/>
                      <w:color w:val="auto"/>
                      <w:szCs w:val="21"/>
                      <w:lang w:val="en-US" w:eastAsia="zh-CN"/>
                    </w:rPr>
                    <w:t>引至绿化带</w:t>
                  </w:r>
                  <w:r>
                    <w:rPr>
                      <w:color w:val="auto"/>
                      <w:szCs w:val="21"/>
                    </w:rPr>
                    <w:t>排放；</w:t>
                  </w:r>
                </w:p>
              </w:tc>
            </w:tr>
            <w:tr w14:paraId="34BC3E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7BAFAD3F">
                  <w:pPr>
                    <w:jc w:val="center"/>
                    <w:rPr>
                      <w:color w:val="auto"/>
                      <w:szCs w:val="21"/>
                    </w:rPr>
                  </w:pPr>
                </w:p>
              </w:tc>
              <w:tc>
                <w:tcPr>
                  <w:tcW w:w="416" w:type="pct"/>
                  <w:vMerge w:val="continue"/>
                  <w:tcBorders>
                    <w:right w:val="single" w:color="auto" w:sz="4" w:space="0"/>
                  </w:tcBorders>
                  <w:noWrap w:val="0"/>
                  <w:vAlign w:val="center"/>
                </w:tcPr>
                <w:p w14:paraId="3DDD86A2">
                  <w:pPr>
                    <w:adjustRightInd w:val="0"/>
                    <w:snapToGrid w:val="0"/>
                    <w:jc w:val="center"/>
                    <w:rPr>
                      <w:color w:val="auto"/>
                      <w:szCs w:val="21"/>
                    </w:rPr>
                  </w:pPr>
                </w:p>
              </w:tc>
              <w:tc>
                <w:tcPr>
                  <w:tcW w:w="1520" w:type="pct"/>
                  <w:tcBorders>
                    <w:left w:val="single" w:color="auto" w:sz="4" w:space="0"/>
                  </w:tcBorders>
                  <w:noWrap w:val="0"/>
                  <w:vAlign w:val="center"/>
                </w:tcPr>
                <w:p w14:paraId="0A0C984A">
                  <w:pPr>
                    <w:adjustRightInd w:val="0"/>
                    <w:snapToGrid w:val="0"/>
                    <w:jc w:val="left"/>
                    <w:rPr>
                      <w:b/>
                      <w:bCs/>
                      <w:color w:val="auto"/>
                      <w:szCs w:val="21"/>
                    </w:rPr>
                  </w:pPr>
                  <w:r>
                    <w:rPr>
                      <w:b/>
                      <w:bCs/>
                      <w:color w:val="auto"/>
                      <w:szCs w:val="21"/>
                    </w:rPr>
                    <w:t>医疗废物暂存间</w:t>
                  </w:r>
                  <w:r>
                    <w:rPr>
                      <w:rFonts w:hint="eastAsia"/>
                      <w:b/>
                      <w:bCs/>
                      <w:color w:val="auto"/>
                      <w:szCs w:val="21"/>
                    </w:rPr>
                    <w:t>臭气</w:t>
                  </w:r>
                  <w:r>
                    <w:rPr>
                      <w:b/>
                      <w:bCs/>
                      <w:color w:val="auto"/>
                      <w:szCs w:val="21"/>
                    </w:rPr>
                    <w:t>：</w:t>
                  </w:r>
                  <w:r>
                    <w:rPr>
                      <w:color w:val="auto"/>
                      <w:szCs w:val="21"/>
                    </w:rPr>
                    <w:t>通过</w:t>
                  </w:r>
                  <w:r>
                    <w:rPr>
                      <w:rFonts w:hint="eastAsia"/>
                      <w:color w:val="auto"/>
                      <w:szCs w:val="21"/>
                    </w:rPr>
                    <w:t>风扇排风</w:t>
                  </w:r>
                  <w:r>
                    <w:rPr>
                      <w:color w:val="auto"/>
                      <w:szCs w:val="21"/>
                    </w:rPr>
                    <w:t>系统排放；</w:t>
                  </w:r>
                </w:p>
              </w:tc>
              <w:tc>
                <w:tcPr>
                  <w:tcW w:w="1385" w:type="pct"/>
                  <w:tcBorders>
                    <w:left w:val="single" w:color="auto" w:sz="4" w:space="0"/>
                  </w:tcBorders>
                  <w:noWrap w:val="0"/>
                  <w:vAlign w:val="center"/>
                </w:tcPr>
                <w:p w14:paraId="0B6822A7">
                  <w:pPr>
                    <w:adjustRightInd w:val="0"/>
                    <w:snapToGrid w:val="0"/>
                    <w:jc w:val="center"/>
                    <w:rPr>
                      <w:rFonts w:ascii="Times New Roman" w:hAnsi="Times New Roman" w:eastAsia="宋体" w:cs="Times New Roman"/>
                      <w:b/>
                      <w:bCs/>
                      <w:color w:val="auto"/>
                      <w:kern w:val="2"/>
                      <w:sz w:val="21"/>
                      <w:szCs w:val="21"/>
                      <w:lang w:val="en-US" w:eastAsia="zh-CN" w:bidi="ar-SA"/>
                    </w:rPr>
                  </w:pPr>
                  <w:r>
                    <w:rPr>
                      <w:rFonts w:hint="eastAsia"/>
                      <w:color w:val="auto"/>
                      <w:lang w:val="en-US" w:eastAsia="zh-CN"/>
                    </w:rPr>
                    <w:t>未变化</w:t>
                  </w:r>
                </w:p>
              </w:tc>
              <w:tc>
                <w:tcPr>
                  <w:tcW w:w="1408" w:type="pct"/>
                  <w:tcBorders>
                    <w:left w:val="single" w:color="auto" w:sz="4" w:space="0"/>
                  </w:tcBorders>
                  <w:noWrap w:val="0"/>
                  <w:vAlign w:val="center"/>
                </w:tcPr>
                <w:p w14:paraId="1A8A7F0B">
                  <w:pPr>
                    <w:adjustRightInd w:val="0"/>
                    <w:snapToGrid w:val="0"/>
                    <w:jc w:val="center"/>
                    <w:rPr>
                      <w:b/>
                      <w:bCs/>
                      <w:color w:val="auto"/>
                      <w:szCs w:val="21"/>
                    </w:rPr>
                  </w:pPr>
                  <w:r>
                    <w:rPr>
                      <w:rFonts w:hint="eastAsia" w:ascii="Times New Roman" w:hAnsi="Times New Roman" w:eastAsia="宋体" w:cs="Times New Roman"/>
                      <w:color w:val="auto"/>
                      <w:lang w:val="en-US" w:eastAsia="zh-CN"/>
                    </w:rPr>
                    <w:t>医疗废物暂存间臭气通过风扇排风系统排放。</w:t>
                  </w:r>
                </w:p>
              </w:tc>
            </w:tr>
            <w:tr w14:paraId="7080ED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2839CEB4">
                  <w:pPr>
                    <w:jc w:val="center"/>
                    <w:rPr>
                      <w:color w:val="auto"/>
                      <w:szCs w:val="21"/>
                    </w:rPr>
                  </w:pPr>
                </w:p>
              </w:tc>
              <w:tc>
                <w:tcPr>
                  <w:tcW w:w="416" w:type="pct"/>
                  <w:vMerge w:val="continue"/>
                  <w:tcBorders>
                    <w:right w:val="single" w:color="auto" w:sz="4" w:space="0"/>
                  </w:tcBorders>
                  <w:noWrap w:val="0"/>
                  <w:vAlign w:val="center"/>
                </w:tcPr>
                <w:p w14:paraId="31CD93D5">
                  <w:pPr>
                    <w:adjustRightInd w:val="0"/>
                    <w:snapToGrid w:val="0"/>
                    <w:jc w:val="center"/>
                    <w:rPr>
                      <w:snapToGrid w:val="0"/>
                      <w:color w:val="auto"/>
                      <w:kern w:val="0"/>
                      <w:szCs w:val="21"/>
                    </w:rPr>
                  </w:pPr>
                </w:p>
              </w:tc>
              <w:tc>
                <w:tcPr>
                  <w:tcW w:w="1520" w:type="pct"/>
                  <w:tcBorders>
                    <w:left w:val="single" w:color="auto" w:sz="4" w:space="0"/>
                  </w:tcBorders>
                  <w:noWrap w:val="0"/>
                  <w:vAlign w:val="center"/>
                </w:tcPr>
                <w:p w14:paraId="4D450C78">
                  <w:pPr>
                    <w:adjustRightInd w:val="0"/>
                    <w:snapToGrid w:val="0"/>
                    <w:jc w:val="both"/>
                    <w:rPr>
                      <w:snapToGrid w:val="0"/>
                      <w:color w:val="auto"/>
                      <w:kern w:val="0"/>
                      <w:szCs w:val="21"/>
                    </w:rPr>
                  </w:pPr>
                  <w:r>
                    <w:rPr>
                      <w:b/>
                      <w:bCs/>
                      <w:color w:val="auto"/>
                      <w:szCs w:val="21"/>
                    </w:rPr>
                    <w:t>病房等异味：</w:t>
                  </w:r>
                  <w:r>
                    <w:rPr>
                      <w:color w:val="auto"/>
                      <w:szCs w:val="21"/>
                    </w:rPr>
                    <w:t>采用84消毒液或消毒机消毒，经</w:t>
                  </w:r>
                  <w:r>
                    <w:rPr>
                      <w:rFonts w:hint="eastAsia"/>
                      <w:color w:val="auto"/>
                      <w:szCs w:val="21"/>
                    </w:rPr>
                    <w:t>空调</w:t>
                  </w:r>
                  <w:r>
                    <w:rPr>
                      <w:color w:val="auto"/>
                      <w:szCs w:val="21"/>
                    </w:rPr>
                    <w:t>系统</w:t>
                  </w:r>
                  <w:r>
                    <w:rPr>
                      <w:rFonts w:hint="eastAsia"/>
                      <w:color w:val="auto"/>
                      <w:szCs w:val="21"/>
                    </w:rPr>
                    <w:t>换风</w:t>
                  </w:r>
                  <w:r>
                    <w:rPr>
                      <w:color w:val="auto"/>
                      <w:szCs w:val="21"/>
                    </w:rPr>
                    <w:t>排放；</w:t>
                  </w:r>
                </w:p>
              </w:tc>
              <w:tc>
                <w:tcPr>
                  <w:tcW w:w="1385" w:type="pct"/>
                  <w:tcBorders>
                    <w:left w:val="single" w:color="auto" w:sz="4" w:space="0"/>
                  </w:tcBorders>
                  <w:noWrap w:val="0"/>
                  <w:vAlign w:val="center"/>
                </w:tcPr>
                <w:p w14:paraId="28731374">
                  <w:pPr>
                    <w:adjustRightInd w:val="0"/>
                    <w:snapToGrid w:val="0"/>
                    <w:jc w:val="center"/>
                    <w:rPr>
                      <w:rFonts w:ascii="Times New Roman" w:hAnsi="Times New Roman" w:eastAsia="宋体" w:cs="Times New Roman"/>
                      <w:b/>
                      <w:bCs/>
                      <w:color w:val="auto"/>
                      <w:kern w:val="2"/>
                      <w:sz w:val="21"/>
                      <w:szCs w:val="21"/>
                      <w:lang w:val="en-US" w:eastAsia="zh-CN" w:bidi="ar-SA"/>
                    </w:rPr>
                  </w:pPr>
                  <w:r>
                    <w:rPr>
                      <w:rFonts w:hint="eastAsia"/>
                      <w:color w:val="auto"/>
                      <w:lang w:val="en-US" w:eastAsia="zh-CN"/>
                    </w:rPr>
                    <w:t>未变化</w:t>
                  </w:r>
                </w:p>
              </w:tc>
              <w:tc>
                <w:tcPr>
                  <w:tcW w:w="1408" w:type="pct"/>
                  <w:tcBorders>
                    <w:left w:val="single" w:color="auto" w:sz="4" w:space="0"/>
                  </w:tcBorders>
                  <w:noWrap w:val="0"/>
                  <w:vAlign w:val="center"/>
                </w:tcPr>
                <w:p w14:paraId="39680CD6">
                  <w:pPr>
                    <w:adjustRightInd w:val="0"/>
                    <w:snapToGrid w:val="0"/>
                    <w:jc w:val="center"/>
                    <w:rPr>
                      <w:b/>
                      <w:bCs/>
                      <w:color w:val="auto"/>
                      <w:szCs w:val="21"/>
                    </w:rPr>
                  </w:pPr>
                  <w:r>
                    <w:rPr>
                      <w:b w:val="0"/>
                      <w:bCs w:val="0"/>
                      <w:color w:val="auto"/>
                      <w:szCs w:val="21"/>
                    </w:rPr>
                    <w:t>病房等异味</w:t>
                  </w:r>
                  <w:r>
                    <w:rPr>
                      <w:color w:val="auto"/>
                      <w:szCs w:val="21"/>
                    </w:rPr>
                    <w:t>采用84消毒液或消毒机消毒，经</w:t>
                  </w:r>
                  <w:r>
                    <w:rPr>
                      <w:rFonts w:hint="eastAsia"/>
                      <w:color w:val="auto"/>
                      <w:szCs w:val="21"/>
                    </w:rPr>
                    <w:t>空调</w:t>
                  </w:r>
                  <w:r>
                    <w:rPr>
                      <w:color w:val="auto"/>
                      <w:szCs w:val="21"/>
                    </w:rPr>
                    <w:t>系统</w:t>
                  </w:r>
                  <w:r>
                    <w:rPr>
                      <w:rFonts w:hint="eastAsia"/>
                      <w:color w:val="auto"/>
                      <w:szCs w:val="21"/>
                    </w:rPr>
                    <w:t>换风</w:t>
                  </w:r>
                  <w:r>
                    <w:rPr>
                      <w:color w:val="auto"/>
                      <w:szCs w:val="21"/>
                    </w:rPr>
                    <w:t>排放；</w:t>
                  </w:r>
                </w:p>
              </w:tc>
            </w:tr>
            <w:tr w14:paraId="06C5CB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0C965794">
                  <w:pPr>
                    <w:jc w:val="center"/>
                    <w:rPr>
                      <w:color w:val="auto"/>
                      <w:szCs w:val="21"/>
                    </w:rPr>
                  </w:pPr>
                </w:p>
              </w:tc>
              <w:tc>
                <w:tcPr>
                  <w:tcW w:w="416" w:type="pct"/>
                  <w:vMerge w:val="restart"/>
                  <w:tcBorders>
                    <w:right w:val="single" w:color="auto" w:sz="4" w:space="0"/>
                  </w:tcBorders>
                  <w:noWrap w:val="0"/>
                  <w:vAlign w:val="center"/>
                </w:tcPr>
                <w:p w14:paraId="1D0BF127">
                  <w:pPr>
                    <w:adjustRightInd w:val="0"/>
                    <w:snapToGrid w:val="0"/>
                    <w:jc w:val="center"/>
                    <w:rPr>
                      <w:rFonts w:hint="eastAsia" w:eastAsia="宋体"/>
                      <w:snapToGrid w:val="0"/>
                      <w:color w:val="auto"/>
                      <w:kern w:val="0"/>
                      <w:szCs w:val="21"/>
                      <w:lang w:val="en-US" w:eastAsia="zh-CN"/>
                    </w:rPr>
                  </w:pPr>
                  <w:r>
                    <w:rPr>
                      <w:rFonts w:hint="eastAsia"/>
                      <w:snapToGrid w:val="0"/>
                      <w:color w:val="auto"/>
                      <w:kern w:val="0"/>
                      <w:szCs w:val="21"/>
                      <w:lang w:val="en-US" w:eastAsia="zh-CN"/>
                    </w:rPr>
                    <w:t>固废</w:t>
                  </w:r>
                </w:p>
              </w:tc>
              <w:tc>
                <w:tcPr>
                  <w:tcW w:w="1520" w:type="pct"/>
                  <w:tcBorders>
                    <w:left w:val="single" w:color="auto" w:sz="4" w:space="0"/>
                  </w:tcBorders>
                  <w:noWrap w:val="0"/>
                  <w:vAlign w:val="center"/>
                </w:tcPr>
                <w:p w14:paraId="4BC11503">
                  <w:pPr>
                    <w:adjustRightInd w:val="0"/>
                    <w:snapToGrid w:val="0"/>
                    <w:jc w:val="left"/>
                    <w:rPr>
                      <w:snapToGrid w:val="0"/>
                      <w:color w:val="auto"/>
                      <w:kern w:val="0"/>
                      <w:szCs w:val="21"/>
                    </w:rPr>
                  </w:pPr>
                  <w:r>
                    <w:rPr>
                      <w:b/>
                      <w:bCs/>
                      <w:color w:val="auto"/>
                      <w:kern w:val="0"/>
                      <w:szCs w:val="21"/>
                    </w:rPr>
                    <w:t>医疗固废暂存间：</w:t>
                  </w:r>
                  <w:r>
                    <w:rPr>
                      <w:color w:val="auto"/>
                      <w:szCs w:val="21"/>
                    </w:rPr>
                    <w:t>建筑面积共计约</w:t>
                  </w:r>
                  <w:r>
                    <w:rPr>
                      <w:rFonts w:hint="eastAsia"/>
                      <w:color w:val="auto"/>
                      <w:szCs w:val="21"/>
                    </w:rPr>
                    <w:t>1</w:t>
                  </w:r>
                  <w:r>
                    <w:rPr>
                      <w:color w:val="auto"/>
                      <w:szCs w:val="21"/>
                    </w:rPr>
                    <w:t>0m</w:t>
                  </w:r>
                  <w:r>
                    <w:rPr>
                      <w:color w:val="auto"/>
                      <w:szCs w:val="21"/>
                      <w:vertAlign w:val="superscript"/>
                    </w:rPr>
                    <w:t>2</w:t>
                  </w:r>
                  <w:r>
                    <w:rPr>
                      <w:color w:val="auto"/>
                      <w:szCs w:val="21"/>
                    </w:rPr>
                    <w:t>，</w:t>
                  </w:r>
                  <w:r>
                    <w:rPr>
                      <w:rFonts w:hint="eastAsia"/>
                      <w:color w:val="auto"/>
                      <w:szCs w:val="21"/>
                    </w:rPr>
                    <w:t>位于</w:t>
                  </w:r>
                  <w:r>
                    <w:rPr>
                      <w:rFonts w:hint="eastAsia"/>
                      <w:color w:val="auto"/>
                      <w:szCs w:val="21"/>
                      <w:lang w:val="en-US" w:eastAsia="zh-CN"/>
                    </w:rPr>
                    <w:t>1</w:t>
                  </w:r>
                  <w:r>
                    <w:rPr>
                      <w:rFonts w:hint="eastAsia"/>
                      <w:color w:val="auto"/>
                      <w:szCs w:val="21"/>
                    </w:rPr>
                    <w:t>F，</w:t>
                  </w:r>
                  <w:r>
                    <w:rPr>
                      <w:rFonts w:hint="eastAsia"/>
                      <w:color w:val="auto"/>
                      <w:szCs w:val="21"/>
                      <w:lang w:val="en-US" w:eastAsia="zh-CN"/>
                    </w:rPr>
                    <w:t>分区暂存医疗废物、特殊废液、废活性炭</w:t>
                  </w:r>
                  <w:r>
                    <w:rPr>
                      <w:color w:val="auto"/>
                      <w:szCs w:val="21"/>
                    </w:rPr>
                    <w:t>区，张贴相应标识标牌，医疗废物暂存间臭气采用排风扇进行抽风换气。</w:t>
                  </w:r>
                </w:p>
              </w:tc>
              <w:tc>
                <w:tcPr>
                  <w:tcW w:w="1385" w:type="pct"/>
                  <w:tcBorders>
                    <w:left w:val="single" w:color="auto" w:sz="4" w:space="0"/>
                  </w:tcBorders>
                  <w:noWrap w:val="0"/>
                  <w:vAlign w:val="center"/>
                </w:tcPr>
                <w:p w14:paraId="7D3CB464">
                  <w:pPr>
                    <w:adjustRightInd w:val="0"/>
                    <w:snapToGrid w:val="0"/>
                    <w:jc w:val="center"/>
                    <w:rPr>
                      <w:rFonts w:ascii="Times New Roman" w:hAnsi="Times New Roman" w:eastAsia="宋体" w:cs="Times New Roman"/>
                      <w:b/>
                      <w:bCs/>
                      <w:color w:val="auto"/>
                      <w:kern w:val="0"/>
                      <w:sz w:val="21"/>
                      <w:szCs w:val="21"/>
                      <w:lang w:val="en-US" w:eastAsia="zh-CN" w:bidi="ar-SA"/>
                    </w:rPr>
                  </w:pPr>
                  <w:r>
                    <w:rPr>
                      <w:rFonts w:hint="eastAsia"/>
                      <w:color w:val="auto"/>
                      <w:lang w:val="en-US" w:eastAsia="zh-CN"/>
                    </w:rPr>
                    <w:t>未变化</w:t>
                  </w:r>
                </w:p>
              </w:tc>
              <w:tc>
                <w:tcPr>
                  <w:tcW w:w="1408" w:type="pct"/>
                  <w:tcBorders>
                    <w:left w:val="single" w:color="auto" w:sz="4" w:space="0"/>
                  </w:tcBorders>
                  <w:noWrap w:val="0"/>
                  <w:vAlign w:val="center"/>
                </w:tcPr>
                <w:p w14:paraId="7AF74E56">
                  <w:pPr>
                    <w:keepNext w:val="0"/>
                    <w:keepLines w:val="0"/>
                    <w:widowControl/>
                    <w:suppressLineNumbers w:val="0"/>
                    <w:jc w:val="center"/>
                    <w:rPr>
                      <w:b/>
                      <w:bCs/>
                      <w:color w:val="auto"/>
                      <w:kern w:val="0"/>
                      <w:szCs w:val="21"/>
                    </w:rPr>
                  </w:pPr>
                  <w:r>
                    <w:rPr>
                      <w:color w:val="auto"/>
                      <w:szCs w:val="21"/>
                    </w:rPr>
                    <w:t>医疗固废暂存间建筑面积共计约</w:t>
                  </w:r>
                  <w:r>
                    <w:rPr>
                      <w:rFonts w:hint="eastAsia"/>
                      <w:color w:val="auto"/>
                      <w:szCs w:val="21"/>
                    </w:rPr>
                    <w:t>1</w:t>
                  </w:r>
                  <w:r>
                    <w:rPr>
                      <w:color w:val="auto"/>
                      <w:szCs w:val="21"/>
                    </w:rPr>
                    <w:t>0m</w:t>
                  </w:r>
                  <w:r>
                    <w:rPr>
                      <w:color w:val="auto"/>
                      <w:szCs w:val="21"/>
                      <w:vertAlign w:val="superscript"/>
                    </w:rPr>
                    <w:t>2</w:t>
                  </w:r>
                  <w:r>
                    <w:rPr>
                      <w:color w:val="auto"/>
                      <w:szCs w:val="21"/>
                    </w:rPr>
                    <w:t>，</w:t>
                  </w:r>
                  <w:r>
                    <w:rPr>
                      <w:rFonts w:hint="eastAsia"/>
                      <w:color w:val="auto"/>
                      <w:szCs w:val="21"/>
                    </w:rPr>
                    <w:t>位于</w:t>
                  </w:r>
                  <w:r>
                    <w:rPr>
                      <w:rFonts w:hint="eastAsia"/>
                      <w:color w:val="auto"/>
                      <w:szCs w:val="21"/>
                      <w:lang w:val="en-US" w:eastAsia="zh-CN"/>
                    </w:rPr>
                    <w:t>1</w:t>
                  </w:r>
                  <w:r>
                    <w:rPr>
                      <w:rFonts w:hint="eastAsia"/>
                      <w:color w:val="auto"/>
                      <w:szCs w:val="21"/>
                    </w:rPr>
                    <w:t>F，</w:t>
                  </w:r>
                  <w:r>
                    <w:rPr>
                      <w:rFonts w:hint="eastAsia"/>
                      <w:color w:val="auto"/>
                      <w:szCs w:val="21"/>
                      <w:lang w:val="en-US" w:eastAsia="zh-CN"/>
                    </w:rPr>
                    <w:t>分区暂存医疗废物、特殊废液、废活性炭</w:t>
                  </w:r>
                  <w:r>
                    <w:rPr>
                      <w:color w:val="auto"/>
                      <w:szCs w:val="21"/>
                    </w:rPr>
                    <w:t>，医疗固废暂存间“</w:t>
                  </w:r>
                  <w:r>
                    <w:rPr>
                      <w:rFonts w:hint="eastAsia"/>
                      <w:color w:val="auto"/>
                      <w:szCs w:val="21"/>
                      <w:lang w:val="en-US" w:eastAsia="zh-CN"/>
                    </w:rPr>
                    <w:t>六</w:t>
                  </w:r>
                  <w:r>
                    <w:rPr>
                      <w:color w:val="auto"/>
                      <w:szCs w:val="21"/>
                    </w:rPr>
                    <w:t>防”设施，张贴相应标识标牌，医疗废物暂存间臭气使用排风扇进行抽风换气。</w:t>
                  </w:r>
                </w:p>
              </w:tc>
            </w:tr>
            <w:tr w14:paraId="594EC6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17625BDE">
                  <w:pPr>
                    <w:jc w:val="center"/>
                    <w:rPr>
                      <w:color w:val="auto"/>
                      <w:szCs w:val="21"/>
                    </w:rPr>
                  </w:pPr>
                </w:p>
              </w:tc>
              <w:tc>
                <w:tcPr>
                  <w:tcW w:w="416" w:type="pct"/>
                  <w:vMerge w:val="continue"/>
                  <w:tcBorders>
                    <w:right w:val="single" w:color="auto" w:sz="4" w:space="0"/>
                  </w:tcBorders>
                  <w:noWrap w:val="0"/>
                  <w:vAlign w:val="center"/>
                </w:tcPr>
                <w:p w14:paraId="3FD531BF">
                  <w:pPr>
                    <w:adjustRightInd w:val="0"/>
                    <w:snapToGrid w:val="0"/>
                    <w:jc w:val="center"/>
                    <w:rPr>
                      <w:rFonts w:hint="eastAsia"/>
                      <w:snapToGrid w:val="0"/>
                      <w:color w:val="auto"/>
                      <w:kern w:val="0"/>
                      <w:szCs w:val="21"/>
                      <w:lang w:val="en-US" w:eastAsia="zh-CN"/>
                    </w:rPr>
                  </w:pPr>
                </w:p>
              </w:tc>
              <w:tc>
                <w:tcPr>
                  <w:tcW w:w="1520" w:type="pct"/>
                  <w:tcBorders>
                    <w:left w:val="single" w:color="auto" w:sz="4" w:space="0"/>
                  </w:tcBorders>
                  <w:noWrap w:val="0"/>
                  <w:vAlign w:val="center"/>
                </w:tcPr>
                <w:p w14:paraId="6C806604">
                  <w:pPr>
                    <w:adjustRightInd w:val="0"/>
                    <w:snapToGrid w:val="0"/>
                    <w:jc w:val="left"/>
                    <w:rPr>
                      <w:b/>
                      <w:bCs/>
                      <w:color w:val="auto"/>
                      <w:kern w:val="0"/>
                      <w:szCs w:val="21"/>
                    </w:rPr>
                  </w:pPr>
                  <w:r>
                    <w:rPr>
                      <w:b/>
                      <w:bCs/>
                      <w:color w:val="auto"/>
                      <w:szCs w:val="21"/>
                    </w:rPr>
                    <w:t>生活垃圾：</w:t>
                  </w:r>
                  <w:r>
                    <w:rPr>
                      <w:color w:val="auto"/>
                      <w:szCs w:val="21"/>
                    </w:rPr>
                    <w:t>设置生活垃圾收集桶，</w:t>
                  </w:r>
                  <w:r>
                    <w:rPr>
                      <w:rFonts w:hint="eastAsia"/>
                      <w:color w:val="auto"/>
                      <w:szCs w:val="21"/>
                    </w:rPr>
                    <w:t>生活垃圾</w:t>
                  </w:r>
                  <w:r>
                    <w:rPr>
                      <w:color w:val="auto"/>
                      <w:szCs w:val="21"/>
                    </w:rPr>
                    <w:t>由清洁人员定时收集后交由市政环卫部门</w:t>
                  </w:r>
                  <w:r>
                    <w:rPr>
                      <w:bCs/>
                      <w:color w:val="auto"/>
                      <w:szCs w:val="21"/>
                    </w:rPr>
                    <w:t>清运处理。</w:t>
                  </w:r>
                </w:p>
              </w:tc>
              <w:tc>
                <w:tcPr>
                  <w:tcW w:w="1385" w:type="pct"/>
                  <w:tcBorders>
                    <w:left w:val="single" w:color="auto" w:sz="4" w:space="0"/>
                  </w:tcBorders>
                  <w:noWrap w:val="0"/>
                  <w:vAlign w:val="center"/>
                </w:tcPr>
                <w:p w14:paraId="6475471E">
                  <w:pPr>
                    <w:adjustRightInd w:val="0"/>
                    <w:snapToGrid w:val="0"/>
                    <w:jc w:val="center"/>
                    <w:rPr>
                      <w:b/>
                      <w:bCs/>
                      <w:color w:val="auto"/>
                      <w:szCs w:val="21"/>
                    </w:rPr>
                  </w:pPr>
                  <w:r>
                    <w:rPr>
                      <w:rFonts w:hint="eastAsia"/>
                      <w:color w:val="auto"/>
                      <w:lang w:val="en-US" w:eastAsia="zh-CN"/>
                    </w:rPr>
                    <w:t>未变化</w:t>
                  </w:r>
                </w:p>
              </w:tc>
              <w:tc>
                <w:tcPr>
                  <w:tcW w:w="1408" w:type="pct"/>
                  <w:tcBorders>
                    <w:left w:val="single" w:color="auto" w:sz="4" w:space="0"/>
                  </w:tcBorders>
                  <w:noWrap w:val="0"/>
                  <w:vAlign w:val="center"/>
                </w:tcPr>
                <w:p w14:paraId="2E4D1CE8">
                  <w:pPr>
                    <w:adjustRightInd w:val="0"/>
                    <w:snapToGrid w:val="0"/>
                    <w:jc w:val="center"/>
                    <w:rPr>
                      <w:b/>
                      <w:bCs/>
                      <w:color w:val="auto"/>
                      <w:szCs w:val="21"/>
                    </w:rPr>
                  </w:pPr>
                  <w:r>
                    <w:rPr>
                      <w:color w:val="auto"/>
                      <w:szCs w:val="21"/>
                    </w:rPr>
                    <w:t>设置生活垃圾收集桶，</w:t>
                  </w:r>
                  <w:r>
                    <w:rPr>
                      <w:rFonts w:hint="eastAsia"/>
                      <w:color w:val="auto"/>
                      <w:szCs w:val="21"/>
                    </w:rPr>
                    <w:t>生活垃圾</w:t>
                  </w:r>
                  <w:r>
                    <w:rPr>
                      <w:color w:val="auto"/>
                      <w:szCs w:val="21"/>
                    </w:rPr>
                    <w:t>由清洁人员定时收集后交由市政环卫部门</w:t>
                  </w:r>
                  <w:r>
                    <w:rPr>
                      <w:bCs/>
                      <w:color w:val="auto"/>
                      <w:szCs w:val="21"/>
                    </w:rPr>
                    <w:t>清运处理。</w:t>
                  </w:r>
                </w:p>
              </w:tc>
            </w:tr>
            <w:tr w14:paraId="1EA1C6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8" w:hRule="atLeast"/>
              </w:trPr>
              <w:tc>
                <w:tcPr>
                  <w:tcW w:w="268" w:type="pct"/>
                  <w:vMerge w:val="continue"/>
                  <w:noWrap w:val="0"/>
                  <w:vAlign w:val="center"/>
                </w:tcPr>
                <w:p w14:paraId="1F322ECA">
                  <w:pPr>
                    <w:jc w:val="center"/>
                    <w:rPr>
                      <w:color w:val="auto"/>
                      <w:szCs w:val="21"/>
                    </w:rPr>
                  </w:pPr>
                </w:p>
              </w:tc>
              <w:tc>
                <w:tcPr>
                  <w:tcW w:w="416" w:type="pct"/>
                  <w:tcBorders>
                    <w:right w:val="single" w:color="auto" w:sz="4" w:space="0"/>
                  </w:tcBorders>
                  <w:noWrap w:val="0"/>
                  <w:vAlign w:val="center"/>
                </w:tcPr>
                <w:p w14:paraId="3DF24537">
                  <w:pPr>
                    <w:pStyle w:val="68"/>
                    <w:bidi w:val="0"/>
                    <w:spacing w:line="240" w:lineRule="auto"/>
                    <w:jc w:val="center"/>
                    <w:rPr>
                      <w:rFonts w:hint="eastAsia"/>
                      <w:color w:val="auto"/>
                      <w:lang w:val="en-US" w:eastAsia="zh-CN"/>
                    </w:rPr>
                  </w:pPr>
                  <w:r>
                    <w:rPr>
                      <w:rFonts w:hint="eastAsia"/>
                      <w:color w:val="auto"/>
                      <w:lang w:val="en-US" w:eastAsia="zh-CN"/>
                    </w:rPr>
                    <w:t>整改</w:t>
                  </w:r>
                </w:p>
                <w:p w14:paraId="444F145B">
                  <w:pPr>
                    <w:pStyle w:val="68"/>
                    <w:bidi w:val="0"/>
                    <w:spacing w:line="240" w:lineRule="auto"/>
                    <w:ind w:firstLine="0" w:firstLineChars="0"/>
                    <w:jc w:val="center"/>
                    <w:rPr>
                      <w:rFonts w:hint="eastAsia"/>
                      <w:color w:val="auto"/>
                      <w:w w:val="100"/>
                      <w:kern w:val="2"/>
                      <w:sz w:val="21"/>
                      <w:szCs w:val="20"/>
                      <w:lang w:val="en-US" w:eastAsia="zh-CN" w:bidi="ar-SA"/>
                    </w:rPr>
                  </w:pPr>
                  <w:r>
                    <w:rPr>
                      <w:rFonts w:hint="eastAsia"/>
                      <w:color w:val="auto"/>
                      <w:lang w:val="en-US" w:eastAsia="zh-CN"/>
                    </w:rPr>
                    <w:t>措施</w:t>
                  </w:r>
                </w:p>
              </w:tc>
              <w:tc>
                <w:tcPr>
                  <w:tcW w:w="1520" w:type="pct"/>
                  <w:tcBorders>
                    <w:left w:val="single" w:color="auto" w:sz="4" w:space="0"/>
                  </w:tcBorders>
                  <w:noWrap w:val="0"/>
                  <w:vAlign w:val="center"/>
                </w:tcPr>
                <w:p w14:paraId="1FCDA18E">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eastAsia="zh-CN"/>
                    </w:rPr>
                    <w:t>无</w:t>
                  </w:r>
                </w:p>
              </w:tc>
              <w:tc>
                <w:tcPr>
                  <w:tcW w:w="1385" w:type="pct"/>
                  <w:tcBorders>
                    <w:left w:val="single" w:color="auto" w:sz="4" w:space="0"/>
                  </w:tcBorders>
                  <w:noWrap w:val="0"/>
                  <w:vAlign w:val="center"/>
                </w:tcPr>
                <w:p w14:paraId="45FF6AB8">
                  <w:pPr>
                    <w:pStyle w:val="68"/>
                    <w:bidi w:val="0"/>
                    <w:spacing w:line="240" w:lineRule="auto"/>
                    <w:ind w:firstLine="0" w:firstLineChars="0"/>
                    <w:jc w:val="center"/>
                    <w:rPr>
                      <w:rFonts w:hint="eastAsia" w:eastAsia="宋体"/>
                      <w:color w:val="auto"/>
                      <w:w w:val="100"/>
                      <w:kern w:val="2"/>
                      <w:sz w:val="21"/>
                      <w:szCs w:val="20"/>
                      <w:lang w:val="en-US" w:eastAsia="zh-CN" w:bidi="ar-SA"/>
                    </w:rPr>
                  </w:pPr>
                  <w:r>
                    <w:rPr>
                      <w:color w:val="auto"/>
                    </w:rPr>
                    <w:t>对污水处理站配套设置1座</w:t>
                  </w:r>
                  <w:r>
                    <w:rPr>
                      <w:rFonts w:hint="eastAsia"/>
                      <w:color w:val="auto"/>
                      <w:lang w:val="en-US" w:eastAsia="zh-CN"/>
                    </w:rPr>
                    <w:t>33</w:t>
                  </w:r>
                  <w:r>
                    <w:rPr>
                      <w:color w:val="auto"/>
                    </w:rPr>
                    <w:t>m</w:t>
                  </w:r>
                  <w:r>
                    <w:rPr>
                      <w:color w:val="auto"/>
                      <w:vertAlign w:val="superscript"/>
                    </w:rPr>
                    <w:t>3</w:t>
                  </w:r>
                  <w:r>
                    <w:rPr>
                      <w:color w:val="auto"/>
                    </w:rPr>
                    <w:t>的应急事故池，并做好日常维护</w:t>
                  </w:r>
                  <w:r>
                    <w:rPr>
                      <w:rFonts w:hint="eastAsia"/>
                      <w:color w:val="auto"/>
                      <w:lang w:eastAsia="zh-CN"/>
                    </w:rPr>
                    <w:t>。</w:t>
                  </w:r>
                </w:p>
              </w:tc>
              <w:tc>
                <w:tcPr>
                  <w:tcW w:w="1408" w:type="pct"/>
                  <w:tcBorders>
                    <w:left w:val="single" w:color="auto" w:sz="4" w:space="0"/>
                  </w:tcBorders>
                  <w:noWrap w:val="0"/>
                  <w:vAlign w:val="center"/>
                </w:tcPr>
                <w:p w14:paraId="7E5E6D68">
                  <w:pPr>
                    <w:pStyle w:val="68"/>
                    <w:bidi w:val="0"/>
                    <w:spacing w:line="240" w:lineRule="auto"/>
                    <w:ind w:firstLine="0" w:firstLineChars="0"/>
                    <w:jc w:val="center"/>
                    <w:rPr>
                      <w:rFonts w:hint="eastAsia" w:eastAsia="宋体"/>
                      <w:color w:val="auto"/>
                      <w:w w:val="100"/>
                      <w:kern w:val="2"/>
                      <w:sz w:val="21"/>
                      <w:szCs w:val="20"/>
                      <w:lang w:val="en-US" w:eastAsia="zh-CN" w:bidi="ar-SA"/>
                    </w:rPr>
                  </w:pPr>
                  <w:r>
                    <w:rPr>
                      <w:color w:val="auto"/>
                    </w:rPr>
                    <w:t>对污水处理站配套设置1座</w:t>
                  </w:r>
                  <w:r>
                    <w:rPr>
                      <w:rFonts w:hint="eastAsia"/>
                      <w:color w:val="auto"/>
                      <w:lang w:val="en-US" w:eastAsia="zh-CN"/>
                    </w:rPr>
                    <w:t>33</w:t>
                  </w:r>
                  <w:r>
                    <w:rPr>
                      <w:color w:val="auto"/>
                    </w:rPr>
                    <w:t>m</w:t>
                  </w:r>
                  <w:r>
                    <w:rPr>
                      <w:color w:val="auto"/>
                      <w:vertAlign w:val="superscript"/>
                    </w:rPr>
                    <w:t>3</w:t>
                  </w:r>
                  <w:r>
                    <w:rPr>
                      <w:color w:val="auto"/>
                    </w:rPr>
                    <w:t>的应急事故池，并做好日常维护</w:t>
                  </w:r>
                  <w:r>
                    <w:rPr>
                      <w:rFonts w:hint="eastAsia"/>
                      <w:color w:val="auto"/>
                      <w:lang w:eastAsia="zh-CN"/>
                    </w:rPr>
                    <w:t>。</w:t>
                  </w:r>
                </w:p>
              </w:tc>
            </w:tr>
          </w:tbl>
          <w:p w14:paraId="474C94DC">
            <w:pPr>
              <w:spacing w:line="360" w:lineRule="auto"/>
              <w:ind w:firstLine="480" w:firstLineChars="200"/>
              <w:contextualSpacing/>
              <w:rPr>
                <w:bCs/>
                <w:color w:val="auto"/>
                <w:sz w:val="24"/>
              </w:rPr>
            </w:pPr>
            <w:r>
              <w:rPr>
                <w:bCs/>
                <w:color w:val="auto"/>
                <w:sz w:val="24"/>
              </w:rPr>
              <w:t>（2）依托工程</w:t>
            </w:r>
          </w:p>
          <w:p w14:paraId="292699A5">
            <w:pPr>
              <w:spacing w:line="360" w:lineRule="auto"/>
              <w:ind w:firstLine="480" w:firstLineChars="200"/>
              <w:contextualSpacing/>
              <w:rPr>
                <w:color w:val="auto"/>
                <w:sz w:val="24"/>
              </w:rPr>
            </w:pPr>
            <w:r>
              <w:rPr>
                <w:rFonts w:hint="eastAsia"/>
                <w:color w:val="auto"/>
                <w:sz w:val="24"/>
                <w:lang w:eastAsia="zh-CN"/>
              </w:rPr>
              <w:t>重庆同心医院（有限合伙）</w:t>
            </w:r>
            <w:r>
              <w:rPr>
                <w:rFonts w:hint="eastAsia"/>
                <w:color w:val="auto"/>
                <w:sz w:val="24"/>
              </w:rPr>
              <w:t>现有院区</w:t>
            </w:r>
            <w:r>
              <w:rPr>
                <w:color w:val="auto"/>
                <w:sz w:val="24"/>
              </w:rPr>
              <w:t>建成后于201</w:t>
            </w:r>
            <w:r>
              <w:rPr>
                <w:rFonts w:hint="eastAsia"/>
                <w:color w:val="auto"/>
                <w:sz w:val="24"/>
                <w:lang w:val="en-US" w:eastAsia="zh-CN"/>
              </w:rPr>
              <w:t>5</w:t>
            </w:r>
            <w:r>
              <w:rPr>
                <w:color w:val="auto"/>
                <w:sz w:val="24"/>
              </w:rPr>
              <w:t>年</w:t>
            </w:r>
            <w:r>
              <w:rPr>
                <w:rFonts w:hint="eastAsia"/>
                <w:color w:val="auto"/>
                <w:sz w:val="24"/>
                <w:lang w:val="en-US" w:eastAsia="zh-CN"/>
              </w:rPr>
              <w:t>8</w:t>
            </w:r>
            <w:r>
              <w:rPr>
                <w:color w:val="auto"/>
                <w:sz w:val="24"/>
              </w:rPr>
              <w:t>月完成了竣工环境保护验收工作，根据现场调查，项目区给排水、供电、供气、污水处理工程均正常运转。</w:t>
            </w:r>
            <w:r>
              <w:rPr>
                <w:rFonts w:hint="eastAsia"/>
                <w:bCs/>
                <w:color w:val="auto"/>
                <w:sz w:val="24"/>
              </w:rPr>
              <w:t>扩建</w:t>
            </w:r>
            <w:r>
              <w:rPr>
                <w:bCs/>
                <w:color w:val="auto"/>
                <w:sz w:val="24"/>
              </w:rPr>
              <w:t>项目主体建筑、公用工程及环保设施部分依托</w:t>
            </w:r>
            <w:r>
              <w:rPr>
                <w:rFonts w:hint="eastAsia"/>
                <w:bCs/>
                <w:color w:val="auto"/>
                <w:sz w:val="24"/>
              </w:rPr>
              <w:t>院</w:t>
            </w:r>
            <w:r>
              <w:rPr>
                <w:bCs/>
                <w:color w:val="auto"/>
                <w:sz w:val="24"/>
              </w:rPr>
              <w:t>区现有设施，具体见表2-2。</w:t>
            </w:r>
          </w:p>
          <w:p w14:paraId="0E142618">
            <w:pPr>
              <w:contextualSpacing/>
              <w:jc w:val="center"/>
              <w:rPr>
                <w:b/>
                <w:bCs/>
                <w:color w:val="auto"/>
                <w:sz w:val="24"/>
              </w:rPr>
            </w:pPr>
            <w:r>
              <w:rPr>
                <w:b/>
                <w:bCs/>
                <w:color w:val="auto"/>
                <w:sz w:val="24"/>
              </w:rPr>
              <w:t>表2-2  项目依托工程一览表</w:t>
            </w:r>
          </w:p>
          <w:tbl>
            <w:tblPr>
              <w:tblStyle w:val="25"/>
              <w:tblW w:w="497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Layout w:type="fixed"/>
              <w:tblCellMar>
                <w:top w:w="0" w:type="dxa"/>
                <w:left w:w="108" w:type="dxa"/>
                <w:bottom w:w="0" w:type="dxa"/>
                <w:right w:w="108" w:type="dxa"/>
              </w:tblCellMar>
            </w:tblPr>
            <w:tblGrid>
              <w:gridCol w:w="674"/>
              <w:gridCol w:w="671"/>
              <w:gridCol w:w="2329"/>
              <w:gridCol w:w="5220"/>
            </w:tblGrid>
            <w:tr w14:paraId="76E53505">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405" w:hRule="atLeast"/>
                <w:jc w:val="center"/>
              </w:trPr>
              <w:tc>
                <w:tcPr>
                  <w:tcW w:w="378" w:type="pct"/>
                  <w:noWrap w:val="0"/>
                  <w:vAlign w:val="center"/>
                </w:tcPr>
                <w:p w14:paraId="6C4490AA">
                  <w:pPr>
                    <w:adjustRightInd w:val="0"/>
                    <w:snapToGrid w:val="0"/>
                    <w:jc w:val="center"/>
                    <w:rPr>
                      <w:b/>
                      <w:bCs/>
                      <w:color w:val="auto"/>
                      <w:szCs w:val="21"/>
                    </w:rPr>
                  </w:pPr>
                  <w:r>
                    <w:rPr>
                      <w:b/>
                      <w:bCs/>
                      <w:color w:val="auto"/>
                      <w:szCs w:val="21"/>
                    </w:rPr>
                    <w:t>类别</w:t>
                  </w:r>
                </w:p>
              </w:tc>
              <w:tc>
                <w:tcPr>
                  <w:tcW w:w="377" w:type="pct"/>
                  <w:noWrap w:val="0"/>
                  <w:vAlign w:val="center"/>
                </w:tcPr>
                <w:p w14:paraId="4D128EB7">
                  <w:pPr>
                    <w:adjustRightInd w:val="0"/>
                    <w:snapToGrid w:val="0"/>
                    <w:jc w:val="center"/>
                    <w:rPr>
                      <w:b/>
                      <w:bCs/>
                      <w:color w:val="auto"/>
                      <w:szCs w:val="21"/>
                    </w:rPr>
                  </w:pPr>
                  <w:r>
                    <w:rPr>
                      <w:b/>
                      <w:bCs/>
                      <w:color w:val="auto"/>
                      <w:szCs w:val="21"/>
                    </w:rPr>
                    <w:t>序号</w:t>
                  </w:r>
                </w:p>
              </w:tc>
              <w:tc>
                <w:tcPr>
                  <w:tcW w:w="1309" w:type="pct"/>
                  <w:noWrap w:val="0"/>
                  <w:vAlign w:val="center"/>
                </w:tcPr>
                <w:p w14:paraId="4EBA22DC">
                  <w:pPr>
                    <w:adjustRightInd w:val="0"/>
                    <w:snapToGrid w:val="0"/>
                    <w:jc w:val="center"/>
                    <w:rPr>
                      <w:b/>
                      <w:bCs/>
                      <w:color w:val="auto"/>
                      <w:szCs w:val="21"/>
                    </w:rPr>
                  </w:pPr>
                  <w:r>
                    <w:rPr>
                      <w:b/>
                      <w:bCs/>
                      <w:color w:val="auto"/>
                      <w:szCs w:val="21"/>
                    </w:rPr>
                    <w:t>依托情况</w:t>
                  </w:r>
                </w:p>
              </w:tc>
              <w:tc>
                <w:tcPr>
                  <w:tcW w:w="2934" w:type="pct"/>
                  <w:noWrap w:val="0"/>
                  <w:vAlign w:val="center"/>
                </w:tcPr>
                <w:p w14:paraId="24274B51">
                  <w:pPr>
                    <w:adjustRightInd w:val="0"/>
                    <w:snapToGrid w:val="0"/>
                    <w:jc w:val="center"/>
                    <w:rPr>
                      <w:b/>
                      <w:bCs/>
                      <w:color w:val="auto"/>
                      <w:szCs w:val="21"/>
                    </w:rPr>
                  </w:pPr>
                  <w:r>
                    <w:rPr>
                      <w:b/>
                      <w:bCs/>
                      <w:color w:val="auto"/>
                      <w:szCs w:val="21"/>
                    </w:rPr>
                    <w:t>依托可行性</w:t>
                  </w:r>
                </w:p>
              </w:tc>
            </w:tr>
            <w:tr w14:paraId="446C9B10">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90" w:hRule="atLeast"/>
                <w:jc w:val="center"/>
              </w:trPr>
              <w:tc>
                <w:tcPr>
                  <w:tcW w:w="378" w:type="pct"/>
                  <w:vMerge w:val="restart"/>
                  <w:noWrap w:val="0"/>
                  <w:vAlign w:val="center"/>
                </w:tcPr>
                <w:p w14:paraId="130AE27C">
                  <w:pPr>
                    <w:adjustRightInd w:val="0"/>
                    <w:snapToGrid w:val="0"/>
                    <w:jc w:val="center"/>
                    <w:rPr>
                      <w:color w:val="auto"/>
                      <w:szCs w:val="21"/>
                    </w:rPr>
                  </w:pPr>
                  <w:r>
                    <w:rPr>
                      <w:color w:val="auto"/>
                      <w:szCs w:val="21"/>
                    </w:rPr>
                    <w:t>主体建筑</w:t>
                  </w:r>
                </w:p>
              </w:tc>
              <w:tc>
                <w:tcPr>
                  <w:tcW w:w="377" w:type="pct"/>
                  <w:noWrap w:val="0"/>
                  <w:vAlign w:val="center"/>
                </w:tcPr>
                <w:p w14:paraId="3BF48796">
                  <w:pPr>
                    <w:adjustRightInd w:val="0"/>
                    <w:snapToGrid w:val="0"/>
                    <w:jc w:val="center"/>
                    <w:rPr>
                      <w:color w:val="auto"/>
                      <w:szCs w:val="21"/>
                    </w:rPr>
                  </w:pPr>
                  <w:r>
                    <w:rPr>
                      <w:color w:val="auto"/>
                      <w:szCs w:val="21"/>
                    </w:rPr>
                    <w:t>1</w:t>
                  </w:r>
                </w:p>
              </w:tc>
              <w:tc>
                <w:tcPr>
                  <w:tcW w:w="1309" w:type="pct"/>
                  <w:noWrap w:val="0"/>
                  <w:vAlign w:val="center"/>
                </w:tcPr>
                <w:p w14:paraId="1981964E">
                  <w:pPr>
                    <w:adjustRightInd w:val="0"/>
                    <w:snapToGrid w:val="0"/>
                    <w:jc w:val="left"/>
                    <w:rPr>
                      <w:color w:val="auto"/>
                      <w:szCs w:val="21"/>
                    </w:rPr>
                  </w:pPr>
                  <w:r>
                    <w:rPr>
                      <w:rFonts w:hint="eastAsia"/>
                      <w:color w:val="auto"/>
                      <w:lang w:val="en-US" w:eastAsia="zh-CN"/>
                    </w:rPr>
                    <w:t>项目为扩建项目，主要建设内容为住院病房，不新设置门诊，门诊依托现有项目，仅对平面布置进行调整，门诊病人在门诊就诊后如需住院治疗则入住本项目扩建的病房</w:t>
                  </w:r>
                </w:p>
              </w:tc>
              <w:tc>
                <w:tcPr>
                  <w:tcW w:w="2934" w:type="pct"/>
                  <w:noWrap w:val="0"/>
                  <w:vAlign w:val="center"/>
                </w:tcPr>
                <w:p w14:paraId="35B914B8">
                  <w:pPr>
                    <w:adjustRightInd w:val="0"/>
                    <w:snapToGrid w:val="0"/>
                    <w:jc w:val="center"/>
                    <w:rPr>
                      <w:color w:val="auto"/>
                      <w:szCs w:val="21"/>
                    </w:rPr>
                  </w:pPr>
                  <w:r>
                    <w:rPr>
                      <w:rFonts w:hint="eastAsia"/>
                      <w:color w:val="auto"/>
                      <w:szCs w:val="21"/>
                      <w:lang w:val="en-US" w:eastAsia="zh-CN"/>
                    </w:rPr>
                    <w:t>平面布置进行调整。在2F</w:t>
                  </w:r>
                  <w:r>
                    <w:rPr>
                      <w:color w:val="auto"/>
                      <w:szCs w:val="21"/>
                    </w:rPr>
                    <w:t>布置</w:t>
                  </w:r>
                  <w:r>
                    <w:rPr>
                      <w:rFonts w:hint="eastAsia"/>
                      <w:color w:val="auto"/>
                      <w:szCs w:val="21"/>
                      <w:lang w:val="en-US" w:eastAsia="zh-CN"/>
                    </w:rPr>
                    <w:t>托老</w:t>
                  </w:r>
                  <w:r>
                    <w:rPr>
                      <w:color w:val="auto"/>
                      <w:szCs w:val="21"/>
                    </w:rPr>
                    <w:t>床，</w:t>
                  </w:r>
                  <w:r>
                    <w:rPr>
                      <w:rFonts w:hint="eastAsia"/>
                      <w:color w:val="auto"/>
                      <w:lang w:val="en-US" w:eastAsia="zh-CN"/>
                    </w:rPr>
                    <w:t>可以达到扩建30张托老床位的需求；</w:t>
                  </w:r>
                  <w:r>
                    <w:rPr>
                      <w:color w:val="auto"/>
                      <w:szCs w:val="21"/>
                    </w:rPr>
                    <w:t>在3F布置病床，</w:t>
                  </w:r>
                  <w:r>
                    <w:rPr>
                      <w:rFonts w:hint="eastAsia"/>
                      <w:color w:val="auto"/>
                      <w:lang w:val="en-US" w:eastAsia="zh-CN"/>
                    </w:rPr>
                    <w:t>可以达到扩建60张住院床位的需求</w:t>
                  </w:r>
                  <w:r>
                    <w:rPr>
                      <w:rFonts w:hint="eastAsia"/>
                      <w:color w:val="auto"/>
                      <w:szCs w:val="21"/>
                    </w:rPr>
                    <w:t>，依托</w:t>
                  </w:r>
                  <w:r>
                    <w:rPr>
                      <w:color w:val="auto"/>
                      <w:szCs w:val="21"/>
                    </w:rPr>
                    <w:t>可行</w:t>
                  </w:r>
                  <w:r>
                    <w:rPr>
                      <w:rFonts w:hint="eastAsia"/>
                      <w:color w:val="auto"/>
                      <w:szCs w:val="21"/>
                    </w:rPr>
                    <w:t>。</w:t>
                  </w:r>
                </w:p>
              </w:tc>
            </w:tr>
            <w:tr w14:paraId="30BFB190">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90" w:hRule="atLeast"/>
                <w:jc w:val="center"/>
              </w:trPr>
              <w:tc>
                <w:tcPr>
                  <w:tcW w:w="378" w:type="pct"/>
                  <w:vMerge w:val="continue"/>
                  <w:noWrap w:val="0"/>
                  <w:vAlign w:val="center"/>
                </w:tcPr>
                <w:p w14:paraId="690FA830">
                  <w:pPr>
                    <w:adjustRightInd w:val="0"/>
                    <w:snapToGrid w:val="0"/>
                    <w:jc w:val="center"/>
                    <w:rPr>
                      <w:color w:val="auto"/>
                      <w:szCs w:val="21"/>
                    </w:rPr>
                  </w:pPr>
                </w:p>
              </w:tc>
              <w:tc>
                <w:tcPr>
                  <w:tcW w:w="377" w:type="pct"/>
                  <w:noWrap w:val="0"/>
                  <w:vAlign w:val="center"/>
                </w:tcPr>
                <w:p w14:paraId="39A632F7">
                  <w:pPr>
                    <w:adjustRightInd w:val="0"/>
                    <w:snapToGrid w:val="0"/>
                    <w:jc w:val="center"/>
                    <w:rPr>
                      <w:rFonts w:hint="eastAsia"/>
                      <w:color w:val="auto"/>
                      <w:szCs w:val="21"/>
                    </w:rPr>
                  </w:pPr>
                  <w:r>
                    <w:rPr>
                      <w:rFonts w:hint="eastAsia"/>
                      <w:color w:val="auto"/>
                      <w:szCs w:val="21"/>
                    </w:rPr>
                    <w:t>2</w:t>
                  </w:r>
                </w:p>
              </w:tc>
              <w:tc>
                <w:tcPr>
                  <w:tcW w:w="1309" w:type="pct"/>
                  <w:noWrap w:val="0"/>
                  <w:vAlign w:val="center"/>
                </w:tcPr>
                <w:p w14:paraId="20DD2A3B">
                  <w:pPr>
                    <w:jc w:val="center"/>
                    <w:rPr>
                      <w:color w:val="auto"/>
                      <w:szCs w:val="21"/>
                    </w:rPr>
                  </w:pPr>
                  <w:r>
                    <w:rPr>
                      <w:rFonts w:hint="eastAsia"/>
                      <w:color w:val="auto"/>
                      <w:szCs w:val="21"/>
                    </w:rPr>
                    <w:t>依托</w:t>
                  </w:r>
                  <w:r>
                    <w:rPr>
                      <w:color w:val="auto"/>
                      <w:szCs w:val="21"/>
                    </w:rPr>
                    <w:t>现有</w:t>
                  </w:r>
                  <w:r>
                    <w:rPr>
                      <w:rFonts w:hint="eastAsia"/>
                      <w:color w:val="auto"/>
                      <w:szCs w:val="21"/>
                    </w:rPr>
                    <w:t>院区设置的放射科进行照片、诊断等，依托设施主要DR机、CT</w:t>
                  </w:r>
                  <w:r>
                    <w:rPr>
                      <w:rFonts w:hint="eastAsia"/>
                      <w:color w:val="auto"/>
                      <w:szCs w:val="21"/>
                      <w:lang w:eastAsia="zh-CN"/>
                    </w:rPr>
                    <w:t>、</w:t>
                  </w:r>
                  <w:r>
                    <w:rPr>
                      <w:rFonts w:hint="eastAsia"/>
                      <w:color w:val="auto"/>
                      <w:szCs w:val="21"/>
                      <w:lang w:val="en-US" w:eastAsia="zh-CN"/>
                    </w:rPr>
                    <w:t>X射线机</w:t>
                  </w:r>
                  <w:r>
                    <w:rPr>
                      <w:rFonts w:hint="eastAsia"/>
                      <w:color w:val="auto"/>
                      <w:szCs w:val="21"/>
                    </w:rPr>
                    <w:t>等，</w:t>
                  </w:r>
                  <w:r>
                    <w:rPr>
                      <w:rFonts w:hint="eastAsia"/>
                      <w:color w:val="auto"/>
                      <w:szCs w:val="21"/>
                      <w:lang w:val="en-US" w:eastAsia="zh-CN"/>
                    </w:rPr>
                    <w:t>扩建</w:t>
                  </w:r>
                  <w:r>
                    <w:rPr>
                      <w:rFonts w:hint="eastAsia"/>
                      <w:color w:val="auto"/>
                      <w:szCs w:val="21"/>
                    </w:rPr>
                    <w:t>项目不新增。</w:t>
                  </w:r>
                </w:p>
              </w:tc>
              <w:tc>
                <w:tcPr>
                  <w:tcW w:w="2934" w:type="pct"/>
                  <w:noWrap w:val="0"/>
                  <w:vAlign w:val="center"/>
                </w:tcPr>
                <w:p w14:paraId="576141C2">
                  <w:pPr>
                    <w:jc w:val="center"/>
                    <w:rPr>
                      <w:rFonts w:hint="eastAsia" w:eastAsia="宋体"/>
                      <w:color w:val="auto"/>
                      <w:szCs w:val="21"/>
                      <w:lang w:eastAsia="zh-CN"/>
                    </w:rPr>
                  </w:pPr>
                  <w:r>
                    <w:rPr>
                      <w:rFonts w:hint="eastAsia"/>
                      <w:color w:val="auto"/>
                      <w:szCs w:val="21"/>
                    </w:rPr>
                    <w:t>已验收，</w:t>
                  </w:r>
                  <w:r>
                    <w:rPr>
                      <w:rFonts w:hint="eastAsia"/>
                      <w:color w:val="auto"/>
                      <w:szCs w:val="21"/>
                      <w:lang w:val="en-US" w:eastAsia="zh-CN"/>
                    </w:rPr>
                    <w:t>已取得辐射许可证，</w:t>
                  </w:r>
                  <w:r>
                    <w:rPr>
                      <w:rFonts w:hint="eastAsia"/>
                      <w:color w:val="auto"/>
                      <w:szCs w:val="21"/>
                    </w:rPr>
                    <w:t>可依托</w:t>
                  </w:r>
                  <w:r>
                    <w:rPr>
                      <w:rFonts w:hint="eastAsia"/>
                      <w:color w:val="auto"/>
                      <w:szCs w:val="21"/>
                      <w:lang w:eastAsia="zh-CN"/>
                    </w:rPr>
                    <w:t>。</w:t>
                  </w:r>
                </w:p>
              </w:tc>
            </w:tr>
            <w:tr w14:paraId="1EA68852">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559" w:hRule="atLeast"/>
                <w:jc w:val="center"/>
              </w:trPr>
              <w:tc>
                <w:tcPr>
                  <w:tcW w:w="378" w:type="pct"/>
                  <w:noWrap w:val="0"/>
                  <w:vAlign w:val="center"/>
                </w:tcPr>
                <w:p w14:paraId="6A648C21">
                  <w:pPr>
                    <w:snapToGrid w:val="0"/>
                    <w:jc w:val="center"/>
                    <w:rPr>
                      <w:color w:val="auto"/>
                      <w:szCs w:val="21"/>
                    </w:rPr>
                  </w:pPr>
                  <w:r>
                    <w:rPr>
                      <w:color w:val="auto"/>
                      <w:szCs w:val="21"/>
                    </w:rPr>
                    <w:t>公用工程</w:t>
                  </w:r>
                </w:p>
              </w:tc>
              <w:tc>
                <w:tcPr>
                  <w:tcW w:w="377" w:type="pct"/>
                  <w:noWrap w:val="0"/>
                  <w:vAlign w:val="center"/>
                </w:tcPr>
                <w:p w14:paraId="5695A786">
                  <w:pPr>
                    <w:adjustRightInd w:val="0"/>
                    <w:snapToGrid w:val="0"/>
                    <w:jc w:val="center"/>
                    <w:rPr>
                      <w:color w:val="auto"/>
                      <w:szCs w:val="21"/>
                    </w:rPr>
                  </w:pPr>
                  <w:r>
                    <w:rPr>
                      <w:color w:val="auto"/>
                      <w:szCs w:val="21"/>
                    </w:rPr>
                    <w:t>3</w:t>
                  </w:r>
                </w:p>
              </w:tc>
              <w:tc>
                <w:tcPr>
                  <w:tcW w:w="1309" w:type="pct"/>
                  <w:noWrap w:val="0"/>
                  <w:vAlign w:val="center"/>
                </w:tcPr>
                <w:p w14:paraId="4FE6E7CC">
                  <w:pPr>
                    <w:adjustRightInd w:val="0"/>
                    <w:snapToGrid w:val="0"/>
                    <w:jc w:val="left"/>
                    <w:rPr>
                      <w:color w:val="auto"/>
                      <w:szCs w:val="21"/>
                    </w:rPr>
                  </w:pPr>
                  <w:r>
                    <w:rPr>
                      <w:color w:val="auto"/>
                      <w:szCs w:val="21"/>
                    </w:rPr>
                    <w:t>依托现有供水、供电</w:t>
                  </w:r>
                  <w:r>
                    <w:rPr>
                      <w:rFonts w:hint="eastAsia"/>
                      <w:color w:val="auto"/>
                      <w:szCs w:val="21"/>
                    </w:rPr>
                    <w:t>、通风</w:t>
                  </w:r>
                  <w:r>
                    <w:rPr>
                      <w:color w:val="auto"/>
                      <w:szCs w:val="21"/>
                    </w:rPr>
                    <w:t>系统</w:t>
                  </w:r>
                  <w:r>
                    <w:rPr>
                      <w:rFonts w:hint="eastAsia"/>
                      <w:color w:val="auto"/>
                      <w:szCs w:val="21"/>
                    </w:rPr>
                    <w:t>，供氧系统。</w:t>
                  </w:r>
                </w:p>
              </w:tc>
              <w:tc>
                <w:tcPr>
                  <w:tcW w:w="2934" w:type="pct"/>
                  <w:noWrap w:val="0"/>
                  <w:vAlign w:val="center"/>
                </w:tcPr>
                <w:p w14:paraId="55A2F14B">
                  <w:pPr>
                    <w:adjustRightInd w:val="0"/>
                    <w:snapToGrid w:val="0"/>
                    <w:rPr>
                      <w:color w:val="auto"/>
                      <w:szCs w:val="21"/>
                    </w:rPr>
                  </w:pPr>
                  <w:r>
                    <w:rPr>
                      <w:color w:val="auto"/>
                      <w:szCs w:val="21"/>
                    </w:rPr>
                    <w:t>现有</w:t>
                  </w:r>
                  <w:r>
                    <w:rPr>
                      <w:rFonts w:hint="eastAsia"/>
                      <w:color w:val="auto"/>
                      <w:szCs w:val="21"/>
                    </w:rPr>
                    <w:t>院区</w:t>
                  </w:r>
                  <w:r>
                    <w:rPr>
                      <w:color w:val="auto"/>
                      <w:szCs w:val="21"/>
                    </w:rPr>
                    <w:t>现有供电、供水设施</w:t>
                  </w:r>
                  <w:r>
                    <w:rPr>
                      <w:rFonts w:hint="eastAsia"/>
                      <w:color w:val="auto"/>
                      <w:szCs w:val="21"/>
                    </w:rPr>
                    <w:t>、通风、供氧系统</w:t>
                  </w:r>
                  <w:r>
                    <w:rPr>
                      <w:color w:val="auto"/>
                      <w:szCs w:val="21"/>
                    </w:rPr>
                    <w:t>完善，依托可行</w:t>
                  </w:r>
                </w:p>
              </w:tc>
            </w:tr>
            <w:tr w14:paraId="47371AC1">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928" w:hRule="atLeast"/>
                <w:jc w:val="center"/>
              </w:trPr>
              <w:tc>
                <w:tcPr>
                  <w:tcW w:w="378" w:type="pct"/>
                  <w:vMerge w:val="restart"/>
                  <w:noWrap w:val="0"/>
                  <w:vAlign w:val="center"/>
                </w:tcPr>
                <w:p w14:paraId="21F8248D">
                  <w:pPr>
                    <w:snapToGrid w:val="0"/>
                    <w:jc w:val="center"/>
                    <w:rPr>
                      <w:color w:val="auto"/>
                      <w:szCs w:val="21"/>
                    </w:rPr>
                  </w:pPr>
                  <w:r>
                    <w:rPr>
                      <w:color w:val="auto"/>
                      <w:szCs w:val="21"/>
                    </w:rPr>
                    <w:t>环保工程</w:t>
                  </w:r>
                </w:p>
              </w:tc>
              <w:tc>
                <w:tcPr>
                  <w:tcW w:w="377" w:type="pct"/>
                  <w:noWrap w:val="0"/>
                  <w:vAlign w:val="center"/>
                </w:tcPr>
                <w:p w14:paraId="5A07DE08">
                  <w:pPr>
                    <w:adjustRightInd w:val="0"/>
                    <w:snapToGrid w:val="0"/>
                    <w:jc w:val="center"/>
                    <w:rPr>
                      <w:color w:val="auto"/>
                      <w:szCs w:val="21"/>
                    </w:rPr>
                  </w:pPr>
                  <w:r>
                    <w:rPr>
                      <w:color w:val="auto"/>
                      <w:szCs w:val="21"/>
                    </w:rPr>
                    <w:t>4</w:t>
                  </w:r>
                </w:p>
              </w:tc>
              <w:tc>
                <w:tcPr>
                  <w:tcW w:w="1309" w:type="pct"/>
                  <w:noWrap w:val="0"/>
                  <w:vAlign w:val="center"/>
                </w:tcPr>
                <w:p w14:paraId="3E57B33A">
                  <w:pPr>
                    <w:adjustRightInd w:val="0"/>
                    <w:snapToGrid w:val="0"/>
                    <w:jc w:val="center"/>
                    <w:rPr>
                      <w:color w:val="auto"/>
                      <w:szCs w:val="21"/>
                    </w:rPr>
                  </w:pPr>
                  <w:r>
                    <w:rPr>
                      <w:color w:val="auto"/>
                      <w:szCs w:val="21"/>
                    </w:rPr>
                    <w:t>依托现有医疗固废暂存间</w:t>
                  </w:r>
                </w:p>
              </w:tc>
              <w:tc>
                <w:tcPr>
                  <w:tcW w:w="2934" w:type="pct"/>
                  <w:noWrap w:val="0"/>
                  <w:vAlign w:val="center"/>
                </w:tcPr>
                <w:p w14:paraId="5F16B570">
                  <w:pPr>
                    <w:adjustRightInd w:val="0"/>
                    <w:snapToGrid w:val="0"/>
                    <w:jc w:val="left"/>
                    <w:rPr>
                      <w:color w:val="auto"/>
                      <w:szCs w:val="21"/>
                    </w:rPr>
                  </w:pPr>
                  <w:r>
                    <w:rPr>
                      <w:rFonts w:hint="eastAsia"/>
                      <w:color w:val="auto"/>
                      <w:lang w:val="en-US" w:eastAsia="zh-CN"/>
                    </w:rPr>
                    <w:t>扩建项目医疗废物产生量较少，由于医疗废物暂存时间最长不超过2天，转移周期短，现有暂存间可以接纳本项目新增的医疗废物，项目危废暂存桶目前转运的危废量约为危废暂存桶的1/3，余量为2/3，扩建后危废暂存桶可以暂存下扩建后的危废，依托可行</w:t>
                  </w:r>
                </w:p>
              </w:tc>
            </w:tr>
            <w:tr w14:paraId="58C18B51">
              <w:tblPrEx>
                <w:tblBorders>
                  <w:top w:val="single" w:color="auto" w:sz="2" w:space="0"/>
                  <w:left w:val="single" w:color="auto" w:sz="2" w:space="0"/>
                  <w:bottom w:val="single" w:color="auto" w:sz="2" w:space="0"/>
                  <w:right w:val="single" w:color="auto" w:sz="2" w:space="0"/>
                  <w:insideH w:val="single" w:color="auto" w:sz="2" w:space="0"/>
                  <w:insideV w:val="single" w:color="auto" w:sz="6" w:space="0"/>
                </w:tblBorders>
                <w:tblCellMar>
                  <w:top w:w="0" w:type="dxa"/>
                  <w:left w:w="108" w:type="dxa"/>
                  <w:bottom w:w="0" w:type="dxa"/>
                  <w:right w:w="108" w:type="dxa"/>
                </w:tblCellMar>
              </w:tblPrEx>
              <w:trPr>
                <w:trHeight w:val="836" w:hRule="atLeast"/>
                <w:jc w:val="center"/>
              </w:trPr>
              <w:tc>
                <w:tcPr>
                  <w:tcW w:w="378" w:type="pct"/>
                  <w:vMerge w:val="continue"/>
                  <w:noWrap w:val="0"/>
                  <w:vAlign w:val="center"/>
                </w:tcPr>
                <w:p w14:paraId="099CFDBC">
                  <w:pPr>
                    <w:snapToGrid w:val="0"/>
                    <w:jc w:val="center"/>
                    <w:rPr>
                      <w:color w:val="auto"/>
                      <w:szCs w:val="21"/>
                    </w:rPr>
                  </w:pPr>
                </w:p>
              </w:tc>
              <w:tc>
                <w:tcPr>
                  <w:tcW w:w="377" w:type="pct"/>
                  <w:noWrap w:val="0"/>
                  <w:vAlign w:val="center"/>
                </w:tcPr>
                <w:p w14:paraId="47E78002">
                  <w:pPr>
                    <w:adjustRightInd w:val="0"/>
                    <w:snapToGrid w:val="0"/>
                    <w:jc w:val="center"/>
                    <w:rPr>
                      <w:color w:val="auto"/>
                      <w:szCs w:val="21"/>
                    </w:rPr>
                  </w:pPr>
                  <w:r>
                    <w:rPr>
                      <w:rFonts w:hint="eastAsia"/>
                      <w:color w:val="auto"/>
                      <w:szCs w:val="21"/>
                    </w:rPr>
                    <w:t>5</w:t>
                  </w:r>
                </w:p>
              </w:tc>
              <w:tc>
                <w:tcPr>
                  <w:tcW w:w="1309" w:type="pct"/>
                  <w:noWrap w:val="0"/>
                  <w:vAlign w:val="center"/>
                </w:tcPr>
                <w:p w14:paraId="7B27025A">
                  <w:pPr>
                    <w:adjustRightInd w:val="0"/>
                    <w:snapToGrid w:val="0"/>
                    <w:jc w:val="center"/>
                    <w:rPr>
                      <w:color w:val="auto"/>
                      <w:szCs w:val="21"/>
                    </w:rPr>
                  </w:pPr>
                  <w:r>
                    <w:rPr>
                      <w:rFonts w:hint="eastAsia"/>
                      <w:color w:val="auto"/>
                      <w:szCs w:val="21"/>
                    </w:rPr>
                    <w:t>废气处理设施</w:t>
                  </w:r>
                </w:p>
              </w:tc>
              <w:tc>
                <w:tcPr>
                  <w:tcW w:w="2934" w:type="pct"/>
                  <w:noWrap w:val="0"/>
                  <w:vAlign w:val="center"/>
                </w:tcPr>
                <w:p w14:paraId="4BC429D3">
                  <w:pPr>
                    <w:snapToGrid w:val="0"/>
                    <w:spacing w:line="240" w:lineRule="auto"/>
                    <w:rPr>
                      <w:color w:val="auto"/>
                      <w:szCs w:val="21"/>
                    </w:rPr>
                  </w:pPr>
                  <w:r>
                    <w:rPr>
                      <w:color w:val="auto"/>
                      <w:szCs w:val="21"/>
                    </w:rPr>
                    <w:t>污水处理工艺池置于地下并密闭，设置导气管将臭气导出，依托院区已建废气</w:t>
                  </w:r>
                  <w:r>
                    <w:rPr>
                      <w:rFonts w:hint="eastAsia"/>
                      <w:color w:val="auto"/>
                      <w:szCs w:val="21"/>
                    </w:rPr>
                    <w:t>专用</w:t>
                  </w:r>
                  <w:r>
                    <w:rPr>
                      <w:color w:val="auto"/>
                      <w:szCs w:val="21"/>
                    </w:rPr>
                    <w:t>管道抽至活性炭装置处理后</w:t>
                  </w:r>
                  <w:r>
                    <w:rPr>
                      <w:rFonts w:hint="eastAsia"/>
                      <w:color w:val="auto"/>
                      <w:szCs w:val="21"/>
                      <w:lang w:val="en-US" w:eastAsia="zh-CN"/>
                    </w:rPr>
                    <w:t>引至绿化带</w:t>
                  </w:r>
                  <w:r>
                    <w:rPr>
                      <w:color w:val="auto"/>
                      <w:szCs w:val="21"/>
                    </w:rPr>
                    <w:t>排放</w:t>
                  </w:r>
                  <w:r>
                    <w:rPr>
                      <w:rFonts w:hint="eastAsia"/>
                      <w:color w:val="auto"/>
                      <w:szCs w:val="21"/>
                    </w:rPr>
                    <w:t>，</w:t>
                  </w:r>
                  <w:r>
                    <w:rPr>
                      <w:color w:val="auto"/>
                      <w:szCs w:val="21"/>
                    </w:rPr>
                    <w:t>依托可行。</w:t>
                  </w:r>
                </w:p>
              </w:tc>
            </w:tr>
          </w:tbl>
          <w:p w14:paraId="6B420411">
            <w:pPr>
              <w:adjustRightInd w:val="0"/>
              <w:snapToGrid w:val="0"/>
              <w:spacing w:before="120" w:beforeLines="50" w:line="360" w:lineRule="auto"/>
              <w:rPr>
                <w:b/>
                <w:color w:val="auto"/>
                <w:sz w:val="24"/>
              </w:rPr>
            </w:pPr>
            <w:r>
              <w:rPr>
                <w:rFonts w:hint="eastAsia"/>
                <w:b/>
                <w:color w:val="auto"/>
                <w:sz w:val="24"/>
              </w:rPr>
              <w:t>2.3</w:t>
            </w:r>
            <w:r>
              <w:rPr>
                <w:b/>
                <w:color w:val="auto"/>
                <w:sz w:val="24"/>
              </w:rPr>
              <w:t>扩建服务能力及预计服务量</w:t>
            </w:r>
          </w:p>
          <w:p w14:paraId="43BDC2C8">
            <w:pPr>
              <w:spacing w:line="360" w:lineRule="auto"/>
              <w:ind w:firstLine="480" w:firstLineChars="200"/>
              <w:rPr>
                <w:bCs/>
                <w:color w:val="auto"/>
                <w:sz w:val="24"/>
              </w:rPr>
            </w:pPr>
            <w:r>
              <w:rPr>
                <w:bCs/>
                <w:color w:val="auto"/>
                <w:sz w:val="24"/>
              </w:rPr>
              <w:t>扩建项目新增</w:t>
            </w:r>
            <w:r>
              <w:rPr>
                <w:rFonts w:hint="eastAsia"/>
                <w:bCs/>
                <w:color w:val="auto"/>
                <w:sz w:val="24"/>
                <w:lang w:val="en-US" w:eastAsia="zh-CN"/>
              </w:rPr>
              <w:t>住院</w:t>
            </w:r>
            <w:r>
              <w:rPr>
                <w:bCs/>
                <w:color w:val="auto"/>
                <w:sz w:val="24"/>
              </w:rPr>
              <w:t>床位</w:t>
            </w:r>
            <w:r>
              <w:rPr>
                <w:rFonts w:hint="eastAsia"/>
                <w:bCs/>
                <w:color w:val="auto"/>
                <w:sz w:val="24"/>
                <w:lang w:val="en-US" w:eastAsia="zh-CN"/>
              </w:rPr>
              <w:t>60</w:t>
            </w:r>
            <w:r>
              <w:rPr>
                <w:bCs/>
                <w:color w:val="auto"/>
                <w:sz w:val="24"/>
              </w:rPr>
              <w:t>张，扩建后全院</w:t>
            </w:r>
            <w:r>
              <w:rPr>
                <w:rFonts w:hint="eastAsia"/>
                <w:bCs/>
                <w:color w:val="auto"/>
                <w:sz w:val="24"/>
                <w:lang w:val="en-US" w:eastAsia="zh-CN"/>
              </w:rPr>
              <w:t>住院</w:t>
            </w:r>
            <w:r>
              <w:rPr>
                <w:bCs/>
                <w:color w:val="auto"/>
                <w:sz w:val="24"/>
              </w:rPr>
              <w:t>床位共计</w:t>
            </w:r>
            <w:r>
              <w:rPr>
                <w:rFonts w:hint="eastAsia"/>
                <w:bCs/>
                <w:color w:val="auto"/>
                <w:sz w:val="24"/>
              </w:rPr>
              <w:t>1</w:t>
            </w:r>
            <w:r>
              <w:rPr>
                <w:rFonts w:hint="eastAsia"/>
                <w:bCs/>
                <w:color w:val="auto"/>
                <w:sz w:val="24"/>
                <w:lang w:val="en-US" w:eastAsia="zh-CN"/>
              </w:rPr>
              <w:t>50</w:t>
            </w:r>
            <w:r>
              <w:rPr>
                <w:bCs/>
                <w:color w:val="auto"/>
                <w:sz w:val="24"/>
              </w:rPr>
              <w:t>张；</w:t>
            </w:r>
            <w:r>
              <w:rPr>
                <w:rFonts w:hint="eastAsia"/>
                <w:bCs/>
                <w:color w:val="auto"/>
                <w:sz w:val="24"/>
                <w:lang w:val="en-US" w:eastAsia="zh-CN"/>
              </w:rPr>
              <w:t>托老区新增30张床位，托老区床位</w:t>
            </w:r>
            <w:r>
              <w:rPr>
                <w:bCs/>
                <w:color w:val="auto"/>
                <w:sz w:val="24"/>
              </w:rPr>
              <w:t>共计</w:t>
            </w:r>
            <w:r>
              <w:rPr>
                <w:rFonts w:hint="eastAsia"/>
                <w:bCs/>
                <w:color w:val="auto"/>
                <w:sz w:val="24"/>
              </w:rPr>
              <w:t>1</w:t>
            </w:r>
            <w:r>
              <w:rPr>
                <w:rFonts w:hint="eastAsia"/>
                <w:bCs/>
                <w:color w:val="auto"/>
                <w:sz w:val="24"/>
                <w:lang w:val="en-US" w:eastAsia="zh-CN"/>
              </w:rPr>
              <w:t>50</w:t>
            </w:r>
            <w:r>
              <w:rPr>
                <w:bCs/>
                <w:color w:val="auto"/>
                <w:sz w:val="24"/>
              </w:rPr>
              <w:t>张；</w:t>
            </w:r>
            <w:r>
              <w:rPr>
                <w:rFonts w:hint="eastAsia"/>
                <w:bCs/>
                <w:color w:val="auto"/>
                <w:sz w:val="24"/>
              </w:rPr>
              <w:t>由于床位扩编后医院有一定的富余能力可接诊病人，故</w:t>
            </w:r>
            <w:r>
              <w:rPr>
                <w:bCs/>
                <w:color w:val="auto"/>
                <w:sz w:val="24"/>
              </w:rPr>
              <w:t>项目扩建</w:t>
            </w:r>
            <w:r>
              <w:rPr>
                <w:rFonts w:hint="eastAsia"/>
                <w:bCs/>
                <w:color w:val="auto"/>
                <w:sz w:val="24"/>
              </w:rPr>
              <w:t>后</w:t>
            </w:r>
            <w:r>
              <w:rPr>
                <w:bCs/>
                <w:color w:val="auto"/>
                <w:sz w:val="24"/>
              </w:rPr>
              <w:t>预计年均新增接诊量约</w:t>
            </w:r>
            <w:r>
              <w:rPr>
                <w:rFonts w:hint="eastAsia"/>
                <w:bCs/>
                <w:color w:val="auto"/>
                <w:sz w:val="24"/>
              </w:rPr>
              <w:t>3.65</w:t>
            </w:r>
            <w:r>
              <w:rPr>
                <w:bCs/>
                <w:color w:val="auto"/>
                <w:sz w:val="24"/>
              </w:rPr>
              <w:t>万人次（日均</w:t>
            </w:r>
            <w:r>
              <w:rPr>
                <w:rFonts w:hint="eastAsia"/>
                <w:bCs/>
                <w:color w:val="auto"/>
                <w:sz w:val="24"/>
              </w:rPr>
              <w:t>10</w:t>
            </w:r>
            <w:r>
              <w:rPr>
                <w:bCs/>
                <w:color w:val="auto"/>
                <w:sz w:val="24"/>
              </w:rPr>
              <w:t>0人/d）；扩建完成后全院区年接诊量达约</w:t>
            </w:r>
            <w:r>
              <w:rPr>
                <w:rFonts w:hint="eastAsia"/>
                <w:bCs/>
                <w:color w:val="auto"/>
                <w:sz w:val="24"/>
              </w:rPr>
              <w:t>10.95</w:t>
            </w:r>
            <w:r>
              <w:rPr>
                <w:bCs/>
                <w:color w:val="auto"/>
                <w:sz w:val="24"/>
              </w:rPr>
              <w:t>万人次（日均</w:t>
            </w:r>
            <w:r>
              <w:rPr>
                <w:rFonts w:hint="eastAsia"/>
                <w:bCs/>
                <w:color w:val="auto"/>
                <w:sz w:val="24"/>
              </w:rPr>
              <w:t>300</w:t>
            </w:r>
            <w:r>
              <w:rPr>
                <w:bCs/>
                <w:color w:val="auto"/>
                <w:sz w:val="24"/>
              </w:rPr>
              <w:t>人/d）。</w:t>
            </w:r>
          </w:p>
          <w:p w14:paraId="2162703B">
            <w:pPr>
              <w:spacing w:line="360" w:lineRule="auto"/>
              <w:rPr>
                <w:b/>
                <w:color w:val="auto"/>
                <w:sz w:val="24"/>
              </w:rPr>
            </w:pPr>
            <w:r>
              <w:rPr>
                <w:rFonts w:hint="eastAsia"/>
                <w:b/>
                <w:bCs/>
                <w:color w:val="auto"/>
                <w:sz w:val="24"/>
              </w:rPr>
              <w:t>2.4</w:t>
            </w:r>
            <w:r>
              <w:rPr>
                <w:b/>
                <w:color w:val="auto"/>
                <w:sz w:val="24"/>
              </w:rPr>
              <w:t>扩建项目主要设备</w:t>
            </w:r>
          </w:p>
          <w:p w14:paraId="744BA4CC">
            <w:pPr>
              <w:spacing w:line="360" w:lineRule="auto"/>
              <w:ind w:firstLine="480" w:firstLineChars="200"/>
              <w:rPr>
                <w:color w:val="auto"/>
                <w:sz w:val="24"/>
              </w:rPr>
            </w:pPr>
            <w:r>
              <w:rPr>
                <w:rFonts w:hint="eastAsia"/>
                <w:color w:val="auto"/>
                <w:sz w:val="24"/>
              </w:rPr>
              <w:t>扩建项目</w:t>
            </w:r>
            <w:r>
              <w:rPr>
                <w:rFonts w:hint="eastAsia"/>
                <w:color w:val="auto"/>
                <w:sz w:val="24"/>
                <w:lang w:val="en-US" w:eastAsia="zh-CN"/>
              </w:rPr>
              <w:t>不新增科室、设备</w:t>
            </w:r>
            <w:r>
              <w:rPr>
                <w:rFonts w:hint="eastAsia"/>
                <w:color w:val="auto"/>
                <w:sz w:val="24"/>
                <w:lang w:eastAsia="zh-CN"/>
              </w:rPr>
              <w:t>，</w:t>
            </w:r>
            <w:r>
              <w:rPr>
                <w:rFonts w:hint="eastAsia"/>
                <w:color w:val="auto"/>
                <w:sz w:val="24"/>
              </w:rPr>
              <w:t>主要新增病床数量，</w:t>
            </w:r>
            <w:r>
              <w:rPr>
                <w:rFonts w:hint="eastAsia"/>
                <w:color w:val="auto"/>
                <w:sz w:val="24"/>
                <w:lang w:val="en-US" w:eastAsia="zh-CN"/>
              </w:rPr>
              <w:t>所有设备均依托现有项目。</w:t>
            </w:r>
          </w:p>
          <w:p w14:paraId="5A296C2B">
            <w:pPr>
              <w:jc w:val="center"/>
              <w:rPr>
                <w:b/>
                <w:color w:val="auto"/>
                <w:sz w:val="24"/>
              </w:rPr>
            </w:pPr>
            <w:r>
              <w:rPr>
                <w:b/>
                <w:bCs/>
                <w:color w:val="auto"/>
                <w:sz w:val="24"/>
              </w:rPr>
              <w:t>表2-</w:t>
            </w:r>
            <w:r>
              <w:rPr>
                <w:rFonts w:hint="eastAsia"/>
                <w:b/>
                <w:bCs/>
                <w:color w:val="auto"/>
                <w:sz w:val="24"/>
              </w:rPr>
              <w:t>3</w:t>
            </w:r>
            <w:r>
              <w:rPr>
                <w:b/>
                <w:color w:val="auto"/>
                <w:sz w:val="24"/>
              </w:rPr>
              <w:t>设备配置一览表</w:t>
            </w:r>
          </w:p>
          <w:tbl>
            <w:tblPr>
              <w:tblStyle w:val="25"/>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5"/>
              <w:gridCol w:w="2326"/>
              <w:gridCol w:w="2521"/>
              <w:gridCol w:w="639"/>
              <w:gridCol w:w="762"/>
              <w:gridCol w:w="1107"/>
            </w:tblGrid>
            <w:tr w14:paraId="15A0E9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74E628FE">
                  <w:pPr>
                    <w:spacing w:before="55" w:line="222" w:lineRule="auto"/>
                    <w:ind w:left="115"/>
                    <w:rPr>
                      <w:rFonts w:ascii="宋体" w:hAnsi="宋体" w:cs="宋体"/>
                      <w:color w:val="auto"/>
                      <w:szCs w:val="21"/>
                    </w:rPr>
                  </w:pPr>
                  <w:r>
                    <w:rPr>
                      <w:rFonts w:ascii="宋体" w:hAnsi="宋体" w:cs="宋体"/>
                      <w:color w:val="auto"/>
                      <w:spacing w:val="-2"/>
                      <w:szCs w:val="21"/>
                    </w:rPr>
                    <w:t>序</w:t>
                  </w:r>
                  <w:r>
                    <w:rPr>
                      <w:rFonts w:ascii="宋体" w:hAnsi="宋体" w:cs="宋体"/>
                      <w:color w:val="auto"/>
                      <w:spacing w:val="-1"/>
                      <w:szCs w:val="21"/>
                    </w:rPr>
                    <w:t>号</w:t>
                  </w:r>
                </w:p>
              </w:tc>
              <w:tc>
                <w:tcPr>
                  <w:tcW w:w="2326" w:type="dxa"/>
                  <w:noWrap w:val="0"/>
                  <w:vAlign w:val="top"/>
                </w:tcPr>
                <w:p w14:paraId="70E6E437">
                  <w:pPr>
                    <w:spacing w:before="55" w:line="222" w:lineRule="auto"/>
                    <w:ind w:left="115"/>
                    <w:rPr>
                      <w:rFonts w:ascii="宋体" w:hAnsi="宋体" w:cs="宋体"/>
                      <w:color w:val="auto"/>
                      <w:szCs w:val="21"/>
                    </w:rPr>
                  </w:pPr>
                  <w:r>
                    <w:rPr>
                      <w:rFonts w:ascii="宋体" w:hAnsi="宋体" w:cs="宋体"/>
                      <w:color w:val="auto"/>
                      <w:spacing w:val="-3"/>
                      <w:szCs w:val="21"/>
                    </w:rPr>
                    <w:t>设</w:t>
                  </w:r>
                  <w:r>
                    <w:rPr>
                      <w:rFonts w:ascii="宋体" w:hAnsi="宋体" w:cs="宋体"/>
                      <w:color w:val="auto"/>
                      <w:spacing w:val="-2"/>
                      <w:szCs w:val="21"/>
                    </w:rPr>
                    <w:t>备名称</w:t>
                  </w:r>
                </w:p>
              </w:tc>
              <w:tc>
                <w:tcPr>
                  <w:tcW w:w="2521" w:type="dxa"/>
                  <w:noWrap w:val="0"/>
                  <w:vAlign w:val="top"/>
                </w:tcPr>
                <w:p w14:paraId="1F7686D2">
                  <w:pPr>
                    <w:spacing w:before="55" w:line="221" w:lineRule="auto"/>
                    <w:ind w:left="112"/>
                    <w:rPr>
                      <w:rFonts w:ascii="宋体" w:hAnsi="宋体" w:cs="宋体"/>
                      <w:color w:val="auto"/>
                      <w:szCs w:val="21"/>
                    </w:rPr>
                  </w:pPr>
                  <w:r>
                    <w:rPr>
                      <w:rFonts w:ascii="宋体" w:hAnsi="宋体" w:cs="宋体"/>
                      <w:color w:val="auto"/>
                      <w:spacing w:val="-2"/>
                      <w:szCs w:val="21"/>
                    </w:rPr>
                    <w:t>规格</w:t>
                  </w:r>
                  <w:r>
                    <w:rPr>
                      <w:rFonts w:ascii="宋体" w:hAnsi="宋体" w:cs="宋体"/>
                      <w:color w:val="auto"/>
                      <w:spacing w:val="-1"/>
                      <w:szCs w:val="21"/>
                    </w:rPr>
                    <w:t>型号</w:t>
                  </w:r>
                </w:p>
              </w:tc>
              <w:tc>
                <w:tcPr>
                  <w:tcW w:w="639" w:type="dxa"/>
                  <w:noWrap w:val="0"/>
                  <w:vAlign w:val="top"/>
                </w:tcPr>
                <w:p w14:paraId="5398CF8D">
                  <w:pPr>
                    <w:spacing w:before="56" w:line="221" w:lineRule="auto"/>
                    <w:ind w:left="114"/>
                    <w:rPr>
                      <w:rFonts w:ascii="宋体" w:hAnsi="宋体" w:cs="宋体"/>
                      <w:color w:val="auto"/>
                      <w:szCs w:val="21"/>
                    </w:rPr>
                  </w:pPr>
                  <w:r>
                    <w:rPr>
                      <w:rFonts w:ascii="宋体" w:hAnsi="宋体" w:cs="宋体"/>
                      <w:color w:val="auto"/>
                      <w:spacing w:val="-2"/>
                      <w:szCs w:val="21"/>
                    </w:rPr>
                    <w:t>单位</w:t>
                  </w:r>
                </w:p>
              </w:tc>
              <w:tc>
                <w:tcPr>
                  <w:tcW w:w="762" w:type="dxa"/>
                  <w:noWrap w:val="0"/>
                  <w:vAlign w:val="top"/>
                </w:tcPr>
                <w:p w14:paraId="0F6BEAF7">
                  <w:pPr>
                    <w:spacing w:before="55" w:line="221" w:lineRule="auto"/>
                    <w:ind w:left="114"/>
                    <w:rPr>
                      <w:rFonts w:ascii="宋体" w:hAnsi="宋体" w:cs="宋体"/>
                      <w:color w:val="auto"/>
                      <w:szCs w:val="21"/>
                    </w:rPr>
                  </w:pPr>
                  <w:r>
                    <w:rPr>
                      <w:rFonts w:ascii="宋体" w:hAnsi="宋体" w:cs="宋体"/>
                      <w:color w:val="auto"/>
                      <w:spacing w:val="-2"/>
                      <w:szCs w:val="21"/>
                    </w:rPr>
                    <w:t>数量</w:t>
                  </w:r>
                </w:p>
              </w:tc>
              <w:tc>
                <w:tcPr>
                  <w:tcW w:w="1107" w:type="dxa"/>
                  <w:noWrap w:val="0"/>
                  <w:vAlign w:val="top"/>
                </w:tcPr>
                <w:p w14:paraId="21B4D7F6">
                  <w:pPr>
                    <w:spacing w:before="55" w:line="222" w:lineRule="auto"/>
                    <w:ind w:left="118"/>
                    <w:rPr>
                      <w:rFonts w:ascii="宋体" w:hAnsi="宋体" w:cs="宋体"/>
                      <w:color w:val="auto"/>
                      <w:szCs w:val="21"/>
                    </w:rPr>
                  </w:pPr>
                  <w:r>
                    <w:rPr>
                      <w:rFonts w:ascii="宋体" w:hAnsi="宋体" w:cs="宋体"/>
                      <w:color w:val="auto"/>
                      <w:spacing w:val="-3"/>
                      <w:szCs w:val="21"/>
                    </w:rPr>
                    <w:t>备</w:t>
                  </w:r>
                  <w:r>
                    <w:rPr>
                      <w:rFonts w:ascii="宋体" w:hAnsi="宋体" w:cs="宋体"/>
                      <w:color w:val="auto"/>
                      <w:spacing w:val="-2"/>
                      <w:szCs w:val="21"/>
                    </w:rPr>
                    <w:t>注</w:t>
                  </w:r>
                </w:p>
              </w:tc>
            </w:tr>
            <w:tr w14:paraId="78B97E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7890" w:type="dxa"/>
                  <w:gridSpan w:val="6"/>
                  <w:noWrap w:val="0"/>
                  <w:vAlign w:val="top"/>
                </w:tcPr>
                <w:p w14:paraId="33B90046">
                  <w:pPr>
                    <w:spacing w:before="55" w:line="222" w:lineRule="auto"/>
                    <w:ind w:left="118"/>
                    <w:jc w:val="center"/>
                    <w:rPr>
                      <w:rFonts w:ascii="宋体" w:hAnsi="宋体" w:cs="宋体"/>
                      <w:color w:val="auto"/>
                      <w:spacing w:val="-3"/>
                      <w:szCs w:val="21"/>
                    </w:rPr>
                  </w:pPr>
                  <w:r>
                    <w:rPr>
                      <w:rFonts w:hint="eastAsia"/>
                      <w:b/>
                      <w:bCs/>
                      <w:color w:val="auto"/>
                      <w:szCs w:val="21"/>
                    </w:rPr>
                    <w:t>依托设备（现有项目）</w:t>
                  </w:r>
                </w:p>
              </w:tc>
            </w:tr>
            <w:tr w14:paraId="6046B2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0A945EF4">
                  <w:pPr>
                    <w:spacing w:before="87" w:line="187" w:lineRule="auto"/>
                    <w:jc w:val="center"/>
                    <w:rPr>
                      <w:rFonts w:eastAsia="Times New Roman"/>
                      <w:color w:val="auto"/>
                      <w:szCs w:val="21"/>
                    </w:rPr>
                  </w:pPr>
                  <w:r>
                    <w:rPr>
                      <w:rFonts w:eastAsia="Times New Roman"/>
                      <w:color w:val="auto"/>
                      <w:szCs w:val="21"/>
                    </w:rPr>
                    <w:t>1</w:t>
                  </w:r>
                </w:p>
              </w:tc>
              <w:tc>
                <w:tcPr>
                  <w:tcW w:w="2326" w:type="dxa"/>
                  <w:noWrap w:val="0"/>
                  <w:vAlign w:val="center"/>
                </w:tcPr>
                <w:p w14:paraId="058CAF6D">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四维彩超机</w:t>
                  </w:r>
                </w:p>
              </w:tc>
              <w:tc>
                <w:tcPr>
                  <w:tcW w:w="2521" w:type="dxa"/>
                  <w:noWrap w:val="0"/>
                  <w:vAlign w:val="center"/>
                </w:tcPr>
                <w:p w14:paraId="427651D8">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GE730</w:t>
                  </w:r>
                </w:p>
              </w:tc>
              <w:tc>
                <w:tcPr>
                  <w:tcW w:w="639" w:type="dxa"/>
                  <w:noWrap w:val="0"/>
                  <w:vAlign w:val="top"/>
                </w:tcPr>
                <w:p w14:paraId="130BDDD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E8CD009">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restart"/>
                  <w:noWrap w:val="0"/>
                  <w:vAlign w:val="center"/>
                </w:tcPr>
                <w:p w14:paraId="78AD8324">
                  <w:pPr>
                    <w:spacing w:before="51" w:line="221" w:lineRule="auto"/>
                    <w:ind w:left="117"/>
                    <w:jc w:val="center"/>
                    <w:rPr>
                      <w:rFonts w:hint="default" w:ascii="宋体" w:hAnsi="宋体" w:eastAsia="宋体" w:cs="宋体"/>
                      <w:color w:val="auto"/>
                      <w:szCs w:val="21"/>
                      <w:lang w:val="en-US" w:eastAsia="zh-CN"/>
                    </w:rPr>
                  </w:pPr>
                  <w:r>
                    <w:rPr>
                      <w:rFonts w:hint="eastAsia"/>
                      <w:color w:val="auto"/>
                      <w:szCs w:val="21"/>
                      <w:lang w:val="en-US" w:eastAsia="zh-CN"/>
                    </w:rPr>
                    <w:t>已有，通用。</w:t>
                  </w:r>
                </w:p>
              </w:tc>
            </w:tr>
            <w:tr w14:paraId="2C17AF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24A1BEB5">
                  <w:pPr>
                    <w:spacing w:before="88" w:line="187" w:lineRule="auto"/>
                    <w:jc w:val="center"/>
                    <w:rPr>
                      <w:rFonts w:eastAsia="Times New Roman"/>
                      <w:color w:val="auto"/>
                      <w:szCs w:val="21"/>
                    </w:rPr>
                  </w:pPr>
                  <w:r>
                    <w:rPr>
                      <w:rFonts w:eastAsia="Times New Roman"/>
                      <w:color w:val="auto"/>
                      <w:szCs w:val="21"/>
                    </w:rPr>
                    <w:t>2</w:t>
                  </w:r>
                </w:p>
              </w:tc>
              <w:tc>
                <w:tcPr>
                  <w:tcW w:w="2326" w:type="dxa"/>
                  <w:noWrap w:val="0"/>
                  <w:vAlign w:val="center"/>
                </w:tcPr>
                <w:p w14:paraId="2F7A5F7F">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显微镜</w:t>
                  </w:r>
                </w:p>
              </w:tc>
              <w:tc>
                <w:tcPr>
                  <w:tcW w:w="2521" w:type="dxa"/>
                  <w:noWrap w:val="0"/>
                  <w:vAlign w:val="center"/>
                </w:tcPr>
                <w:p w14:paraId="54AC9BA7">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BHA</w:t>
                  </w:r>
                </w:p>
              </w:tc>
              <w:tc>
                <w:tcPr>
                  <w:tcW w:w="639" w:type="dxa"/>
                  <w:noWrap w:val="0"/>
                  <w:vAlign w:val="top"/>
                </w:tcPr>
                <w:p w14:paraId="059C750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26103FE0">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32B8FE0D">
                  <w:pPr>
                    <w:spacing w:before="52" w:line="221" w:lineRule="auto"/>
                    <w:ind w:left="117"/>
                    <w:rPr>
                      <w:rFonts w:ascii="宋体" w:hAnsi="宋体" w:cs="宋体"/>
                      <w:color w:val="auto"/>
                      <w:szCs w:val="21"/>
                    </w:rPr>
                  </w:pPr>
                </w:p>
              </w:tc>
            </w:tr>
            <w:tr w14:paraId="5E6D63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08B180DA">
                  <w:pPr>
                    <w:spacing w:before="90" w:line="187" w:lineRule="auto"/>
                    <w:jc w:val="center"/>
                    <w:rPr>
                      <w:rFonts w:eastAsia="Times New Roman"/>
                      <w:color w:val="auto"/>
                      <w:szCs w:val="21"/>
                    </w:rPr>
                  </w:pPr>
                  <w:r>
                    <w:rPr>
                      <w:rFonts w:eastAsia="Times New Roman"/>
                      <w:color w:val="auto"/>
                      <w:szCs w:val="21"/>
                    </w:rPr>
                    <w:t>3</w:t>
                  </w:r>
                </w:p>
              </w:tc>
              <w:tc>
                <w:tcPr>
                  <w:tcW w:w="2326" w:type="dxa"/>
                  <w:noWrap w:val="0"/>
                  <w:vAlign w:val="center"/>
                </w:tcPr>
                <w:p w14:paraId="70851F8B">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血凝仪</w:t>
                  </w:r>
                </w:p>
              </w:tc>
              <w:tc>
                <w:tcPr>
                  <w:tcW w:w="2521" w:type="dxa"/>
                  <w:noWrap w:val="0"/>
                  <w:vAlign w:val="center"/>
                </w:tcPr>
                <w:p w14:paraId="68A41A8B">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TECO</w:t>
                  </w:r>
                </w:p>
              </w:tc>
              <w:tc>
                <w:tcPr>
                  <w:tcW w:w="639" w:type="dxa"/>
                  <w:noWrap w:val="0"/>
                  <w:vAlign w:val="top"/>
                </w:tcPr>
                <w:p w14:paraId="373894AF">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574C1640">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36E38D98">
                  <w:pPr>
                    <w:spacing w:before="54" w:line="221" w:lineRule="auto"/>
                    <w:ind w:left="117"/>
                    <w:rPr>
                      <w:rFonts w:ascii="宋体" w:hAnsi="宋体" w:cs="宋体"/>
                      <w:color w:val="auto"/>
                      <w:szCs w:val="21"/>
                    </w:rPr>
                  </w:pPr>
                </w:p>
              </w:tc>
            </w:tr>
            <w:tr w14:paraId="4367B3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10321702">
                  <w:pPr>
                    <w:spacing w:before="88" w:line="187" w:lineRule="auto"/>
                    <w:jc w:val="center"/>
                    <w:rPr>
                      <w:rFonts w:eastAsia="Times New Roman"/>
                      <w:color w:val="auto"/>
                      <w:szCs w:val="21"/>
                    </w:rPr>
                  </w:pPr>
                  <w:r>
                    <w:rPr>
                      <w:rFonts w:eastAsia="Times New Roman"/>
                      <w:color w:val="auto"/>
                      <w:szCs w:val="21"/>
                    </w:rPr>
                    <w:t>4</w:t>
                  </w:r>
                </w:p>
              </w:tc>
              <w:tc>
                <w:tcPr>
                  <w:tcW w:w="2326" w:type="dxa"/>
                  <w:noWrap w:val="0"/>
                  <w:vAlign w:val="center"/>
                </w:tcPr>
                <w:p w14:paraId="0ED21FCF">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黑白B超</w:t>
                  </w:r>
                </w:p>
              </w:tc>
              <w:tc>
                <w:tcPr>
                  <w:tcW w:w="2521" w:type="dxa"/>
                  <w:noWrap w:val="0"/>
                  <w:vAlign w:val="center"/>
                </w:tcPr>
                <w:p w14:paraId="4570585B">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HY-3100</w:t>
                  </w:r>
                </w:p>
              </w:tc>
              <w:tc>
                <w:tcPr>
                  <w:tcW w:w="639" w:type="dxa"/>
                  <w:noWrap w:val="0"/>
                  <w:vAlign w:val="top"/>
                </w:tcPr>
                <w:p w14:paraId="7C06102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085DC5D1">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54F65901">
                  <w:pPr>
                    <w:spacing w:before="52" w:line="221" w:lineRule="auto"/>
                    <w:ind w:left="117"/>
                    <w:rPr>
                      <w:rFonts w:ascii="宋体" w:hAnsi="宋体" w:cs="宋体"/>
                      <w:color w:val="auto"/>
                      <w:szCs w:val="21"/>
                    </w:rPr>
                  </w:pPr>
                </w:p>
              </w:tc>
            </w:tr>
            <w:tr w14:paraId="36357D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5A573226">
                  <w:pPr>
                    <w:spacing w:before="91" w:line="184" w:lineRule="auto"/>
                    <w:jc w:val="center"/>
                    <w:rPr>
                      <w:rFonts w:eastAsia="Times New Roman"/>
                      <w:color w:val="auto"/>
                      <w:szCs w:val="21"/>
                    </w:rPr>
                  </w:pPr>
                  <w:r>
                    <w:rPr>
                      <w:rFonts w:eastAsia="Times New Roman"/>
                      <w:color w:val="auto"/>
                      <w:szCs w:val="21"/>
                    </w:rPr>
                    <w:t>5</w:t>
                  </w:r>
                </w:p>
              </w:tc>
              <w:tc>
                <w:tcPr>
                  <w:tcW w:w="2326" w:type="dxa"/>
                  <w:noWrap w:val="0"/>
                  <w:vAlign w:val="center"/>
                </w:tcPr>
                <w:p w14:paraId="3A530F3C">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腹腔镜</w:t>
                  </w:r>
                </w:p>
              </w:tc>
              <w:tc>
                <w:tcPr>
                  <w:tcW w:w="2521" w:type="dxa"/>
                  <w:noWrap w:val="0"/>
                  <w:vAlign w:val="center"/>
                </w:tcPr>
                <w:p w14:paraId="0C141229">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ECHO1-D</w:t>
                  </w:r>
                </w:p>
              </w:tc>
              <w:tc>
                <w:tcPr>
                  <w:tcW w:w="639" w:type="dxa"/>
                  <w:noWrap w:val="0"/>
                  <w:vAlign w:val="top"/>
                </w:tcPr>
                <w:p w14:paraId="7B2C901C">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0DDF15A4">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24A4A4F4">
                  <w:pPr>
                    <w:spacing w:before="52" w:line="221" w:lineRule="auto"/>
                    <w:ind w:left="117"/>
                    <w:rPr>
                      <w:rFonts w:ascii="宋体" w:hAnsi="宋体" w:cs="宋体"/>
                      <w:color w:val="auto"/>
                      <w:szCs w:val="21"/>
                    </w:rPr>
                  </w:pPr>
                </w:p>
              </w:tc>
            </w:tr>
            <w:tr w14:paraId="358C1E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08DE2610">
                  <w:pPr>
                    <w:spacing w:before="88" w:line="187" w:lineRule="auto"/>
                    <w:jc w:val="center"/>
                    <w:rPr>
                      <w:rFonts w:eastAsia="Times New Roman"/>
                      <w:color w:val="auto"/>
                      <w:szCs w:val="21"/>
                    </w:rPr>
                  </w:pPr>
                  <w:r>
                    <w:rPr>
                      <w:rFonts w:eastAsia="Times New Roman"/>
                      <w:color w:val="auto"/>
                      <w:szCs w:val="21"/>
                    </w:rPr>
                    <w:t>6</w:t>
                  </w:r>
                </w:p>
              </w:tc>
              <w:tc>
                <w:tcPr>
                  <w:tcW w:w="2326" w:type="dxa"/>
                  <w:noWrap w:val="0"/>
                  <w:vAlign w:val="center"/>
                </w:tcPr>
                <w:p w14:paraId="486BBCE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宫腔镜</w:t>
                  </w:r>
                </w:p>
              </w:tc>
              <w:tc>
                <w:tcPr>
                  <w:tcW w:w="2521" w:type="dxa"/>
                  <w:noWrap w:val="0"/>
                  <w:vAlign w:val="center"/>
                </w:tcPr>
                <w:p w14:paraId="05635901">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JRJ-III</w:t>
                  </w:r>
                </w:p>
              </w:tc>
              <w:tc>
                <w:tcPr>
                  <w:tcW w:w="639" w:type="dxa"/>
                  <w:noWrap w:val="0"/>
                  <w:vAlign w:val="top"/>
                </w:tcPr>
                <w:p w14:paraId="7FDF7DA9">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5D81F34A">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5F25E764">
                  <w:pPr>
                    <w:spacing w:before="52" w:line="221" w:lineRule="auto"/>
                    <w:ind w:left="117"/>
                    <w:rPr>
                      <w:rFonts w:ascii="宋体" w:hAnsi="宋体" w:cs="宋体"/>
                      <w:color w:val="auto"/>
                      <w:szCs w:val="21"/>
                    </w:rPr>
                  </w:pPr>
                </w:p>
              </w:tc>
            </w:tr>
            <w:tr w14:paraId="13A647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52C383C0">
                  <w:pPr>
                    <w:spacing w:before="90" w:line="184" w:lineRule="auto"/>
                    <w:jc w:val="center"/>
                    <w:rPr>
                      <w:rFonts w:eastAsia="Times New Roman"/>
                      <w:color w:val="auto"/>
                      <w:szCs w:val="21"/>
                    </w:rPr>
                  </w:pPr>
                  <w:r>
                    <w:rPr>
                      <w:rFonts w:eastAsia="Times New Roman"/>
                      <w:color w:val="auto"/>
                      <w:szCs w:val="21"/>
                    </w:rPr>
                    <w:t>7</w:t>
                  </w:r>
                </w:p>
              </w:tc>
              <w:tc>
                <w:tcPr>
                  <w:tcW w:w="2326" w:type="dxa"/>
                  <w:noWrap w:val="0"/>
                  <w:vAlign w:val="center"/>
                </w:tcPr>
                <w:p w14:paraId="44DDF0B7">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多参数监护仪</w:t>
                  </w:r>
                </w:p>
              </w:tc>
              <w:tc>
                <w:tcPr>
                  <w:tcW w:w="2521" w:type="dxa"/>
                  <w:noWrap w:val="0"/>
                  <w:vAlign w:val="center"/>
                </w:tcPr>
                <w:p w14:paraId="1F0B24AA">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ZDIZD</w:t>
                  </w:r>
                </w:p>
              </w:tc>
              <w:tc>
                <w:tcPr>
                  <w:tcW w:w="639" w:type="dxa"/>
                  <w:noWrap w:val="0"/>
                  <w:vAlign w:val="top"/>
                </w:tcPr>
                <w:p w14:paraId="21D822B8">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ED5F1C9">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4</w:t>
                  </w:r>
                </w:p>
              </w:tc>
              <w:tc>
                <w:tcPr>
                  <w:tcW w:w="1107" w:type="dxa"/>
                  <w:vMerge w:val="continue"/>
                  <w:noWrap w:val="0"/>
                  <w:vAlign w:val="top"/>
                </w:tcPr>
                <w:p w14:paraId="3C1805DF">
                  <w:pPr>
                    <w:spacing w:before="51" w:line="221" w:lineRule="auto"/>
                    <w:ind w:left="117"/>
                    <w:rPr>
                      <w:rFonts w:ascii="宋体" w:hAnsi="宋体" w:cs="宋体"/>
                      <w:color w:val="auto"/>
                      <w:szCs w:val="21"/>
                    </w:rPr>
                  </w:pPr>
                </w:p>
              </w:tc>
            </w:tr>
            <w:tr w14:paraId="7E3E93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7F8A276A">
                  <w:pPr>
                    <w:spacing w:before="87" w:line="187" w:lineRule="auto"/>
                    <w:jc w:val="center"/>
                    <w:rPr>
                      <w:rFonts w:eastAsia="Times New Roman"/>
                      <w:color w:val="auto"/>
                      <w:szCs w:val="21"/>
                    </w:rPr>
                  </w:pPr>
                  <w:r>
                    <w:rPr>
                      <w:rFonts w:eastAsia="Times New Roman"/>
                      <w:color w:val="auto"/>
                      <w:szCs w:val="21"/>
                    </w:rPr>
                    <w:t>8</w:t>
                  </w:r>
                </w:p>
              </w:tc>
              <w:tc>
                <w:tcPr>
                  <w:tcW w:w="2326" w:type="dxa"/>
                  <w:noWrap w:val="0"/>
                  <w:vAlign w:val="center"/>
                </w:tcPr>
                <w:p w14:paraId="5490B568">
                  <w:pPr>
                    <w:spacing w:before="59" w:line="220" w:lineRule="auto"/>
                    <w:ind w:left="111"/>
                    <w:jc w:val="center"/>
                    <w:rPr>
                      <w:rFonts w:hint="default" w:ascii="Times New Roman" w:hAnsi="Times New Roman" w:eastAsia="Times New Roman" w:cs="Times New Roman"/>
                      <w:color w:val="auto"/>
                      <w:szCs w:val="21"/>
                    </w:rPr>
                  </w:pPr>
                  <w:r>
                    <w:rPr>
                      <w:rFonts w:hint="eastAsia" w:ascii="Times New Roman" w:hAnsi="Times New Roman" w:eastAsia="宋体" w:cs="Times New Roman"/>
                      <w:color w:val="auto"/>
                      <w:szCs w:val="21"/>
                      <w:lang w:val="en-US" w:eastAsia="zh-CN"/>
                    </w:rPr>
                    <w:t>X射线</w:t>
                  </w:r>
                  <w:r>
                    <w:rPr>
                      <w:rFonts w:hint="default" w:ascii="Times New Roman" w:hAnsi="Times New Roman" w:eastAsia="Times New Roman" w:cs="Times New Roman"/>
                      <w:color w:val="auto"/>
                      <w:szCs w:val="21"/>
                    </w:rPr>
                    <w:t>机</w:t>
                  </w:r>
                </w:p>
              </w:tc>
              <w:tc>
                <w:tcPr>
                  <w:tcW w:w="2521" w:type="dxa"/>
                  <w:noWrap w:val="0"/>
                  <w:vAlign w:val="center"/>
                </w:tcPr>
                <w:p w14:paraId="67C67183">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lang w:val="en-US" w:eastAsia="zh-CN"/>
                    </w:rPr>
                    <w:t>Ⅲ</w:t>
                  </w:r>
                  <w:r>
                    <w:rPr>
                      <w:rFonts w:hint="eastAsia" w:eastAsia="Times New Roman" w:cs="Times New Roman"/>
                      <w:color w:val="auto"/>
                      <w:szCs w:val="21"/>
                      <w:lang w:val="en-US" w:eastAsia="zh-CN"/>
                    </w:rPr>
                    <w:t>类射线</w:t>
                  </w:r>
                </w:p>
              </w:tc>
              <w:tc>
                <w:tcPr>
                  <w:tcW w:w="639" w:type="dxa"/>
                  <w:noWrap w:val="0"/>
                  <w:vAlign w:val="top"/>
                </w:tcPr>
                <w:p w14:paraId="49C74CF9">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3BD685BF">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68348860">
                  <w:pPr>
                    <w:spacing w:before="51" w:line="221" w:lineRule="auto"/>
                    <w:ind w:left="117"/>
                    <w:rPr>
                      <w:rFonts w:ascii="宋体" w:hAnsi="宋体" w:cs="宋体"/>
                      <w:color w:val="auto"/>
                      <w:szCs w:val="21"/>
                    </w:rPr>
                  </w:pPr>
                </w:p>
              </w:tc>
            </w:tr>
            <w:tr w14:paraId="2E72D9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6" w:hRule="atLeast"/>
                <w:jc w:val="center"/>
              </w:trPr>
              <w:tc>
                <w:tcPr>
                  <w:tcW w:w="535" w:type="dxa"/>
                  <w:noWrap w:val="0"/>
                  <w:vAlign w:val="top"/>
                </w:tcPr>
                <w:p w14:paraId="30D6D5B0">
                  <w:pPr>
                    <w:spacing w:before="90"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zCs w:val="21"/>
                    </w:rPr>
                    <w:t>9</w:t>
                  </w:r>
                </w:p>
              </w:tc>
              <w:tc>
                <w:tcPr>
                  <w:tcW w:w="2326" w:type="dxa"/>
                  <w:noWrap w:val="0"/>
                  <w:vAlign w:val="center"/>
                </w:tcPr>
                <w:p w14:paraId="140EB20F">
                  <w:pPr>
                    <w:spacing w:before="59" w:line="220" w:lineRule="auto"/>
                    <w:ind w:left="111" w:leftChars="0"/>
                    <w:jc w:val="center"/>
                    <w:rPr>
                      <w:rFonts w:hint="eastAsia" w:ascii="Times New Roman" w:hAnsi="Times New Roman" w:eastAsia="宋体" w:cs="Times New Roman"/>
                      <w:color w:val="auto"/>
                      <w:kern w:val="2"/>
                      <w:sz w:val="21"/>
                      <w:szCs w:val="24"/>
                      <w:lang w:val="en-US" w:eastAsia="zh-CN" w:bidi="ar-SA"/>
                    </w:rPr>
                  </w:pPr>
                  <w:r>
                    <w:rPr>
                      <w:rFonts w:eastAsia="Times New Roman"/>
                      <w:color w:val="auto"/>
                      <w:szCs w:val="21"/>
                    </w:rPr>
                    <w:t>CT</w:t>
                  </w:r>
                  <w:r>
                    <w:rPr>
                      <w:rFonts w:ascii="宋体" w:hAnsi="宋体" w:cs="宋体"/>
                      <w:color w:val="auto"/>
                      <w:szCs w:val="21"/>
                    </w:rPr>
                    <w:t>机</w:t>
                  </w:r>
                </w:p>
              </w:tc>
              <w:tc>
                <w:tcPr>
                  <w:tcW w:w="2521" w:type="dxa"/>
                  <w:noWrap w:val="0"/>
                  <w:vAlign w:val="center"/>
                </w:tcPr>
                <w:p w14:paraId="47EEE5B8">
                  <w:pPr>
                    <w:spacing w:before="58" w:line="221" w:lineRule="auto"/>
                    <w:ind w:left="112" w:lef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pacing w:val="-2"/>
                      <w:szCs w:val="21"/>
                      <w:lang w:val="en-US" w:eastAsia="zh-CN"/>
                    </w:rPr>
                    <w:t>UCT510型</w:t>
                  </w:r>
                </w:p>
              </w:tc>
              <w:tc>
                <w:tcPr>
                  <w:tcW w:w="639" w:type="dxa"/>
                  <w:noWrap w:val="0"/>
                  <w:vAlign w:val="top"/>
                </w:tcPr>
                <w:p w14:paraId="09D981D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noWrap w:val="0"/>
                  <w:vAlign w:val="center"/>
                </w:tcPr>
                <w:p w14:paraId="6ED6149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c>
                <w:tcPr>
                  <w:tcW w:w="1107" w:type="dxa"/>
                  <w:vMerge w:val="continue"/>
                  <w:noWrap w:val="0"/>
                  <w:vAlign w:val="top"/>
                </w:tcPr>
                <w:p w14:paraId="753756F3">
                  <w:pPr>
                    <w:spacing w:before="51" w:line="221" w:lineRule="auto"/>
                    <w:ind w:left="117"/>
                    <w:rPr>
                      <w:rFonts w:ascii="宋体" w:hAnsi="宋体" w:cs="宋体"/>
                      <w:color w:val="auto"/>
                      <w:szCs w:val="21"/>
                    </w:rPr>
                  </w:pPr>
                </w:p>
              </w:tc>
            </w:tr>
            <w:tr w14:paraId="501A01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488B87E4">
                  <w:pPr>
                    <w:spacing w:before="88"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10</w:t>
                  </w:r>
                </w:p>
              </w:tc>
              <w:tc>
                <w:tcPr>
                  <w:tcW w:w="2326" w:type="dxa"/>
                  <w:noWrap w:val="0"/>
                  <w:vAlign w:val="center"/>
                </w:tcPr>
                <w:p w14:paraId="0758BE7F">
                  <w:pPr>
                    <w:spacing w:before="56" w:line="220" w:lineRule="auto"/>
                    <w:ind w:left="107" w:leftChars="0"/>
                    <w:jc w:val="center"/>
                    <w:rPr>
                      <w:rFonts w:hint="eastAsia" w:ascii="Times New Roman" w:hAnsi="Times New Roman" w:eastAsia="宋体" w:cs="Times New Roman"/>
                      <w:color w:val="auto"/>
                      <w:kern w:val="2"/>
                      <w:sz w:val="21"/>
                      <w:szCs w:val="24"/>
                      <w:lang w:val="en-US" w:eastAsia="zh-CN" w:bidi="ar-SA"/>
                    </w:rPr>
                  </w:pPr>
                  <w:r>
                    <w:rPr>
                      <w:rFonts w:eastAsia="Times New Roman"/>
                      <w:color w:val="auto"/>
                      <w:szCs w:val="21"/>
                    </w:rPr>
                    <w:t>DR</w:t>
                  </w:r>
                  <w:r>
                    <w:rPr>
                      <w:rFonts w:ascii="宋体" w:hAnsi="宋体" w:cs="宋体"/>
                      <w:color w:val="auto"/>
                      <w:spacing w:val="2"/>
                      <w:szCs w:val="21"/>
                    </w:rPr>
                    <w:t>机</w:t>
                  </w:r>
                </w:p>
              </w:tc>
              <w:tc>
                <w:tcPr>
                  <w:tcW w:w="2521" w:type="dxa"/>
                  <w:noWrap w:val="0"/>
                  <w:vAlign w:val="center"/>
                </w:tcPr>
                <w:p w14:paraId="33FAE719">
                  <w:pPr>
                    <w:spacing w:before="56" w:line="221" w:lineRule="auto"/>
                    <w:ind w:left="112" w:lef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pacing w:val="-2"/>
                      <w:szCs w:val="21"/>
                      <w:lang w:val="en-US" w:eastAsia="zh-CN"/>
                    </w:rPr>
                    <w:t>DR80U型</w:t>
                  </w:r>
                </w:p>
              </w:tc>
              <w:tc>
                <w:tcPr>
                  <w:tcW w:w="639" w:type="dxa"/>
                  <w:noWrap w:val="0"/>
                  <w:vAlign w:val="top"/>
                </w:tcPr>
                <w:p w14:paraId="2FFDB7E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noWrap w:val="0"/>
                  <w:vAlign w:val="center"/>
                </w:tcPr>
                <w:p w14:paraId="4980C53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c>
                <w:tcPr>
                  <w:tcW w:w="1107" w:type="dxa"/>
                  <w:vMerge w:val="continue"/>
                  <w:noWrap w:val="0"/>
                  <w:vAlign w:val="top"/>
                </w:tcPr>
                <w:p w14:paraId="65102521">
                  <w:pPr>
                    <w:spacing w:before="51" w:line="221" w:lineRule="auto"/>
                    <w:ind w:left="117"/>
                    <w:rPr>
                      <w:rFonts w:ascii="宋体" w:hAnsi="宋体" w:cs="宋体"/>
                      <w:color w:val="auto"/>
                      <w:szCs w:val="21"/>
                    </w:rPr>
                  </w:pPr>
                </w:p>
              </w:tc>
            </w:tr>
            <w:tr w14:paraId="4B5C68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39CE7837">
                  <w:pPr>
                    <w:spacing w:before="89"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9"/>
                      <w:szCs w:val="21"/>
                    </w:rPr>
                    <w:t>1</w:t>
                  </w:r>
                  <w:r>
                    <w:rPr>
                      <w:rFonts w:eastAsia="Times New Roman"/>
                      <w:color w:val="auto"/>
                      <w:spacing w:val="-7"/>
                      <w:szCs w:val="21"/>
                    </w:rPr>
                    <w:t>1</w:t>
                  </w:r>
                </w:p>
              </w:tc>
              <w:tc>
                <w:tcPr>
                  <w:tcW w:w="2326" w:type="dxa"/>
                  <w:noWrap w:val="0"/>
                  <w:vAlign w:val="center"/>
                </w:tcPr>
                <w:p w14:paraId="5D6D1D02">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婴儿培养箱</w:t>
                  </w:r>
                </w:p>
              </w:tc>
              <w:tc>
                <w:tcPr>
                  <w:tcW w:w="2521" w:type="dxa"/>
                  <w:noWrap w:val="0"/>
                  <w:vAlign w:val="center"/>
                </w:tcPr>
                <w:p w14:paraId="09EC6DA4">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YP-100B</w:t>
                  </w:r>
                </w:p>
              </w:tc>
              <w:tc>
                <w:tcPr>
                  <w:tcW w:w="639" w:type="dxa"/>
                  <w:noWrap w:val="0"/>
                  <w:vAlign w:val="top"/>
                </w:tcPr>
                <w:p w14:paraId="035281A6">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093C49E2">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3DB6A0EF">
                  <w:pPr>
                    <w:spacing w:before="54" w:line="221" w:lineRule="auto"/>
                    <w:ind w:left="117"/>
                    <w:rPr>
                      <w:rFonts w:ascii="宋体" w:hAnsi="宋体" w:cs="宋体"/>
                      <w:color w:val="auto"/>
                      <w:szCs w:val="21"/>
                    </w:rPr>
                  </w:pPr>
                </w:p>
              </w:tc>
            </w:tr>
            <w:tr w14:paraId="5FC301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634446B6">
                  <w:pPr>
                    <w:spacing w:before="89"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12</w:t>
                  </w:r>
                </w:p>
              </w:tc>
              <w:tc>
                <w:tcPr>
                  <w:tcW w:w="2326" w:type="dxa"/>
                  <w:noWrap w:val="0"/>
                  <w:vAlign w:val="center"/>
                </w:tcPr>
                <w:p w14:paraId="3D309204">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婴儿辐射保暖台</w:t>
                  </w:r>
                </w:p>
              </w:tc>
              <w:tc>
                <w:tcPr>
                  <w:tcW w:w="2521" w:type="dxa"/>
                  <w:noWrap w:val="0"/>
                  <w:vAlign w:val="center"/>
                </w:tcPr>
                <w:p w14:paraId="15F6F2BD">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HKN-90</w:t>
                  </w:r>
                </w:p>
              </w:tc>
              <w:tc>
                <w:tcPr>
                  <w:tcW w:w="639" w:type="dxa"/>
                  <w:noWrap w:val="0"/>
                  <w:vAlign w:val="top"/>
                </w:tcPr>
                <w:p w14:paraId="1D168EBA">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67C906A1">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53ED3AEE">
                  <w:pPr>
                    <w:spacing w:before="52" w:line="221" w:lineRule="auto"/>
                    <w:ind w:left="117"/>
                    <w:rPr>
                      <w:rFonts w:ascii="宋体" w:hAnsi="宋体" w:cs="宋体"/>
                      <w:color w:val="auto"/>
                      <w:szCs w:val="21"/>
                    </w:rPr>
                  </w:pPr>
                </w:p>
              </w:tc>
            </w:tr>
            <w:tr w14:paraId="236442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7981E9D6">
                  <w:pPr>
                    <w:spacing w:before="89"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13</w:t>
                  </w:r>
                </w:p>
              </w:tc>
              <w:tc>
                <w:tcPr>
                  <w:tcW w:w="2326" w:type="dxa"/>
                  <w:noWrap w:val="0"/>
                  <w:vAlign w:val="center"/>
                </w:tcPr>
                <w:p w14:paraId="33EC9B6E">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多参数监护仪</w:t>
                  </w:r>
                </w:p>
              </w:tc>
              <w:tc>
                <w:tcPr>
                  <w:tcW w:w="2521" w:type="dxa"/>
                  <w:noWrap w:val="0"/>
                  <w:vAlign w:val="center"/>
                </w:tcPr>
                <w:p w14:paraId="0E0A7FC1">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PC-500B</w:t>
                  </w:r>
                </w:p>
              </w:tc>
              <w:tc>
                <w:tcPr>
                  <w:tcW w:w="639" w:type="dxa"/>
                  <w:noWrap w:val="0"/>
                  <w:vAlign w:val="top"/>
                </w:tcPr>
                <w:p w14:paraId="1EDF0042">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6B34F670">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4</w:t>
                  </w:r>
                </w:p>
              </w:tc>
              <w:tc>
                <w:tcPr>
                  <w:tcW w:w="1107" w:type="dxa"/>
                  <w:vMerge w:val="continue"/>
                  <w:noWrap w:val="0"/>
                  <w:vAlign w:val="top"/>
                </w:tcPr>
                <w:p w14:paraId="374A4818">
                  <w:pPr>
                    <w:spacing w:before="53" w:line="221" w:lineRule="auto"/>
                    <w:ind w:left="117"/>
                    <w:rPr>
                      <w:rFonts w:ascii="宋体" w:hAnsi="宋体" w:cs="宋体"/>
                      <w:color w:val="auto"/>
                      <w:szCs w:val="21"/>
                    </w:rPr>
                  </w:pPr>
                </w:p>
              </w:tc>
            </w:tr>
            <w:tr w14:paraId="36F442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jc w:val="center"/>
              </w:trPr>
              <w:tc>
                <w:tcPr>
                  <w:tcW w:w="535" w:type="dxa"/>
                  <w:noWrap w:val="0"/>
                  <w:vAlign w:val="top"/>
                </w:tcPr>
                <w:p w14:paraId="52FD1134">
                  <w:pPr>
                    <w:spacing w:before="89"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14</w:t>
                  </w:r>
                </w:p>
              </w:tc>
              <w:tc>
                <w:tcPr>
                  <w:tcW w:w="2326" w:type="dxa"/>
                  <w:noWrap w:val="0"/>
                  <w:vAlign w:val="center"/>
                </w:tcPr>
                <w:p w14:paraId="5359E9E1">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B超超声诊断仪</w:t>
                  </w:r>
                </w:p>
              </w:tc>
              <w:tc>
                <w:tcPr>
                  <w:tcW w:w="2521" w:type="dxa"/>
                  <w:noWrap w:val="0"/>
                  <w:vAlign w:val="center"/>
                </w:tcPr>
                <w:p w14:paraId="2AA07C82">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LOGZQD50</w:t>
                  </w:r>
                </w:p>
              </w:tc>
              <w:tc>
                <w:tcPr>
                  <w:tcW w:w="639" w:type="dxa"/>
                  <w:noWrap w:val="0"/>
                  <w:vAlign w:val="top"/>
                </w:tcPr>
                <w:p w14:paraId="593FF40E">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24F417AD">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6E98E7C8">
                  <w:pPr>
                    <w:spacing w:before="53" w:line="221" w:lineRule="auto"/>
                    <w:ind w:left="117"/>
                    <w:rPr>
                      <w:rFonts w:ascii="宋体" w:hAnsi="宋体" w:cs="宋体"/>
                      <w:color w:val="auto"/>
                      <w:szCs w:val="21"/>
                    </w:rPr>
                  </w:pPr>
                </w:p>
              </w:tc>
            </w:tr>
            <w:tr w14:paraId="3F9BE0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39D6647D">
                  <w:pPr>
                    <w:spacing w:before="92"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15</w:t>
                  </w:r>
                </w:p>
              </w:tc>
              <w:tc>
                <w:tcPr>
                  <w:tcW w:w="2326" w:type="dxa"/>
                  <w:noWrap w:val="0"/>
                  <w:vAlign w:val="center"/>
                </w:tcPr>
                <w:p w14:paraId="347030FA">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全自动血细胞分析</w:t>
                  </w:r>
                </w:p>
              </w:tc>
              <w:tc>
                <w:tcPr>
                  <w:tcW w:w="2521" w:type="dxa"/>
                  <w:noWrap w:val="0"/>
                  <w:vAlign w:val="center"/>
                </w:tcPr>
                <w:p w14:paraId="7743D995">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RT-7200</w:t>
                  </w:r>
                </w:p>
              </w:tc>
              <w:tc>
                <w:tcPr>
                  <w:tcW w:w="639" w:type="dxa"/>
                  <w:noWrap w:val="0"/>
                  <w:vAlign w:val="top"/>
                </w:tcPr>
                <w:p w14:paraId="7FBF7331">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61E32BC9">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45F743A1">
                  <w:pPr>
                    <w:spacing w:before="53" w:line="221" w:lineRule="auto"/>
                    <w:ind w:left="117"/>
                    <w:rPr>
                      <w:rFonts w:ascii="宋体" w:hAnsi="宋体" w:cs="宋体"/>
                      <w:color w:val="auto"/>
                      <w:szCs w:val="21"/>
                    </w:rPr>
                  </w:pPr>
                </w:p>
              </w:tc>
            </w:tr>
            <w:tr w14:paraId="1BE175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4CB69C12">
                  <w:pPr>
                    <w:spacing w:before="90"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16</w:t>
                  </w:r>
                </w:p>
              </w:tc>
              <w:tc>
                <w:tcPr>
                  <w:tcW w:w="2326" w:type="dxa"/>
                  <w:noWrap w:val="0"/>
                  <w:vAlign w:val="center"/>
                </w:tcPr>
                <w:p w14:paraId="53CE7EEB">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半自动生化仪</w:t>
                  </w:r>
                </w:p>
              </w:tc>
              <w:tc>
                <w:tcPr>
                  <w:tcW w:w="2521" w:type="dxa"/>
                  <w:noWrap w:val="0"/>
                  <w:vAlign w:val="center"/>
                </w:tcPr>
                <w:p w14:paraId="09919638">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CA-958D</w:t>
                  </w:r>
                </w:p>
              </w:tc>
              <w:tc>
                <w:tcPr>
                  <w:tcW w:w="639" w:type="dxa"/>
                  <w:noWrap w:val="0"/>
                  <w:vAlign w:val="top"/>
                </w:tcPr>
                <w:p w14:paraId="1867F7C3">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5BF3E822">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32CE0482">
                  <w:pPr>
                    <w:spacing w:before="53" w:line="221" w:lineRule="auto"/>
                    <w:ind w:left="117"/>
                    <w:rPr>
                      <w:rFonts w:ascii="宋体" w:hAnsi="宋体" w:cs="宋体"/>
                      <w:color w:val="auto"/>
                      <w:szCs w:val="21"/>
                    </w:rPr>
                  </w:pPr>
                </w:p>
              </w:tc>
            </w:tr>
            <w:tr w14:paraId="32D50F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0C881390">
                  <w:pPr>
                    <w:spacing w:before="89"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17</w:t>
                  </w:r>
                </w:p>
              </w:tc>
              <w:tc>
                <w:tcPr>
                  <w:tcW w:w="2326" w:type="dxa"/>
                  <w:noWrap w:val="0"/>
                  <w:vAlign w:val="center"/>
                </w:tcPr>
                <w:p w14:paraId="600CD2FE">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液基</w:t>
                  </w:r>
                  <w:r>
                    <w:rPr>
                      <w:rFonts w:hint="eastAsia" w:eastAsia="宋体" w:cs="Times New Roman"/>
                      <w:color w:val="auto"/>
                      <w:szCs w:val="21"/>
                      <w:lang w:eastAsia="zh-CN"/>
                    </w:rPr>
                    <w:t>薄层</w:t>
                  </w:r>
                  <w:r>
                    <w:rPr>
                      <w:rFonts w:hint="default" w:ascii="Times New Roman" w:hAnsi="Times New Roman" w:eastAsia="Times New Roman" w:cs="Times New Roman"/>
                      <w:color w:val="auto"/>
                      <w:szCs w:val="21"/>
                    </w:rPr>
                    <w:t>细胞制片机</w:t>
                  </w:r>
                </w:p>
              </w:tc>
              <w:tc>
                <w:tcPr>
                  <w:tcW w:w="2521" w:type="dxa"/>
                  <w:noWrap w:val="0"/>
                  <w:vAlign w:val="center"/>
                </w:tcPr>
                <w:p w14:paraId="6E90ACC0">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MCT-2000</w:t>
                  </w:r>
                </w:p>
              </w:tc>
              <w:tc>
                <w:tcPr>
                  <w:tcW w:w="639" w:type="dxa"/>
                  <w:noWrap w:val="0"/>
                  <w:vAlign w:val="top"/>
                </w:tcPr>
                <w:p w14:paraId="4A6085B3">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06D5911B">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268902AC">
                  <w:pPr>
                    <w:spacing w:before="56" w:line="221" w:lineRule="auto"/>
                    <w:ind w:left="117"/>
                    <w:rPr>
                      <w:rFonts w:ascii="宋体" w:hAnsi="宋体" w:cs="宋体"/>
                      <w:color w:val="auto"/>
                      <w:szCs w:val="21"/>
                    </w:rPr>
                  </w:pPr>
                </w:p>
              </w:tc>
            </w:tr>
            <w:tr w14:paraId="04023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16F57A9B">
                  <w:pPr>
                    <w:spacing w:before="90"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18</w:t>
                  </w:r>
                </w:p>
              </w:tc>
              <w:tc>
                <w:tcPr>
                  <w:tcW w:w="2326" w:type="dxa"/>
                  <w:noWrap w:val="0"/>
                  <w:vAlign w:val="center"/>
                </w:tcPr>
                <w:p w14:paraId="6A0EC2D9">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超声多普勒胎儿监护仪</w:t>
                  </w:r>
                </w:p>
              </w:tc>
              <w:tc>
                <w:tcPr>
                  <w:tcW w:w="2521" w:type="dxa"/>
                  <w:noWrap w:val="0"/>
                  <w:vAlign w:val="center"/>
                </w:tcPr>
                <w:p w14:paraId="5584BD6E">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CADEIYCE</w:t>
                  </w:r>
                </w:p>
              </w:tc>
              <w:tc>
                <w:tcPr>
                  <w:tcW w:w="639" w:type="dxa"/>
                  <w:noWrap w:val="0"/>
                  <w:vAlign w:val="top"/>
                </w:tcPr>
                <w:p w14:paraId="3FCD22F8">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768877FB">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57CA09A8">
                  <w:pPr>
                    <w:spacing w:before="54" w:line="221" w:lineRule="auto"/>
                    <w:ind w:left="117"/>
                    <w:rPr>
                      <w:rFonts w:ascii="宋体" w:hAnsi="宋体" w:cs="宋体"/>
                      <w:color w:val="auto"/>
                      <w:szCs w:val="21"/>
                    </w:rPr>
                  </w:pPr>
                </w:p>
              </w:tc>
            </w:tr>
            <w:tr w14:paraId="7D43ED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1492403A">
                  <w:pPr>
                    <w:spacing w:before="91"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6"/>
                      <w:szCs w:val="21"/>
                    </w:rPr>
                    <w:t>19</w:t>
                  </w:r>
                </w:p>
              </w:tc>
              <w:tc>
                <w:tcPr>
                  <w:tcW w:w="2326" w:type="dxa"/>
                  <w:noWrap w:val="0"/>
                  <w:vAlign w:val="center"/>
                </w:tcPr>
                <w:p w14:paraId="419D90FE">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不孕症诊断治疗仪</w:t>
                  </w:r>
                </w:p>
              </w:tc>
              <w:tc>
                <w:tcPr>
                  <w:tcW w:w="2521" w:type="dxa"/>
                  <w:noWrap w:val="0"/>
                  <w:vAlign w:val="center"/>
                </w:tcPr>
                <w:p w14:paraId="27E57361">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ZLF-B</w:t>
                  </w:r>
                </w:p>
              </w:tc>
              <w:tc>
                <w:tcPr>
                  <w:tcW w:w="639" w:type="dxa"/>
                  <w:noWrap w:val="0"/>
                  <w:vAlign w:val="top"/>
                </w:tcPr>
                <w:p w14:paraId="204BAA70">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0AB33F7">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62EF0A5A">
                  <w:pPr>
                    <w:spacing w:before="54" w:line="221" w:lineRule="auto"/>
                    <w:ind w:left="117"/>
                    <w:rPr>
                      <w:rFonts w:ascii="宋体" w:hAnsi="宋体" w:cs="宋体"/>
                      <w:color w:val="auto"/>
                      <w:szCs w:val="21"/>
                    </w:rPr>
                  </w:pPr>
                </w:p>
              </w:tc>
            </w:tr>
            <w:tr w14:paraId="7C66A3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13C550CC">
                  <w:pPr>
                    <w:spacing w:before="91"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20</w:t>
                  </w:r>
                </w:p>
              </w:tc>
              <w:tc>
                <w:tcPr>
                  <w:tcW w:w="2326" w:type="dxa"/>
                  <w:noWrap w:val="0"/>
                  <w:vAlign w:val="center"/>
                </w:tcPr>
                <w:p w14:paraId="4CDE82C2">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微波多功能治疗机</w:t>
                  </w:r>
                </w:p>
              </w:tc>
              <w:tc>
                <w:tcPr>
                  <w:tcW w:w="2521" w:type="dxa"/>
                  <w:noWrap w:val="0"/>
                  <w:vAlign w:val="center"/>
                </w:tcPr>
                <w:p w14:paraId="23834A3F">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ZW-1001F</w:t>
                  </w:r>
                </w:p>
              </w:tc>
              <w:tc>
                <w:tcPr>
                  <w:tcW w:w="639" w:type="dxa"/>
                  <w:noWrap w:val="0"/>
                  <w:vAlign w:val="top"/>
                </w:tcPr>
                <w:p w14:paraId="751DC12A">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6623AC7A">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2CCB13C0">
                  <w:pPr>
                    <w:spacing w:before="54" w:line="221" w:lineRule="auto"/>
                    <w:ind w:left="117"/>
                    <w:rPr>
                      <w:rFonts w:ascii="宋体" w:hAnsi="宋体" w:cs="宋体"/>
                      <w:color w:val="auto"/>
                      <w:szCs w:val="21"/>
                    </w:rPr>
                  </w:pPr>
                </w:p>
              </w:tc>
            </w:tr>
            <w:tr w14:paraId="13F0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53374D27">
                  <w:pPr>
                    <w:spacing w:before="93"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21</w:t>
                  </w:r>
                </w:p>
              </w:tc>
              <w:tc>
                <w:tcPr>
                  <w:tcW w:w="2326" w:type="dxa"/>
                  <w:noWrap w:val="0"/>
                  <w:vAlign w:val="center"/>
                </w:tcPr>
                <w:p w14:paraId="4E158B02">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综合治疗仪</w:t>
                  </w:r>
                </w:p>
              </w:tc>
              <w:tc>
                <w:tcPr>
                  <w:tcW w:w="2521" w:type="dxa"/>
                  <w:noWrap w:val="0"/>
                  <w:vAlign w:val="center"/>
                </w:tcPr>
                <w:p w14:paraId="74E5341B">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HBC-2000</w:t>
                  </w:r>
                </w:p>
              </w:tc>
              <w:tc>
                <w:tcPr>
                  <w:tcW w:w="639" w:type="dxa"/>
                  <w:noWrap w:val="0"/>
                  <w:vAlign w:val="top"/>
                </w:tcPr>
                <w:p w14:paraId="1E9A7E6C">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22156548">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4F6F7DFE">
                  <w:pPr>
                    <w:spacing w:before="55" w:line="221" w:lineRule="auto"/>
                    <w:ind w:left="117"/>
                    <w:rPr>
                      <w:rFonts w:ascii="宋体" w:hAnsi="宋体" w:cs="宋体"/>
                      <w:color w:val="auto"/>
                      <w:szCs w:val="21"/>
                    </w:rPr>
                  </w:pPr>
                </w:p>
              </w:tc>
            </w:tr>
            <w:tr w14:paraId="19CD6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jc w:val="center"/>
              </w:trPr>
              <w:tc>
                <w:tcPr>
                  <w:tcW w:w="535" w:type="dxa"/>
                  <w:noWrap w:val="0"/>
                  <w:vAlign w:val="top"/>
                </w:tcPr>
                <w:p w14:paraId="61862272">
                  <w:pPr>
                    <w:spacing w:before="91"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22</w:t>
                  </w:r>
                </w:p>
              </w:tc>
              <w:tc>
                <w:tcPr>
                  <w:tcW w:w="2326" w:type="dxa"/>
                  <w:noWrap w:val="0"/>
                  <w:vAlign w:val="center"/>
                </w:tcPr>
                <w:p w14:paraId="4FEF5194">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手术无影灯</w:t>
                  </w:r>
                </w:p>
              </w:tc>
              <w:tc>
                <w:tcPr>
                  <w:tcW w:w="2521" w:type="dxa"/>
                  <w:noWrap w:val="0"/>
                  <w:vAlign w:val="center"/>
                </w:tcPr>
                <w:p w14:paraId="003DCCED">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KSIZL</w:t>
                  </w:r>
                </w:p>
              </w:tc>
              <w:tc>
                <w:tcPr>
                  <w:tcW w:w="639" w:type="dxa"/>
                  <w:noWrap w:val="0"/>
                  <w:vAlign w:val="top"/>
                </w:tcPr>
                <w:p w14:paraId="47DE16E9">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1E781713">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7FD859A7">
                  <w:pPr>
                    <w:spacing w:before="55" w:line="221" w:lineRule="auto"/>
                    <w:ind w:left="117"/>
                    <w:rPr>
                      <w:rFonts w:ascii="宋体" w:hAnsi="宋体" w:cs="宋体"/>
                      <w:color w:val="auto"/>
                      <w:szCs w:val="21"/>
                    </w:rPr>
                  </w:pPr>
                </w:p>
              </w:tc>
            </w:tr>
            <w:tr w14:paraId="409843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42E881B1">
                  <w:pPr>
                    <w:spacing w:before="91"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23</w:t>
                  </w:r>
                </w:p>
              </w:tc>
              <w:tc>
                <w:tcPr>
                  <w:tcW w:w="2326" w:type="dxa"/>
                  <w:noWrap w:val="0"/>
                  <w:vAlign w:val="center"/>
                </w:tcPr>
                <w:p w14:paraId="562A4FD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麻醉机</w:t>
                  </w:r>
                </w:p>
              </w:tc>
              <w:tc>
                <w:tcPr>
                  <w:tcW w:w="2521" w:type="dxa"/>
                  <w:noWrap w:val="0"/>
                  <w:vAlign w:val="center"/>
                </w:tcPr>
                <w:p w14:paraId="58956C3C">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RE902-C</w:t>
                  </w:r>
                </w:p>
              </w:tc>
              <w:tc>
                <w:tcPr>
                  <w:tcW w:w="639" w:type="dxa"/>
                  <w:noWrap w:val="0"/>
                  <w:vAlign w:val="top"/>
                </w:tcPr>
                <w:p w14:paraId="140D1357">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A052BE4">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5F7C6AC2">
                  <w:pPr>
                    <w:spacing w:before="57" w:line="221" w:lineRule="auto"/>
                    <w:ind w:left="117"/>
                    <w:rPr>
                      <w:rFonts w:ascii="宋体" w:hAnsi="宋体" w:cs="宋体"/>
                      <w:color w:val="auto"/>
                      <w:szCs w:val="21"/>
                    </w:rPr>
                  </w:pPr>
                </w:p>
              </w:tc>
            </w:tr>
            <w:tr w14:paraId="195140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663BB349">
                  <w:pPr>
                    <w:spacing w:before="92"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24</w:t>
                  </w:r>
                </w:p>
              </w:tc>
              <w:tc>
                <w:tcPr>
                  <w:tcW w:w="2326" w:type="dxa"/>
                  <w:noWrap w:val="0"/>
                  <w:vAlign w:val="center"/>
                </w:tcPr>
                <w:p w14:paraId="29F72518">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立式灭菌器</w:t>
                  </w:r>
                </w:p>
              </w:tc>
              <w:tc>
                <w:tcPr>
                  <w:tcW w:w="2521" w:type="dxa"/>
                  <w:noWrap w:val="0"/>
                  <w:vAlign w:val="center"/>
                </w:tcPr>
                <w:p w14:paraId="615F07A5">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R06006</w:t>
                  </w:r>
                </w:p>
              </w:tc>
              <w:tc>
                <w:tcPr>
                  <w:tcW w:w="639" w:type="dxa"/>
                  <w:noWrap w:val="0"/>
                  <w:vAlign w:val="top"/>
                </w:tcPr>
                <w:p w14:paraId="6AD18AF0">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EC18992">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223DF259">
                  <w:pPr>
                    <w:spacing w:before="55" w:line="221" w:lineRule="auto"/>
                    <w:ind w:left="117"/>
                    <w:rPr>
                      <w:rFonts w:ascii="宋体" w:hAnsi="宋体" w:cs="宋体"/>
                      <w:color w:val="auto"/>
                      <w:szCs w:val="21"/>
                    </w:rPr>
                  </w:pPr>
                </w:p>
              </w:tc>
            </w:tr>
            <w:tr w14:paraId="3FE71F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0DCA00DA">
                  <w:pPr>
                    <w:spacing w:before="92" w:line="187" w:lineRule="auto"/>
                    <w:jc w:val="center"/>
                    <w:rPr>
                      <w:rFonts w:ascii="Times New Roman" w:hAnsi="Times New Roman" w:eastAsia="Times New Roman" w:cs="Times New Roman"/>
                      <w:color w:val="auto"/>
                      <w:kern w:val="2"/>
                      <w:sz w:val="21"/>
                      <w:szCs w:val="21"/>
                      <w:lang w:val="en-US" w:eastAsia="zh-CN" w:bidi="ar-SA"/>
                    </w:rPr>
                  </w:pPr>
                  <w:r>
                    <w:rPr>
                      <w:rFonts w:eastAsia="Times New Roman"/>
                      <w:color w:val="auto"/>
                      <w:spacing w:val="-1"/>
                      <w:szCs w:val="21"/>
                    </w:rPr>
                    <w:t>25</w:t>
                  </w:r>
                </w:p>
              </w:tc>
              <w:tc>
                <w:tcPr>
                  <w:tcW w:w="2326" w:type="dxa"/>
                  <w:noWrap w:val="0"/>
                  <w:vAlign w:val="center"/>
                </w:tcPr>
                <w:p w14:paraId="52BDA459">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数字化心电图</w:t>
                  </w:r>
                </w:p>
              </w:tc>
              <w:tc>
                <w:tcPr>
                  <w:tcW w:w="2521" w:type="dxa"/>
                  <w:noWrap w:val="0"/>
                  <w:vAlign w:val="center"/>
                </w:tcPr>
                <w:p w14:paraId="136A5596">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ECG-2212B</w:t>
                  </w:r>
                </w:p>
              </w:tc>
              <w:tc>
                <w:tcPr>
                  <w:tcW w:w="639" w:type="dxa"/>
                  <w:noWrap w:val="0"/>
                  <w:vAlign w:val="top"/>
                </w:tcPr>
                <w:p w14:paraId="22589BD5">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40DD5CCC">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41FAACAA">
                  <w:pPr>
                    <w:spacing w:before="55" w:line="221" w:lineRule="auto"/>
                    <w:ind w:left="117"/>
                    <w:rPr>
                      <w:rFonts w:ascii="宋体" w:hAnsi="宋体" w:cs="宋体"/>
                      <w:color w:val="auto"/>
                      <w:szCs w:val="21"/>
                    </w:rPr>
                  </w:pPr>
                </w:p>
              </w:tc>
            </w:tr>
            <w:tr w14:paraId="4BEE04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0EB29290">
                  <w:pPr>
                    <w:spacing w:before="88" w:line="187" w:lineRule="auto"/>
                    <w:jc w:val="center"/>
                    <w:rPr>
                      <w:rFonts w:ascii="Times New Roman" w:hAnsi="Times New Roman" w:eastAsia="Times New Roman" w:cs="Times New Roman"/>
                      <w:color w:val="auto"/>
                      <w:spacing w:val="-1"/>
                      <w:kern w:val="2"/>
                      <w:sz w:val="21"/>
                      <w:szCs w:val="21"/>
                      <w:lang w:val="en-US" w:eastAsia="zh-CN" w:bidi="ar-SA"/>
                    </w:rPr>
                  </w:pPr>
                  <w:r>
                    <w:rPr>
                      <w:rFonts w:eastAsia="Times New Roman"/>
                      <w:color w:val="auto"/>
                      <w:spacing w:val="-1"/>
                      <w:szCs w:val="21"/>
                    </w:rPr>
                    <w:t>26</w:t>
                  </w:r>
                </w:p>
              </w:tc>
              <w:tc>
                <w:tcPr>
                  <w:tcW w:w="2326" w:type="dxa"/>
                  <w:noWrap w:val="0"/>
                  <w:vAlign w:val="center"/>
                </w:tcPr>
                <w:p w14:paraId="713B8184">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立式压力蒸汽灭菌器</w:t>
                  </w:r>
                </w:p>
              </w:tc>
              <w:tc>
                <w:tcPr>
                  <w:tcW w:w="2521" w:type="dxa"/>
                  <w:noWrap w:val="0"/>
                  <w:vAlign w:val="center"/>
                </w:tcPr>
                <w:p w14:paraId="6FF813F7">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R11089</w:t>
                  </w:r>
                </w:p>
              </w:tc>
              <w:tc>
                <w:tcPr>
                  <w:tcW w:w="639" w:type="dxa"/>
                  <w:noWrap w:val="0"/>
                  <w:vAlign w:val="top"/>
                </w:tcPr>
                <w:p w14:paraId="31D58F3F">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09E8A975">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2</w:t>
                  </w:r>
                </w:p>
              </w:tc>
              <w:tc>
                <w:tcPr>
                  <w:tcW w:w="1107" w:type="dxa"/>
                  <w:vMerge w:val="continue"/>
                  <w:noWrap w:val="0"/>
                  <w:vAlign w:val="top"/>
                </w:tcPr>
                <w:p w14:paraId="0ACE104A">
                  <w:pPr>
                    <w:spacing w:before="56" w:line="221" w:lineRule="auto"/>
                    <w:ind w:left="117"/>
                    <w:rPr>
                      <w:rFonts w:ascii="宋体" w:hAnsi="宋体" w:cs="宋体"/>
                      <w:color w:val="auto"/>
                      <w:szCs w:val="21"/>
                    </w:rPr>
                  </w:pPr>
                </w:p>
              </w:tc>
            </w:tr>
            <w:tr w14:paraId="1F9D73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285DC8ED">
                  <w:pPr>
                    <w:spacing w:before="92" w:line="187" w:lineRule="auto"/>
                    <w:jc w:val="center"/>
                    <w:rPr>
                      <w:rFonts w:hint="default" w:eastAsia="宋体"/>
                      <w:color w:val="auto"/>
                      <w:szCs w:val="21"/>
                      <w:lang w:val="en-US" w:eastAsia="zh-CN"/>
                    </w:rPr>
                  </w:pPr>
                  <w:r>
                    <w:rPr>
                      <w:rFonts w:hint="eastAsia" w:eastAsia="宋体"/>
                      <w:color w:val="auto"/>
                      <w:szCs w:val="21"/>
                      <w:lang w:val="en-US" w:eastAsia="zh-CN"/>
                    </w:rPr>
                    <w:t>27</w:t>
                  </w:r>
                </w:p>
              </w:tc>
              <w:tc>
                <w:tcPr>
                  <w:tcW w:w="2326" w:type="dxa"/>
                  <w:noWrap w:val="0"/>
                  <w:vAlign w:val="center"/>
                </w:tcPr>
                <w:p w14:paraId="72B05C02">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冷光手术无影灯</w:t>
                  </w:r>
                </w:p>
              </w:tc>
              <w:tc>
                <w:tcPr>
                  <w:tcW w:w="2521" w:type="dxa"/>
                  <w:noWrap w:val="0"/>
                  <w:vAlign w:val="center"/>
                </w:tcPr>
                <w:p w14:paraId="495DD0B3">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IF6201620</w:t>
                  </w:r>
                </w:p>
              </w:tc>
              <w:tc>
                <w:tcPr>
                  <w:tcW w:w="639" w:type="dxa"/>
                  <w:noWrap w:val="0"/>
                  <w:vAlign w:val="top"/>
                </w:tcPr>
                <w:p w14:paraId="19D72D71">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2F966213">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60CBBDB0">
                  <w:pPr>
                    <w:spacing w:before="56" w:line="221" w:lineRule="auto"/>
                    <w:ind w:left="117"/>
                    <w:rPr>
                      <w:rFonts w:ascii="宋体" w:hAnsi="宋体" w:cs="宋体"/>
                      <w:color w:val="auto"/>
                      <w:szCs w:val="21"/>
                    </w:rPr>
                  </w:pPr>
                </w:p>
              </w:tc>
            </w:tr>
            <w:tr w14:paraId="375A33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535" w:type="dxa"/>
                  <w:noWrap w:val="0"/>
                  <w:vAlign w:val="top"/>
                </w:tcPr>
                <w:p w14:paraId="7A8263D1">
                  <w:pPr>
                    <w:spacing w:before="88" w:line="187" w:lineRule="auto"/>
                    <w:jc w:val="center"/>
                    <w:rPr>
                      <w:rFonts w:hint="default" w:eastAsia="宋体"/>
                      <w:color w:val="auto"/>
                      <w:spacing w:val="-1"/>
                      <w:szCs w:val="21"/>
                      <w:lang w:val="en-US" w:eastAsia="zh-CN"/>
                    </w:rPr>
                  </w:pPr>
                  <w:r>
                    <w:rPr>
                      <w:rFonts w:hint="eastAsia" w:eastAsia="宋体"/>
                      <w:color w:val="auto"/>
                      <w:spacing w:val="-1"/>
                      <w:szCs w:val="21"/>
                      <w:lang w:val="en-US" w:eastAsia="zh-CN"/>
                    </w:rPr>
                    <w:t>28</w:t>
                  </w:r>
                </w:p>
              </w:tc>
              <w:tc>
                <w:tcPr>
                  <w:tcW w:w="2326" w:type="dxa"/>
                  <w:noWrap w:val="0"/>
                  <w:vAlign w:val="center"/>
                </w:tcPr>
                <w:p w14:paraId="237442C1">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经颅多普勒血流分析仪</w:t>
                  </w:r>
                </w:p>
              </w:tc>
              <w:tc>
                <w:tcPr>
                  <w:tcW w:w="2521" w:type="dxa"/>
                  <w:noWrap w:val="0"/>
                  <w:vAlign w:val="center"/>
                </w:tcPr>
                <w:p w14:paraId="592E41D8">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RAC-050</w:t>
                  </w:r>
                </w:p>
              </w:tc>
              <w:tc>
                <w:tcPr>
                  <w:tcW w:w="639" w:type="dxa"/>
                  <w:noWrap w:val="0"/>
                  <w:vAlign w:val="center"/>
                </w:tcPr>
                <w:p w14:paraId="27E17000">
                  <w:pPr>
                    <w:spacing w:before="59" w:line="220" w:lineRule="auto"/>
                    <w:ind w:left="111"/>
                    <w:jc w:val="center"/>
                    <w:rPr>
                      <w:rFonts w:hint="default" w:ascii="Times New Roman" w:hAnsi="Times New Roman" w:eastAsia="Times New Roman" w:cs="Times New Roman"/>
                      <w:color w:val="auto"/>
                      <w:szCs w:val="21"/>
                    </w:rPr>
                  </w:pPr>
                  <w:r>
                    <w:rPr>
                      <w:rFonts w:hint="default" w:ascii="Times New Roman" w:hAnsi="Times New Roman" w:eastAsia="Times New Roman" w:cs="Times New Roman"/>
                      <w:color w:val="auto"/>
                      <w:szCs w:val="21"/>
                    </w:rPr>
                    <w:t>台</w:t>
                  </w:r>
                </w:p>
              </w:tc>
              <w:tc>
                <w:tcPr>
                  <w:tcW w:w="762" w:type="dxa"/>
                  <w:noWrap w:val="0"/>
                  <w:vAlign w:val="center"/>
                </w:tcPr>
                <w:p w14:paraId="770D86FF">
                  <w:pPr>
                    <w:spacing w:before="59" w:line="220" w:lineRule="auto"/>
                    <w:ind w:left="111"/>
                    <w:jc w:val="center"/>
                    <w:rPr>
                      <w:rFonts w:hint="default" w:ascii="Times New Roman" w:hAnsi="Times New Roman" w:eastAsia="Times New Roman" w:cs="Times New Roman"/>
                      <w:color w:val="auto"/>
                      <w:szCs w:val="21"/>
                      <w:lang w:val="en-US" w:eastAsia="zh-CN"/>
                    </w:rPr>
                  </w:pPr>
                  <w:r>
                    <w:rPr>
                      <w:rFonts w:hint="default" w:ascii="Times New Roman" w:hAnsi="Times New Roman" w:eastAsia="Times New Roman" w:cs="Times New Roman"/>
                      <w:color w:val="auto"/>
                      <w:szCs w:val="21"/>
                    </w:rPr>
                    <w:t>1</w:t>
                  </w:r>
                </w:p>
              </w:tc>
              <w:tc>
                <w:tcPr>
                  <w:tcW w:w="1107" w:type="dxa"/>
                  <w:vMerge w:val="continue"/>
                  <w:noWrap w:val="0"/>
                  <w:vAlign w:val="top"/>
                </w:tcPr>
                <w:p w14:paraId="491057E1">
                  <w:pPr>
                    <w:spacing w:before="56" w:line="221" w:lineRule="auto"/>
                    <w:ind w:left="117"/>
                    <w:rPr>
                      <w:rFonts w:ascii="宋体" w:hAnsi="宋体" w:cs="宋体"/>
                      <w:color w:val="auto"/>
                      <w:spacing w:val="-2"/>
                      <w:szCs w:val="21"/>
                    </w:rPr>
                  </w:pPr>
                </w:p>
              </w:tc>
            </w:tr>
            <w:tr w14:paraId="50F957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535" w:type="dxa"/>
                  <w:noWrap w:val="0"/>
                  <w:vAlign w:val="center"/>
                </w:tcPr>
                <w:p w14:paraId="39CB0E1F">
                  <w:pPr>
                    <w:spacing w:before="88" w:line="187" w:lineRule="auto"/>
                    <w:jc w:val="center"/>
                    <w:rPr>
                      <w:rFonts w:hint="default" w:eastAsia="宋体"/>
                      <w:color w:val="auto"/>
                      <w:spacing w:val="-1"/>
                      <w:szCs w:val="21"/>
                      <w:lang w:val="en-US" w:eastAsia="zh-CN"/>
                    </w:rPr>
                  </w:pPr>
                  <w:r>
                    <w:rPr>
                      <w:rFonts w:hint="eastAsia"/>
                      <w:color w:val="auto"/>
                      <w:spacing w:val="-1"/>
                      <w:szCs w:val="21"/>
                      <w:lang w:val="en-US" w:eastAsia="zh-CN"/>
                    </w:rPr>
                    <w:t>29</w:t>
                  </w:r>
                </w:p>
              </w:tc>
              <w:tc>
                <w:tcPr>
                  <w:tcW w:w="2326" w:type="dxa"/>
                  <w:noWrap w:val="0"/>
                  <w:vAlign w:val="center"/>
                </w:tcPr>
                <w:p w14:paraId="1F1CA6ED">
                  <w:pPr>
                    <w:spacing w:before="59" w:line="220" w:lineRule="auto"/>
                    <w:ind w:left="111"/>
                    <w:jc w:val="center"/>
                    <w:rPr>
                      <w:rFonts w:hint="eastAsia" w:ascii="Times New Roman" w:hAnsi="Times New Roman" w:eastAsia="宋体" w:cs="Times New Roman"/>
                      <w:color w:val="auto"/>
                      <w:szCs w:val="21"/>
                      <w:lang w:val="en-US" w:eastAsia="zh-CN"/>
                    </w:rPr>
                  </w:pPr>
                  <w:r>
                    <w:rPr>
                      <w:rFonts w:hint="eastAsia" w:eastAsia="宋体" w:cs="Times New Roman"/>
                      <w:color w:val="auto"/>
                      <w:szCs w:val="21"/>
                      <w:lang w:val="en-US" w:eastAsia="zh-CN"/>
                    </w:rPr>
                    <w:t>风机</w:t>
                  </w:r>
                </w:p>
              </w:tc>
              <w:tc>
                <w:tcPr>
                  <w:tcW w:w="2521" w:type="dxa"/>
                  <w:noWrap w:val="0"/>
                  <w:vAlign w:val="center"/>
                </w:tcPr>
                <w:p w14:paraId="580455F5">
                  <w:pPr>
                    <w:spacing w:before="59" w:line="220" w:lineRule="auto"/>
                    <w:ind w:left="111"/>
                    <w:jc w:val="center"/>
                    <w:rPr>
                      <w:rFonts w:hint="eastAsia" w:ascii="Times New Roman" w:hAnsi="Times New Roman" w:eastAsia="宋体" w:cs="Times New Roman"/>
                      <w:color w:val="auto"/>
                      <w:szCs w:val="21"/>
                      <w:lang w:val="en-US" w:eastAsia="zh-CN"/>
                    </w:rPr>
                  </w:pPr>
                  <w:r>
                    <w:rPr>
                      <w:rFonts w:hint="eastAsia" w:eastAsia="宋体" w:cs="Times New Roman"/>
                      <w:color w:val="auto"/>
                      <w:szCs w:val="21"/>
                      <w:lang w:val="en-US" w:eastAsia="zh-CN"/>
                    </w:rPr>
                    <w:t>/</w:t>
                  </w:r>
                </w:p>
              </w:tc>
              <w:tc>
                <w:tcPr>
                  <w:tcW w:w="639" w:type="dxa"/>
                  <w:shd w:val="clear" w:color="auto" w:fill="auto"/>
                  <w:noWrap w:val="0"/>
                  <w:vAlign w:val="center"/>
                </w:tcPr>
                <w:p w14:paraId="01C294B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shd w:val="clear" w:color="auto" w:fill="auto"/>
                  <w:noWrap w:val="0"/>
                  <w:vAlign w:val="center"/>
                </w:tcPr>
                <w:p w14:paraId="62C073C8">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c>
                <w:tcPr>
                  <w:tcW w:w="1107" w:type="dxa"/>
                  <w:noWrap w:val="0"/>
                  <w:vAlign w:val="center"/>
                </w:tcPr>
                <w:p w14:paraId="1276AC86">
                  <w:pPr>
                    <w:spacing w:before="56" w:line="221" w:lineRule="auto"/>
                    <w:ind w:left="117"/>
                    <w:jc w:val="center"/>
                    <w:rPr>
                      <w:rFonts w:hint="eastAsia" w:ascii="宋体" w:hAnsi="宋体" w:eastAsia="宋体" w:cs="宋体"/>
                      <w:color w:val="auto"/>
                      <w:spacing w:val="-2"/>
                      <w:szCs w:val="21"/>
                      <w:lang w:val="en-US" w:eastAsia="zh-CN"/>
                    </w:rPr>
                  </w:pPr>
                  <w:r>
                    <w:rPr>
                      <w:rFonts w:hint="eastAsia" w:ascii="宋体" w:hAnsi="宋体" w:cs="宋体"/>
                      <w:color w:val="auto"/>
                      <w:spacing w:val="-2"/>
                      <w:szCs w:val="21"/>
                      <w:lang w:val="en-US" w:eastAsia="zh-CN"/>
                    </w:rPr>
                    <w:t>新增</w:t>
                  </w:r>
                </w:p>
              </w:tc>
            </w:tr>
            <w:tr w14:paraId="774136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535" w:type="dxa"/>
                  <w:noWrap w:val="0"/>
                  <w:vAlign w:val="center"/>
                </w:tcPr>
                <w:p w14:paraId="55CF24A2">
                  <w:pPr>
                    <w:spacing w:before="88" w:line="187" w:lineRule="auto"/>
                    <w:jc w:val="center"/>
                    <w:rPr>
                      <w:rFonts w:hint="default"/>
                      <w:color w:val="auto"/>
                      <w:spacing w:val="-1"/>
                      <w:szCs w:val="21"/>
                      <w:lang w:val="en-US" w:eastAsia="zh-CN"/>
                    </w:rPr>
                  </w:pPr>
                  <w:r>
                    <w:rPr>
                      <w:rFonts w:hint="eastAsia"/>
                      <w:color w:val="auto"/>
                      <w:spacing w:val="-1"/>
                      <w:szCs w:val="21"/>
                      <w:lang w:val="en-US" w:eastAsia="zh-CN"/>
                    </w:rPr>
                    <w:t>30</w:t>
                  </w:r>
                </w:p>
              </w:tc>
              <w:tc>
                <w:tcPr>
                  <w:tcW w:w="2326" w:type="dxa"/>
                  <w:noWrap w:val="0"/>
                  <w:vAlign w:val="center"/>
                </w:tcPr>
                <w:p w14:paraId="712D242A">
                  <w:pPr>
                    <w:spacing w:before="59" w:line="220" w:lineRule="auto"/>
                    <w:ind w:left="111"/>
                    <w:jc w:val="center"/>
                    <w:rPr>
                      <w:rFonts w:hint="default" w:eastAsia="宋体" w:cs="Times New Roman"/>
                      <w:color w:val="auto"/>
                      <w:szCs w:val="21"/>
                      <w:lang w:val="en-US" w:eastAsia="zh-CN"/>
                    </w:rPr>
                  </w:pPr>
                  <w:r>
                    <w:rPr>
                      <w:rFonts w:hint="eastAsia" w:eastAsia="宋体" w:cs="Times New Roman"/>
                      <w:color w:val="auto"/>
                      <w:szCs w:val="21"/>
                      <w:lang w:val="en-US" w:eastAsia="zh-CN"/>
                    </w:rPr>
                    <w:t>污水处理站水泵</w:t>
                  </w:r>
                </w:p>
              </w:tc>
              <w:tc>
                <w:tcPr>
                  <w:tcW w:w="2521" w:type="dxa"/>
                  <w:shd w:val="clear" w:color="auto" w:fill="auto"/>
                  <w:noWrap w:val="0"/>
                  <w:vAlign w:val="center"/>
                </w:tcPr>
                <w:p w14:paraId="3DB376B2">
                  <w:pPr>
                    <w:spacing w:before="59" w:line="220" w:lineRule="auto"/>
                    <w:ind w:left="111" w:left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szCs w:val="21"/>
                      <w:lang w:val="en-US" w:eastAsia="zh-CN"/>
                    </w:rPr>
                    <w:t>/</w:t>
                  </w:r>
                </w:p>
              </w:tc>
              <w:tc>
                <w:tcPr>
                  <w:tcW w:w="639" w:type="dxa"/>
                  <w:shd w:val="clear" w:color="auto" w:fill="auto"/>
                  <w:noWrap w:val="0"/>
                  <w:vAlign w:val="center"/>
                </w:tcPr>
                <w:p w14:paraId="37C84B8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shd w:val="clear" w:color="auto" w:fill="auto"/>
                  <w:noWrap w:val="0"/>
                  <w:vAlign w:val="center"/>
                </w:tcPr>
                <w:p w14:paraId="46C98EF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c>
                <w:tcPr>
                  <w:tcW w:w="1107" w:type="dxa"/>
                  <w:noWrap w:val="0"/>
                  <w:vAlign w:val="center"/>
                </w:tcPr>
                <w:p w14:paraId="240A922E">
                  <w:pPr>
                    <w:spacing w:before="56" w:line="221" w:lineRule="auto"/>
                    <w:ind w:left="117"/>
                    <w:jc w:val="center"/>
                    <w:rPr>
                      <w:rFonts w:ascii="宋体" w:hAnsi="宋体" w:cs="宋体"/>
                      <w:color w:val="auto"/>
                      <w:spacing w:val="-2"/>
                      <w:szCs w:val="21"/>
                    </w:rPr>
                  </w:pPr>
                  <w:r>
                    <w:rPr>
                      <w:rFonts w:hint="eastAsia" w:ascii="宋体" w:hAnsi="宋体" w:cs="宋体"/>
                      <w:color w:val="auto"/>
                      <w:spacing w:val="-2"/>
                      <w:szCs w:val="21"/>
                      <w:lang w:val="en-US" w:eastAsia="zh-CN"/>
                    </w:rPr>
                    <w:t>新增</w:t>
                  </w:r>
                </w:p>
              </w:tc>
            </w:tr>
            <w:tr w14:paraId="6DA1A6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535" w:type="dxa"/>
                  <w:noWrap w:val="0"/>
                  <w:vAlign w:val="center"/>
                </w:tcPr>
                <w:p w14:paraId="65AE2699">
                  <w:pPr>
                    <w:spacing w:before="88" w:line="187" w:lineRule="auto"/>
                    <w:jc w:val="center"/>
                    <w:rPr>
                      <w:rFonts w:hint="eastAsia"/>
                      <w:color w:val="auto"/>
                      <w:spacing w:val="-1"/>
                      <w:szCs w:val="21"/>
                      <w:lang w:val="en-US" w:eastAsia="zh-CN"/>
                    </w:rPr>
                  </w:pPr>
                  <w:r>
                    <w:rPr>
                      <w:rFonts w:hint="eastAsia"/>
                      <w:color w:val="auto"/>
                      <w:spacing w:val="-1"/>
                      <w:szCs w:val="21"/>
                      <w:lang w:val="en-US" w:eastAsia="zh-CN"/>
                    </w:rPr>
                    <w:t>31</w:t>
                  </w:r>
                </w:p>
              </w:tc>
              <w:tc>
                <w:tcPr>
                  <w:tcW w:w="2326" w:type="dxa"/>
                  <w:noWrap w:val="0"/>
                  <w:vAlign w:val="center"/>
                </w:tcPr>
                <w:p w14:paraId="16F7DF9C">
                  <w:pPr>
                    <w:spacing w:before="59" w:line="220" w:lineRule="auto"/>
                    <w:ind w:left="111"/>
                    <w:jc w:val="center"/>
                    <w:rPr>
                      <w:rFonts w:hint="default" w:eastAsia="宋体" w:cs="Times New Roman"/>
                      <w:color w:val="auto"/>
                      <w:szCs w:val="21"/>
                      <w:lang w:val="en-US" w:eastAsia="zh-CN"/>
                    </w:rPr>
                  </w:pPr>
                  <w:r>
                    <w:rPr>
                      <w:rFonts w:hint="eastAsia" w:cs="Times New Roman"/>
                      <w:color w:val="auto"/>
                      <w:szCs w:val="21"/>
                      <w:lang w:val="en-US" w:eastAsia="zh-CN"/>
                    </w:rPr>
                    <w:t>加药泵</w:t>
                  </w:r>
                </w:p>
              </w:tc>
              <w:tc>
                <w:tcPr>
                  <w:tcW w:w="2521" w:type="dxa"/>
                  <w:shd w:val="clear" w:color="auto" w:fill="auto"/>
                  <w:noWrap w:val="0"/>
                  <w:vAlign w:val="center"/>
                </w:tcPr>
                <w:p w14:paraId="6866E93B">
                  <w:pPr>
                    <w:spacing w:before="59" w:line="220" w:lineRule="auto"/>
                    <w:ind w:left="111" w:left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szCs w:val="21"/>
                      <w:lang w:val="en-US" w:eastAsia="zh-CN"/>
                    </w:rPr>
                    <w:t>/</w:t>
                  </w:r>
                </w:p>
              </w:tc>
              <w:tc>
                <w:tcPr>
                  <w:tcW w:w="639" w:type="dxa"/>
                  <w:shd w:val="clear" w:color="auto" w:fill="auto"/>
                  <w:noWrap w:val="0"/>
                  <w:vAlign w:val="center"/>
                </w:tcPr>
                <w:p w14:paraId="6C17886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shd w:val="clear" w:color="auto" w:fill="auto"/>
                  <w:noWrap w:val="0"/>
                  <w:vAlign w:val="center"/>
                </w:tcPr>
                <w:p w14:paraId="2EEBCE5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c>
                <w:tcPr>
                  <w:tcW w:w="1107" w:type="dxa"/>
                  <w:shd w:val="clear" w:color="auto" w:fill="auto"/>
                  <w:noWrap w:val="0"/>
                  <w:vAlign w:val="center"/>
                </w:tcPr>
                <w:p w14:paraId="3EA19096">
                  <w:pPr>
                    <w:spacing w:before="56" w:line="221" w:lineRule="auto"/>
                    <w:ind w:left="117" w:leftChars="0"/>
                    <w:jc w:val="center"/>
                    <w:rPr>
                      <w:rFonts w:hint="eastAsia" w:ascii="宋体" w:hAnsi="宋体" w:eastAsia="宋体" w:cs="宋体"/>
                      <w:color w:val="auto"/>
                      <w:spacing w:val="-2"/>
                      <w:kern w:val="2"/>
                      <w:sz w:val="21"/>
                      <w:szCs w:val="21"/>
                      <w:lang w:val="en-US" w:eastAsia="zh-CN" w:bidi="ar-SA"/>
                    </w:rPr>
                  </w:pPr>
                  <w:r>
                    <w:rPr>
                      <w:rFonts w:hint="eastAsia" w:ascii="宋体" w:hAnsi="宋体" w:cs="宋体"/>
                      <w:color w:val="auto"/>
                      <w:spacing w:val="-2"/>
                      <w:szCs w:val="21"/>
                      <w:lang w:val="en-US" w:eastAsia="zh-CN"/>
                    </w:rPr>
                    <w:t>新增</w:t>
                  </w:r>
                </w:p>
              </w:tc>
            </w:tr>
            <w:tr w14:paraId="76DA54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jc w:val="center"/>
              </w:trPr>
              <w:tc>
                <w:tcPr>
                  <w:tcW w:w="535" w:type="dxa"/>
                  <w:noWrap w:val="0"/>
                  <w:vAlign w:val="center"/>
                </w:tcPr>
                <w:p w14:paraId="7670B0FC">
                  <w:pPr>
                    <w:spacing w:before="88" w:line="187" w:lineRule="auto"/>
                    <w:jc w:val="center"/>
                    <w:rPr>
                      <w:rFonts w:hint="default"/>
                      <w:color w:val="auto"/>
                      <w:spacing w:val="-1"/>
                      <w:szCs w:val="21"/>
                      <w:lang w:val="en-US" w:eastAsia="zh-CN"/>
                    </w:rPr>
                  </w:pPr>
                  <w:r>
                    <w:rPr>
                      <w:rFonts w:hint="eastAsia"/>
                      <w:color w:val="auto"/>
                      <w:spacing w:val="-1"/>
                      <w:szCs w:val="21"/>
                      <w:lang w:val="en-US" w:eastAsia="zh-CN"/>
                    </w:rPr>
                    <w:t>32</w:t>
                  </w:r>
                </w:p>
              </w:tc>
              <w:tc>
                <w:tcPr>
                  <w:tcW w:w="2326" w:type="dxa"/>
                  <w:noWrap w:val="0"/>
                  <w:vAlign w:val="center"/>
                </w:tcPr>
                <w:p w14:paraId="670DD44B">
                  <w:pPr>
                    <w:spacing w:before="59" w:line="220" w:lineRule="auto"/>
                    <w:ind w:left="111"/>
                    <w:jc w:val="center"/>
                    <w:rPr>
                      <w:rFonts w:hint="default" w:eastAsia="宋体" w:cs="Times New Roman"/>
                      <w:color w:val="auto"/>
                      <w:szCs w:val="21"/>
                      <w:lang w:val="en-US" w:eastAsia="zh-CN"/>
                    </w:rPr>
                  </w:pPr>
                  <w:r>
                    <w:rPr>
                      <w:rFonts w:hint="eastAsia" w:eastAsia="宋体" w:cs="Times New Roman"/>
                      <w:color w:val="auto"/>
                      <w:szCs w:val="21"/>
                      <w:lang w:val="en-US" w:eastAsia="zh-CN"/>
                    </w:rPr>
                    <w:t>分体式空调器</w:t>
                  </w:r>
                </w:p>
              </w:tc>
              <w:tc>
                <w:tcPr>
                  <w:tcW w:w="2521" w:type="dxa"/>
                  <w:shd w:val="clear" w:color="auto" w:fill="auto"/>
                  <w:noWrap w:val="0"/>
                  <w:vAlign w:val="center"/>
                </w:tcPr>
                <w:p w14:paraId="0B5990A5">
                  <w:pPr>
                    <w:spacing w:before="59" w:line="220" w:lineRule="auto"/>
                    <w:ind w:left="111" w:left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szCs w:val="21"/>
                      <w:lang w:val="en-US" w:eastAsia="zh-CN"/>
                    </w:rPr>
                    <w:t>/</w:t>
                  </w:r>
                </w:p>
              </w:tc>
              <w:tc>
                <w:tcPr>
                  <w:tcW w:w="639" w:type="dxa"/>
                  <w:shd w:val="clear" w:color="auto" w:fill="auto"/>
                  <w:noWrap w:val="0"/>
                  <w:vAlign w:val="center"/>
                </w:tcPr>
                <w:p w14:paraId="290678A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762" w:type="dxa"/>
                  <w:shd w:val="clear" w:color="auto" w:fill="auto"/>
                  <w:noWrap w:val="0"/>
                  <w:vAlign w:val="center"/>
                </w:tcPr>
                <w:p w14:paraId="7E68F9C5">
                  <w:pPr>
                    <w:spacing w:before="59" w:line="220" w:lineRule="auto"/>
                    <w:ind w:left="111" w:leftChars="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w:t>
                  </w:r>
                </w:p>
              </w:tc>
              <w:tc>
                <w:tcPr>
                  <w:tcW w:w="1107" w:type="dxa"/>
                  <w:noWrap w:val="0"/>
                  <w:vAlign w:val="center"/>
                </w:tcPr>
                <w:p w14:paraId="5C4B2980">
                  <w:pPr>
                    <w:spacing w:before="56" w:line="221" w:lineRule="auto"/>
                    <w:ind w:left="117"/>
                    <w:jc w:val="center"/>
                    <w:rPr>
                      <w:rFonts w:ascii="宋体" w:hAnsi="宋体" w:cs="宋体"/>
                      <w:color w:val="auto"/>
                      <w:spacing w:val="-2"/>
                      <w:szCs w:val="21"/>
                    </w:rPr>
                  </w:pPr>
                  <w:r>
                    <w:rPr>
                      <w:rFonts w:hint="eastAsia" w:ascii="宋体" w:hAnsi="宋体" w:cs="宋体"/>
                      <w:color w:val="auto"/>
                      <w:spacing w:val="-2"/>
                      <w:szCs w:val="21"/>
                      <w:lang w:val="en-US" w:eastAsia="zh-CN"/>
                    </w:rPr>
                    <w:t>新增</w:t>
                  </w:r>
                </w:p>
              </w:tc>
            </w:tr>
          </w:tbl>
          <w:p w14:paraId="7C8F882E">
            <w:pPr>
              <w:pStyle w:val="21"/>
              <w:rPr>
                <w:b/>
                <w:color w:val="auto"/>
                <w:sz w:val="24"/>
              </w:rPr>
            </w:pPr>
          </w:p>
          <w:p w14:paraId="71B416CD">
            <w:pPr>
              <w:spacing w:line="360" w:lineRule="auto"/>
              <w:rPr>
                <w:b/>
                <w:color w:val="auto"/>
                <w:sz w:val="24"/>
              </w:rPr>
            </w:pPr>
            <w:r>
              <w:rPr>
                <w:rFonts w:hint="eastAsia"/>
                <w:b/>
                <w:color w:val="auto"/>
                <w:sz w:val="24"/>
              </w:rPr>
              <w:t>2.5</w:t>
            </w:r>
            <w:r>
              <w:rPr>
                <w:b/>
                <w:color w:val="auto"/>
                <w:sz w:val="24"/>
              </w:rPr>
              <w:t>消毒方式</w:t>
            </w:r>
          </w:p>
          <w:p w14:paraId="1016F012">
            <w:pPr>
              <w:spacing w:line="360" w:lineRule="auto"/>
              <w:ind w:firstLine="480" w:firstLineChars="200"/>
              <w:rPr>
                <w:bCs/>
                <w:color w:val="auto"/>
                <w:sz w:val="24"/>
              </w:rPr>
            </w:pPr>
            <w:r>
              <w:rPr>
                <w:bCs/>
                <w:color w:val="auto"/>
                <w:sz w:val="24"/>
              </w:rPr>
              <w:t>扩建项目采用的消毒方式详见表2-</w:t>
            </w:r>
            <w:r>
              <w:rPr>
                <w:rFonts w:hint="eastAsia"/>
                <w:bCs/>
                <w:color w:val="auto"/>
                <w:sz w:val="24"/>
              </w:rPr>
              <w:t>4</w:t>
            </w:r>
            <w:r>
              <w:rPr>
                <w:bCs/>
                <w:color w:val="auto"/>
                <w:sz w:val="24"/>
              </w:rPr>
              <w:t>。</w:t>
            </w:r>
          </w:p>
          <w:p w14:paraId="6463B570">
            <w:pPr>
              <w:jc w:val="center"/>
              <w:rPr>
                <w:b/>
                <w:bCs/>
                <w:color w:val="auto"/>
                <w:sz w:val="24"/>
              </w:rPr>
            </w:pPr>
            <w:r>
              <w:rPr>
                <w:b/>
                <w:bCs/>
                <w:color w:val="auto"/>
                <w:sz w:val="24"/>
              </w:rPr>
              <w:t>表2-</w:t>
            </w:r>
            <w:r>
              <w:rPr>
                <w:rFonts w:hint="eastAsia"/>
                <w:b/>
                <w:bCs/>
                <w:color w:val="auto"/>
                <w:sz w:val="24"/>
              </w:rPr>
              <w:t>4</w:t>
            </w:r>
            <w:r>
              <w:rPr>
                <w:b/>
                <w:bCs/>
                <w:color w:val="auto"/>
                <w:sz w:val="24"/>
              </w:rPr>
              <w:t>扩建项目消毒方式</w:t>
            </w:r>
          </w:p>
          <w:tbl>
            <w:tblPr>
              <w:tblStyle w:val="25"/>
              <w:tblW w:w="4999" w:type="pct"/>
              <w:tblInd w:w="0" w:type="dxa"/>
              <w:tblLayout w:type="fixed"/>
              <w:tblCellMar>
                <w:top w:w="0" w:type="dxa"/>
                <w:left w:w="108" w:type="dxa"/>
                <w:bottom w:w="0" w:type="dxa"/>
                <w:right w:w="108" w:type="dxa"/>
              </w:tblCellMar>
            </w:tblPr>
            <w:tblGrid>
              <w:gridCol w:w="2107"/>
              <w:gridCol w:w="1650"/>
              <w:gridCol w:w="2107"/>
              <w:gridCol w:w="3089"/>
            </w:tblGrid>
            <w:tr w14:paraId="31AA6A18">
              <w:trPr>
                <w:trHeight w:val="340" w:hRule="atLeast"/>
              </w:trPr>
              <w:tc>
                <w:tcPr>
                  <w:tcW w:w="1176" w:type="pct"/>
                  <w:tcBorders>
                    <w:top w:val="single" w:color="auto" w:sz="8" w:space="0"/>
                    <w:left w:val="single" w:color="auto" w:sz="8" w:space="0"/>
                    <w:bottom w:val="single" w:color="auto" w:sz="4" w:space="0"/>
                    <w:right w:val="single" w:color="000000" w:sz="8" w:space="0"/>
                  </w:tcBorders>
                  <w:noWrap w:val="0"/>
                  <w:vAlign w:val="center"/>
                </w:tcPr>
                <w:p w14:paraId="0D69B3E3">
                  <w:pPr>
                    <w:widowControl/>
                    <w:jc w:val="center"/>
                    <w:rPr>
                      <w:b/>
                      <w:color w:val="auto"/>
                      <w:kern w:val="0"/>
                      <w:szCs w:val="21"/>
                    </w:rPr>
                  </w:pPr>
                  <w:r>
                    <w:rPr>
                      <w:b/>
                      <w:color w:val="auto"/>
                      <w:kern w:val="0"/>
                      <w:szCs w:val="21"/>
                    </w:rPr>
                    <w:t>位置</w:t>
                  </w:r>
                </w:p>
              </w:tc>
              <w:tc>
                <w:tcPr>
                  <w:tcW w:w="2097" w:type="pct"/>
                  <w:gridSpan w:val="2"/>
                  <w:tcBorders>
                    <w:top w:val="single" w:color="auto" w:sz="8" w:space="0"/>
                    <w:left w:val="single" w:color="auto" w:sz="8" w:space="0"/>
                    <w:bottom w:val="single" w:color="auto" w:sz="4" w:space="0"/>
                    <w:right w:val="single" w:color="auto" w:sz="8" w:space="0"/>
                  </w:tcBorders>
                  <w:noWrap w:val="0"/>
                  <w:vAlign w:val="center"/>
                </w:tcPr>
                <w:p w14:paraId="52EAF3CF">
                  <w:pPr>
                    <w:widowControl/>
                    <w:jc w:val="center"/>
                    <w:rPr>
                      <w:b/>
                      <w:color w:val="auto"/>
                      <w:kern w:val="0"/>
                      <w:szCs w:val="21"/>
                    </w:rPr>
                  </w:pPr>
                  <w:r>
                    <w:rPr>
                      <w:b/>
                      <w:color w:val="auto"/>
                      <w:kern w:val="0"/>
                      <w:szCs w:val="21"/>
                    </w:rPr>
                    <w:t>内容</w:t>
                  </w:r>
                </w:p>
              </w:tc>
              <w:tc>
                <w:tcPr>
                  <w:tcW w:w="1725" w:type="pct"/>
                  <w:tcBorders>
                    <w:top w:val="single" w:color="auto" w:sz="8" w:space="0"/>
                    <w:left w:val="nil"/>
                    <w:bottom w:val="single" w:color="auto" w:sz="4" w:space="0"/>
                    <w:right w:val="single" w:color="auto" w:sz="8" w:space="0"/>
                  </w:tcBorders>
                  <w:noWrap w:val="0"/>
                  <w:vAlign w:val="center"/>
                </w:tcPr>
                <w:p w14:paraId="221E8CA3">
                  <w:pPr>
                    <w:widowControl/>
                    <w:jc w:val="center"/>
                    <w:rPr>
                      <w:b/>
                      <w:color w:val="auto"/>
                      <w:kern w:val="0"/>
                      <w:szCs w:val="21"/>
                    </w:rPr>
                  </w:pPr>
                  <w:r>
                    <w:rPr>
                      <w:b/>
                      <w:color w:val="auto"/>
                      <w:kern w:val="0"/>
                      <w:szCs w:val="21"/>
                    </w:rPr>
                    <w:t>方法</w:t>
                  </w:r>
                </w:p>
              </w:tc>
            </w:tr>
            <w:tr w14:paraId="33208001">
              <w:tblPrEx>
                <w:tblCellMar>
                  <w:top w:w="0" w:type="dxa"/>
                  <w:left w:w="108" w:type="dxa"/>
                  <w:bottom w:w="0" w:type="dxa"/>
                  <w:right w:w="108" w:type="dxa"/>
                </w:tblCellMar>
              </w:tblPrEx>
              <w:trPr>
                <w:trHeight w:val="224" w:hRule="atLeast"/>
              </w:trPr>
              <w:tc>
                <w:tcPr>
                  <w:tcW w:w="1176" w:type="pct"/>
                  <w:tcBorders>
                    <w:top w:val="single" w:color="auto" w:sz="4" w:space="0"/>
                    <w:left w:val="single" w:color="auto" w:sz="4" w:space="0"/>
                    <w:bottom w:val="single" w:color="auto" w:sz="4" w:space="0"/>
                    <w:right w:val="single" w:color="auto" w:sz="4" w:space="0"/>
                  </w:tcBorders>
                  <w:noWrap w:val="0"/>
                  <w:vAlign w:val="center"/>
                </w:tcPr>
                <w:p w14:paraId="359342F5">
                  <w:pPr>
                    <w:jc w:val="center"/>
                    <w:rPr>
                      <w:color w:val="auto"/>
                      <w:kern w:val="0"/>
                      <w:szCs w:val="21"/>
                    </w:rPr>
                  </w:pPr>
                  <w:r>
                    <w:rPr>
                      <w:color w:val="auto"/>
                      <w:kern w:val="0"/>
                      <w:szCs w:val="21"/>
                    </w:rPr>
                    <w:t>洗衣槽</w:t>
                  </w:r>
                </w:p>
              </w:tc>
              <w:tc>
                <w:tcPr>
                  <w:tcW w:w="2097" w:type="pct"/>
                  <w:gridSpan w:val="2"/>
                  <w:tcBorders>
                    <w:top w:val="single" w:color="auto" w:sz="4" w:space="0"/>
                    <w:left w:val="single" w:color="auto" w:sz="4" w:space="0"/>
                    <w:bottom w:val="single" w:color="auto" w:sz="4" w:space="0"/>
                    <w:right w:val="single" w:color="auto" w:sz="4" w:space="0"/>
                  </w:tcBorders>
                  <w:noWrap w:val="0"/>
                  <w:vAlign w:val="center"/>
                </w:tcPr>
                <w:p w14:paraId="7026F386">
                  <w:pPr>
                    <w:widowControl/>
                    <w:jc w:val="center"/>
                    <w:rPr>
                      <w:color w:val="auto"/>
                      <w:kern w:val="0"/>
                      <w:szCs w:val="21"/>
                    </w:rPr>
                  </w:pPr>
                  <w:r>
                    <w:rPr>
                      <w:color w:val="auto"/>
                      <w:kern w:val="0"/>
                      <w:szCs w:val="21"/>
                    </w:rPr>
                    <w:t>/</w:t>
                  </w:r>
                </w:p>
              </w:tc>
              <w:tc>
                <w:tcPr>
                  <w:tcW w:w="1725" w:type="pct"/>
                  <w:tcBorders>
                    <w:top w:val="single" w:color="auto" w:sz="4" w:space="0"/>
                    <w:left w:val="single" w:color="auto" w:sz="4" w:space="0"/>
                    <w:bottom w:val="single" w:color="auto" w:sz="4" w:space="0"/>
                    <w:right w:val="single" w:color="auto" w:sz="4" w:space="0"/>
                  </w:tcBorders>
                  <w:noWrap w:val="0"/>
                  <w:vAlign w:val="center"/>
                </w:tcPr>
                <w:p w14:paraId="56379D3E">
                  <w:pPr>
                    <w:jc w:val="center"/>
                    <w:rPr>
                      <w:color w:val="auto"/>
                      <w:szCs w:val="21"/>
                    </w:rPr>
                  </w:pPr>
                  <w:r>
                    <w:rPr>
                      <w:color w:val="auto"/>
                      <w:kern w:val="0"/>
                      <w:szCs w:val="21"/>
                    </w:rPr>
                    <w:t>84消毒液</w:t>
                  </w:r>
                </w:p>
              </w:tc>
            </w:tr>
            <w:tr w14:paraId="0DB7D4E7">
              <w:tblPrEx>
                <w:tblCellMar>
                  <w:top w:w="0" w:type="dxa"/>
                  <w:left w:w="108" w:type="dxa"/>
                  <w:bottom w:w="0" w:type="dxa"/>
                  <w:right w:w="108" w:type="dxa"/>
                </w:tblCellMar>
              </w:tblPrEx>
              <w:trPr>
                <w:trHeight w:val="263" w:hRule="atLeast"/>
              </w:trPr>
              <w:tc>
                <w:tcPr>
                  <w:tcW w:w="1176" w:type="pct"/>
                  <w:tcBorders>
                    <w:top w:val="single" w:color="auto" w:sz="4" w:space="0"/>
                    <w:left w:val="single" w:color="auto" w:sz="4" w:space="0"/>
                    <w:bottom w:val="single" w:color="auto" w:sz="4" w:space="0"/>
                    <w:right w:val="single" w:color="auto" w:sz="4" w:space="0"/>
                  </w:tcBorders>
                  <w:noWrap w:val="0"/>
                  <w:vAlign w:val="center"/>
                </w:tcPr>
                <w:p w14:paraId="0597C58C">
                  <w:pPr>
                    <w:jc w:val="center"/>
                    <w:rPr>
                      <w:color w:val="auto"/>
                      <w:kern w:val="0"/>
                      <w:szCs w:val="21"/>
                    </w:rPr>
                  </w:pPr>
                  <w:r>
                    <w:rPr>
                      <w:color w:val="auto"/>
                      <w:kern w:val="0"/>
                      <w:szCs w:val="21"/>
                    </w:rPr>
                    <w:t>器具消毒</w:t>
                  </w:r>
                </w:p>
              </w:tc>
              <w:tc>
                <w:tcPr>
                  <w:tcW w:w="2097" w:type="pct"/>
                  <w:gridSpan w:val="2"/>
                  <w:tcBorders>
                    <w:top w:val="single" w:color="auto" w:sz="4" w:space="0"/>
                    <w:left w:val="single" w:color="auto" w:sz="4" w:space="0"/>
                    <w:bottom w:val="single" w:color="auto" w:sz="4" w:space="0"/>
                    <w:right w:val="single" w:color="auto" w:sz="4" w:space="0"/>
                  </w:tcBorders>
                  <w:noWrap w:val="0"/>
                  <w:vAlign w:val="center"/>
                </w:tcPr>
                <w:p w14:paraId="3621B325">
                  <w:pPr>
                    <w:widowControl/>
                    <w:jc w:val="center"/>
                    <w:rPr>
                      <w:color w:val="auto"/>
                      <w:kern w:val="0"/>
                      <w:szCs w:val="21"/>
                    </w:rPr>
                  </w:pPr>
                  <w:r>
                    <w:rPr>
                      <w:color w:val="auto"/>
                      <w:kern w:val="0"/>
                      <w:szCs w:val="21"/>
                    </w:rPr>
                    <w:t>/</w:t>
                  </w:r>
                </w:p>
              </w:tc>
              <w:tc>
                <w:tcPr>
                  <w:tcW w:w="1725" w:type="pct"/>
                  <w:tcBorders>
                    <w:top w:val="single" w:color="auto" w:sz="4" w:space="0"/>
                    <w:left w:val="single" w:color="auto" w:sz="4" w:space="0"/>
                    <w:right w:val="single" w:color="auto" w:sz="4" w:space="0"/>
                  </w:tcBorders>
                  <w:noWrap w:val="0"/>
                  <w:vAlign w:val="center"/>
                </w:tcPr>
                <w:p w14:paraId="61975ABF">
                  <w:pPr>
                    <w:jc w:val="center"/>
                    <w:rPr>
                      <w:color w:val="auto"/>
                      <w:kern w:val="0"/>
                      <w:szCs w:val="21"/>
                    </w:rPr>
                  </w:pPr>
                  <w:r>
                    <w:rPr>
                      <w:color w:val="auto"/>
                      <w:kern w:val="0"/>
                      <w:szCs w:val="21"/>
                    </w:rPr>
                    <w:t>戊二醛、碘伏、消毒水</w:t>
                  </w:r>
                </w:p>
              </w:tc>
            </w:tr>
            <w:tr w14:paraId="129A5449">
              <w:tblPrEx>
                <w:tblCellMar>
                  <w:top w:w="0" w:type="dxa"/>
                  <w:left w:w="108" w:type="dxa"/>
                  <w:bottom w:w="0" w:type="dxa"/>
                  <w:right w:w="108" w:type="dxa"/>
                </w:tblCellMar>
              </w:tblPrEx>
              <w:trPr>
                <w:trHeight w:val="340" w:hRule="atLeast"/>
              </w:trPr>
              <w:tc>
                <w:tcPr>
                  <w:tcW w:w="1176" w:type="pct"/>
                  <w:vMerge w:val="restart"/>
                  <w:tcBorders>
                    <w:top w:val="single" w:color="auto" w:sz="4" w:space="0"/>
                    <w:left w:val="single" w:color="auto" w:sz="4" w:space="0"/>
                    <w:bottom w:val="single" w:color="auto" w:sz="4" w:space="0"/>
                    <w:right w:val="single" w:color="auto" w:sz="4" w:space="0"/>
                  </w:tcBorders>
                  <w:noWrap w:val="0"/>
                  <w:vAlign w:val="center"/>
                </w:tcPr>
                <w:p w14:paraId="5607AA09">
                  <w:pPr>
                    <w:jc w:val="center"/>
                    <w:rPr>
                      <w:color w:val="auto"/>
                      <w:kern w:val="0"/>
                      <w:szCs w:val="21"/>
                    </w:rPr>
                  </w:pPr>
                  <w:r>
                    <w:rPr>
                      <w:color w:val="auto"/>
                      <w:kern w:val="0"/>
                      <w:szCs w:val="21"/>
                    </w:rPr>
                    <w:t>病房等</w:t>
                  </w:r>
                </w:p>
              </w:tc>
              <w:tc>
                <w:tcPr>
                  <w:tcW w:w="921" w:type="pct"/>
                  <w:tcBorders>
                    <w:top w:val="single" w:color="auto" w:sz="4" w:space="0"/>
                    <w:left w:val="single" w:color="auto" w:sz="4" w:space="0"/>
                    <w:bottom w:val="single" w:color="auto" w:sz="4" w:space="0"/>
                    <w:right w:val="single" w:color="auto" w:sz="4" w:space="0"/>
                  </w:tcBorders>
                  <w:noWrap w:val="0"/>
                  <w:vAlign w:val="center"/>
                </w:tcPr>
                <w:p w14:paraId="089EE6F5">
                  <w:pPr>
                    <w:jc w:val="center"/>
                    <w:rPr>
                      <w:color w:val="auto"/>
                      <w:kern w:val="0"/>
                      <w:szCs w:val="21"/>
                    </w:rPr>
                  </w:pPr>
                  <w:r>
                    <w:rPr>
                      <w:color w:val="auto"/>
                      <w:kern w:val="0"/>
                      <w:szCs w:val="21"/>
                    </w:rPr>
                    <w:t>消毒剂</w:t>
                  </w:r>
                </w:p>
              </w:tc>
              <w:tc>
                <w:tcPr>
                  <w:tcW w:w="1176" w:type="pct"/>
                  <w:tcBorders>
                    <w:top w:val="single" w:color="auto" w:sz="4" w:space="0"/>
                    <w:left w:val="single" w:color="auto" w:sz="4" w:space="0"/>
                    <w:bottom w:val="single" w:color="auto" w:sz="4" w:space="0"/>
                    <w:right w:val="single" w:color="auto" w:sz="4" w:space="0"/>
                  </w:tcBorders>
                  <w:noWrap w:val="0"/>
                  <w:vAlign w:val="center"/>
                </w:tcPr>
                <w:p w14:paraId="0AD9AC0C">
                  <w:pPr>
                    <w:widowControl/>
                    <w:jc w:val="center"/>
                    <w:rPr>
                      <w:color w:val="auto"/>
                      <w:kern w:val="0"/>
                      <w:szCs w:val="21"/>
                    </w:rPr>
                  </w:pPr>
                  <w:r>
                    <w:rPr>
                      <w:color w:val="auto"/>
                      <w:kern w:val="0"/>
                      <w:szCs w:val="21"/>
                    </w:rPr>
                    <w:t>84消毒液</w:t>
                  </w:r>
                </w:p>
              </w:tc>
              <w:tc>
                <w:tcPr>
                  <w:tcW w:w="1725" w:type="pct"/>
                  <w:vMerge w:val="restart"/>
                  <w:tcBorders>
                    <w:top w:val="single" w:color="auto" w:sz="4" w:space="0"/>
                    <w:left w:val="single" w:color="auto" w:sz="4" w:space="0"/>
                    <w:right w:val="single" w:color="auto" w:sz="4" w:space="0"/>
                  </w:tcBorders>
                  <w:noWrap w:val="0"/>
                  <w:vAlign w:val="center"/>
                </w:tcPr>
                <w:p w14:paraId="22052A43">
                  <w:pPr>
                    <w:jc w:val="center"/>
                    <w:rPr>
                      <w:color w:val="auto"/>
                      <w:kern w:val="0"/>
                      <w:szCs w:val="21"/>
                    </w:rPr>
                  </w:pPr>
                  <w:r>
                    <w:rPr>
                      <w:color w:val="auto"/>
                      <w:kern w:val="0"/>
                      <w:szCs w:val="21"/>
                    </w:rPr>
                    <w:t>温度20~40℃。湿度50%，照射时间≥30min</w:t>
                  </w:r>
                </w:p>
              </w:tc>
            </w:tr>
            <w:tr w14:paraId="1A336FF3">
              <w:tblPrEx>
                <w:tblCellMar>
                  <w:top w:w="0" w:type="dxa"/>
                  <w:left w:w="108" w:type="dxa"/>
                  <w:bottom w:w="0" w:type="dxa"/>
                  <w:right w:w="108" w:type="dxa"/>
                </w:tblCellMar>
              </w:tblPrEx>
              <w:trPr>
                <w:trHeight w:val="340" w:hRule="atLeast"/>
              </w:trPr>
              <w:tc>
                <w:tcPr>
                  <w:tcW w:w="1176" w:type="pct"/>
                  <w:vMerge w:val="continue"/>
                  <w:tcBorders>
                    <w:top w:val="single" w:color="auto" w:sz="4" w:space="0"/>
                    <w:left w:val="single" w:color="auto" w:sz="4" w:space="0"/>
                    <w:bottom w:val="single" w:color="auto" w:sz="4" w:space="0"/>
                    <w:right w:val="single" w:color="auto" w:sz="4" w:space="0"/>
                  </w:tcBorders>
                  <w:noWrap w:val="0"/>
                  <w:vAlign w:val="center"/>
                </w:tcPr>
                <w:p w14:paraId="539C14A5">
                  <w:pPr>
                    <w:jc w:val="center"/>
                    <w:rPr>
                      <w:color w:val="auto"/>
                      <w:kern w:val="0"/>
                      <w:szCs w:val="21"/>
                    </w:rPr>
                  </w:pPr>
                </w:p>
              </w:tc>
              <w:tc>
                <w:tcPr>
                  <w:tcW w:w="921" w:type="pct"/>
                  <w:tcBorders>
                    <w:top w:val="single" w:color="auto" w:sz="4" w:space="0"/>
                    <w:left w:val="single" w:color="auto" w:sz="4" w:space="0"/>
                    <w:bottom w:val="single" w:color="auto" w:sz="4" w:space="0"/>
                    <w:right w:val="single" w:color="auto" w:sz="4" w:space="0"/>
                  </w:tcBorders>
                  <w:noWrap w:val="0"/>
                  <w:vAlign w:val="center"/>
                </w:tcPr>
                <w:p w14:paraId="0F627998">
                  <w:pPr>
                    <w:jc w:val="center"/>
                    <w:rPr>
                      <w:color w:val="auto"/>
                      <w:kern w:val="0"/>
                      <w:szCs w:val="21"/>
                    </w:rPr>
                  </w:pPr>
                  <w:r>
                    <w:rPr>
                      <w:color w:val="auto"/>
                      <w:kern w:val="0"/>
                      <w:szCs w:val="21"/>
                    </w:rPr>
                    <w:t>消毒机</w:t>
                  </w:r>
                </w:p>
              </w:tc>
              <w:tc>
                <w:tcPr>
                  <w:tcW w:w="1176" w:type="pct"/>
                  <w:tcBorders>
                    <w:top w:val="single" w:color="auto" w:sz="4" w:space="0"/>
                    <w:left w:val="single" w:color="auto" w:sz="4" w:space="0"/>
                    <w:bottom w:val="single" w:color="auto" w:sz="4" w:space="0"/>
                    <w:right w:val="single" w:color="auto" w:sz="4" w:space="0"/>
                  </w:tcBorders>
                  <w:noWrap w:val="0"/>
                  <w:vAlign w:val="center"/>
                </w:tcPr>
                <w:p w14:paraId="2F5D2142">
                  <w:pPr>
                    <w:widowControl/>
                    <w:jc w:val="center"/>
                    <w:rPr>
                      <w:color w:val="auto"/>
                      <w:kern w:val="0"/>
                      <w:szCs w:val="21"/>
                    </w:rPr>
                  </w:pPr>
                  <w:r>
                    <w:rPr>
                      <w:color w:val="auto"/>
                      <w:kern w:val="0"/>
                      <w:szCs w:val="21"/>
                    </w:rPr>
                    <w:t>空气消毒机</w:t>
                  </w:r>
                </w:p>
              </w:tc>
              <w:tc>
                <w:tcPr>
                  <w:tcW w:w="1725" w:type="pct"/>
                  <w:vMerge w:val="continue"/>
                  <w:tcBorders>
                    <w:left w:val="single" w:color="auto" w:sz="4" w:space="0"/>
                    <w:bottom w:val="single" w:color="auto" w:sz="4" w:space="0"/>
                    <w:right w:val="single" w:color="auto" w:sz="4" w:space="0"/>
                  </w:tcBorders>
                  <w:noWrap w:val="0"/>
                  <w:vAlign w:val="center"/>
                </w:tcPr>
                <w:p w14:paraId="2B662D47">
                  <w:pPr>
                    <w:jc w:val="center"/>
                    <w:rPr>
                      <w:color w:val="auto"/>
                      <w:kern w:val="0"/>
                      <w:szCs w:val="21"/>
                    </w:rPr>
                  </w:pPr>
                </w:p>
              </w:tc>
            </w:tr>
            <w:tr w14:paraId="5F1BCE48">
              <w:tblPrEx>
                <w:tblCellMar>
                  <w:top w:w="0" w:type="dxa"/>
                  <w:left w:w="108" w:type="dxa"/>
                  <w:bottom w:w="0" w:type="dxa"/>
                  <w:right w:w="108" w:type="dxa"/>
                </w:tblCellMar>
              </w:tblPrEx>
              <w:trPr>
                <w:trHeight w:val="340" w:hRule="atLeast"/>
              </w:trPr>
              <w:tc>
                <w:tcPr>
                  <w:tcW w:w="1176" w:type="pct"/>
                  <w:tcBorders>
                    <w:top w:val="single" w:color="auto" w:sz="4" w:space="0"/>
                    <w:left w:val="single" w:color="auto" w:sz="4" w:space="0"/>
                    <w:bottom w:val="single" w:color="auto" w:sz="4" w:space="0"/>
                    <w:right w:val="single" w:color="auto" w:sz="4" w:space="0"/>
                  </w:tcBorders>
                  <w:noWrap w:val="0"/>
                  <w:vAlign w:val="center"/>
                </w:tcPr>
                <w:p w14:paraId="461468E9">
                  <w:pPr>
                    <w:jc w:val="center"/>
                    <w:rPr>
                      <w:color w:val="auto"/>
                      <w:kern w:val="0"/>
                      <w:szCs w:val="21"/>
                    </w:rPr>
                  </w:pPr>
                  <w:r>
                    <w:rPr>
                      <w:color w:val="auto"/>
                      <w:kern w:val="0"/>
                      <w:szCs w:val="21"/>
                    </w:rPr>
                    <w:t>废水消毒</w:t>
                  </w:r>
                </w:p>
              </w:tc>
              <w:tc>
                <w:tcPr>
                  <w:tcW w:w="2097" w:type="pct"/>
                  <w:gridSpan w:val="2"/>
                  <w:tcBorders>
                    <w:top w:val="single" w:color="auto" w:sz="4" w:space="0"/>
                    <w:left w:val="single" w:color="auto" w:sz="4" w:space="0"/>
                    <w:bottom w:val="single" w:color="auto" w:sz="4" w:space="0"/>
                    <w:right w:val="single" w:color="auto" w:sz="4" w:space="0"/>
                  </w:tcBorders>
                  <w:noWrap w:val="0"/>
                  <w:vAlign w:val="center"/>
                </w:tcPr>
                <w:p w14:paraId="10A7594B">
                  <w:pPr>
                    <w:widowControl/>
                    <w:jc w:val="center"/>
                    <w:rPr>
                      <w:color w:val="auto"/>
                      <w:kern w:val="0"/>
                      <w:szCs w:val="21"/>
                    </w:rPr>
                  </w:pPr>
                  <w:r>
                    <w:rPr>
                      <w:color w:val="auto"/>
                      <w:kern w:val="0"/>
                      <w:szCs w:val="21"/>
                    </w:rPr>
                    <w:t>次氯酸钠</w:t>
                  </w:r>
                </w:p>
              </w:tc>
              <w:tc>
                <w:tcPr>
                  <w:tcW w:w="1725" w:type="pct"/>
                  <w:tcBorders>
                    <w:top w:val="single" w:color="auto" w:sz="4" w:space="0"/>
                    <w:left w:val="single" w:color="auto" w:sz="4" w:space="0"/>
                    <w:bottom w:val="single" w:color="auto" w:sz="4" w:space="0"/>
                    <w:right w:val="single" w:color="auto" w:sz="4" w:space="0"/>
                  </w:tcBorders>
                  <w:noWrap w:val="0"/>
                  <w:vAlign w:val="center"/>
                </w:tcPr>
                <w:p w14:paraId="772E43F7">
                  <w:pPr>
                    <w:jc w:val="center"/>
                    <w:rPr>
                      <w:color w:val="auto"/>
                      <w:kern w:val="0"/>
                      <w:szCs w:val="21"/>
                    </w:rPr>
                  </w:pPr>
                  <w:r>
                    <w:rPr>
                      <w:color w:val="auto"/>
                      <w:kern w:val="0"/>
                      <w:szCs w:val="21"/>
                    </w:rPr>
                    <w:t>次氯酸钠</w:t>
                  </w:r>
                </w:p>
              </w:tc>
            </w:tr>
            <w:tr w14:paraId="3DBF06CC">
              <w:tblPrEx>
                <w:tblCellMar>
                  <w:top w:w="0" w:type="dxa"/>
                  <w:left w:w="108" w:type="dxa"/>
                  <w:bottom w:w="0" w:type="dxa"/>
                  <w:right w:w="108" w:type="dxa"/>
                </w:tblCellMar>
              </w:tblPrEx>
              <w:trPr>
                <w:trHeight w:val="340" w:hRule="atLeast"/>
              </w:trPr>
              <w:tc>
                <w:tcPr>
                  <w:tcW w:w="1176" w:type="pct"/>
                  <w:tcBorders>
                    <w:top w:val="single" w:color="auto" w:sz="4" w:space="0"/>
                    <w:left w:val="single" w:color="auto" w:sz="4" w:space="0"/>
                    <w:bottom w:val="single" w:color="auto" w:sz="4" w:space="0"/>
                    <w:right w:val="single" w:color="auto" w:sz="4" w:space="0"/>
                  </w:tcBorders>
                  <w:noWrap w:val="0"/>
                  <w:vAlign w:val="center"/>
                </w:tcPr>
                <w:p w14:paraId="4842EB8C">
                  <w:pPr>
                    <w:jc w:val="center"/>
                    <w:rPr>
                      <w:color w:val="auto"/>
                      <w:kern w:val="0"/>
                      <w:szCs w:val="21"/>
                    </w:rPr>
                  </w:pPr>
                  <w:r>
                    <w:rPr>
                      <w:color w:val="auto"/>
                      <w:kern w:val="0"/>
                      <w:szCs w:val="21"/>
                    </w:rPr>
                    <w:t>污泥消毒</w:t>
                  </w:r>
                </w:p>
              </w:tc>
              <w:tc>
                <w:tcPr>
                  <w:tcW w:w="2097" w:type="pct"/>
                  <w:gridSpan w:val="2"/>
                  <w:tcBorders>
                    <w:top w:val="single" w:color="auto" w:sz="4" w:space="0"/>
                    <w:left w:val="single" w:color="auto" w:sz="4" w:space="0"/>
                    <w:bottom w:val="single" w:color="auto" w:sz="4" w:space="0"/>
                    <w:right w:val="single" w:color="auto" w:sz="4" w:space="0"/>
                  </w:tcBorders>
                  <w:noWrap w:val="0"/>
                  <w:vAlign w:val="center"/>
                </w:tcPr>
                <w:p w14:paraId="033AF4D8">
                  <w:pPr>
                    <w:widowControl/>
                    <w:jc w:val="center"/>
                    <w:rPr>
                      <w:color w:val="auto"/>
                      <w:kern w:val="0"/>
                      <w:szCs w:val="21"/>
                    </w:rPr>
                  </w:pPr>
                  <w:r>
                    <w:rPr>
                      <w:color w:val="auto"/>
                      <w:kern w:val="0"/>
                      <w:szCs w:val="21"/>
                    </w:rPr>
                    <w:t>/</w:t>
                  </w:r>
                </w:p>
              </w:tc>
              <w:tc>
                <w:tcPr>
                  <w:tcW w:w="1725" w:type="pct"/>
                  <w:tcBorders>
                    <w:top w:val="single" w:color="auto" w:sz="4" w:space="0"/>
                    <w:left w:val="single" w:color="auto" w:sz="4" w:space="0"/>
                    <w:bottom w:val="single" w:color="auto" w:sz="4" w:space="0"/>
                    <w:right w:val="single" w:color="auto" w:sz="4" w:space="0"/>
                  </w:tcBorders>
                  <w:noWrap w:val="0"/>
                  <w:vAlign w:val="center"/>
                </w:tcPr>
                <w:p w14:paraId="42A6452A">
                  <w:pPr>
                    <w:jc w:val="center"/>
                    <w:rPr>
                      <w:color w:val="auto"/>
                      <w:kern w:val="0"/>
                      <w:szCs w:val="21"/>
                    </w:rPr>
                  </w:pPr>
                  <w:r>
                    <w:rPr>
                      <w:rFonts w:hint="eastAsia"/>
                      <w:color w:val="auto"/>
                      <w:kern w:val="0"/>
                      <w:szCs w:val="21"/>
                    </w:rPr>
                    <w:t>生石灰</w:t>
                  </w:r>
                </w:p>
              </w:tc>
            </w:tr>
          </w:tbl>
          <w:p w14:paraId="7B9F085D">
            <w:pPr>
              <w:spacing w:before="120" w:beforeLines="50" w:line="360" w:lineRule="auto"/>
              <w:rPr>
                <w:b/>
                <w:color w:val="auto"/>
                <w:sz w:val="24"/>
              </w:rPr>
            </w:pPr>
            <w:r>
              <w:rPr>
                <w:rFonts w:hint="eastAsia"/>
                <w:b/>
                <w:color w:val="auto"/>
                <w:sz w:val="24"/>
              </w:rPr>
              <w:t>2.6</w:t>
            </w:r>
            <w:r>
              <w:rPr>
                <w:b/>
                <w:color w:val="auto"/>
                <w:sz w:val="24"/>
              </w:rPr>
              <w:t>总平面布置及其合理性</w:t>
            </w:r>
          </w:p>
          <w:p w14:paraId="533E7DAE">
            <w:pPr>
              <w:adjustRightInd w:val="0"/>
              <w:snapToGrid w:val="0"/>
              <w:spacing w:line="360" w:lineRule="auto"/>
              <w:ind w:firstLine="480" w:firstLineChars="200"/>
              <w:rPr>
                <w:bCs/>
                <w:color w:val="auto"/>
                <w:sz w:val="24"/>
              </w:rPr>
            </w:pPr>
            <w:r>
              <w:rPr>
                <w:bCs/>
                <w:color w:val="auto"/>
                <w:sz w:val="24"/>
              </w:rPr>
              <w:t>医院</w:t>
            </w:r>
            <w:r>
              <w:rPr>
                <w:bCs/>
                <w:color w:val="auto"/>
                <w:kern w:val="0"/>
                <w:sz w:val="24"/>
              </w:rPr>
              <w:t>各科室设置紧凑，流程顺畅，</w:t>
            </w:r>
            <w:r>
              <w:rPr>
                <w:bCs/>
                <w:color w:val="auto"/>
                <w:sz w:val="24"/>
              </w:rPr>
              <w:t>合理规划</w:t>
            </w:r>
            <w:r>
              <w:rPr>
                <w:rFonts w:hint="eastAsia"/>
                <w:bCs/>
                <w:color w:val="auto"/>
                <w:sz w:val="24"/>
              </w:rPr>
              <w:t>院区</w:t>
            </w:r>
            <w:r>
              <w:rPr>
                <w:bCs/>
                <w:color w:val="auto"/>
                <w:sz w:val="24"/>
              </w:rPr>
              <w:t>线路，避免拥堵，保障急救病患和急诊病患抢救时间，方便车辆运输。</w:t>
            </w:r>
          </w:p>
          <w:p w14:paraId="296B549E">
            <w:pPr>
              <w:adjustRightInd w:val="0"/>
              <w:snapToGrid w:val="0"/>
              <w:spacing w:line="360" w:lineRule="auto"/>
              <w:ind w:firstLine="480" w:firstLineChars="200"/>
              <w:rPr>
                <w:bCs/>
                <w:color w:val="auto"/>
                <w:sz w:val="24"/>
              </w:rPr>
            </w:pPr>
            <w:r>
              <w:rPr>
                <w:rFonts w:hint="eastAsia"/>
                <w:bCs/>
                <w:color w:val="auto"/>
                <w:sz w:val="24"/>
                <w:lang w:val="en-US" w:eastAsia="zh-CN"/>
              </w:rPr>
              <w:t>医疗垃圾先收集于每层的医用垃圾桶，经袋装后统一转移至</w:t>
            </w:r>
            <w:r>
              <w:rPr>
                <w:rFonts w:hint="default"/>
                <w:bCs/>
                <w:color w:val="auto"/>
                <w:sz w:val="24"/>
                <w:lang w:val="en-US" w:eastAsia="zh-CN"/>
              </w:rPr>
              <w:t>1F</w:t>
            </w:r>
            <w:r>
              <w:rPr>
                <w:rFonts w:hint="eastAsia"/>
                <w:bCs/>
                <w:color w:val="auto"/>
                <w:sz w:val="24"/>
                <w:lang w:val="en-US" w:eastAsia="zh-CN"/>
              </w:rPr>
              <w:t>医疗废物暂存间，与医院内部各诊室病房隔离开，远离治疗、人员活动区及周边居民楼。院区医疗垃圾收集于项目设置的医用垃圾桶，经袋装后装入防渗漏、防遗撒的密封转运箱，转运箱为黄色，标有明显的警示标识和警示说明，并且转运前对转运箱进行消毒。就诊及住院病人主要集中在</w:t>
            </w:r>
            <w:r>
              <w:rPr>
                <w:rFonts w:hint="default"/>
                <w:bCs/>
                <w:color w:val="auto"/>
                <w:sz w:val="24"/>
                <w:lang w:val="en-US" w:eastAsia="zh-CN"/>
              </w:rPr>
              <w:t>8:00-18:00</w:t>
            </w:r>
            <w:r>
              <w:rPr>
                <w:rFonts w:hint="eastAsia"/>
                <w:bCs/>
                <w:color w:val="auto"/>
                <w:sz w:val="24"/>
                <w:lang w:val="en-US" w:eastAsia="zh-CN"/>
              </w:rPr>
              <w:t>在院区流动，医疗废物固定在</w:t>
            </w:r>
            <w:r>
              <w:rPr>
                <w:rFonts w:hint="default"/>
                <w:bCs/>
                <w:color w:val="auto"/>
                <w:sz w:val="24"/>
                <w:lang w:val="en-US" w:eastAsia="zh-CN"/>
              </w:rPr>
              <w:t>21:00-22:00</w:t>
            </w:r>
            <w:r>
              <w:rPr>
                <w:rFonts w:hint="eastAsia"/>
                <w:bCs/>
                <w:color w:val="auto"/>
                <w:sz w:val="24"/>
                <w:lang w:val="en-US" w:eastAsia="zh-CN"/>
              </w:rPr>
              <w:t>通过错时段方式转移，减少与外部人员的接触。避免了交叉污染的风险，避免医疗废物与周边人员进出口交叉。</w:t>
            </w:r>
          </w:p>
          <w:p w14:paraId="6C1226C7">
            <w:pPr>
              <w:adjustRightInd w:val="0"/>
              <w:snapToGrid w:val="0"/>
              <w:spacing w:line="360" w:lineRule="auto"/>
              <w:ind w:firstLine="480" w:firstLineChars="200"/>
              <w:rPr>
                <w:rFonts w:hint="eastAsia"/>
                <w:bCs/>
                <w:color w:val="auto"/>
                <w:sz w:val="24"/>
                <w:lang w:val="en-US" w:eastAsia="zh-CN"/>
              </w:rPr>
            </w:pPr>
            <w:r>
              <w:rPr>
                <w:rFonts w:hint="eastAsia"/>
                <w:bCs/>
                <w:color w:val="auto"/>
                <w:sz w:val="24"/>
                <w:lang w:val="en-US" w:eastAsia="zh-CN"/>
              </w:rPr>
              <w:t xml:space="preserve">污水处理站位于院区西侧，采用地下式结构，废气排放口紧邻公路侧绿化带设置，远离周边环境保护目标；污水处理设施地势较低，收集服务范围内楼层标高均位于污水处理设施之上，废水均能靠重力流入污水处理设施。且与病房以及周边建筑物均保持了一定的距离，满足《医院污水处理工程技术规范》（HJ2029-2013）的要求。 </w:t>
            </w:r>
          </w:p>
          <w:p w14:paraId="76AEB582">
            <w:pPr>
              <w:adjustRightInd w:val="0"/>
              <w:snapToGrid w:val="0"/>
              <w:spacing w:line="360" w:lineRule="auto"/>
              <w:ind w:firstLine="480" w:firstLineChars="200"/>
              <w:rPr>
                <w:bCs/>
                <w:color w:val="auto"/>
                <w:sz w:val="24"/>
              </w:rPr>
            </w:pPr>
            <w:r>
              <w:rPr>
                <w:bCs/>
                <w:color w:val="auto"/>
                <w:sz w:val="24"/>
              </w:rPr>
              <w:t>医院设置有两个出入口，分别位于渝州新城7号楼裙楼的</w:t>
            </w:r>
            <w:r>
              <w:rPr>
                <w:rFonts w:hint="eastAsia"/>
                <w:bCs/>
                <w:color w:val="auto"/>
                <w:sz w:val="24"/>
                <w:lang w:val="en-US" w:eastAsia="zh-CN"/>
              </w:rPr>
              <w:t>南北</w:t>
            </w:r>
            <w:r>
              <w:rPr>
                <w:bCs/>
                <w:color w:val="auto"/>
                <w:sz w:val="24"/>
              </w:rPr>
              <w:t>两侧，</w:t>
            </w:r>
            <w:r>
              <w:rPr>
                <w:rFonts w:hint="eastAsia"/>
                <w:bCs/>
                <w:color w:val="auto"/>
                <w:sz w:val="24"/>
                <w:lang w:val="en-US" w:eastAsia="zh-CN"/>
              </w:rPr>
              <w:t>医院南侧设置为医院人行主入口，门诊人员从医院主入口进入后到达</w:t>
            </w:r>
            <w:r>
              <w:rPr>
                <w:rFonts w:hint="default"/>
                <w:bCs/>
                <w:color w:val="auto"/>
                <w:sz w:val="24"/>
                <w:lang w:val="en-US" w:eastAsia="zh-CN"/>
              </w:rPr>
              <w:t>1F</w:t>
            </w:r>
            <w:r>
              <w:rPr>
                <w:rFonts w:hint="eastAsia"/>
                <w:bCs/>
                <w:color w:val="auto"/>
                <w:sz w:val="24"/>
                <w:lang w:val="en-US" w:eastAsia="zh-CN"/>
              </w:rPr>
              <w:t>门诊，并在</w:t>
            </w:r>
            <w:r>
              <w:rPr>
                <w:rFonts w:hint="default"/>
                <w:bCs/>
                <w:color w:val="auto"/>
                <w:sz w:val="24"/>
                <w:lang w:val="en-US" w:eastAsia="zh-CN"/>
              </w:rPr>
              <w:t>1F</w:t>
            </w:r>
            <w:r>
              <w:rPr>
                <w:rFonts w:hint="eastAsia"/>
                <w:bCs/>
                <w:color w:val="auto"/>
                <w:sz w:val="24"/>
                <w:lang w:val="en-US" w:eastAsia="zh-CN"/>
              </w:rPr>
              <w:t xml:space="preserve">门口设置导医台，病人进入后即可在导医台工作人员指导下进入不同部门。 </w:t>
            </w:r>
          </w:p>
          <w:p w14:paraId="3FD62B3F">
            <w:pPr>
              <w:adjustRightInd w:val="0"/>
              <w:snapToGrid w:val="0"/>
              <w:spacing w:line="360" w:lineRule="auto"/>
              <w:ind w:firstLine="480" w:firstLineChars="200"/>
              <w:rPr>
                <w:bCs/>
                <w:color w:val="auto"/>
                <w:sz w:val="24"/>
              </w:rPr>
            </w:pPr>
            <w:r>
              <w:rPr>
                <w:bCs/>
                <w:color w:val="auto"/>
                <w:sz w:val="24"/>
              </w:rPr>
              <w:t>医院出入口与1F</w:t>
            </w:r>
            <w:r>
              <w:rPr>
                <w:rFonts w:hint="eastAsia"/>
                <w:bCs/>
                <w:color w:val="auto"/>
                <w:sz w:val="24"/>
                <w:lang w:val="en-US" w:eastAsia="zh-CN"/>
              </w:rPr>
              <w:t>商业</w:t>
            </w:r>
            <w:r>
              <w:rPr>
                <w:bCs/>
                <w:color w:val="auto"/>
                <w:sz w:val="24"/>
              </w:rPr>
              <w:t>出入口均为独立出入口，渝州新城7号楼塔楼居民</w:t>
            </w:r>
            <w:r>
              <w:rPr>
                <w:rFonts w:hint="eastAsia"/>
                <w:bCs/>
                <w:color w:val="auto"/>
                <w:sz w:val="24"/>
                <w:lang w:val="en-US" w:eastAsia="zh-CN"/>
              </w:rPr>
              <w:t>具有独立的出入口</w:t>
            </w:r>
            <w:r>
              <w:rPr>
                <w:bCs/>
                <w:color w:val="auto"/>
                <w:sz w:val="24"/>
              </w:rPr>
              <w:t>，与医院的两个出入口是完全分开，互不影响。</w:t>
            </w:r>
          </w:p>
          <w:p w14:paraId="470E596B">
            <w:pPr>
              <w:adjustRightInd w:val="0"/>
              <w:snapToGrid w:val="0"/>
              <w:spacing w:line="360" w:lineRule="auto"/>
              <w:jc w:val="center"/>
              <w:rPr>
                <w:rFonts w:hint="eastAsia" w:eastAsia="宋体"/>
                <w:bCs/>
                <w:color w:val="auto"/>
                <w:sz w:val="24"/>
                <w:lang w:eastAsia="zh-CN"/>
              </w:rPr>
            </w:pPr>
            <w:r>
              <w:rPr>
                <w:color w:val="auto"/>
              </w:rPr>
              <w:drawing>
                <wp:inline distT="0" distB="0" distL="114300" distR="114300">
                  <wp:extent cx="5360035" cy="3735070"/>
                  <wp:effectExtent l="0" t="0" r="12065" b="1778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1"/>
                          <a:stretch>
                            <a:fillRect/>
                          </a:stretch>
                        </pic:blipFill>
                        <pic:spPr>
                          <a:xfrm>
                            <a:off x="0" y="0"/>
                            <a:ext cx="5360035" cy="3735070"/>
                          </a:xfrm>
                          <a:prstGeom prst="rect">
                            <a:avLst/>
                          </a:prstGeom>
                          <a:noFill/>
                          <a:ln>
                            <a:noFill/>
                          </a:ln>
                        </pic:spPr>
                      </pic:pic>
                    </a:graphicData>
                  </a:graphic>
                </wp:inline>
              </w:drawing>
            </w:r>
          </w:p>
          <w:p w14:paraId="4DC7A748">
            <w:pPr>
              <w:pStyle w:val="16"/>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eastAsia"/>
                <w:b/>
                <w:bCs w:val="0"/>
                <w:color w:val="auto"/>
                <w:sz w:val="24"/>
                <w:lang w:val="en-US" w:eastAsia="zh-CN"/>
              </w:rPr>
            </w:pPr>
            <w:r>
              <w:rPr>
                <w:rFonts w:hint="eastAsia"/>
                <w:b/>
                <w:bCs w:val="0"/>
                <w:color w:val="auto"/>
                <w:sz w:val="24"/>
                <w:lang w:val="en-US" w:eastAsia="zh-CN"/>
              </w:rPr>
              <w:drawing>
                <wp:inline distT="0" distB="0" distL="114300" distR="114300">
                  <wp:extent cx="2983865" cy="3603625"/>
                  <wp:effectExtent l="0" t="0" r="6985" b="15875"/>
                  <wp:docPr id="55" name="图片 55" descr="173278871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32788719221"/>
                          <pic:cNvPicPr>
                            <a:picLocks noChangeAspect="1"/>
                          </pic:cNvPicPr>
                        </pic:nvPicPr>
                        <pic:blipFill>
                          <a:blip r:embed="rId12"/>
                          <a:stretch>
                            <a:fillRect/>
                          </a:stretch>
                        </pic:blipFill>
                        <pic:spPr>
                          <a:xfrm>
                            <a:off x="0" y="0"/>
                            <a:ext cx="2983865" cy="3603625"/>
                          </a:xfrm>
                          <a:prstGeom prst="rect">
                            <a:avLst/>
                          </a:prstGeom>
                        </pic:spPr>
                      </pic:pic>
                    </a:graphicData>
                  </a:graphic>
                </wp:inline>
              </w:drawing>
            </w:r>
          </w:p>
          <w:p w14:paraId="637759D7">
            <w:pPr>
              <w:pStyle w:val="16"/>
              <w:keepNext w:val="0"/>
              <w:keepLines w:val="0"/>
              <w:pageBreakBefore w:val="0"/>
              <w:widowControl w:val="0"/>
              <w:kinsoku/>
              <w:wordWrap/>
              <w:overflowPunct/>
              <w:topLinePunct w:val="0"/>
              <w:autoSpaceDE/>
              <w:autoSpaceDN/>
              <w:bidi w:val="0"/>
              <w:adjustRightInd/>
              <w:snapToGrid/>
              <w:spacing w:after="0" w:line="360" w:lineRule="auto"/>
              <w:jc w:val="center"/>
              <w:textAlignment w:val="auto"/>
              <w:rPr>
                <w:rFonts w:hint="default"/>
                <w:b/>
                <w:bCs w:val="0"/>
                <w:color w:val="auto"/>
                <w:lang w:val="en-US" w:eastAsia="zh-CN"/>
              </w:rPr>
            </w:pPr>
            <w:r>
              <w:rPr>
                <w:rFonts w:hint="eastAsia"/>
                <w:b/>
                <w:bCs w:val="0"/>
                <w:color w:val="auto"/>
                <w:sz w:val="24"/>
                <w:lang w:val="en-US" w:eastAsia="zh-CN"/>
              </w:rPr>
              <w:t>图2.1 医院进出口、污水站臭气排放位置与塔楼关系示意图</w:t>
            </w:r>
          </w:p>
          <w:p w14:paraId="14B7E811">
            <w:pPr>
              <w:adjustRightInd w:val="0"/>
              <w:snapToGrid w:val="0"/>
              <w:spacing w:line="360" w:lineRule="auto"/>
              <w:ind w:firstLine="480" w:firstLineChars="200"/>
              <w:rPr>
                <w:bCs/>
                <w:color w:val="auto"/>
                <w:sz w:val="24"/>
              </w:rPr>
            </w:pPr>
            <w:r>
              <w:rPr>
                <w:bCs/>
                <w:color w:val="auto"/>
                <w:sz w:val="24"/>
              </w:rPr>
              <w:t>项目所在地交通便捷</w:t>
            </w:r>
            <w:r>
              <w:rPr>
                <w:rFonts w:hint="eastAsia"/>
                <w:bCs/>
                <w:color w:val="auto"/>
                <w:sz w:val="24"/>
                <w:lang w:eastAsia="zh-CN"/>
              </w:rPr>
              <w:t>，</w:t>
            </w:r>
            <w:r>
              <w:rPr>
                <w:rFonts w:hint="eastAsia"/>
                <w:bCs/>
                <w:color w:val="auto"/>
                <w:sz w:val="24"/>
                <w:lang w:val="en-US" w:eastAsia="zh-CN"/>
              </w:rPr>
              <w:t>医院各功能分区合理，</w:t>
            </w:r>
            <w:r>
              <w:rPr>
                <w:bCs/>
                <w:color w:val="auto"/>
                <w:sz w:val="24"/>
              </w:rPr>
              <w:t>对废弃物的处理</w:t>
            </w:r>
            <w:r>
              <w:rPr>
                <w:rFonts w:hint="eastAsia"/>
                <w:bCs/>
                <w:color w:val="auto"/>
                <w:sz w:val="24"/>
                <w:lang w:eastAsia="zh-CN"/>
              </w:rPr>
              <w:t>做出</w:t>
            </w:r>
            <w:r>
              <w:rPr>
                <w:bCs/>
                <w:color w:val="auto"/>
                <w:sz w:val="24"/>
              </w:rPr>
              <w:t>妥善的安排，符合有关环境保护</w:t>
            </w:r>
            <w:r>
              <w:rPr>
                <w:rFonts w:hint="eastAsia"/>
                <w:bCs/>
                <w:color w:val="auto"/>
                <w:sz w:val="24"/>
                <w:lang w:eastAsia="zh-CN"/>
              </w:rPr>
              <w:t>法律</w:t>
            </w:r>
            <w:r>
              <w:rPr>
                <w:bCs/>
                <w:color w:val="auto"/>
                <w:sz w:val="24"/>
              </w:rPr>
              <w:t>、法规的规定，布置合理。</w:t>
            </w:r>
            <w:r>
              <w:rPr>
                <w:bCs/>
                <w:iCs/>
                <w:color w:val="auto"/>
                <w:sz w:val="24"/>
              </w:rPr>
              <w:t>扩建项目总平面布置图见附图2。</w:t>
            </w:r>
          </w:p>
          <w:p w14:paraId="7CCDAD61">
            <w:pPr>
              <w:spacing w:line="360" w:lineRule="auto"/>
              <w:rPr>
                <w:b/>
                <w:color w:val="auto"/>
                <w:sz w:val="24"/>
              </w:rPr>
            </w:pPr>
            <w:r>
              <w:rPr>
                <w:rFonts w:hint="eastAsia"/>
                <w:b/>
                <w:color w:val="auto"/>
                <w:sz w:val="24"/>
              </w:rPr>
              <w:t>2.7</w:t>
            </w:r>
            <w:r>
              <w:rPr>
                <w:b/>
                <w:color w:val="auto"/>
                <w:sz w:val="24"/>
              </w:rPr>
              <w:t>劳动定员及工作制度</w:t>
            </w:r>
          </w:p>
          <w:p w14:paraId="059E8B86">
            <w:pPr>
              <w:spacing w:line="360" w:lineRule="auto"/>
              <w:ind w:firstLine="480" w:firstLineChars="200"/>
              <w:rPr>
                <w:color w:val="auto"/>
                <w:sz w:val="24"/>
              </w:rPr>
            </w:pPr>
            <w:r>
              <w:rPr>
                <w:color w:val="auto"/>
                <w:sz w:val="24"/>
              </w:rPr>
              <w:t>劳动定员：扩建项目新增劳动定员</w:t>
            </w:r>
            <w:r>
              <w:rPr>
                <w:rFonts w:hint="eastAsia"/>
                <w:color w:val="auto"/>
                <w:sz w:val="24"/>
                <w:lang w:val="en-US" w:eastAsia="zh-CN"/>
              </w:rPr>
              <w:t>30</w:t>
            </w:r>
            <w:r>
              <w:rPr>
                <w:color w:val="auto"/>
                <w:sz w:val="24"/>
              </w:rPr>
              <w:t>人，扩建完成后全院劳动定员约</w:t>
            </w:r>
            <w:r>
              <w:rPr>
                <w:rFonts w:hint="eastAsia"/>
                <w:color w:val="auto"/>
                <w:sz w:val="24"/>
              </w:rPr>
              <w:t>1</w:t>
            </w:r>
            <w:r>
              <w:rPr>
                <w:rFonts w:hint="eastAsia"/>
                <w:color w:val="auto"/>
                <w:sz w:val="24"/>
                <w:lang w:val="en-US" w:eastAsia="zh-CN"/>
              </w:rPr>
              <w:t>00</w:t>
            </w:r>
            <w:r>
              <w:rPr>
                <w:color w:val="auto"/>
                <w:sz w:val="24"/>
              </w:rPr>
              <w:t>人，其中医护</w:t>
            </w:r>
            <w:r>
              <w:rPr>
                <w:rFonts w:hint="eastAsia"/>
                <w:color w:val="auto"/>
                <w:sz w:val="24"/>
                <w:lang w:val="en-US" w:eastAsia="zh-CN"/>
              </w:rPr>
              <w:t>7</w:t>
            </w:r>
            <w:r>
              <w:rPr>
                <w:rFonts w:hint="eastAsia"/>
                <w:color w:val="auto"/>
                <w:sz w:val="24"/>
              </w:rPr>
              <w:t>5</w:t>
            </w:r>
            <w:r>
              <w:rPr>
                <w:color w:val="auto"/>
                <w:sz w:val="24"/>
              </w:rPr>
              <w:t>人，后勤</w:t>
            </w:r>
            <w:r>
              <w:rPr>
                <w:rFonts w:hint="eastAsia"/>
                <w:color w:val="auto"/>
                <w:sz w:val="24"/>
              </w:rPr>
              <w:t>2</w:t>
            </w:r>
            <w:r>
              <w:rPr>
                <w:rFonts w:hint="eastAsia"/>
                <w:color w:val="auto"/>
                <w:sz w:val="24"/>
                <w:lang w:val="en-US" w:eastAsia="zh-CN"/>
              </w:rPr>
              <w:t>5</w:t>
            </w:r>
            <w:r>
              <w:rPr>
                <w:color w:val="auto"/>
                <w:sz w:val="24"/>
              </w:rPr>
              <w:t>人；</w:t>
            </w:r>
          </w:p>
          <w:p w14:paraId="57B99BCD">
            <w:pPr>
              <w:spacing w:line="360" w:lineRule="auto"/>
              <w:ind w:firstLine="480" w:firstLineChars="200"/>
              <w:rPr>
                <w:color w:val="auto"/>
                <w:sz w:val="24"/>
              </w:rPr>
            </w:pPr>
            <w:r>
              <w:rPr>
                <w:color w:val="auto"/>
                <w:sz w:val="24"/>
              </w:rPr>
              <w:t>工作制度：管理人员和后勤人员实行一班制，医护人员实行三班轮换制，年工作365天。</w:t>
            </w:r>
          </w:p>
          <w:p w14:paraId="7693EADF">
            <w:pPr>
              <w:spacing w:line="360" w:lineRule="auto"/>
              <w:rPr>
                <w:color w:val="auto"/>
                <w:sz w:val="24"/>
              </w:rPr>
            </w:pPr>
            <w:r>
              <w:rPr>
                <w:rFonts w:hint="eastAsia"/>
                <w:b/>
                <w:bCs/>
                <w:color w:val="auto"/>
                <w:sz w:val="24"/>
              </w:rPr>
              <w:t>2.8</w:t>
            </w:r>
            <w:r>
              <w:rPr>
                <w:b/>
                <w:color w:val="auto"/>
                <w:sz w:val="24"/>
              </w:rPr>
              <w:t>公用工程</w:t>
            </w:r>
          </w:p>
          <w:p w14:paraId="2017566A">
            <w:pPr>
              <w:spacing w:line="360" w:lineRule="auto"/>
              <w:ind w:firstLine="482" w:firstLineChars="200"/>
              <w:rPr>
                <w:b/>
                <w:bCs/>
                <w:color w:val="auto"/>
                <w:sz w:val="24"/>
              </w:rPr>
            </w:pPr>
            <w:r>
              <w:rPr>
                <w:b/>
                <w:bCs/>
                <w:color w:val="auto"/>
                <w:sz w:val="24"/>
              </w:rPr>
              <w:t>1）给水</w:t>
            </w:r>
          </w:p>
          <w:p w14:paraId="6FAB260C">
            <w:pPr>
              <w:adjustRightInd w:val="0"/>
              <w:snapToGrid w:val="0"/>
              <w:spacing w:line="360" w:lineRule="auto"/>
              <w:ind w:firstLine="480" w:firstLineChars="200"/>
              <w:rPr>
                <w:color w:val="auto"/>
                <w:sz w:val="24"/>
              </w:rPr>
            </w:pPr>
            <w:r>
              <w:rPr>
                <w:color w:val="auto"/>
                <w:sz w:val="24"/>
              </w:rPr>
              <w:t>根据《建筑给水排水设计规范》（GB50015-2003，2009 年修订）、《综合医院建筑设计规范》（GB51039-2014）、《关于印发重庆市城市生活用水定额（2017年修订版）的通知》（渝水</w:t>
            </w:r>
            <w:r>
              <w:rPr>
                <w:rFonts w:hint="eastAsia"/>
                <w:color w:val="auto"/>
                <w:sz w:val="24"/>
                <w:lang w:eastAsia="zh-CN"/>
              </w:rPr>
              <w:t>〔</w:t>
            </w:r>
            <w:r>
              <w:rPr>
                <w:color w:val="auto"/>
                <w:sz w:val="24"/>
              </w:rPr>
              <w:t>2018</w:t>
            </w:r>
            <w:r>
              <w:rPr>
                <w:rFonts w:hint="eastAsia"/>
                <w:color w:val="auto"/>
                <w:sz w:val="24"/>
                <w:lang w:eastAsia="zh-CN"/>
              </w:rPr>
              <w:t>〕</w:t>
            </w:r>
            <w:r>
              <w:rPr>
                <w:color w:val="auto"/>
                <w:sz w:val="24"/>
              </w:rPr>
              <w:t>66 号）及医院工作制度，项目用排水</w:t>
            </w:r>
            <w:r>
              <w:rPr>
                <w:rFonts w:hint="eastAsia"/>
                <w:color w:val="auto"/>
                <w:sz w:val="24"/>
              </w:rPr>
              <w:t>量</w:t>
            </w:r>
            <w:r>
              <w:rPr>
                <w:color w:val="auto"/>
                <w:sz w:val="24"/>
              </w:rPr>
              <w:t>具体核算</w:t>
            </w:r>
            <w:r>
              <w:rPr>
                <w:rFonts w:hint="eastAsia"/>
                <w:color w:val="auto"/>
                <w:sz w:val="24"/>
              </w:rPr>
              <w:t>见表2-5，</w:t>
            </w:r>
            <w:r>
              <w:rPr>
                <w:bCs/>
                <w:color w:val="auto"/>
                <w:kern w:val="0"/>
                <w:sz w:val="24"/>
              </w:rPr>
              <w:t>水平衡图详见图2-1</w:t>
            </w:r>
            <w:r>
              <w:rPr>
                <w:color w:val="auto"/>
                <w:sz w:val="24"/>
              </w:rPr>
              <w:t>。</w:t>
            </w:r>
          </w:p>
          <w:p w14:paraId="10A4936B">
            <w:pPr>
              <w:tabs>
                <w:tab w:val="left" w:leader="middleDot" w:pos="7740"/>
              </w:tabs>
              <w:snapToGrid w:val="0"/>
              <w:jc w:val="center"/>
              <w:rPr>
                <w:b/>
                <w:color w:val="auto"/>
              </w:rPr>
            </w:pPr>
            <w:r>
              <w:rPr>
                <w:b/>
                <w:color w:val="auto"/>
              </w:rPr>
              <w:t>表</w:t>
            </w:r>
            <w:r>
              <w:rPr>
                <w:rFonts w:hint="eastAsia"/>
                <w:b/>
                <w:color w:val="auto"/>
              </w:rPr>
              <w:t>2-5</w:t>
            </w:r>
            <w:r>
              <w:rPr>
                <w:b/>
                <w:color w:val="auto"/>
              </w:rPr>
              <w:t xml:space="preserve">    </w:t>
            </w:r>
            <w:r>
              <w:rPr>
                <w:rFonts w:hint="eastAsia"/>
                <w:b/>
                <w:color w:val="auto"/>
              </w:rPr>
              <w:t>扩建</w:t>
            </w:r>
            <w:r>
              <w:rPr>
                <w:b/>
                <w:color w:val="auto"/>
              </w:rPr>
              <w:t>项目用水、排水核算表    单位：m</w:t>
            </w:r>
            <w:r>
              <w:rPr>
                <w:b/>
                <w:color w:val="auto"/>
                <w:vertAlign w:val="superscript"/>
              </w:rPr>
              <w:t>3</w:t>
            </w:r>
            <w:r>
              <w:rPr>
                <w:b/>
                <w:color w:val="auto"/>
              </w:rPr>
              <w:t>/d</w:t>
            </w:r>
          </w:p>
          <w:tbl>
            <w:tblPr>
              <w:tblStyle w:val="25"/>
              <w:tblW w:w="79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383"/>
              <w:gridCol w:w="1303"/>
              <w:gridCol w:w="935"/>
              <w:gridCol w:w="1017"/>
              <w:gridCol w:w="851"/>
              <w:gridCol w:w="1018"/>
            </w:tblGrid>
            <w:tr w14:paraId="1A429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14D45E8D">
                  <w:pPr>
                    <w:tabs>
                      <w:tab w:val="left" w:leader="middleDot" w:pos="7740"/>
                    </w:tabs>
                    <w:snapToGrid w:val="0"/>
                    <w:jc w:val="center"/>
                    <w:rPr>
                      <w:color w:val="auto"/>
                      <w:szCs w:val="21"/>
                    </w:rPr>
                  </w:pPr>
                  <w:r>
                    <w:rPr>
                      <w:color w:val="auto"/>
                      <w:szCs w:val="21"/>
                    </w:rPr>
                    <w:t>名称</w:t>
                  </w:r>
                </w:p>
              </w:tc>
              <w:tc>
                <w:tcPr>
                  <w:tcW w:w="1383" w:type="dxa"/>
                  <w:noWrap w:val="0"/>
                  <w:vAlign w:val="center"/>
                </w:tcPr>
                <w:p w14:paraId="3ED01A0C">
                  <w:pPr>
                    <w:tabs>
                      <w:tab w:val="left" w:leader="middleDot" w:pos="7740"/>
                    </w:tabs>
                    <w:snapToGrid w:val="0"/>
                    <w:jc w:val="center"/>
                    <w:rPr>
                      <w:color w:val="auto"/>
                      <w:szCs w:val="21"/>
                    </w:rPr>
                  </w:pPr>
                  <w:r>
                    <w:rPr>
                      <w:color w:val="auto"/>
                      <w:szCs w:val="21"/>
                    </w:rPr>
                    <w:t>日用水定额</w:t>
                  </w:r>
                </w:p>
              </w:tc>
              <w:tc>
                <w:tcPr>
                  <w:tcW w:w="1303" w:type="dxa"/>
                  <w:noWrap w:val="0"/>
                  <w:vAlign w:val="center"/>
                </w:tcPr>
                <w:p w14:paraId="79711B94">
                  <w:pPr>
                    <w:tabs>
                      <w:tab w:val="left" w:leader="middleDot" w:pos="7740"/>
                    </w:tabs>
                    <w:snapToGrid w:val="0"/>
                    <w:jc w:val="center"/>
                    <w:rPr>
                      <w:color w:val="auto"/>
                      <w:szCs w:val="21"/>
                    </w:rPr>
                  </w:pPr>
                  <w:r>
                    <w:rPr>
                      <w:color w:val="auto"/>
                      <w:szCs w:val="21"/>
                    </w:rPr>
                    <w:t>用水单位</w:t>
                  </w:r>
                </w:p>
              </w:tc>
              <w:tc>
                <w:tcPr>
                  <w:tcW w:w="935" w:type="dxa"/>
                  <w:noWrap w:val="0"/>
                  <w:vAlign w:val="top"/>
                </w:tcPr>
                <w:p w14:paraId="65914939">
                  <w:pPr>
                    <w:tabs>
                      <w:tab w:val="left" w:leader="middleDot" w:pos="7740"/>
                    </w:tabs>
                    <w:snapToGrid w:val="0"/>
                    <w:jc w:val="center"/>
                    <w:rPr>
                      <w:color w:val="auto"/>
                      <w:szCs w:val="21"/>
                    </w:rPr>
                  </w:pPr>
                  <w:r>
                    <w:rPr>
                      <w:color w:val="auto"/>
                      <w:szCs w:val="21"/>
                    </w:rPr>
                    <w:t>日用水量m</w:t>
                  </w:r>
                  <w:r>
                    <w:rPr>
                      <w:color w:val="auto"/>
                      <w:szCs w:val="21"/>
                      <w:vertAlign w:val="superscript"/>
                    </w:rPr>
                    <w:t>3</w:t>
                  </w:r>
                  <w:r>
                    <w:rPr>
                      <w:color w:val="auto"/>
                      <w:szCs w:val="21"/>
                    </w:rPr>
                    <w:t>/d</w:t>
                  </w:r>
                </w:p>
              </w:tc>
              <w:tc>
                <w:tcPr>
                  <w:tcW w:w="1017" w:type="dxa"/>
                  <w:noWrap w:val="0"/>
                  <w:vAlign w:val="top"/>
                </w:tcPr>
                <w:p w14:paraId="25DCE008">
                  <w:pPr>
                    <w:tabs>
                      <w:tab w:val="left" w:leader="middleDot" w:pos="7740"/>
                    </w:tabs>
                    <w:snapToGrid w:val="0"/>
                    <w:jc w:val="center"/>
                    <w:rPr>
                      <w:color w:val="auto"/>
                      <w:szCs w:val="21"/>
                    </w:rPr>
                  </w:pPr>
                  <w:r>
                    <w:rPr>
                      <w:color w:val="auto"/>
                      <w:szCs w:val="21"/>
                    </w:rPr>
                    <w:t>年用水量m</w:t>
                  </w:r>
                  <w:r>
                    <w:rPr>
                      <w:color w:val="auto"/>
                      <w:szCs w:val="21"/>
                      <w:vertAlign w:val="superscript"/>
                    </w:rPr>
                    <w:t>3</w:t>
                  </w:r>
                  <w:r>
                    <w:rPr>
                      <w:color w:val="auto"/>
                      <w:szCs w:val="21"/>
                    </w:rPr>
                    <w:t>/a</w:t>
                  </w:r>
                </w:p>
              </w:tc>
              <w:tc>
                <w:tcPr>
                  <w:tcW w:w="851" w:type="dxa"/>
                  <w:noWrap w:val="0"/>
                  <w:vAlign w:val="top"/>
                </w:tcPr>
                <w:p w14:paraId="45DEF4AB">
                  <w:pPr>
                    <w:tabs>
                      <w:tab w:val="left" w:leader="middleDot" w:pos="7740"/>
                    </w:tabs>
                    <w:snapToGrid w:val="0"/>
                    <w:jc w:val="center"/>
                    <w:rPr>
                      <w:color w:val="auto"/>
                      <w:szCs w:val="21"/>
                    </w:rPr>
                  </w:pPr>
                  <w:r>
                    <w:rPr>
                      <w:color w:val="auto"/>
                      <w:szCs w:val="21"/>
                    </w:rPr>
                    <w:t>日排水量m</w:t>
                  </w:r>
                  <w:r>
                    <w:rPr>
                      <w:color w:val="auto"/>
                      <w:szCs w:val="21"/>
                      <w:vertAlign w:val="superscript"/>
                    </w:rPr>
                    <w:t>3</w:t>
                  </w:r>
                  <w:r>
                    <w:rPr>
                      <w:color w:val="auto"/>
                      <w:szCs w:val="21"/>
                    </w:rPr>
                    <w:t>/d</w:t>
                  </w:r>
                </w:p>
              </w:tc>
              <w:tc>
                <w:tcPr>
                  <w:tcW w:w="1018" w:type="dxa"/>
                  <w:noWrap w:val="0"/>
                  <w:vAlign w:val="top"/>
                </w:tcPr>
                <w:p w14:paraId="77C34E64">
                  <w:pPr>
                    <w:tabs>
                      <w:tab w:val="left" w:leader="middleDot" w:pos="7740"/>
                    </w:tabs>
                    <w:snapToGrid w:val="0"/>
                    <w:jc w:val="center"/>
                    <w:rPr>
                      <w:color w:val="auto"/>
                      <w:szCs w:val="21"/>
                    </w:rPr>
                  </w:pPr>
                  <w:r>
                    <w:rPr>
                      <w:color w:val="auto"/>
                      <w:szCs w:val="21"/>
                    </w:rPr>
                    <w:t>年排水量m</w:t>
                  </w:r>
                  <w:r>
                    <w:rPr>
                      <w:color w:val="auto"/>
                      <w:szCs w:val="21"/>
                      <w:vertAlign w:val="superscript"/>
                    </w:rPr>
                    <w:t>3</w:t>
                  </w:r>
                  <w:r>
                    <w:rPr>
                      <w:color w:val="auto"/>
                      <w:szCs w:val="21"/>
                    </w:rPr>
                    <w:t>/a</w:t>
                  </w:r>
                </w:p>
              </w:tc>
            </w:tr>
            <w:tr w14:paraId="2DA17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196FBF4D">
                  <w:pPr>
                    <w:tabs>
                      <w:tab w:val="left" w:leader="middleDot" w:pos="7740"/>
                    </w:tabs>
                    <w:snapToGrid w:val="0"/>
                    <w:jc w:val="center"/>
                    <w:rPr>
                      <w:color w:val="auto"/>
                      <w:szCs w:val="21"/>
                    </w:rPr>
                  </w:pPr>
                  <w:r>
                    <w:rPr>
                      <w:color w:val="auto"/>
                      <w:szCs w:val="21"/>
                    </w:rPr>
                    <w:t>住院病人</w:t>
                  </w:r>
                </w:p>
              </w:tc>
              <w:tc>
                <w:tcPr>
                  <w:tcW w:w="1383" w:type="dxa"/>
                  <w:noWrap w:val="0"/>
                  <w:vAlign w:val="top"/>
                </w:tcPr>
                <w:p w14:paraId="03739164">
                  <w:pPr>
                    <w:tabs>
                      <w:tab w:val="left" w:leader="middleDot" w:pos="7740"/>
                    </w:tabs>
                    <w:snapToGrid w:val="0"/>
                    <w:rPr>
                      <w:color w:val="auto"/>
                      <w:szCs w:val="21"/>
                    </w:rPr>
                  </w:pPr>
                  <w:r>
                    <w:rPr>
                      <w:rFonts w:hint="eastAsia"/>
                      <w:color w:val="auto"/>
                      <w:szCs w:val="21"/>
                      <w:lang w:val="en-US" w:eastAsia="zh-CN"/>
                    </w:rPr>
                    <w:t>25</w:t>
                  </w:r>
                  <w:r>
                    <w:rPr>
                      <w:color w:val="auto"/>
                      <w:szCs w:val="21"/>
                    </w:rPr>
                    <w:t>0L/人·床（含陪护）</w:t>
                  </w:r>
                </w:p>
              </w:tc>
              <w:tc>
                <w:tcPr>
                  <w:tcW w:w="1303" w:type="dxa"/>
                  <w:noWrap w:val="0"/>
                  <w:vAlign w:val="center"/>
                </w:tcPr>
                <w:p w14:paraId="74851E1B">
                  <w:pPr>
                    <w:tabs>
                      <w:tab w:val="left" w:leader="middleDot" w:pos="7740"/>
                    </w:tabs>
                    <w:snapToGrid w:val="0"/>
                    <w:jc w:val="center"/>
                    <w:rPr>
                      <w:color w:val="auto"/>
                      <w:szCs w:val="21"/>
                    </w:rPr>
                  </w:pPr>
                  <w:r>
                    <w:rPr>
                      <w:rFonts w:hint="eastAsia"/>
                      <w:color w:val="auto"/>
                      <w:szCs w:val="21"/>
                      <w:lang w:val="en-US" w:eastAsia="zh-CN"/>
                    </w:rPr>
                    <w:t>60</w:t>
                  </w:r>
                  <w:r>
                    <w:rPr>
                      <w:color w:val="auto"/>
                      <w:szCs w:val="21"/>
                    </w:rPr>
                    <w:t>床</w:t>
                  </w:r>
                </w:p>
              </w:tc>
              <w:tc>
                <w:tcPr>
                  <w:tcW w:w="935" w:type="dxa"/>
                  <w:noWrap w:val="0"/>
                  <w:vAlign w:val="center"/>
                </w:tcPr>
                <w:p w14:paraId="72FF3478">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15</w:t>
                  </w:r>
                </w:p>
              </w:tc>
              <w:tc>
                <w:tcPr>
                  <w:tcW w:w="1017" w:type="dxa"/>
                  <w:noWrap w:val="0"/>
                  <w:vAlign w:val="center"/>
                </w:tcPr>
                <w:p w14:paraId="56D1E765">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5475</w:t>
                  </w:r>
                </w:p>
              </w:tc>
              <w:tc>
                <w:tcPr>
                  <w:tcW w:w="851" w:type="dxa"/>
                  <w:noWrap w:val="0"/>
                  <w:vAlign w:val="center"/>
                </w:tcPr>
                <w:p w14:paraId="1E205237">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13.5</w:t>
                  </w:r>
                </w:p>
              </w:tc>
              <w:tc>
                <w:tcPr>
                  <w:tcW w:w="1018" w:type="dxa"/>
                  <w:noWrap w:val="0"/>
                  <w:vAlign w:val="center"/>
                </w:tcPr>
                <w:p w14:paraId="10BC1A67">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4927.5</w:t>
                  </w:r>
                </w:p>
              </w:tc>
            </w:tr>
            <w:tr w14:paraId="566A4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7A24CD63">
                  <w:pPr>
                    <w:tabs>
                      <w:tab w:val="left" w:leader="middleDot" w:pos="7740"/>
                    </w:tabs>
                    <w:snapToGrid w:val="0"/>
                    <w:jc w:val="center"/>
                    <w:rPr>
                      <w:color w:val="auto"/>
                      <w:szCs w:val="21"/>
                    </w:rPr>
                  </w:pPr>
                  <w:r>
                    <w:rPr>
                      <w:color w:val="auto"/>
                      <w:szCs w:val="21"/>
                    </w:rPr>
                    <w:t>门诊病人</w:t>
                  </w:r>
                </w:p>
              </w:tc>
              <w:tc>
                <w:tcPr>
                  <w:tcW w:w="1383" w:type="dxa"/>
                  <w:noWrap w:val="0"/>
                  <w:vAlign w:val="top"/>
                </w:tcPr>
                <w:p w14:paraId="1DFD80CB">
                  <w:pPr>
                    <w:tabs>
                      <w:tab w:val="left" w:leader="middleDot" w:pos="7740"/>
                    </w:tabs>
                    <w:snapToGrid w:val="0"/>
                    <w:jc w:val="center"/>
                    <w:rPr>
                      <w:color w:val="auto"/>
                      <w:szCs w:val="21"/>
                    </w:rPr>
                  </w:pPr>
                  <w:r>
                    <w:rPr>
                      <w:color w:val="auto"/>
                      <w:szCs w:val="21"/>
                    </w:rPr>
                    <w:t>15L/人</w:t>
                  </w:r>
                </w:p>
              </w:tc>
              <w:tc>
                <w:tcPr>
                  <w:tcW w:w="1303" w:type="dxa"/>
                  <w:noWrap w:val="0"/>
                  <w:vAlign w:val="top"/>
                </w:tcPr>
                <w:p w14:paraId="702369C8">
                  <w:pPr>
                    <w:tabs>
                      <w:tab w:val="left" w:leader="middleDot" w:pos="7740"/>
                    </w:tabs>
                    <w:snapToGrid w:val="0"/>
                    <w:jc w:val="center"/>
                    <w:rPr>
                      <w:rFonts w:hint="eastAsia"/>
                      <w:color w:val="auto"/>
                      <w:szCs w:val="21"/>
                    </w:rPr>
                  </w:pPr>
                  <w:r>
                    <w:rPr>
                      <w:color w:val="auto"/>
                      <w:szCs w:val="21"/>
                    </w:rPr>
                    <w:t>100人</w:t>
                  </w:r>
                </w:p>
              </w:tc>
              <w:tc>
                <w:tcPr>
                  <w:tcW w:w="935" w:type="dxa"/>
                  <w:noWrap w:val="0"/>
                  <w:vAlign w:val="top"/>
                </w:tcPr>
                <w:p w14:paraId="07AA0ACF">
                  <w:pPr>
                    <w:tabs>
                      <w:tab w:val="left" w:leader="middleDot" w:pos="7740"/>
                    </w:tabs>
                    <w:snapToGrid w:val="0"/>
                    <w:jc w:val="center"/>
                    <w:rPr>
                      <w:color w:val="auto"/>
                      <w:szCs w:val="21"/>
                    </w:rPr>
                  </w:pPr>
                  <w:r>
                    <w:rPr>
                      <w:rFonts w:hint="eastAsia"/>
                      <w:color w:val="auto"/>
                      <w:szCs w:val="21"/>
                    </w:rPr>
                    <w:t>1.5</w:t>
                  </w:r>
                </w:p>
              </w:tc>
              <w:tc>
                <w:tcPr>
                  <w:tcW w:w="1017" w:type="dxa"/>
                  <w:noWrap w:val="0"/>
                  <w:vAlign w:val="top"/>
                </w:tcPr>
                <w:p w14:paraId="1A282717">
                  <w:pPr>
                    <w:tabs>
                      <w:tab w:val="left" w:leader="middleDot" w:pos="7740"/>
                    </w:tabs>
                    <w:snapToGrid w:val="0"/>
                    <w:jc w:val="center"/>
                    <w:rPr>
                      <w:rFonts w:hint="eastAsia"/>
                      <w:color w:val="auto"/>
                      <w:szCs w:val="21"/>
                    </w:rPr>
                  </w:pPr>
                  <w:r>
                    <w:rPr>
                      <w:rFonts w:hint="eastAsia"/>
                      <w:color w:val="auto"/>
                      <w:szCs w:val="21"/>
                    </w:rPr>
                    <w:t>547.5</w:t>
                  </w:r>
                </w:p>
              </w:tc>
              <w:tc>
                <w:tcPr>
                  <w:tcW w:w="851" w:type="dxa"/>
                  <w:noWrap w:val="0"/>
                  <w:vAlign w:val="top"/>
                </w:tcPr>
                <w:p w14:paraId="638FA8ED">
                  <w:pPr>
                    <w:tabs>
                      <w:tab w:val="left" w:leader="middleDot" w:pos="7740"/>
                    </w:tabs>
                    <w:snapToGrid w:val="0"/>
                    <w:jc w:val="center"/>
                    <w:rPr>
                      <w:rFonts w:hint="eastAsia" w:eastAsia="宋体"/>
                      <w:color w:val="auto"/>
                      <w:szCs w:val="21"/>
                      <w:lang w:eastAsia="zh-CN"/>
                    </w:rPr>
                  </w:pPr>
                  <w:r>
                    <w:rPr>
                      <w:rFonts w:hint="eastAsia"/>
                      <w:color w:val="auto"/>
                      <w:szCs w:val="21"/>
                    </w:rPr>
                    <w:t>1.</w:t>
                  </w:r>
                  <w:r>
                    <w:rPr>
                      <w:rFonts w:hint="eastAsia"/>
                      <w:color w:val="auto"/>
                      <w:szCs w:val="21"/>
                      <w:lang w:val="en-US" w:eastAsia="zh-CN"/>
                    </w:rPr>
                    <w:t>4</w:t>
                  </w:r>
                </w:p>
              </w:tc>
              <w:tc>
                <w:tcPr>
                  <w:tcW w:w="1018" w:type="dxa"/>
                  <w:noWrap w:val="0"/>
                  <w:vAlign w:val="top"/>
                </w:tcPr>
                <w:p w14:paraId="6B30E349">
                  <w:pPr>
                    <w:tabs>
                      <w:tab w:val="left" w:leader="middleDot" w:pos="7740"/>
                    </w:tabs>
                    <w:snapToGrid w:val="0"/>
                    <w:jc w:val="center"/>
                    <w:rPr>
                      <w:rFonts w:hint="eastAsia"/>
                      <w:color w:val="auto"/>
                      <w:szCs w:val="21"/>
                    </w:rPr>
                  </w:pPr>
                  <w:r>
                    <w:rPr>
                      <w:rFonts w:hint="eastAsia"/>
                      <w:color w:val="auto"/>
                      <w:szCs w:val="21"/>
                    </w:rPr>
                    <w:t>492.8</w:t>
                  </w:r>
                </w:p>
              </w:tc>
            </w:tr>
            <w:tr w14:paraId="2789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2C217717">
                  <w:pPr>
                    <w:tabs>
                      <w:tab w:val="left" w:leader="middleDot" w:pos="7740"/>
                    </w:tabs>
                    <w:snapToGrid w:val="0"/>
                    <w:jc w:val="center"/>
                    <w:rPr>
                      <w:rFonts w:hint="eastAsia" w:eastAsia="宋体"/>
                      <w:color w:val="auto"/>
                      <w:szCs w:val="21"/>
                      <w:lang w:val="en-US" w:eastAsia="zh-CN"/>
                    </w:rPr>
                  </w:pPr>
                  <w:r>
                    <w:rPr>
                      <w:rFonts w:hint="eastAsia"/>
                      <w:color w:val="auto"/>
                      <w:szCs w:val="21"/>
                      <w:lang w:val="en-US" w:eastAsia="zh-CN"/>
                    </w:rPr>
                    <w:t>托老院</w:t>
                  </w:r>
                </w:p>
              </w:tc>
              <w:tc>
                <w:tcPr>
                  <w:tcW w:w="1383" w:type="dxa"/>
                  <w:noWrap w:val="0"/>
                  <w:vAlign w:val="top"/>
                </w:tcPr>
                <w:p w14:paraId="708D830B">
                  <w:pPr>
                    <w:tabs>
                      <w:tab w:val="left" w:leader="middleDot" w:pos="7740"/>
                    </w:tabs>
                    <w:snapToGrid w:val="0"/>
                    <w:jc w:val="center"/>
                    <w:rPr>
                      <w:color w:val="auto"/>
                      <w:szCs w:val="21"/>
                    </w:rPr>
                  </w:pPr>
                  <w:r>
                    <w:rPr>
                      <w:rFonts w:hint="eastAsia"/>
                      <w:color w:val="auto"/>
                      <w:szCs w:val="21"/>
                      <w:lang w:val="en-US" w:eastAsia="zh-CN"/>
                    </w:rPr>
                    <w:t>100</w:t>
                  </w:r>
                  <w:r>
                    <w:rPr>
                      <w:color w:val="auto"/>
                      <w:szCs w:val="21"/>
                    </w:rPr>
                    <w:t>L/人·床</w:t>
                  </w:r>
                </w:p>
              </w:tc>
              <w:tc>
                <w:tcPr>
                  <w:tcW w:w="1303" w:type="dxa"/>
                  <w:noWrap w:val="0"/>
                  <w:vAlign w:val="top"/>
                </w:tcPr>
                <w:p w14:paraId="641F34B2">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30</w:t>
                  </w:r>
                  <w:r>
                    <w:rPr>
                      <w:color w:val="auto"/>
                      <w:szCs w:val="21"/>
                    </w:rPr>
                    <w:t>床</w:t>
                  </w:r>
                </w:p>
              </w:tc>
              <w:tc>
                <w:tcPr>
                  <w:tcW w:w="935" w:type="dxa"/>
                  <w:noWrap w:val="0"/>
                  <w:vAlign w:val="top"/>
                </w:tcPr>
                <w:p w14:paraId="0CB7F559">
                  <w:pPr>
                    <w:tabs>
                      <w:tab w:val="left" w:leader="middleDot" w:pos="7740"/>
                    </w:tabs>
                    <w:snapToGrid w:val="0"/>
                    <w:jc w:val="center"/>
                    <w:rPr>
                      <w:rFonts w:hint="eastAsia" w:eastAsia="宋体"/>
                      <w:color w:val="auto"/>
                      <w:szCs w:val="21"/>
                      <w:lang w:val="en-US" w:eastAsia="zh-CN"/>
                    </w:rPr>
                  </w:pPr>
                  <w:r>
                    <w:rPr>
                      <w:rFonts w:hint="eastAsia"/>
                      <w:color w:val="auto"/>
                      <w:szCs w:val="21"/>
                      <w:lang w:val="en-US" w:eastAsia="zh-CN"/>
                    </w:rPr>
                    <w:t>3</w:t>
                  </w:r>
                </w:p>
              </w:tc>
              <w:tc>
                <w:tcPr>
                  <w:tcW w:w="1017" w:type="dxa"/>
                  <w:noWrap w:val="0"/>
                  <w:vAlign w:val="top"/>
                </w:tcPr>
                <w:p w14:paraId="0EDEB1AD">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1095</w:t>
                  </w:r>
                </w:p>
              </w:tc>
              <w:tc>
                <w:tcPr>
                  <w:tcW w:w="851" w:type="dxa"/>
                  <w:noWrap w:val="0"/>
                  <w:vAlign w:val="top"/>
                </w:tcPr>
                <w:p w14:paraId="08470CB1">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2.7</w:t>
                  </w:r>
                </w:p>
              </w:tc>
              <w:tc>
                <w:tcPr>
                  <w:tcW w:w="1018" w:type="dxa"/>
                  <w:noWrap w:val="0"/>
                  <w:vAlign w:val="top"/>
                </w:tcPr>
                <w:p w14:paraId="38A96258">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985.5</w:t>
                  </w:r>
                </w:p>
              </w:tc>
            </w:tr>
            <w:tr w14:paraId="67D0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2D491E72">
                  <w:pPr>
                    <w:tabs>
                      <w:tab w:val="left" w:leader="middleDot" w:pos="7740"/>
                    </w:tabs>
                    <w:snapToGrid w:val="0"/>
                    <w:jc w:val="center"/>
                    <w:rPr>
                      <w:color w:val="auto"/>
                      <w:szCs w:val="21"/>
                    </w:rPr>
                  </w:pPr>
                  <w:r>
                    <w:rPr>
                      <w:color w:val="auto"/>
                      <w:szCs w:val="21"/>
                    </w:rPr>
                    <w:t>清洁用水</w:t>
                  </w:r>
                </w:p>
              </w:tc>
              <w:tc>
                <w:tcPr>
                  <w:tcW w:w="1383" w:type="dxa"/>
                  <w:noWrap w:val="0"/>
                  <w:vAlign w:val="top"/>
                </w:tcPr>
                <w:p w14:paraId="0FDCE8CD">
                  <w:pPr>
                    <w:tabs>
                      <w:tab w:val="left" w:leader="middleDot" w:pos="7740"/>
                    </w:tabs>
                    <w:snapToGrid w:val="0"/>
                    <w:jc w:val="center"/>
                    <w:rPr>
                      <w:color w:val="auto"/>
                      <w:szCs w:val="21"/>
                    </w:rPr>
                  </w:pPr>
                  <w:r>
                    <w:rPr>
                      <w:color w:val="auto"/>
                      <w:szCs w:val="21"/>
                    </w:rPr>
                    <w:t>0.5L/m</w:t>
                  </w:r>
                  <w:r>
                    <w:rPr>
                      <w:color w:val="auto"/>
                      <w:szCs w:val="21"/>
                      <w:vertAlign w:val="superscript"/>
                    </w:rPr>
                    <w:t>2</w:t>
                  </w:r>
                  <w:r>
                    <w:rPr>
                      <w:color w:val="auto"/>
                      <w:szCs w:val="21"/>
                    </w:rPr>
                    <w:t>·次</w:t>
                  </w:r>
                </w:p>
              </w:tc>
              <w:tc>
                <w:tcPr>
                  <w:tcW w:w="1303" w:type="dxa"/>
                  <w:noWrap w:val="0"/>
                  <w:vAlign w:val="top"/>
                </w:tcPr>
                <w:p w14:paraId="3E3988C5">
                  <w:pPr>
                    <w:tabs>
                      <w:tab w:val="left" w:leader="middleDot" w:pos="7740"/>
                    </w:tabs>
                    <w:snapToGrid w:val="0"/>
                    <w:jc w:val="center"/>
                    <w:rPr>
                      <w:color w:val="auto"/>
                      <w:szCs w:val="21"/>
                    </w:rPr>
                  </w:pPr>
                  <w:r>
                    <w:rPr>
                      <w:rFonts w:hint="eastAsia"/>
                      <w:color w:val="auto"/>
                      <w:szCs w:val="21"/>
                      <w:lang w:val="en-US" w:eastAsia="zh-CN"/>
                    </w:rPr>
                    <w:t>20</w:t>
                  </w:r>
                  <w:r>
                    <w:rPr>
                      <w:rFonts w:hint="eastAsia"/>
                      <w:color w:val="auto"/>
                      <w:szCs w:val="21"/>
                    </w:rPr>
                    <w:t>00</w:t>
                  </w:r>
                  <w:r>
                    <w:rPr>
                      <w:color w:val="auto"/>
                      <w:szCs w:val="21"/>
                    </w:rPr>
                    <w:t>m</w:t>
                  </w:r>
                  <w:r>
                    <w:rPr>
                      <w:color w:val="auto"/>
                      <w:szCs w:val="21"/>
                      <w:vertAlign w:val="superscript"/>
                    </w:rPr>
                    <w:t>2</w:t>
                  </w:r>
                </w:p>
              </w:tc>
              <w:tc>
                <w:tcPr>
                  <w:tcW w:w="935" w:type="dxa"/>
                  <w:noWrap w:val="0"/>
                  <w:vAlign w:val="top"/>
                </w:tcPr>
                <w:p w14:paraId="7C23223F">
                  <w:pPr>
                    <w:tabs>
                      <w:tab w:val="left" w:leader="middleDot" w:pos="7740"/>
                    </w:tabs>
                    <w:snapToGrid w:val="0"/>
                    <w:jc w:val="center"/>
                    <w:rPr>
                      <w:rFonts w:hint="eastAsia" w:eastAsia="宋体"/>
                      <w:color w:val="auto"/>
                      <w:szCs w:val="21"/>
                      <w:lang w:eastAsia="zh-CN"/>
                    </w:rPr>
                  </w:pPr>
                  <w:r>
                    <w:rPr>
                      <w:rFonts w:hint="eastAsia"/>
                      <w:color w:val="auto"/>
                      <w:szCs w:val="21"/>
                      <w:lang w:val="en-US" w:eastAsia="zh-CN"/>
                    </w:rPr>
                    <w:t>1</w:t>
                  </w:r>
                </w:p>
              </w:tc>
              <w:tc>
                <w:tcPr>
                  <w:tcW w:w="1017" w:type="dxa"/>
                  <w:noWrap w:val="0"/>
                  <w:vAlign w:val="top"/>
                </w:tcPr>
                <w:p w14:paraId="1038B921">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365</w:t>
                  </w:r>
                </w:p>
              </w:tc>
              <w:tc>
                <w:tcPr>
                  <w:tcW w:w="851" w:type="dxa"/>
                  <w:noWrap w:val="0"/>
                  <w:vAlign w:val="top"/>
                </w:tcPr>
                <w:p w14:paraId="23C6B69C">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0.9</w:t>
                  </w:r>
                </w:p>
              </w:tc>
              <w:tc>
                <w:tcPr>
                  <w:tcW w:w="1018" w:type="dxa"/>
                  <w:noWrap w:val="0"/>
                  <w:vAlign w:val="top"/>
                </w:tcPr>
                <w:p w14:paraId="00BDBAA3">
                  <w:pPr>
                    <w:tabs>
                      <w:tab w:val="left" w:leader="middleDot" w:pos="7740"/>
                    </w:tabs>
                    <w:snapToGrid w:val="0"/>
                    <w:jc w:val="center"/>
                    <w:rPr>
                      <w:color w:val="auto"/>
                      <w:szCs w:val="21"/>
                    </w:rPr>
                  </w:pPr>
                  <w:r>
                    <w:rPr>
                      <w:rFonts w:hint="eastAsia"/>
                      <w:color w:val="auto"/>
                      <w:szCs w:val="21"/>
                      <w:lang w:val="en-US" w:eastAsia="zh-CN"/>
                    </w:rPr>
                    <w:t>328.5</w:t>
                  </w:r>
                </w:p>
              </w:tc>
            </w:tr>
            <w:tr w14:paraId="3A85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44CC7EB4">
                  <w:pPr>
                    <w:tabs>
                      <w:tab w:val="left" w:leader="middleDot" w:pos="7740"/>
                    </w:tabs>
                    <w:snapToGrid w:val="0"/>
                    <w:jc w:val="center"/>
                    <w:rPr>
                      <w:color w:val="auto"/>
                      <w:szCs w:val="21"/>
                    </w:rPr>
                  </w:pPr>
                  <w:r>
                    <w:rPr>
                      <w:color w:val="auto"/>
                      <w:szCs w:val="21"/>
                    </w:rPr>
                    <w:t>医务人员</w:t>
                  </w:r>
                </w:p>
              </w:tc>
              <w:tc>
                <w:tcPr>
                  <w:tcW w:w="1383" w:type="dxa"/>
                  <w:noWrap w:val="0"/>
                  <w:vAlign w:val="top"/>
                </w:tcPr>
                <w:p w14:paraId="25B6CA07">
                  <w:pPr>
                    <w:tabs>
                      <w:tab w:val="left" w:leader="middleDot" w:pos="7740"/>
                    </w:tabs>
                    <w:snapToGrid w:val="0"/>
                    <w:jc w:val="center"/>
                    <w:rPr>
                      <w:color w:val="auto"/>
                      <w:szCs w:val="21"/>
                    </w:rPr>
                  </w:pPr>
                  <w:r>
                    <w:rPr>
                      <w:color w:val="auto"/>
                      <w:szCs w:val="21"/>
                    </w:rPr>
                    <w:t>150L/d·人·班</w:t>
                  </w:r>
                </w:p>
              </w:tc>
              <w:tc>
                <w:tcPr>
                  <w:tcW w:w="1303" w:type="dxa"/>
                  <w:noWrap w:val="0"/>
                  <w:vAlign w:val="top"/>
                </w:tcPr>
                <w:p w14:paraId="711FA04B">
                  <w:pPr>
                    <w:tabs>
                      <w:tab w:val="left" w:leader="middleDot" w:pos="7740"/>
                    </w:tabs>
                    <w:snapToGrid w:val="0"/>
                    <w:jc w:val="center"/>
                    <w:rPr>
                      <w:color w:val="auto"/>
                      <w:szCs w:val="21"/>
                    </w:rPr>
                  </w:pPr>
                  <w:r>
                    <w:rPr>
                      <w:rFonts w:hint="eastAsia"/>
                      <w:color w:val="auto"/>
                      <w:szCs w:val="21"/>
                      <w:lang w:val="en-US" w:eastAsia="zh-CN"/>
                    </w:rPr>
                    <w:t>30</w:t>
                  </w:r>
                  <w:r>
                    <w:rPr>
                      <w:color w:val="auto"/>
                      <w:szCs w:val="21"/>
                    </w:rPr>
                    <w:t>人</w:t>
                  </w:r>
                </w:p>
              </w:tc>
              <w:tc>
                <w:tcPr>
                  <w:tcW w:w="935" w:type="dxa"/>
                  <w:noWrap w:val="0"/>
                  <w:vAlign w:val="top"/>
                </w:tcPr>
                <w:p w14:paraId="41CC3BD0">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4.5</w:t>
                  </w:r>
                </w:p>
              </w:tc>
              <w:tc>
                <w:tcPr>
                  <w:tcW w:w="1017" w:type="dxa"/>
                  <w:noWrap w:val="0"/>
                  <w:vAlign w:val="top"/>
                </w:tcPr>
                <w:p w14:paraId="4E1F0EFE">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1642.5</w:t>
                  </w:r>
                </w:p>
              </w:tc>
              <w:tc>
                <w:tcPr>
                  <w:tcW w:w="851" w:type="dxa"/>
                  <w:noWrap w:val="0"/>
                  <w:vAlign w:val="top"/>
                </w:tcPr>
                <w:p w14:paraId="2EC77351">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4.1</w:t>
                  </w:r>
                </w:p>
              </w:tc>
              <w:tc>
                <w:tcPr>
                  <w:tcW w:w="1018" w:type="dxa"/>
                  <w:noWrap w:val="0"/>
                  <w:vAlign w:val="top"/>
                </w:tcPr>
                <w:p w14:paraId="4136BBE0">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1478.3</w:t>
                  </w:r>
                </w:p>
              </w:tc>
            </w:tr>
            <w:tr w14:paraId="5E21A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5FC4E602">
                  <w:pPr>
                    <w:tabs>
                      <w:tab w:val="left" w:leader="middleDot" w:pos="7740"/>
                    </w:tabs>
                    <w:snapToGrid w:val="0"/>
                    <w:jc w:val="center"/>
                    <w:rPr>
                      <w:color w:val="auto"/>
                      <w:szCs w:val="21"/>
                    </w:rPr>
                  </w:pPr>
                  <w:r>
                    <w:rPr>
                      <w:color w:val="auto"/>
                      <w:szCs w:val="21"/>
                    </w:rPr>
                    <w:t>洗衣房</w:t>
                  </w:r>
                </w:p>
              </w:tc>
              <w:tc>
                <w:tcPr>
                  <w:tcW w:w="1383" w:type="dxa"/>
                  <w:noWrap w:val="0"/>
                  <w:vAlign w:val="top"/>
                </w:tcPr>
                <w:p w14:paraId="319FED6A">
                  <w:pPr>
                    <w:tabs>
                      <w:tab w:val="left" w:leader="middleDot" w:pos="7740"/>
                    </w:tabs>
                    <w:snapToGrid w:val="0"/>
                    <w:jc w:val="center"/>
                    <w:rPr>
                      <w:color w:val="auto"/>
                      <w:szCs w:val="21"/>
                    </w:rPr>
                  </w:pPr>
                  <w:r>
                    <w:rPr>
                      <w:color w:val="auto"/>
                      <w:szCs w:val="21"/>
                    </w:rPr>
                    <w:t>60 L/kg</w:t>
                  </w:r>
                </w:p>
              </w:tc>
              <w:tc>
                <w:tcPr>
                  <w:tcW w:w="1303" w:type="dxa"/>
                  <w:noWrap w:val="0"/>
                  <w:vAlign w:val="top"/>
                </w:tcPr>
                <w:p w14:paraId="725832CF">
                  <w:pPr>
                    <w:tabs>
                      <w:tab w:val="left" w:leader="middleDot" w:pos="7740"/>
                    </w:tabs>
                    <w:snapToGrid w:val="0"/>
                    <w:jc w:val="center"/>
                    <w:rPr>
                      <w:color w:val="auto"/>
                      <w:szCs w:val="21"/>
                    </w:rPr>
                  </w:pPr>
                  <w:r>
                    <w:rPr>
                      <w:rFonts w:hint="eastAsia"/>
                      <w:color w:val="auto"/>
                      <w:szCs w:val="21"/>
                      <w:lang w:val="en-US" w:eastAsia="zh-CN"/>
                    </w:rPr>
                    <w:t>135</w:t>
                  </w:r>
                  <w:r>
                    <w:rPr>
                      <w:color w:val="auto"/>
                      <w:szCs w:val="21"/>
                    </w:rPr>
                    <w:t>kg</w:t>
                  </w:r>
                  <w:r>
                    <w:rPr>
                      <w:bCs/>
                      <w:color w:val="auto"/>
                      <w:kern w:val="0"/>
                      <w:sz w:val="18"/>
                      <w:szCs w:val="18"/>
                    </w:rPr>
                    <w:t>①</w:t>
                  </w:r>
                </w:p>
              </w:tc>
              <w:tc>
                <w:tcPr>
                  <w:tcW w:w="935" w:type="dxa"/>
                  <w:noWrap w:val="0"/>
                  <w:vAlign w:val="top"/>
                </w:tcPr>
                <w:p w14:paraId="32CD042E">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8.1</w:t>
                  </w:r>
                </w:p>
              </w:tc>
              <w:tc>
                <w:tcPr>
                  <w:tcW w:w="1017" w:type="dxa"/>
                  <w:noWrap w:val="0"/>
                  <w:vAlign w:val="top"/>
                </w:tcPr>
                <w:p w14:paraId="49A12FD6">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2956.5</w:t>
                  </w:r>
                </w:p>
              </w:tc>
              <w:tc>
                <w:tcPr>
                  <w:tcW w:w="851" w:type="dxa"/>
                  <w:noWrap w:val="0"/>
                  <w:vAlign w:val="top"/>
                </w:tcPr>
                <w:p w14:paraId="1FB4D254">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7.3</w:t>
                  </w:r>
                </w:p>
              </w:tc>
              <w:tc>
                <w:tcPr>
                  <w:tcW w:w="1018" w:type="dxa"/>
                  <w:noWrap w:val="0"/>
                  <w:vAlign w:val="top"/>
                </w:tcPr>
                <w:p w14:paraId="24D01A5C">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2660.9</w:t>
                  </w:r>
                </w:p>
              </w:tc>
            </w:tr>
            <w:tr w14:paraId="11D50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2" w:type="dxa"/>
                  <w:gridSpan w:val="3"/>
                  <w:noWrap w:val="0"/>
                  <w:vAlign w:val="top"/>
                </w:tcPr>
                <w:p w14:paraId="531458E2">
                  <w:pPr>
                    <w:tabs>
                      <w:tab w:val="left" w:leader="middleDot" w:pos="7740"/>
                    </w:tabs>
                    <w:snapToGrid w:val="0"/>
                    <w:jc w:val="center"/>
                    <w:rPr>
                      <w:color w:val="auto"/>
                      <w:szCs w:val="21"/>
                    </w:rPr>
                  </w:pPr>
                  <w:r>
                    <w:rPr>
                      <w:color w:val="auto"/>
                      <w:szCs w:val="21"/>
                    </w:rPr>
                    <w:t>合计</w:t>
                  </w:r>
                </w:p>
              </w:tc>
              <w:tc>
                <w:tcPr>
                  <w:tcW w:w="935" w:type="dxa"/>
                  <w:noWrap w:val="0"/>
                  <w:vAlign w:val="top"/>
                </w:tcPr>
                <w:p w14:paraId="34CF4A80">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33.1</w:t>
                  </w:r>
                </w:p>
              </w:tc>
              <w:tc>
                <w:tcPr>
                  <w:tcW w:w="1017" w:type="dxa"/>
                  <w:noWrap w:val="0"/>
                  <w:vAlign w:val="top"/>
                </w:tcPr>
                <w:p w14:paraId="45E9AE28">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12081.5</w:t>
                  </w:r>
                </w:p>
              </w:tc>
              <w:tc>
                <w:tcPr>
                  <w:tcW w:w="851" w:type="dxa"/>
                  <w:noWrap w:val="0"/>
                  <w:vAlign w:val="top"/>
                </w:tcPr>
                <w:p w14:paraId="574C636C">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29.9</w:t>
                  </w:r>
                </w:p>
              </w:tc>
              <w:tc>
                <w:tcPr>
                  <w:tcW w:w="1018" w:type="dxa"/>
                  <w:noWrap w:val="0"/>
                  <w:vAlign w:val="top"/>
                </w:tcPr>
                <w:p w14:paraId="781F7138">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10873.5</w:t>
                  </w:r>
                </w:p>
              </w:tc>
            </w:tr>
          </w:tbl>
          <w:p w14:paraId="4B2EACCC">
            <w:pPr>
              <w:spacing w:line="360" w:lineRule="auto"/>
              <w:ind w:firstLine="360" w:firstLineChars="200"/>
              <w:rPr>
                <w:color w:val="auto"/>
                <w:sz w:val="24"/>
              </w:rPr>
            </w:pPr>
            <w:r>
              <w:rPr>
                <w:rFonts w:hint="eastAsia"/>
                <w:bCs/>
                <w:color w:val="auto"/>
                <w:kern w:val="0"/>
                <w:sz w:val="18"/>
                <w:szCs w:val="18"/>
              </w:rPr>
              <w:t>注：</w:t>
            </w:r>
            <w:r>
              <w:rPr>
                <w:bCs/>
                <w:color w:val="auto"/>
                <w:kern w:val="0"/>
                <w:sz w:val="18"/>
                <w:szCs w:val="18"/>
              </w:rPr>
              <w:t>①医院病服、病床被套清洗按照产生</w:t>
            </w:r>
            <w:r>
              <w:rPr>
                <w:rFonts w:hint="eastAsia"/>
                <w:bCs/>
                <w:color w:val="auto"/>
                <w:kern w:val="0"/>
                <w:sz w:val="18"/>
                <w:szCs w:val="18"/>
              </w:rPr>
              <w:t>1</w:t>
            </w:r>
            <w:r>
              <w:rPr>
                <w:bCs/>
                <w:color w:val="auto"/>
                <w:kern w:val="0"/>
                <w:sz w:val="18"/>
                <w:szCs w:val="18"/>
              </w:rPr>
              <w:t>.</w:t>
            </w:r>
            <w:r>
              <w:rPr>
                <w:rFonts w:hint="eastAsia"/>
                <w:bCs/>
                <w:color w:val="auto"/>
                <w:kern w:val="0"/>
                <w:sz w:val="18"/>
                <w:szCs w:val="18"/>
              </w:rPr>
              <w:t>5</w:t>
            </w:r>
            <w:r>
              <w:rPr>
                <w:bCs/>
                <w:color w:val="auto"/>
                <w:kern w:val="0"/>
                <w:sz w:val="18"/>
                <w:szCs w:val="18"/>
              </w:rPr>
              <w:t>kg干衣</w:t>
            </w:r>
            <w:r>
              <w:rPr>
                <w:rFonts w:hint="eastAsia"/>
                <w:bCs/>
                <w:color w:val="auto"/>
                <w:kern w:val="0"/>
                <w:sz w:val="18"/>
                <w:szCs w:val="18"/>
              </w:rPr>
              <w:t>及污物计。</w:t>
            </w:r>
          </w:p>
          <w:p w14:paraId="5F17B9F3">
            <w:pPr>
              <w:tabs>
                <w:tab w:val="left" w:leader="middleDot" w:pos="7740"/>
              </w:tabs>
              <w:snapToGrid w:val="0"/>
              <w:jc w:val="center"/>
              <w:rPr>
                <w:b/>
                <w:color w:val="auto"/>
              </w:rPr>
            </w:pPr>
            <w:r>
              <w:rPr>
                <w:b/>
                <w:color w:val="auto"/>
              </w:rPr>
              <w:t>表</w:t>
            </w:r>
            <w:r>
              <w:rPr>
                <w:rFonts w:hint="eastAsia"/>
                <w:b/>
                <w:color w:val="auto"/>
              </w:rPr>
              <w:t>2-</w:t>
            </w:r>
            <w:r>
              <w:rPr>
                <w:rFonts w:hint="eastAsia"/>
                <w:b/>
                <w:color w:val="auto"/>
                <w:lang w:val="en-US" w:eastAsia="zh-CN"/>
              </w:rPr>
              <w:t>6</w:t>
            </w:r>
            <w:r>
              <w:rPr>
                <w:b/>
                <w:color w:val="auto"/>
              </w:rPr>
              <w:t xml:space="preserve">  </w:t>
            </w:r>
            <w:r>
              <w:rPr>
                <w:rFonts w:hint="eastAsia"/>
                <w:b/>
                <w:color w:val="auto"/>
                <w:lang w:val="en-US" w:eastAsia="zh-CN"/>
              </w:rPr>
              <w:t>扩建后全院</w:t>
            </w:r>
            <w:r>
              <w:rPr>
                <w:b/>
                <w:color w:val="auto"/>
              </w:rPr>
              <w:t>用水、排水核算表    单位：m</w:t>
            </w:r>
            <w:r>
              <w:rPr>
                <w:b/>
                <w:color w:val="auto"/>
                <w:vertAlign w:val="superscript"/>
              </w:rPr>
              <w:t>3</w:t>
            </w:r>
            <w:r>
              <w:rPr>
                <w:b/>
                <w:color w:val="auto"/>
              </w:rPr>
              <w:t>/d</w:t>
            </w:r>
          </w:p>
          <w:tbl>
            <w:tblPr>
              <w:tblStyle w:val="25"/>
              <w:tblW w:w="79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383"/>
              <w:gridCol w:w="1303"/>
              <w:gridCol w:w="935"/>
              <w:gridCol w:w="1017"/>
              <w:gridCol w:w="851"/>
              <w:gridCol w:w="1018"/>
            </w:tblGrid>
            <w:tr w14:paraId="2E41A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0180FCAD">
                  <w:pPr>
                    <w:tabs>
                      <w:tab w:val="left" w:leader="middleDot" w:pos="7740"/>
                    </w:tabs>
                    <w:snapToGrid w:val="0"/>
                    <w:jc w:val="center"/>
                    <w:rPr>
                      <w:color w:val="auto"/>
                      <w:szCs w:val="21"/>
                    </w:rPr>
                  </w:pPr>
                  <w:r>
                    <w:rPr>
                      <w:color w:val="auto"/>
                      <w:szCs w:val="21"/>
                    </w:rPr>
                    <w:t>名称</w:t>
                  </w:r>
                </w:p>
              </w:tc>
              <w:tc>
                <w:tcPr>
                  <w:tcW w:w="1383" w:type="dxa"/>
                  <w:noWrap w:val="0"/>
                  <w:vAlign w:val="center"/>
                </w:tcPr>
                <w:p w14:paraId="066B1D5D">
                  <w:pPr>
                    <w:tabs>
                      <w:tab w:val="left" w:leader="middleDot" w:pos="7740"/>
                    </w:tabs>
                    <w:snapToGrid w:val="0"/>
                    <w:jc w:val="center"/>
                    <w:rPr>
                      <w:color w:val="auto"/>
                      <w:szCs w:val="21"/>
                    </w:rPr>
                  </w:pPr>
                  <w:r>
                    <w:rPr>
                      <w:color w:val="auto"/>
                      <w:szCs w:val="21"/>
                    </w:rPr>
                    <w:t>日用水定额</w:t>
                  </w:r>
                </w:p>
              </w:tc>
              <w:tc>
                <w:tcPr>
                  <w:tcW w:w="1303" w:type="dxa"/>
                  <w:noWrap w:val="0"/>
                  <w:vAlign w:val="center"/>
                </w:tcPr>
                <w:p w14:paraId="2FD076F0">
                  <w:pPr>
                    <w:tabs>
                      <w:tab w:val="left" w:leader="middleDot" w:pos="7740"/>
                    </w:tabs>
                    <w:snapToGrid w:val="0"/>
                    <w:jc w:val="center"/>
                    <w:rPr>
                      <w:color w:val="auto"/>
                      <w:szCs w:val="21"/>
                    </w:rPr>
                  </w:pPr>
                  <w:r>
                    <w:rPr>
                      <w:color w:val="auto"/>
                      <w:szCs w:val="21"/>
                    </w:rPr>
                    <w:t>用水单位</w:t>
                  </w:r>
                </w:p>
              </w:tc>
              <w:tc>
                <w:tcPr>
                  <w:tcW w:w="935" w:type="dxa"/>
                  <w:noWrap w:val="0"/>
                  <w:vAlign w:val="top"/>
                </w:tcPr>
                <w:p w14:paraId="1EA7B4B5">
                  <w:pPr>
                    <w:tabs>
                      <w:tab w:val="left" w:leader="middleDot" w:pos="7740"/>
                    </w:tabs>
                    <w:snapToGrid w:val="0"/>
                    <w:jc w:val="center"/>
                    <w:rPr>
                      <w:color w:val="auto"/>
                      <w:szCs w:val="21"/>
                    </w:rPr>
                  </w:pPr>
                  <w:r>
                    <w:rPr>
                      <w:color w:val="auto"/>
                      <w:szCs w:val="21"/>
                    </w:rPr>
                    <w:t>日用水量m</w:t>
                  </w:r>
                  <w:r>
                    <w:rPr>
                      <w:color w:val="auto"/>
                      <w:szCs w:val="21"/>
                      <w:vertAlign w:val="superscript"/>
                    </w:rPr>
                    <w:t>3</w:t>
                  </w:r>
                  <w:r>
                    <w:rPr>
                      <w:color w:val="auto"/>
                      <w:szCs w:val="21"/>
                    </w:rPr>
                    <w:t>/d</w:t>
                  </w:r>
                </w:p>
              </w:tc>
              <w:tc>
                <w:tcPr>
                  <w:tcW w:w="1017" w:type="dxa"/>
                  <w:noWrap w:val="0"/>
                  <w:vAlign w:val="top"/>
                </w:tcPr>
                <w:p w14:paraId="335E067C">
                  <w:pPr>
                    <w:tabs>
                      <w:tab w:val="left" w:leader="middleDot" w:pos="7740"/>
                    </w:tabs>
                    <w:snapToGrid w:val="0"/>
                    <w:jc w:val="center"/>
                    <w:rPr>
                      <w:color w:val="auto"/>
                      <w:szCs w:val="21"/>
                    </w:rPr>
                  </w:pPr>
                  <w:r>
                    <w:rPr>
                      <w:color w:val="auto"/>
                      <w:szCs w:val="21"/>
                    </w:rPr>
                    <w:t>年用水量m</w:t>
                  </w:r>
                  <w:r>
                    <w:rPr>
                      <w:color w:val="auto"/>
                      <w:szCs w:val="21"/>
                      <w:vertAlign w:val="superscript"/>
                    </w:rPr>
                    <w:t>3</w:t>
                  </w:r>
                  <w:r>
                    <w:rPr>
                      <w:color w:val="auto"/>
                      <w:szCs w:val="21"/>
                    </w:rPr>
                    <w:t>/a</w:t>
                  </w:r>
                </w:p>
              </w:tc>
              <w:tc>
                <w:tcPr>
                  <w:tcW w:w="851" w:type="dxa"/>
                  <w:noWrap w:val="0"/>
                  <w:vAlign w:val="top"/>
                </w:tcPr>
                <w:p w14:paraId="4470DF17">
                  <w:pPr>
                    <w:tabs>
                      <w:tab w:val="left" w:leader="middleDot" w:pos="7740"/>
                    </w:tabs>
                    <w:snapToGrid w:val="0"/>
                    <w:jc w:val="center"/>
                    <w:rPr>
                      <w:color w:val="auto"/>
                      <w:szCs w:val="21"/>
                    </w:rPr>
                  </w:pPr>
                  <w:r>
                    <w:rPr>
                      <w:color w:val="auto"/>
                      <w:szCs w:val="21"/>
                    </w:rPr>
                    <w:t>日排水量m</w:t>
                  </w:r>
                  <w:r>
                    <w:rPr>
                      <w:color w:val="auto"/>
                      <w:szCs w:val="21"/>
                      <w:vertAlign w:val="superscript"/>
                    </w:rPr>
                    <w:t>3</w:t>
                  </w:r>
                  <w:r>
                    <w:rPr>
                      <w:color w:val="auto"/>
                      <w:szCs w:val="21"/>
                    </w:rPr>
                    <w:t>/d</w:t>
                  </w:r>
                </w:p>
              </w:tc>
              <w:tc>
                <w:tcPr>
                  <w:tcW w:w="1018" w:type="dxa"/>
                  <w:noWrap w:val="0"/>
                  <w:vAlign w:val="top"/>
                </w:tcPr>
                <w:p w14:paraId="238FBD26">
                  <w:pPr>
                    <w:tabs>
                      <w:tab w:val="left" w:leader="middleDot" w:pos="7740"/>
                    </w:tabs>
                    <w:snapToGrid w:val="0"/>
                    <w:jc w:val="center"/>
                    <w:rPr>
                      <w:color w:val="auto"/>
                      <w:szCs w:val="21"/>
                    </w:rPr>
                  </w:pPr>
                  <w:r>
                    <w:rPr>
                      <w:color w:val="auto"/>
                      <w:szCs w:val="21"/>
                    </w:rPr>
                    <w:t>年排水量m</w:t>
                  </w:r>
                  <w:r>
                    <w:rPr>
                      <w:color w:val="auto"/>
                      <w:szCs w:val="21"/>
                      <w:vertAlign w:val="superscript"/>
                    </w:rPr>
                    <w:t>3</w:t>
                  </w:r>
                  <w:r>
                    <w:rPr>
                      <w:color w:val="auto"/>
                      <w:szCs w:val="21"/>
                    </w:rPr>
                    <w:t>/a</w:t>
                  </w:r>
                </w:p>
              </w:tc>
            </w:tr>
            <w:tr w14:paraId="022F4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56CA3FFB">
                  <w:pPr>
                    <w:tabs>
                      <w:tab w:val="left" w:leader="middleDot" w:pos="7740"/>
                    </w:tabs>
                    <w:snapToGrid w:val="0"/>
                    <w:jc w:val="center"/>
                    <w:rPr>
                      <w:color w:val="auto"/>
                      <w:szCs w:val="21"/>
                    </w:rPr>
                  </w:pPr>
                  <w:r>
                    <w:rPr>
                      <w:color w:val="auto"/>
                      <w:szCs w:val="21"/>
                    </w:rPr>
                    <w:t>住院病人</w:t>
                  </w:r>
                </w:p>
              </w:tc>
              <w:tc>
                <w:tcPr>
                  <w:tcW w:w="1383" w:type="dxa"/>
                  <w:noWrap w:val="0"/>
                  <w:vAlign w:val="top"/>
                </w:tcPr>
                <w:p w14:paraId="41EE81EA">
                  <w:pPr>
                    <w:tabs>
                      <w:tab w:val="left" w:leader="middleDot" w:pos="7740"/>
                    </w:tabs>
                    <w:snapToGrid w:val="0"/>
                    <w:rPr>
                      <w:color w:val="auto"/>
                      <w:szCs w:val="21"/>
                    </w:rPr>
                  </w:pPr>
                  <w:r>
                    <w:rPr>
                      <w:rFonts w:hint="eastAsia"/>
                      <w:color w:val="auto"/>
                      <w:szCs w:val="21"/>
                      <w:lang w:val="en-US" w:eastAsia="zh-CN"/>
                    </w:rPr>
                    <w:t>250</w:t>
                  </w:r>
                  <w:r>
                    <w:rPr>
                      <w:color w:val="auto"/>
                      <w:szCs w:val="21"/>
                    </w:rPr>
                    <w:t>L/人·床（含陪护）</w:t>
                  </w:r>
                </w:p>
              </w:tc>
              <w:tc>
                <w:tcPr>
                  <w:tcW w:w="1303" w:type="dxa"/>
                  <w:noWrap w:val="0"/>
                  <w:vAlign w:val="center"/>
                </w:tcPr>
                <w:p w14:paraId="14D36B71">
                  <w:pPr>
                    <w:tabs>
                      <w:tab w:val="left" w:leader="middleDot" w:pos="7740"/>
                    </w:tabs>
                    <w:snapToGrid w:val="0"/>
                    <w:jc w:val="center"/>
                    <w:rPr>
                      <w:color w:val="auto"/>
                      <w:szCs w:val="21"/>
                    </w:rPr>
                  </w:pPr>
                  <w:r>
                    <w:rPr>
                      <w:rFonts w:hint="eastAsia"/>
                      <w:color w:val="auto"/>
                      <w:szCs w:val="21"/>
                      <w:lang w:val="en-US" w:eastAsia="zh-CN"/>
                    </w:rPr>
                    <w:t>150</w:t>
                  </w:r>
                  <w:r>
                    <w:rPr>
                      <w:color w:val="auto"/>
                      <w:szCs w:val="21"/>
                    </w:rPr>
                    <w:t>床</w:t>
                  </w:r>
                </w:p>
              </w:tc>
              <w:tc>
                <w:tcPr>
                  <w:tcW w:w="935" w:type="dxa"/>
                  <w:noWrap w:val="0"/>
                  <w:vAlign w:val="center"/>
                </w:tcPr>
                <w:p w14:paraId="31E53D6C">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37.5</w:t>
                  </w:r>
                </w:p>
              </w:tc>
              <w:tc>
                <w:tcPr>
                  <w:tcW w:w="1017" w:type="dxa"/>
                  <w:noWrap w:val="0"/>
                  <w:vAlign w:val="center"/>
                </w:tcPr>
                <w:p w14:paraId="4E6DD321">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13687.5</w:t>
                  </w:r>
                </w:p>
              </w:tc>
              <w:tc>
                <w:tcPr>
                  <w:tcW w:w="851" w:type="dxa"/>
                  <w:noWrap w:val="0"/>
                  <w:vAlign w:val="center"/>
                </w:tcPr>
                <w:p w14:paraId="73EC82D1">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33.8</w:t>
                  </w:r>
                </w:p>
              </w:tc>
              <w:tc>
                <w:tcPr>
                  <w:tcW w:w="1018" w:type="dxa"/>
                  <w:noWrap w:val="0"/>
                  <w:vAlign w:val="center"/>
                </w:tcPr>
                <w:p w14:paraId="43A89084">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12318.8</w:t>
                  </w:r>
                </w:p>
              </w:tc>
            </w:tr>
            <w:tr w14:paraId="082CF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26" w:type="dxa"/>
                  <w:noWrap w:val="0"/>
                  <w:vAlign w:val="top"/>
                </w:tcPr>
                <w:p w14:paraId="609CBF3C">
                  <w:pPr>
                    <w:tabs>
                      <w:tab w:val="left" w:leader="middleDot" w:pos="7740"/>
                    </w:tabs>
                    <w:snapToGrid w:val="0"/>
                    <w:jc w:val="center"/>
                    <w:rPr>
                      <w:color w:val="auto"/>
                      <w:szCs w:val="21"/>
                    </w:rPr>
                  </w:pPr>
                  <w:r>
                    <w:rPr>
                      <w:color w:val="auto"/>
                      <w:szCs w:val="21"/>
                    </w:rPr>
                    <w:t>门诊病人</w:t>
                  </w:r>
                </w:p>
              </w:tc>
              <w:tc>
                <w:tcPr>
                  <w:tcW w:w="1383" w:type="dxa"/>
                  <w:noWrap w:val="0"/>
                  <w:vAlign w:val="top"/>
                </w:tcPr>
                <w:p w14:paraId="0C42C6CE">
                  <w:pPr>
                    <w:tabs>
                      <w:tab w:val="left" w:leader="middleDot" w:pos="7740"/>
                    </w:tabs>
                    <w:snapToGrid w:val="0"/>
                    <w:jc w:val="center"/>
                    <w:rPr>
                      <w:color w:val="auto"/>
                      <w:szCs w:val="21"/>
                    </w:rPr>
                  </w:pPr>
                  <w:r>
                    <w:rPr>
                      <w:color w:val="auto"/>
                      <w:szCs w:val="21"/>
                    </w:rPr>
                    <w:t>15L/人</w:t>
                  </w:r>
                </w:p>
              </w:tc>
              <w:tc>
                <w:tcPr>
                  <w:tcW w:w="1303" w:type="dxa"/>
                  <w:noWrap w:val="0"/>
                  <w:vAlign w:val="top"/>
                </w:tcPr>
                <w:p w14:paraId="70443DBD">
                  <w:pPr>
                    <w:tabs>
                      <w:tab w:val="left" w:leader="middleDot" w:pos="7740"/>
                    </w:tabs>
                    <w:snapToGrid w:val="0"/>
                    <w:jc w:val="center"/>
                    <w:rPr>
                      <w:rFonts w:hint="eastAsia"/>
                      <w:color w:val="auto"/>
                      <w:szCs w:val="21"/>
                    </w:rPr>
                  </w:pPr>
                  <w:r>
                    <w:rPr>
                      <w:rFonts w:hint="eastAsia"/>
                      <w:color w:val="auto"/>
                      <w:szCs w:val="21"/>
                      <w:lang w:val="en-US" w:eastAsia="zh-CN"/>
                    </w:rPr>
                    <w:t>3</w:t>
                  </w:r>
                  <w:r>
                    <w:rPr>
                      <w:color w:val="auto"/>
                      <w:szCs w:val="21"/>
                    </w:rPr>
                    <w:t>00人</w:t>
                  </w:r>
                </w:p>
              </w:tc>
              <w:tc>
                <w:tcPr>
                  <w:tcW w:w="935" w:type="dxa"/>
                  <w:noWrap w:val="0"/>
                  <w:vAlign w:val="top"/>
                </w:tcPr>
                <w:p w14:paraId="3583E90F">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4.5</w:t>
                  </w:r>
                </w:p>
              </w:tc>
              <w:tc>
                <w:tcPr>
                  <w:tcW w:w="1017" w:type="dxa"/>
                  <w:noWrap w:val="0"/>
                  <w:vAlign w:val="center"/>
                </w:tcPr>
                <w:p w14:paraId="493FE241">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1642.5</w:t>
                  </w:r>
                </w:p>
              </w:tc>
              <w:tc>
                <w:tcPr>
                  <w:tcW w:w="851" w:type="dxa"/>
                  <w:noWrap w:val="0"/>
                  <w:vAlign w:val="center"/>
                </w:tcPr>
                <w:p w14:paraId="2CC737B6">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4.1</w:t>
                  </w:r>
                </w:p>
              </w:tc>
              <w:tc>
                <w:tcPr>
                  <w:tcW w:w="1018" w:type="dxa"/>
                  <w:noWrap w:val="0"/>
                  <w:vAlign w:val="center"/>
                </w:tcPr>
                <w:p w14:paraId="58A9A560">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1478.3</w:t>
                  </w:r>
                </w:p>
              </w:tc>
            </w:tr>
            <w:tr w14:paraId="6F64F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6F8469B8">
                  <w:pPr>
                    <w:tabs>
                      <w:tab w:val="left" w:leader="middleDot" w:pos="7740"/>
                    </w:tabs>
                    <w:snapToGrid w:val="0"/>
                    <w:jc w:val="center"/>
                    <w:rPr>
                      <w:color w:val="auto"/>
                      <w:szCs w:val="21"/>
                    </w:rPr>
                  </w:pPr>
                  <w:r>
                    <w:rPr>
                      <w:color w:val="auto"/>
                      <w:szCs w:val="21"/>
                    </w:rPr>
                    <w:t>托老院</w:t>
                  </w:r>
                </w:p>
              </w:tc>
              <w:tc>
                <w:tcPr>
                  <w:tcW w:w="1383" w:type="dxa"/>
                  <w:noWrap w:val="0"/>
                  <w:vAlign w:val="top"/>
                </w:tcPr>
                <w:p w14:paraId="3146CACD">
                  <w:pPr>
                    <w:tabs>
                      <w:tab w:val="left" w:leader="middleDot" w:pos="7740"/>
                    </w:tabs>
                    <w:snapToGrid w:val="0"/>
                    <w:jc w:val="center"/>
                    <w:rPr>
                      <w:color w:val="auto"/>
                      <w:szCs w:val="21"/>
                    </w:rPr>
                  </w:pPr>
                  <w:r>
                    <w:rPr>
                      <w:rFonts w:hint="eastAsia"/>
                      <w:color w:val="auto"/>
                      <w:szCs w:val="21"/>
                      <w:lang w:val="en-US" w:eastAsia="zh-CN"/>
                    </w:rPr>
                    <w:t>100</w:t>
                  </w:r>
                  <w:r>
                    <w:rPr>
                      <w:color w:val="auto"/>
                      <w:szCs w:val="21"/>
                    </w:rPr>
                    <w:t>L/人·床</w:t>
                  </w:r>
                </w:p>
              </w:tc>
              <w:tc>
                <w:tcPr>
                  <w:tcW w:w="1303" w:type="dxa"/>
                  <w:noWrap w:val="0"/>
                  <w:vAlign w:val="top"/>
                </w:tcPr>
                <w:p w14:paraId="037E6B89">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150</w:t>
                  </w:r>
                  <w:r>
                    <w:rPr>
                      <w:color w:val="auto"/>
                      <w:szCs w:val="21"/>
                    </w:rPr>
                    <w:t>床</w:t>
                  </w:r>
                </w:p>
              </w:tc>
              <w:tc>
                <w:tcPr>
                  <w:tcW w:w="935" w:type="dxa"/>
                  <w:noWrap w:val="0"/>
                  <w:vAlign w:val="top"/>
                </w:tcPr>
                <w:p w14:paraId="3B20CF39">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15</w:t>
                  </w:r>
                </w:p>
              </w:tc>
              <w:tc>
                <w:tcPr>
                  <w:tcW w:w="1017" w:type="dxa"/>
                  <w:noWrap w:val="0"/>
                  <w:vAlign w:val="center"/>
                </w:tcPr>
                <w:p w14:paraId="304383FE">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5475</w:t>
                  </w:r>
                </w:p>
              </w:tc>
              <w:tc>
                <w:tcPr>
                  <w:tcW w:w="851" w:type="dxa"/>
                  <w:noWrap w:val="0"/>
                  <w:vAlign w:val="center"/>
                </w:tcPr>
                <w:p w14:paraId="1886B74F">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13.5</w:t>
                  </w:r>
                </w:p>
              </w:tc>
              <w:tc>
                <w:tcPr>
                  <w:tcW w:w="1018" w:type="dxa"/>
                  <w:noWrap w:val="0"/>
                  <w:vAlign w:val="center"/>
                </w:tcPr>
                <w:p w14:paraId="203CF3E8">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4927.5</w:t>
                  </w:r>
                </w:p>
              </w:tc>
            </w:tr>
            <w:tr w14:paraId="1287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1A0EDC2A">
                  <w:pPr>
                    <w:tabs>
                      <w:tab w:val="left" w:leader="middleDot" w:pos="7740"/>
                    </w:tabs>
                    <w:snapToGrid w:val="0"/>
                    <w:jc w:val="center"/>
                    <w:rPr>
                      <w:color w:val="auto"/>
                      <w:szCs w:val="21"/>
                    </w:rPr>
                  </w:pPr>
                  <w:r>
                    <w:rPr>
                      <w:color w:val="auto"/>
                      <w:szCs w:val="21"/>
                    </w:rPr>
                    <w:t>清洁用水</w:t>
                  </w:r>
                </w:p>
              </w:tc>
              <w:tc>
                <w:tcPr>
                  <w:tcW w:w="1383" w:type="dxa"/>
                  <w:noWrap w:val="0"/>
                  <w:vAlign w:val="top"/>
                </w:tcPr>
                <w:p w14:paraId="7E8EC7DE">
                  <w:pPr>
                    <w:tabs>
                      <w:tab w:val="left" w:leader="middleDot" w:pos="7740"/>
                    </w:tabs>
                    <w:snapToGrid w:val="0"/>
                    <w:jc w:val="center"/>
                    <w:rPr>
                      <w:color w:val="auto"/>
                      <w:szCs w:val="21"/>
                    </w:rPr>
                  </w:pPr>
                  <w:r>
                    <w:rPr>
                      <w:color w:val="auto"/>
                      <w:szCs w:val="21"/>
                    </w:rPr>
                    <w:t>0.5L/m</w:t>
                  </w:r>
                  <w:r>
                    <w:rPr>
                      <w:color w:val="auto"/>
                      <w:szCs w:val="21"/>
                      <w:vertAlign w:val="superscript"/>
                    </w:rPr>
                    <w:t>2</w:t>
                  </w:r>
                  <w:r>
                    <w:rPr>
                      <w:color w:val="auto"/>
                      <w:szCs w:val="21"/>
                    </w:rPr>
                    <w:t>·次</w:t>
                  </w:r>
                </w:p>
              </w:tc>
              <w:tc>
                <w:tcPr>
                  <w:tcW w:w="1303" w:type="dxa"/>
                  <w:noWrap w:val="0"/>
                  <w:vAlign w:val="top"/>
                </w:tcPr>
                <w:p w14:paraId="713E18D8">
                  <w:pPr>
                    <w:tabs>
                      <w:tab w:val="left" w:leader="middleDot" w:pos="7740"/>
                    </w:tabs>
                    <w:snapToGrid w:val="0"/>
                    <w:jc w:val="center"/>
                    <w:rPr>
                      <w:color w:val="auto"/>
                      <w:szCs w:val="21"/>
                    </w:rPr>
                  </w:pPr>
                  <w:r>
                    <w:rPr>
                      <w:rFonts w:hint="eastAsia"/>
                      <w:color w:val="auto"/>
                      <w:szCs w:val="21"/>
                      <w:lang w:val="en-US" w:eastAsia="zh-CN"/>
                    </w:rPr>
                    <w:t>60</w:t>
                  </w:r>
                  <w:r>
                    <w:rPr>
                      <w:rFonts w:hint="eastAsia"/>
                      <w:color w:val="auto"/>
                      <w:szCs w:val="21"/>
                    </w:rPr>
                    <w:t>00</w:t>
                  </w:r>
                  <w:r>
                    <w:rPr>
                      <w:color w:val="auto"/>
                      <w:szCs w:val="21"/>
                    </w:rPr>
                    <w:t>m</w:t>
                  </w:r>
                  <w:r>
                    <w:rPr>
                      <w:color w:val="auto"/>
                      <w:szCs w:val="21"/>
                      <w:vertAlign w:val="superscript"/>
                    </w:rPr>
                    <w:t>2</w:t>
                  </w:r>
                </w:p>
              </w:tc>
              <w:tc>
                <w:tcPr>
                  <w:tcW w:w="935" w:type="dxa"/>
                  <w:noWrap w:val="0"/>
                  <w:vAlign w:val="top"/>
                </w:tcPr>
                <w:p w14:paraId="39777CEF">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3</w:t>
                  </w:r>
                </w:p>
              </w:tc>
              <w:tc>
                <w:tcPr>
                  <w:tcW w:w="1017" w:type="dxa"/>
                  <w:noWrap w:val="0"/>
                  <w:vAlign w:val="center"/>
                </w:tcPr>
                <w:p w14:paraId="2C395933">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1095</w:t>
                  </w:r>
                </w:p>
              </w:tc>
              <w:tc>
                <w:tcPr>
                  <w:tcW w:w="851" w:type="dxa"/>
                  <w:noWrap w:val="0"/>
                  <w:vAlign w:val="center"/>
                </w:tcPr>
                <w:p w14:paraId="7D576F1A">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2.7</w:t>
                  </w:r>
                </w:p>
              </w:tc>
              <w:tc>
                <w:tcPr>
                  <w:tcW w:w="1018" w:type="dxa"/>
                  <w:noWrap w:val="0"/>
                  <w:vAlign w:val="center"/>
                </w:tcPr>
                <w:p w14:paraId="35C0B71F">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985.5</w:t>
                  </w:r>
                </w:p>
              </w:tc>
            </w:tr>
            <w:tr w14:paraId="3668C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1FC0F15F">
                  <w:pPr>
                    <w:tabs>
                      <w:tab w:val="left" w:leader="middleDot" w:pos="7740"/>
                    </w:tabs>
                    <w:snapToGrid w:val="0"/>
                    <w:jc w:val="center"/>
                    <w:rPr>
                      <w:color w:val="auto"/>
                      <w:szCs w:val="21"/>
                    </w:rPr>
                  </w:pPr>
                  <w:r>
                    <w:rPr>
                      <w:color w:val="auto"/>
                      <w:szCs w:val="21"/>
                    </w:rPr>
                    <w:t>医务人员</w:t>
                  </w:r>
                </w:p>
              </w:tc>
              <w:tc>
                <w:tcPr>
                  <w:tcW w:w="1383" w:type="dxa"/>
                  <w:noWrap w:val="0"/>
                  <w:vAlign w:val="top"/>
                </w:tcPr>
                <w:p w14:paraId="0E7D6CDE">
                  <w:pPr>
                    <w:tabs>
                      <w:tab w:val="left" w:leader="middleDot" w:pos="7740"/>
                    </w:tabs>
                    <w:snapToGrid w:val="0"/>
                    <w:jc w:val="center"/>
                    <w:rPr>
                      <w:color w:val="auto"/>
                      <w:szCs w:val="21"/>
                    </w:rPr>
                  </w:pPr>
                  <w:r>
                    <w:rPr>
                      <w:color w:val="auto"/>
                      <w:szCs w:val="21"/>
                    </w:rPr>
                    <w:t>150L/d·人·班</w:t>
                  </w:r>
                </w:p>
              </w:tc>
              <w:tc>
                <w:tcPr>
                  <w:tcW w:w="1303" w:type="dxa"/>
                  <w:noWrap w:val="0"/>
                  <w:vAlign w:val="top"/>
                </w:tcPr>
                <w:p w14:paraId="0033FC4F">
                  <w:pPr>
                    <w:tabs>
                      <w:tab w:val="left" w:leader="middleDot" w:pos="7740"/>
                    </w:tabs>
                    <w:snapToGrid w:val="0"/>
                    <w:jc w:val="center"/>
                    <w:rPr>
                      <w:color w:val="auto"/>
                      <w:szCs w:val="21"/>
                    </w:rPr>
                  </w:pPr>
                  <w:r>
                    <w:rPr>
                      <w:rFonts w:hint="eastAsia"/>
                      <w:color w:val="auto"/>
                      <w:szCs w:val="21"/>
                      <w:lang w:val="en-US" w:eastAsia="zh-CN"/>
                    </w:rPr>
                    <w:t>100</w:t>
                  </w:r>
                  <w:r>
                    <w:rPr>
                      <w:color w:val="auto"/>
                      <w:szCs w:val="21"/>
                    </w:rPr>
                    <w:t>人</w:t>
                  </w:r>
                </w:p>
              </w:tc>
              <w:tc>
                <w:tcPr>
                  <w:tcW w:w="935" w:type="dxa"/>
                  <w:noWrap w:val="0"/>
                  <w:vAlign w:val="top"/>
                </w:tcPr>
                <w:p w14:paraId="1A45EA40">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15</w:t>
                  </w:r>
                </w:p>
              </w:tc>
              <w:tc>
                <w:tcPr>
                  <w:tcW w:w="1017" w:type="dxa"/>
                  <w:noWrap w:val="0"/>
                  <w:vAlign w:val="center"/>
                </w:tcPr>
                <w:p w14:paraId="3E9F68BA">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5475</w:t>
                  </w:r>
                </w:p>
              </w:tc>
              <w:tc>
                <w:tcPr>
                  <w:tcW w:w="851" w:type="dxa"/>
                  <w:noWrap w:val="0"/>
                  <w:vAlign w:val="center"/>
                </w:tcPr>
                <w:p w14:paraId="6E9F7FC7">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13.5</w:t>
                  </w:r>
                </w:p>
              </w:tc>
              <w:tc>
                <w:tcPr>
                  <w:tcW w:w="1018" w:type="dxa"/>
                  <w:noWrap w:val="0"/>
                  <w:vAlign w:val="center"/>
                </w:tcPr>
                <w:p w14:paraId="1D969728">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4927.5</w:t>
                  </w:r>
                </w:p>
              </w:tc>
            </w:tr>
            <w:tr w14:paraId="44B96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3E121170">
                  <w:pPr>
                    <w:tabs>
                      <w:tab w:val="left" w:leader="middleDot" w:pos="7740"/>
                    </w:tabs>
                    <w:snapToGrid w:val="0"/>
                    <w:jc w:val="center"/>
                    <w:rPr>
                      <w:color w:val="auto"/>
                      <w:szCs w:val="21"/>
                    </w:rPr>
                  </w:pPr>
                  <w:r>
                    <w:rPr>
                      <w:color w:val="auto"/>
                      <w:szCs w:val="21"/>
                    </w:rPr>
                    <w:t>洗衣房</w:t>
                  </w:r>
                </w:p>
              </w:tc>
              <w:tc>
                <w:tcPr>
                  <w:tcW w:w="1383" w:type="dxa"/>
                  <w:noWrap w:val="0"/>
                  <w:vAlign w:val="top"/>
                </w:tcPr>
                <w:p w14:paraId="3CE901E6">
                  <w:pPr>
                    <w:tabs>
                      <w:tab w:val="left" w:leader="middleDot" w:pos="7740"/>
                    </w:tabs>
                    <w:snapToGrid w:val="0"/>
                    <w:jc w:val="center"/>
                    <w:rPr>
                      <w:color w:val="auto"/>
                      <w:szCs w:val="21"/>
                    </w:rPr>
                  </w:pPr>
                  <w:r>
                    <w:rPr>
                      <w:color w:val="auto"/>
                      <w:szCs w:val="21"/>
                    </w:rPr>
                    <w:t>60 L/kg</w:t>
                  </w:r>
                </w:p>
              </w:tc>
              <w:tc>
                <w:tcPr>
                  <w:tcW w:w="1303" w:type="dxa"/>
                  <w:noWrap w:val="0"/>
                  <w:vAlign w:val="top"/>
                </w:tcPr>
                <w:p w14:paraId="40E4F0AE">
                  <w:pPr>
                    <w:tabs>
                      <w:tab w:val="left" w:leader="middleDot" w:pos="7740"/>
                    </w:tabs>
                    <w:snapToGrid w:val="0"/>
                    <w:jc w:val="center"/>
                    <w:rPr>
                      <w:color w:val="auto"/>
                      <w:szCs w:val="21"/>
                    </w:rPr>
                  </w:pPr>
                  <w:r>
                    <w:rPr>
                      <w:rFonts w:hint="eastAsia"/>
                      <w:color w:val="auto"/>
                      <w:szCs w:val="21"/>
                      <w:lang w:val="en-US" w:eastAsia="zh-CN"/>
                    </w:rPr>
                    <w:t>450</w:t>
                  </w:r>
                  <w:r>
                    <w:rPr>
                      <w:color w:val="auto"/>
                      <w:szCs w:val="21"/>
                    </w:rPr>
                    <w:t>kg</w:t>
                  </w:r>
                  <w:r>
                    <w:rPr>
                      <w:bCs/>
                      <w:color w:val="auto"/>
                      <w:kern w:val="0"/>
                      <w:sz w:val="18"/>
                      <w:szCs w:val="18"/>
                    </w:rPr>
                    <w:t>①</w:t>
                  </w:r>
                </w:p>
              </w:tc>
              <w:tc>
                <w:tcPr>
                  <w:tcW w:w="935" w:type="dxa"/>
                  <w:noWrap w:val="0"/>
                  <w:vAlign w:val="top"/>
                </w:tcPr>
                <w:p w14:paraId="30E5C21F">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27</w:t>
                  </w:r>
                </w:p>
              </w:tc>
              <w:tc>
                <w:tcPr>
                  <w:tcW w:w="1017" w:type="dxa"/>
                  <w:noWrap w:val="0"/>
                  <w:vAlign w:val="center"/>
                </w:tcPr>
                <w:p w14:paraId="0E568F45">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9855</w:t>
                  </w:r>
                </w:p>
              </w:tc>
              <w:tc>
                <w:tcPr>
                  <w:tcW w:w="851" w:type="dxa"/>
                  <w:noWrap w:val="0"/>
                  <w:vAlign w:val="center"/>
                </w:tcPr>
                <w:p w14:paraId="421268DB">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24.3</w:t>
                  </w:r>
                </w:p>
              </w:tc>
              <w:tc>
                <w:tcPr>
                  <w:tcW w:w="1018" w:type="dxa"/>
                  <w:noWrap w:val="0"/>
                  <w:vAlign w:val="center"/>
                </w:tcPr>
                <w:p w14:paraId="074317C1">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8869.5</w:t>
                  </w:r>
                </w:p>
              </w:tc>
            </w:tr>
            <w:tr w14:paraId="3DDFA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2" w:type="dxa"/>
                  <w:gridSpan w:val="3"/>
                  <w:noWrap w:val="0"/>
                  <w:vAlign w:val="top"/>
                </w:tcPr>
                <w:p w14:paraId="78679C54">
                  <w:pPr>
                    <w:tabs>
                      <w:tab w:val="left" w:leader="middleDot" w:pos="7740"/>
                    </w:tabs>
                    <w:snapToGrid w:val="0"/>
                    <w:jc w:val="center"/>
                    <w:rPr>
                      <w:color w:val="auto"/>
                      <w:szCs w:val="21"/>
                    </w:rPr>
                  </w:pPr>
                  <w:r>
                    <w:rPr>
                      <w:color w:val="auto"/>
                      <w:szCs w:val="21"/>
                    </w:rPr>
                    <w:t>合计</w:t>
                  </w:r>
                </w:p>
              </w:tc>
              <w:tc>
                <w:tcPr>
                  <w:tcW w:w="935" w:type="dxa"/>
                  <w:noWrap w:val="0"/>
                  <w:vAlign w:val="center"/>
                </w:tcPr>
                <w:p w14:paraId="3446D129">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102</w:t>
                  </w:r>
                </w:p>
              </w:tc>
              <w:tc>
                <w:tcPr>
                  <w:tcW w:w="1017" w:type="dxa"/>
                  <w:noWrap w:val="0"/>
                  <w:vAlign w:val="center"/>
                </w:tcPr>
                <w:p w14:paraId="71C5CBBE">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37230</w:t>
                  </w:r>
                </w:p>
              </w:tc>
              <w:tc>
                <w:tcPr>
                  <w:tcW w:w="851" w:type="dxa"/>
                  <w:noWrap w:val="0"/>
                  <w:vAlign w:val="center"/>
                </w:tcPr>
                <w:p w14:paraId="48EB3AA0">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91.9</w:t>
                  </w:r>
                </w:p>
              </w:tc>
              <w:tc>
                <w:tcPr>
                  <w:tcW w:w="1018" w:type="dxa"/>
                  <w:noWrap w:val="0"/>
                  <w:vAlign w:val="center"/>
                </w:tcPr>
                <w:p w14:paraId="5E66EE45">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33507.1</w:t>
                  </w:r>
                </w:p>
              </w:tc>
            </w:tr>
          </w:tbl>
          <w:p w14:paraId="5664CB01">
            <w:pPr>
              <w:adjustRightInd w:val="0"/>
              <w:snapToGrid w:val="0"/>
              <w:jc w:val="center"/>
              <w:rPr>
                <w:rFonts w:hint="eastAsia" w:eastAsia="宋体"/>
                <w:bCs/>
                <w:color w:val="auto"/>
                <w:szCs w:val="21"/>
                <w:lang w:eastAsia="zh-CN"/>
              </w:rPr>
            </w:pPr>
          </w:p>
          <w:p w14:paraId="6E12AFEA">
            <w:pPr>
              <w:adjustRightInd w:val="0"/>
              <w:snapToGrid w:val="0"/>
              <w:jc w:val="center"/>
              <w:rPr>
                <w:rFonts w:hint="eastAsia" w:eastAsia="宋体"/>
                <w:bCs/>
                <w:color w:val="auto"/>
                <w:szCs w:val="21"/>
                <w:lang w:eastAsia="zh-CN"/>
              </w:rPr>
            </w:pPr>
            <w:r>
              <w:rPr>
                <w:color w:val="auto"/>
              </w:rPr>
              <w:drawing>
                <wp:inline distT="0" distB="0" distL="114300" distR="114300">
                  <wp:extent cx="4074160" cy="3669665"/>
                  <wp:effectExtent l="0" t="0" r="2540" b="698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3"/>
                          <a:stretch>
                            <a:fillRect/>
                          </a:stretch>
                        </pic:blipFill>
                        <pic:spPr>
                          <a:xfrm>
                            <a:off x="0" y="0"/>
                            <a:ext cx="4074160" cy="3669665"/>
                          </a:xfrm>
                          <a:prstGeom prst="rect">
                            <a:avLst/>
                          </a:prstGeom>
                          <a:noFill/>
                          <a:ln>
                            <a:noFill/>
                          </a:ln>
                        </pic:spPr>
                      </pic:pic>
                    </a:graphicData>
                  </a:graphic>
                </wp:inline>
              </w:drawing>
            </w:r>
          </w:p>
          <w:p w14:paraId="53739F1A">
            <w:pPr>
              <w:keepNext w:val="0"/>
              <w:keepLines w:val="0"/>
              <w:pageBreakBefore w:val="0"/>
              <w:widowControl w:val="0"/>
              <w:kinsoku/>
              <w:wordWrap/>
              <w:overflowPunct/>
              <w:topLinePunct w:val="0"/>
              <w:autoSpaceDE/>
              <w:autoSpaceDN/>
              <w:bidi w:val="0"/>
              <w:snapToGrid w:val="0"/>
              <w:spacing w:line="360" w:lineRule="auto"/>
              <w:jc w:val="center"/>
              <w:textAlignment w:val="auto"/>
              <w:rPr>
                <w:rFonts w:hint="default" w:eastAsia="宋体"/>
                <w:b/>
                <w:bCs/>
                <w:color w:val="auto"/>
                <w:sz w:val="24"/>
                <w:lang w:val="en-US" w:eastAsia="zh-CN"/>
              </w:rPr>
            </w:pPr>
            <w:r>
              <w:rPr>
                <w:rFonts w:hint="eastAsia"/>
                <w:b/>
                <w:bCs/>
                <w:color w:val="auto"/>
                <w:sz w:val="24"/>
                <w:lang w:val="en-US" w:eastAsia="zh-CN"/>
              </w:rPr>
              <w:t>图2-1  扩建项目水平衡图 （</w:t>
            </w:r>
            <w:r>
              <w:rPr>
                <w:b/>
                <w:bCs/>
                <w:color w:val="auto"/>
                <w:szCs w:val="21"/>
              </w:rPr>
              <w:t>m</w:t>
            </w:r>
            <w:r>
              <w:rPr>
                <w:b/>
                <w:bCs/>
                <w:color w:val="auto"/>
                <w:szCs w:val="21"/>
                <w:vertAlign w:val="superscript"/>
              </w:rPr>
              <w:t>3</w:t>
            </w:r>
            <w:r>
              <w:rPr>
                <w:b/>
                <w:bCs/>
                <w:color w:val="auto"/>
                <w:szCs w:val="21"/>
              </w:rPr>
              <w:t>/d</w:t>
            </w:r>
            <w:r>
              <w:rPr>
                <w:rFonts w:hint="eastAsia"/>
                <w:b/>
                <w:bCs/>
                <w:color w:val="auto"/>
                <w:sz w:val="24"/>
                <w:lang w:val="en-US" w:eastAsia="zh-CN"/>
              </w:rPr>
              <w:t>）</w:t>
            </w:r>
          </w:p>
          <w:p w14:paraId="4B929E69">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医院现有项目用、排水量见表</w:t>
            </w:r>
            <w:r>
              <w:rPr>
                <w:rFonts w:hint="default"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val="en-US" w:eastAsia="zh-CN"/>
              </w:rPr>
              <w:t xml:space="preserve">-5，扩建完成后，全院的水平衡见下图 </w:t>
            </w:r>
            <w:r>
              <w:rPr>
                <w:rFonts w:hint="default" w:ascii="Times New Roman" w:hAnsi="Times New Roman" w:eastAsia="宋体" w:cs="Times New Roman"/>
                <w:color w:val="auto"/>
                <w:sz w:val="24"/>
                <w:lang w:val="en-US" w:eastAsia="zh-CN"/>
              </w:rPr>
              <w:t>2-2</w:t>
            </w:r>
            <w:r>
              <w:rPr>
                <w:rFonts w:hint="eastAsia" w:ascii="Times New Roman" w:hAnsi="Times New Roman" w:eastAsia="宋体" w:cs="Times New Roman"/>
                <w:color w:val="auto"/>
                <w:sz w:val="24"/>
                <w:lang w:val="en-US" w:eastAsia="zh-CN"/>
              </w:rPr>
              <w:t>所示。</w:t>
            </w:r>
          </w:p>
          <w:p w14:paraId="2F66640B">
            <w:pPr>
              <w:keepNext w:val="0"/>
              <w:keepLines w:val="0"/>
              <w:pageBreakBefore w:val="0"/>
              <w:widowControl w:val="0"/>
              <w:kinsoku/>
              <w:wordWrap/>
              <w:overflowPunct/>
              <w:topLinePunct w:val="0"/>
              <w:autoSpaceDE/>
              <w:autoSpaceDN/>
              <w:bidi w:val="0"/>
              <w:snapToGrid w:val="0"/>
              <w:spacing w:line="360" w:lineRule="auto"/>
              <w:jc w:val="center"/>
              <w:textAlignment w:val="auto"/>
              <w:rPr>
                <w:b/>
                <w:bCs/>
                <w:color w:val="auto"/>
                <w:sz w:val="24"/>
              </w:rPr>
            </w:pPr>
            <w:r>
              <w:rPr>
                <w:color w:val="auto"/>
              </w:rPr>
              <w:drawing>
                <wp:inline distT="0" distB="0" distL="114300" distR="114300">
                  <wp:extent cx="4267200" cy="3841750"/>
                  <wp:effectExtent l="0" t="0" r="0" b="6350"/>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14"/>
                          <a:stretch>
                            <a:fillRect/>
                          </a:stretch>
                        </pic:blipFill>
                        <pic:spPr>
                          <a:xfrm>
                            <a:off x="0" y="0"/>
                            <a:ext cx="4267200" cy="3841750"/>
                          </a:xfrm>
                          <a:prstGeom prst="rect">
                            <a:avLst/>
                          </a:prstGeom>
                          <a:noFill/>
                          <a:ln>
                            <a:noFill/>
                          </a:ln>
                        </pic:spPr>
                      </pic:pic>
                    </a:graphicData>
                  </a:graphic>
                </wp:inline>
              </w:drawing>
            </w:r>
          </w:p>
          <w:p w14:paraId="398C9077">
            <w:pPr>
              <w:keepNext w:val="0"/>
              <w:keepLines w:val="0"/>
              <w:pageBreakBefore w:val="0"/>
              <w:widowControl w:val="0"/>
              <w:kinsoku/>
              <w:wordWrap/>
              <w:overflowPunct/>
              <w:topLinePunct w:val="0"/>
              <w:autoSpaceDE/>
              <w:autoSpaceDN/>
              <w:bidi w:val="0"/>
              <w:snapToGrid w:val="0"/>
              <w:spacing w:line="360" w:lineRule="auto"/>
              <w:ind w:firstLine="2168" w:firstLineChars="900"/>
              <w:textAlignment w:val="auto"/>
              <w:rPr>
                <w:b/>
                <w:bCs/>
                <w:color w:val="auto"/>
                <w:sz w:val="24"/>
              </w:rPr>
            </w:pPr>
            <w:r>
              <w:rPr>
                <w:rFonts w:hint="eastAsia"/>
                <w:b/>
                <w:bCs/>
                <w:color w:val="auto"/>
                <w:sz w:val="24"/>
                <w:lang w:val="en-US" w:eastAsia="zh-CN"/>
              </w:rPr>
              <w:t>图2-2  扩建完成后全院水平衡图 （</w:t>
            </w:r>
            <w:r>
              <w:rPr>
                <w:b/>
                <w:bCs/>
                <w:color w:val="auto"/>
                <w:szCs w:val="21"/>
              </w:rPr>
              <w:t>m</w:t>
            </w:r>
            <w:r>
              <w:rPr>
                <w:b/>
                <w:bCs/>
                <w:color w:val="auto"/>
                <w:szCs w:val="21"/>
                <w:vertAlign w:val="superscript"/>
              </w:rPr>
              <w:t>3</w:t>
            </w:r>
            <w:r>
              <w:rPr>
                <w:b/>
                <w:bCs/>
                <w:color w:val="auto"/>
                <w:szCs w:val="21"/>
              </w:rPr>
              <w:t>/d</w:t>
            </w:r>
            <w:r>
              <w:rPr>
                <w:rFonts w:hint="eastAsia"/>
                <w:b/>
                <w:bCs/>
                <w:color w:val="auto"/>
                <w:sz w:val="24"/>
                <w:lang w:val="en-US" w:eastAsia="zh-CN"/>
              </w:rPr>
              <w:t>）</w:t>
            </w:r>
          </w:p>
          <w:p w14:paraId="43839036">
            <w:pPr>
              <w:keepNext w:val="0"/>
              <w:keepLines w:val="0"/>
              <w:pageBreakBefore w:val="0"/>
              <w:widowControl w:val="0"/>
              <w:kinsoku/>
              <w:wordWrap/>
              <w:overflowPunct/>
              <w:topLinePunct w:val="0"/>
              <w:autoSpaceDE/>
              <w:autoSpaceDN/>
              <w:bidi w:val="0"/>
              <w:snapToGrid w:val="0"/>
              <w:spacing w:line="360" w:lineRule="auto"/>
              <w:ind w:firstLine="482" w:firstLineChars="200"/>
              <w:textAlignment w:val="auto"/>
              <w:rPr>
                <w:b/>
                <w:bCs/>
                <w:color w:val="auto"/>
                <w:sz w:val="24"/>
              </w:rPr>
            </w:pPr>
            <w:r>
              <w:rPr>
                <w:b/>
                <w:bCs/>
                <w:color w:val="auto"/>
                <w:sz w:val="24"/>
              </w:rPr>
              <w:t>2）排水</w:t>
            </w:r>
          </w:p>
          <w:p w14:paraId="7843CF9F">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color w:val="auto"/>
                <w:sz w:val="24"/>
              </w:rPr>
            </w:pPr>
            <w:r>
              <w:rPr>
                <w:color w:val="auto"/>
                <w:sz w:val="24"/>
              </w:rPr>
              <w:t>雨污分流制，雨水进入雨水管网。</w:t>
            </w:r>
            <w:r>
              <w:rPr>
                <w:snapToGrid w:val="0"/>
                <w:color w:val="auto"/>
                <w:kern w:val="0"/>
                <w:sz w:val="24"/>
              </w:rPr>
              <w:t>生活、医疗废水进入扩容的污水处理站处理达</w:t>
            </w:r>
            <w:r>
              <w:rPr>
                <w:color w:val="auto"/>
                <w:sz w:val="24"/>
              </w:rPr>
              <w:t>《医疗机构水污染物排放标准》（GB18466-2005）表2综合医疗机构和其他医疗机构水污染物排放限值中的预处理标准后</w:t>
            </w:r>
            <w:r>
              <w:rPr>
                <w:snapToGrid w:val="0"/>
                <w:color w:val="auto"/>
                <w:kern w:val="0"/>
                <w:sz w:val="24"/>
              </w:rPr>
              <w:t>，</w:t>
            </w:r>
            <w:r>
              <w:rPr>
                <w:color w:val="auto"/>
                <w:sz w:val="24"/>
              </w:rPr>
              <w:t>排入市政污水管网，经市政管网汇入</w:t>
            </w:r>
            <w:r>
              <w:rPr>
                <w:rFonts w:hint="eastAsia"/>
                <w:color w:val="auto"/>
                <w:sz w:val="24"/>
                <w:lang w:eastAsia="zh-CN"/>
              </w:rPr>
              <w:t>鸡冠石污水处理厂</w:t>
            </w:r>
            <w:r>
              <w:rPr>
                <w:color w:val="auto"/>
                <w:sz w:val="24"/>
              </w:rPr>
              <w:t>深度处理达《城镇污水处理厂排放标准》（GB18918-2002）一级A标后排入长江。</w:t>
            </w:r>
          </w:p>
          <w:p w14:paraId="6E0ECCF1">
            <w:pPr>
              <w:keepNext w:val="0"/>
              <w:keepLines w:val="0"/>
              <w:widowControl/>
              <w:suppressLineNumbers w:val="0"/>
              <w:ind w:firstLine="500" w:firstLineChars="200"/>
              <w:jc w:val="left"/>
              <w:rPr>
                <w:color w:val="auto"/>
              </w:rPr>
            </w:pPr>
            <w:r>
              <w:rPr>
                <w:rFonts w:hint="eastAsia" w:ascii="宋体" w:hAnsi="宋体" w:eastAsia="宋体" w:cs="宋体"/>
                <w:color w:val="auto"/>
                <w:kern w:val="0"/>
                <w:sz w:val="25"/>
                <w:szCs w:val="25"/>
                <w:lang w:val="en-US" w:eastAsia="zh-CN" w:bidi="ar"/>
              </w:rPr>
              <w:t xml:space="preserve">扩建项目能源年消耗情况见下表 </w:t>
            </w:r>
            <w:r>
              <w:rPr>
                <w:rFonts w:hint="default" w:ascii="Times New Roman" w:hAnsi="Times New Roman" w:eastAsia="宋体" w:cs="Times New Roman"/>
                <w:color w:val="auto"/>
                <w:kern w:val="0"/>
                <w:sz w:val="25"/>
                <w:szCs w:val="25"/>
                <w:lang w:val="en-US" w:eastAsia="zh-CN" w:bidi="ar"/>
              </w:rPr>
              <w:t>2-6</w:t>
            </w:r>
            <w:r>
              <w:rPr>
                <w:rFonts w:hint="eastAsia" w:ascii="宋体" w:hAnsi="宋体" w:eastAsia="宋体" w:cs="宋体"/>
                <w:color w:val="auto"/>
                <w:kern w:val="0"/>
                <w:sz w:val="25"/>
                <w:szCs w:val="25"/>
                <w:lang w:val="en-US" w:eastAsia="zh-CN" w:bidi="ar"/>
              </w:rPr>
              <w:t>。</w:t>
            </w:r>
          </w:p>
          <w:p w14:paraId="1AE836EF">
            <w:pPr>
              <w:adjustRightInd w:val="0"/>
              <w:snapToGrid w:val="0"/>
              <w:jc w:val="center"/>
              <w:rPr>
                <w:b/>
                <w:bCs/>
                <w:color w:val="auto"/>
                <w:sz w:val="24"/>
              </w:rPr>
            </w:pPr>
            <w:r>
              <w:rPr>
                <w:b/>
                <w:bCs/>
                <w:color w:val="auto"/>
                <w:sz w:val="24"/>
              </w:rPr>
              <w:t>表2-</w:t>
            </w:r>
            <w:r>
              <w:rPr>
                <w:rFonts w:hint="eastAsia"/>
                <w:b/>
                <w:bCs/>
                <w:color w:val="auto"/>
                <w:sz w:val="24"/>
              </w:rPr>
              <w:t>6</w:t>
            </w:r>
            <w:r>
              <w:rPr>
                <w:b/>
                <w:bCs/>
                <w:color w:val="auto"/>
                <w:sz w:val="24"/>
              </w:rPr>
              <w:t>扩建</w:t>
            </w:r>
            <w:r>
              <w:rPr>
                <w:rFonts w:hint="eastAsia"/>
                <w:b/>
                <w:bCs/>
                <w:color w:val="auto"/>
                <w:sz w:val="24"/>
                <w:lang w:val="en-US" w:eastAsia="zh-CN"/>
              </w:rPr>
              <w:t>前后</w:t>
            </w:r>
            <w:r>
              <w:rPr>
                <w:b/>
                <w:bCs/>
                <w:color w:val="auto"/>
                <w:sz w:val="24"/>
              </w:rPr>
              <w:t>项目主要</w:t>
            </w:r>
            <w:r>
              <w:rPr>
                <w:rFonts w:hint="eastAsia"/>
                <w:b/>
                <w:bCs/>
                <w:color w:val="auto"/>
                <w:sz w:val="24"/>
                <w:lang w:val="en-US" w:eastAsia="zh-CN"/>
              </w:rPr>
              <w:t>能源</w:t>
            </w:r>
            <w:r>
              <w:rPr>
                <w:b/>
                <w:bCs/>
                <w:color w:val="auto"/>
                <w:sz w:val="24"/>
              </w:rPr>
              <w:t>消耗情况表</w:t>
            </w:r>
          </w:p>
          <w:tbl>
            <w:tblPr>
              <w:tblStyle w:val="25"/>
              <w:tblW w:w="44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1440"/>
              <w:gridCol w:w="1680"/>
              <w:gridCol w:w="1635"/>
              <w:gridCol w:w="1635"/>
            </w:tblGrid>
            <w:tr w14:paraId="7B827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08" w:type="pct"/>
                  <w:noWrap w:val="0"/>
                  <w:vAlign w:val="center"/>
                </w:tcPr>
                <w:p w14:paraId="56C7A944">
                  <w:pPr>
                    <w:spacing w:line="240" w:lineRule="exact"/>
                    <w:jc w:val="center"/>
                    <w:rPr>
                      <w:b/>
                      <w:color w:val="auto"/>
                      <w:szCs w:val="21"/>
                    </w:rPr>
                  </w:pPr>
                  <w:r>
                    <w:rPr>
                      <w:b/>
                      <w:color w:val="auto"/>
                      <w:szCs w:val="21"/>
                    </w:rPr>
                    <w:t>名称</w:t>
                  </w:r>
                </w:p>
              </w:tc>
              <w:tc>
                <w:tcPr>
                  <w:tcW w:w="899" w:type="pct"/>
                  <w:noWrap w:val="0"/>
                  <w:vAlign w:val="center"/>
                </w:tcPr>
                <w:p w14:paraId="113CB51C">
                  <w:pPr>
                    <w:spacing w:line="240" w:lineRule="exact"/>
                    <w:jc w:val="center"/>
                    <w:rPr>
                      <w:b/>
                      <w:color w:val="auto"/>
                      <w:szCs w:val="21"/>
                    </w:rPr>
                  </w:pPr>
                  <w:r>
                    <w:rPr>
                      <w:rFonts w:hint="eastAsia"/>
                      <w:b/>
                      <w:color w:val="auto"/>
                      <w:szCs w:val="21"/>
                      <w:lang w:val="en-US" w:eastAsia="zh-CN"/>
                    </w:rPr>
                    <w:t>扩建前</w:t>
                  </w:r>
                  <w:r>
                    <w:rPr>
                      <w:b/>
                      <w:color w:val="auto"/>
                      <w:szCs w:val="21"/>
                    </w:rPr>
                    <w:t>年用量</w:t>
                  </w:r>
                </w:p>
              </w:tc>
              <w:tc>
                <w:tcPr>
                  <w:tcW w:w="1049" w:type="pct"/>
                  <w:noWrap w:val="0"/>
                  <w:vAlign w:val="center"/>
                </w:tcPr>
                <w:p w14:paraId="360F7519">
                  <w:pPr>
                    <w:spacing w:line="240" w:lineRule="exact"/>
                    <w:jc w:val="center"/>
                    <w:rPr>
                      <w:rFonts w:hint="default" w:eastAsia="宋体"/>
                      <w:b/>
                      <w:color w:val="auto"/>
                      <w:szCs w:val="21"/>
                      <w:lang w:val="en-US" w:eastAsia="zh-CN"/>
                    </w:rPr>
                  </w:pPr>
                  <w:r>
                    <w:rPr>
                      <w:rFonts w:hint="eastAsia"/>
                      <w:b/>
                      <w:color w:val="auto"/>
                      <w:szCs w:val="21"/>
                      <w:lang w:val="en-US" w:eastAsia="zh-CN"/>
                    </w:rPr>
                    <w:t>扩建项目</w:t>
                  </w:r>
                  <w:r>
                    <w:rPr>
                      <w:b/>
                      <w:color w:val="auto"/>
                      <w:szCs w:val="21"/>
                    </w:rPr>
                    <w:t>年用量</w:t>
                  </w:r>
                </w:p>
              </w:tc>
              <w:tc>
                <w:tcPr>
                  <w:tcW w:w="1021" w:type="pct"/>
                  <w:noWrap w:val="0"/>
                  <w:vAlign w:val="top"/>
                </w:tcPr>
                <w:p w14:paraId="439ACB80">
                  <w:pPr>
                    <w:spacing w:line="240" w:lineRule="exact"/>
                    <w:jc w:val="center"/>
                    <w:rPr>
                      <w:rFonts w:hint="default" w:eastAsia="宋体"/>
                      <w:b/>
                      <w:color w:val="auto"/>
                      <w:szCs w:val="21"/>
                      <w:lang w:val="en-US" w:eastAsia="zh-CN"/>
                    </w:rPr>
                  </w:pPr>
                  <w:r>
                    <w:rPr>
                      <w:rFonts w:hint="eastAsia"/>
                      <w:b/>
                      <w:color w:val="auto"/>
                      <w:szCs w:val="21"/>
                      <w:lang w:val="en-US" w:eastAsia="zh-CN"/>
                    </w:rPr>
                    <w:t>扩建后全厂</w:t>
                  </w:r>
                </w:p>
              </w:tc>
              <w:tc>
                <w:tcPr>
                  <w:tcW w:w="1021" w:type="pct"/>
                  <w:noWrap w:val="0"/>
                  <w:vAlign w:val="top"/>
                </w:tcPr>
                <w:p w14:paraId="7B66651C">
                  <w:pPr>
                    <w:spacing w:line="240" w:lineRule="exact"/>
                    <w:jc w:val="center"/>
                    <w:rPr>
                      <w:rFonts w:hint="default"/>
                      <w:b/>
                      <w:color w:val="auto"/>
                      <w:szCs w:val="21"/>
                      <w:lang w:val="en-US" w:eastAsia="zh-CN"/>
                    </w:rPr>
                  </w:pPr>
                  <w:r>
                    <w:rPr>
                      <w:rFonts w:hint="eastAsia"/>
                      <w:b/>
                      <w:color w:val="auto"/>
                      <w:szCs w:val="21"/>
                      <w:lang w:val="en-US" w:eastAsia="zh-CN"/>
                    </w:rPr>
                    <w:t>来源</w:t>
                  </w:r>
                </w:p>
              </w:tc>
            </w:tr>
            <w:tr w14:paraId="37736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08" w:type="pct"/>
                  <w:noWrap w:val="0"/>
                  <w:vAlign w:val="center"/>
                </w:tcPr>
                <w:p w14:paraId="5A3B1C9B">
                  <w:pPr>
                    <w:spacing w:line="240" w:lineRule="exact"/>
                    <w:jc w:val="center"/>
                    <w:rPr>
                      <w:rFonts w:hint="eastAsia" w:eastAsia="宋体"/>
                      <w:color w:val="auto"/>
                      <w:szCs w:val="21"/>
                      <w:lang w:eastAsia="zh-CN"/>
                    </w:rPr>
                  </w:pPr>
                  <w:r>
                    <w:rPr>
                      <w:rFonts w:hint="eastAsia"/>
                      <w:color w:val="auto"/>
                      <w:szCs w:val="21"/>
                      <w:lang w:val="en-US" w:eastAsia="zh-CN"/>
                    </w:rPr>
                    <w:t>自来水</w:t>
                  </w:r>
                </w:p>
              </w:tc>
              <w:tc>
                <w:tcPr>
                  <w:tcW w:w="899" w:type="pct"/>
                  <w:noWrap w:val="0"/>
                  <w:vAlign w:val="center"/>
                </w:tcPr>
                <w:p w14:paraId="73AD47A4">
                  <w:pPr>
                    <w:spacing w:line="240" w:lineRule="exact"/>
                    <w:jc w:val="center"/>
                    <w:rPr>
                      <w:rFonts w:hint="default" w:eastAsia="宋体"/>
                      <w:color w:val="auto"/>
                      <w:szCs w:val="21"/>
                      <w:lang w:val="en-US" w:eastAsia="zh-CN"/>
                    </w:rPr>
                  </w:pPr>
                  <w:r>
                    <w:rPr>
                      <w:rFonts w:hint="eastAsia"/>
                      <w:color w:val="auto"/>
                      <w:szCs w:val="21"/>
                      <w:lang w:val="en-US" w:eastAsia="zh-CN"/>
                    </w:rPr>
                    <w:t>25148.5</w:t>
                  </w:r>
                </w:p>
              </w:tc>
              <w:tc>
                <w:tcPr>
                  <w:tcW w:w="1049" w:type="pct"/>
                  <w:noWrap w:val="0"/>
                  <w:vAlign w:val="center"/>
                </w:tcPr>
                <w:p w14:paraId="387ADAF3">
                  <w:pPr>
                    <w:spacing w:line="240" w:lineRule="exact"/>
                    <w:jc w:val="center"/>
                    <w:rPr>
                      <w:color w:val="auto"/>
                      <w:szCs w:val="21"/>
                    </w:rPr>
                  </w:pPr>
                  <w:r>
                    <w:rPr>
                      <w:rFonts w:hint="eastAsia"/>
                      <w:color w:val="auto"/>
                      <w:szCs w:val="21"/>
                      <w:lang w:val="en-US" w:eastAsia="zh-CN"/>
                    </w:rPr>
                    <w:t>12081.5</w:t>
                  </w:r>
                  <w:r>
                    <w:rPr>
                      <w:color w:val="auto"/>
                      <w:szCs w:val="21"/>
                    </w:rPr>
                    <w:t>m</w:t>
                  </w:r>
                  <w:r>
                    <w:rPr>
                      <w:color w:val="auto"/>
                      <w:szCs w:val="21"/>
                      <w:vertAlign w:val="superscript"/>
                    </w:rPr>
                    <w:t>3</w:t>
                  </w:r>
                  <w:r>
                    <w:rPr>
                      <w:color w:val="auto"/>
                      <w:szCs w:val="21"/>
                    </w:rPr>
                    <w:t>/a</w:t>
                  </w:r>
                </w:p>
              </w:tc>
              <w:tc>
                <w:tcPr>
                  <w:tcW w:w="1021" w:type="pct"/>
                  <w:noWrap w:val="0"/>
                  <w:vAlign w:val="top"/>
                </w:tcPr>
                <w:p w14:paraId="1427CAE1">
                  <w:pPr>
                    <w:spacing w:line="240" w:lineRule="exact"/>
                    <w:jc w:val="center"/>
                    <w:rPr>
                      <w:rFonts w:hint="default" w:eastAsia="宋体"/>
                      <w:color w:val="auto"/>
                      <w:szCs w:val="21"/>
                      <w:lang w:val="en-US" w:eastAsia="zh-CN"/>
                    </w:rPr>
                  </w:pPr>
                  <w:r>
                    <w:rPr>
                      <w:rFonts w:hint="eastAsia"/>
                      <w:color w:val="auto"/>
                      <w:szCs w:val="21"/>
                      <w:lang w:val="en-US" w:eastAsia="zh-CN"/>
                    </w:rPr>
                    <w:t>37230</w:t>
                  </w:r>
                </w:p>
              </w:tc>
              <w:tc>
                <w:tcPr>
                  <w:tcW w:w="1021" w:type="pct"/>
                  <w:noWrap w:val="0"/>
                  <w:vAlign w:val="top"/>
                </w:tcPr>
                <w:p w14:paraId="47426E37">
                  <w:pPr>
                    <w:spacing w:line="240" w:lineRule="exact"/>
                    <w:jc w:val="center"/>
                    <w:rPr>
                      <w:rFonts w:hint="default" w:eastAsia="宋体"/>
                      <w:color w:val="auto"/>
                      <w:szCs w:val="21"/>
                      <w:lang w:val="en-US" w:eastAsia="zh-CN"/>
                    </w:rPr>
                  </w:pPr>
                  <w:r>
                    <w:rPr>
                      <w:rFonts w:hint="eastAsia"/>
                      <w:color w:val="auto"/>
                      <w:szCs w:val="21"/>
                      <w:lang w:val="en-US" w:eastAsia="zh-CN"/>
                    </w:rPr>
                    <w:t>市政供水</w:t>
                  </w:r>
                </w:p>
              </w:tc>
            </w:tr>
            <w:tr w14:paraId="35864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08" w:type="pct"/>
                  <w:noWrap w:val="0"/>
                  <w:vAlign w:val="center"/>
                </w:tcPr>
                <w:p w14:paraId="588CCEC3">
                  <w:pPr>
                    <w:spacing w:line="240" w:lineRule="exact"/>
                    <w:jc w:val="center"/>
                    <w:rPr>
                      <w:rFonts w:hint="eastAsia" w:eastAsia="宋体"/>
                      <w:color w:val="auto"/>
                      <w:szCs w:val="21"/>
                      <w:lang w:eastAsia="zh-CN"/>
                    </w:rPr>
                  </w:pPr>
                  <w:r>
                    <w:rPr>
                      <w:rFonts w:hint="eastAsia"/>
                      <w:color w:val="auto"/>
                      <w:szCs w:val="21"/>
                      <w:lang w:val="en-US" w:eastAsia="zh-CN"/>
                    </w:rPr>
                    <w:t>电</w:t>
                  </w:r>
                </w:p>
              </w:tc>
              <w:tc>
                <w:tcPr>
                  <w:tcW w:w="899" w:type="pct"/>
                  <w:noWrap w:val="0"/>
                  <w:vAlign w:val="center"/>
                </w:tcPr>
                <w:p w14:paraId="0F96B070">
                  <w:pPr>
                    <w:spacing w:line="240" w:lineRule="exact"/>
                    <w:jc w:val="center"/>
                    <w:rPr>
                      <w:rFonts w:hint="default" w:eastAsia="宋体"/>
                      <w:color w:val="auto"/>
                      <w:szCs w:val="21"/>
                      <w:lang w:val="en-US" w:eastAsia="zh-CN"/>
                    </w:rPr>
                  </w:pPr>
                  <w:r>
                    <w:rPr>
                      <w:rFonts w:hint="eastAsia"/>
                      <w:color w:val="auto"/>
                      <w:szCs w:val="21"/>
                      <w:lang w:val="en-US" w:eastAsia="zh-CN"/>
                    </w:rPr>
                    <w:t>10</w:t>
                  </w:r>
                  <w:r>
                    <w:rPr>
                      <w:color w:val="auto"/>
                      <w:sz w:val="24"/>
                    </w:rPr>
                    <w:t>×10</w:t>
                  </w:r>
                  <w:r>
                    <w:rPr>
                      <w:color w:val="auto"/>
                      <w:sz w:val="24"/>
                      <w:vertAlign w:val="superscript"/>
                    </w:rPr>
                    <w:t>5</w:t>
                  </w:r>
                  <w:r>
                    <w:rPr>
                      <w:color w:val="auto"/>
                      <w:sz w:val="24"/>
                    </w:rPr>
                    <w:t>kw·h</w:t>
                  </w:r>
                </w:p>
              </w:tc>
              <w:tc>
                <w:tcPr>
                  <w:tcW w:w="1049" w:type="pct"/>
                  <w:noWrap w:val="0"/>
                  <w:vAlign w:val="center"/>
                </w:tcPr>
                <w:p w14:paraId="7070AADA">
                  <w:pPr>
                    <w:spacing w:line="240" w:lineRule="exact"/>
                    <w:jc w:val="center"/>
                    <w:rPr>
                      <w:color w:val="auto"/>
                      <w:szCs w:val="21"/>
                    </w:rPr>
                  </w:pPr>
                  <w:r>
                    <w:rPr>
                      <w:rFonts w:hint="eastAsia"/>
                      <w:color w:val="auto"/>
                      <w:sz w:val="24"/>
                    </w:rPr>
                    <w:t>2</w:t>
                  </w:r>
                  <w:r>
                    <w:rPr>
                      <w:color w:val="auto"/>
                      <w:sz w:val="24"/>
                    </w:rPr>
                    <w:t>×10</w:t>
                  </w:r>
                  <w:r>
                    <w:rPr>
                      <w:color w:val="auto"/>
                      <w:sz w:val="24"/>
                      <w:vertAlign w:val="superscript"/>
                    </w:rPr>
                    <w:t>5</w:t>
                  </w:r>
                  <w:r>
                    <w:rPr>
                      <w:color w:val="auto"/>
                      <w:sz w:val="24"/>
                    </w:rPr>
                    <w:t>kw·h</w:t>
                  </w:r>
                </w:p>
              </w:tc>
              <w:tc>
                <w:tcPr>
                  <w:tcW w:w="1021" w:type="pct"/>
                  <w:noWrap w:val="0"/>
                  <w:vAlign w:val="top"/>
                </w:tcPr>
                <w:p w14:paraId="4C19A89B">
                  <w:pPr>
                    <w:spacing w:line="240" w:lineRule="exact"/>
                    <w:jc w:val="center"/>
                    <w:rPr>
                      <w:rFonts w:hint="default" w:eastAsia="宋体"/>
                      <w:color w:val="auto"/>
                      <w:szCs w:val="21"/>
                      <w:lang w:val="en-US" w:eastAsia="zh-CN"/>
                    </w:rPr>
                  </w:pPr>
                  <w:r>
                    <w:rPr>
                      <w:rFonts w:hint="eastAsia" w:eastAsia="宋体"/>
                      <w:color w:val="auto"/>
                      <w:szCs w:val="21"/>
                      <w:lang w:val="en-US" w:eastAsia="zh-CN"/>
                    </w:rPr>
                    <w:t>12</w:t>
                  </w:r>
                  <w:r>
                    <w:rPr>
                      <w:color w:val="auto"/>
                      <w:sz w:val="24"/>
                    </w:rPr>
                    <w:t>×10</w:t>
                  </w:r>
                  <w:r>
                    <w:rPr>
                      <w:color w:val="auto"/>
                      <w:sz w:val="24"/>
                      <w:vertAlign w:val="superscript"/>
                    </w:rPr>
                    <w:t>5</w:t>
                  </w:r>
                  <w:r>
                    <w:rPr>
                      <w:color w:val="auto"/>
                      <w:sz w:val="24"/>
                    </w:rPr>
                    <w:t>kw·h</w:t>
                  </w:r>
                </w:p>
              </w:tc>
              <w:tc>
                <w:tcPr>
                  <w:tcW w:w="1021" w:type="pct"/>
                  <w:noWrap w:val="0"/>
                  <w:vAlign w:val="top"/>
                </w:tcPr>
                <w:p w14:paraId="5D249C89">
                  <w:pPr>
                    <w:spacing w:line="240" w:lineRule="exact"/>
                    <w:jc w:val="center"/>
                    <w:rPr>
                      <w:rFonts w:hint="default" w:eastAsia="宋体"/>
                      <w:color w:val="auto"/>
                      <w:szCs w:val="21"/>
                      <w:lang w:val="en-US" w:eastAsia="zh-CN"/>
                    </w:rPr>
                  </w:pPr>
                  <w:r>
                    <w:rPr>
                      <w:rFonts w:hint="eastAsia"/>
                      <w:color w:val="auto"/>
                      <w:szCs w:val="21"/>
                      <w:lang w:val="en-US" w:eastAsia="zh-CN"/>
                    </w:rPr>
                    <w:t>市政电网</w:t>
                  </w:r>
                </w:p>
              </w:tc>
            </w:tr>
          </w:tbl>
          <w:p w14:paraId="6051CA61">
            <w:pPr>
              <w:pStyle w:val="2"/>
              <w:rPr>
                <w:color w:val="auto"/>
              </w:rPr>
            </w:pPr>
          </w:p>
          <w:p w14:paraId="4B84A1D8">
            <w:pPr>
              <w:keepNext w:val="0"/>
              <w:keepLines w:val="0"/>
              <w:pageBreakBefore w:val="0"/>
              <w:widowControl w:val="0"/>
              <w:kinsoku/>
              <w:wordWrap/>
              <w:overflowPunct/>
              <w:topLinePunct w:val="0"/>
              <w:autoSpaceDE/>
              <w:autoSpaceDN/>
              <w:bidi w:val="0"/>
              <w:adjustRightInd w:val="0"/>
              <w:snapToGrid w:val="0"/>
              <w:spacing w:line="360" w:lineRule="auto"/>
              <w:textAlignment w:val="auto"/>
              <w:rPr>
                <w:b/>
                <w:color w:val="auto"/>
                <w:sz w:val="24"/>
              </w:rPr>
            </w:pPr>
            <w:r>
              <w:rPr>
                <w:rFonts w:hint="eastAsia"/>
                <w:b/>
                <w:color w:val="auto"/>
                <w:sz w:val="24"/>
              </w:rPr>
              <w:t>2.9</w:t>
            </w:r>
            <w:r>
              <w:rPr>
                <w:b/>
                <w:color w:val="auto"/>
                <w:sz w:val="24"/>
              </w:rPr>
              <w:t>原辅材料用量及理化性质分析</w:t>
            </w:r>
          </w:p>
          <w:p w14:paraId="01A8126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扩建项目原辅材料主要为病床、办公室、治疗室等消毒所用的消毒剂，病人治疗所用药品、医疗器械。主要原辅材料及能源名称及年消耗数量见表2-</w:t>
            </w:r>
            <w:r>
              <w:rPr>
                <w:rFonts w:hint="eastAsia"/>
                <w:color w:val="auto"/>
                <w:sz w:val="24"/>
                <w:lang w:val="en-US" w:eastAsia="zh-CN"/>
              </w:rPr>
              <w:t>7</w:t>
            </w:r>
            <w:r>
              <w:rPr>
                <w:color w:val="auto"/>
                <w:sz w:val="24"/>
              </w:rPr>
              <w:t>。</w:t>
            </w:r>
          </w:p>
          <w:p w14:paraId="4113AFFF">
            <w:pPr>
              <w:adjustRightInd w:val="0"/>
              <w:snapToGrid w:val="0"/>
              <w:jc w:val="center"/>
              <w:rPr>
                <w:b/>
                <w:bCs/>
                <w:color w:val="auto"/>
                <w:sz w:val="24"/>
              </w:rPr>
            </w:pPr>
            <w:r>
              <w:rPr>
                <w:b/>
                <w:bCs/>
                <w:color w:val="auto"/>
                <w:sz w:val="24"/>
              </w:rPr>
              <w:t>表2-</w:t>
            </w:r>
            <w:r>
              <w:rPr>
                <w:rFonts w:hint="eastAsia"/>
                <w:b/>
                <w:bCs/>
                <w:color w:val="auto"/>
                <w:sz w:val="24"/>
                <w:lang w:val="en-US" w:eastAsia="zh-CN"/>
              </w:rPr>
              <w:t>7</w:t>
            </w:r>
            <w:r>
              <w:rPr>
                <w:b/>
                <w:bCs/>
                <w:color w:val="auto"/>
                <w:sz w:val="24"/>
              </w:rPr>
              <w:t>扩建项目主要原辅材料消耗情况表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2269"/>
              <w:gridCol w:w="1707"/>
              <w:gridCol w:w="2043"/>
              <w:gridCol w:w="1848"/>
            </w:tblGrid>
            <w:tr w14:paraId="4E4EE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noWrap w:val="0"/>
                  <w:vAlign w:val="center"/>
                </w:tcPr>
                <w:p w14:paraId="01D3344C">
                  <w:pPr>
                    <w:spacing w:line="240" w:lineRule="exact"/>
                    <w:jc w:val="center"/>
                    <w:rPr>
                      <w:b/>
                      <w:color w:val="auto"/>
                      <w:szCs w:val="21"/>
                    </w:rPr>
                  </w:pPr>
                  <w:r>
                    <w:rPr>
                      <w:b/>
                      <w:color w:val="auto"/>
                      <w:szCs w:val="21"/>
                    </w:rPr>
                    <w:t>类别</w:t>
                  </w:r>
                </w:p>
              </w:tc>
              <w:tc>
                <w:tcPr>
                  <w:tcW w:w="1268" w:type="pct"/>
                  <w:noWrap w:val="0"/>
                  <w:vAlign w:val="center"/>
                </w:tcPr>
                <w:p w14:paraId="1ACD25A7">
                  <w:pPr>
                    <w:spacing w:line="240" w:lineRule="exact"/>
                    <w:jc w:val="center"/>
                    <w:rPr>
                      <w:b/>
                      <w:color w:val="auto"/>
                      <w:szCs w:val="21"/>
                    </w:rPr>
                  </w:pPr>
                  <w:r>
                    <w:rPr>
                      <w:b/>
                      <w:color w:val="auto"/>
                      <w:szCs w:val="21"/>
                    </w:rPr>
                    <w:t>名称</w:t>
                  </w:r>
                </w:p>
              </w:tc>
              <w:tc>
                <w:tcPr>
                  <w:tcW w:w="954" w:type="pct"/>
                  <w:noWrap w:val="0"/>
                  <w:vAlign w:val="center"/>
                </w:tcPr>
                <w:p w14:paraId="77BA61EF">
                  <w:pPr>
                    <w:spacing w:line="240" w:lineRule="exact"/>
                    <w:jc w:val="center"/>
                    <w:rPr>
                      <w:b/>
                      <w:color w:val="auto"/>
                      <w:szCs w:val="21"/>
                    </w:rPr>
                  </w:pPr>
                  <w:r>
                    <w:rPr>
                      <w:b/>
                      <w:color w:val="auto"/>
                      <w:szCs w:val="21"/>
                    </w:rPr>
                    <w:t>年用量</w:t>
                  </w:r>
                </w:p>
              </w:tc>
              <w:tc>
                <w:tcPr>
                  <w:tcW w:w="1142" w:type="pct"/>
                  <w:noWrap w:val="0"/>
                  <w:vAlign w:val="center"/>
                </w:tcPr>
                <w:p w14:paraId="2B11F3F1">
                  <w:pPr>
                    <w:spacing w:line="240" w:lineRule="exact"/>
                    <w:jc w:val="center"/>
                    <w:rPr>
                      <w:b/>
                      <w:color w:val="auto"/>
                      <w:szCs w:val="21"/>
                    </w:rPr>
                  </w:pPr>
                  <w:r>
                    <w:rPr>
                      <w:b/>
                      <w:color w:val="auto"/>
                      <w:szCs w:val="21"/>
                    </w:rPr>
                    <w:t>存放位置</w:t>
                  </w:r>
                </w:p>
              </w:tc>
              <w:tc>
                <w:tcPr>
                  <w:tcW w:w="1033" w:type="pct"/>
                  <w:noWrap w:val="0"/>
                  <w:vAlign w:val="top"/>
                </w:tcPr>
                <w:p w14:paraId="5F97C73B">
                  <w:pPr>
                    <w:spacing w:line="240" w:lineRule="exact"/>
                    <w:jc w:val="center"/>
                    <w:rPr>
                      <w:b/>
                      <w:color w:val="auto"/>
                      <w:szCs w:val="21"/>
                    </w:rPr>
                  </w:pPr>
                  <w:r>
                    <w:rPr>
                      <w:b/>
                      <w:color w:val="auto"/>
                      <w:szCs w:val="21"/>
                    </w:rPr>
                    <w:t>备注</w:t>
                  </w:r>
                </w:p>
              </w:tc>
            </w:tr>
            <w:tr w14:paraId="0702B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restart"/>
                  <w:noWrap w:val="0"/>
                  <w:vAlign w:val="center"/>
                </w:tcPr>
                <w:p w14:paraId="0B9DBBBA">
                  <w:pPr>
                    <w:spacing w:line="240" w:lineRule="exact"/>
                    <w:jc w:val="center"/>
                    <w:rPr>
                      <w:color w:val="auto"/>
                      <w:szCs w:val="21"/>
                    </w:rPr>
                  </w:pPr>
                  <w:r>
                    <w:rPr>
                      <w:color w:val="auto"/>
                      <w:szCs w:val="21"/>
                    </w:rPr>
                    <w:t>药品</w:t>
                  </w:r>
                </w:p>
              </w:tc>
              <w:tc>
                <w:tcPr>
                  <w:tcW w:w="1268" w:type="pct"/>
                  <w:noWrap w:val="0"/>
                  <w:vAlign w:val="center"/>
                </w:tcPr>
                <w:p w14:paraId="70BD7F15">
                  <w:pPr>
                    <w:spacing w:line="240" w:lineRule="exact"/>
                    <w:jc w:val="center"/>
                    <w:rPr>
                      <w:color w:val="auto"/>
                      <w:szCs w:val="21"/>
                    </w:rPr>
                  </w:pPr>
                  <w:r>
                    <w:rPr>
                      <w:color w:val="auto"/>
                      <w:szCs w:val="21"/>
                    </w:rPr>
                    <w:t>针剂药品</w:t>
                  </w:r>
                </w:p>
              </w:tc>
              <w:tc>
                <w:tcPr>
                  <w:tcW w:w="954" w:type="pct"/>
                  <w:noWrap w:val="0"/>
                  <w:vAlign w:val="center"/>
                </w:tcPr>
                <w:p w14:paraId="44F13E26">
                  <w:pPr>
                    <w:spacing w:line="240" w:lineRule="exact"/>
                    <w:jc w:val="center"/>
                    <w:rPr>
                      <w:color w:val="auto"/>
                      <w:szCs w:val="21"/>
                    </w:rPr>
                  </w:pPr>
                  <w:r>
                    <w:rPr>
                      <w:color w:val="auto"/>
                      <w:szCs w:val="21"/>
                    </w:rPr>
                    <w:t>若干</w:t>
                  </w:r>
                </w:p>
              </w:tc>
              <w:tc>
                <w:tcPr>
                  <w:tcW w:w="1142" w:type="pct"/>
                  <w:noWrap w:val="0"/>
                  <w:vAlign w:val="center"/>
                </w:tcPr>
                <w:p w14:paraId="3E310BC3">
                  <w:pPr>
                    <w:spacing w:line="240" w:lineRule="exact"/>
                    <w:jc w:val="center"/>
                    <w:rPr>
                      <w:color w:val="auto"/>
                      <w:szCs w:val="21"/>
                    </w:rPr>
                  </w:pPr>
                  <w:r>
                    <w:rPr>
                      <w:color w:val="auto"/>
                      <w:szCs w:val="21"/>
                    </w:rPr>
                    <w:t>1F药房</w:t>
                  </w:r>
                </w:p>
              </w:tc>
              <w:tc>
                <w:tcPr>
                  <w:tcW w:w="1033" w:type="pct"/>
                  <w:noWrap w:val="0"/>
                  <w:vAlign w:val="top"/>
                </w:tcPr>
                <w:p w14:paraId="6875AC29">
                  <w:pPr>
                    <w:spacing w:line="240" w:lineRule="exact"/>
                    <w:jc w:val="center"/>
                    <w:rPr>
                      <w:color w:val="auto"/>
                      <w:szCs w:val="21"/>
                    </w:rPr>
                  </w:pPr>
                  <w:r>
                    <w:rPr>
                      <w:color w:val="auto"/>
                      <w:szCs w:val="21"/>
                    </w:rPr>
                    <w:t>国产</w:t>
                  </w:r>
                </w:p>
              </w:tc>
            </w:tr>
            <w:tr w14:paraId="53439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34AD3BB4">
                  <w:pPr>
                    <w:spacing w:line="240" w:lineRule="exact"/>
                    <w:jc w:val="center"/>
                    <w:rPr>
                      <w:color w:val="auto"/>
                      <w:szCs w:val="21"/>
                    </w:rPr>
                  </w:pPr>
                </w:p>
              </w:tc>
              <w:tc>
                <w:tcPr>
                  <w:tcW w:w="1268" w:type="pct"/>
                  <w:noWrap w:val="0"/>
                  <w:vAlign w:val="center"/>
                </w:tcPr>
                <w:p w14:paraId="699DBDFB">
                  <w:pPr>
                    <w:spacing w:line="240" w:lineRule="exact"/>
                    <w:jc w:val="center"/>
                    <w:rPr>
                      <w:color w:val="auto"/>
                      <w:szCs w:val="21"/>
                    </w:rPr>
                  </w:pPr>
                  <w:r>
                    <w:rPr>
                      <w:color w:val="auto"/>
                      <w:szCs w:val="21"/>
                    </w:rPr>
                    <w:t>中药</w:t>
                  </w:r>
                </w:p>
              </w:tc>
              <w:tc>
                <w:tcPr>
                  <w:tcW w:w="954" w:type="pct"/>
                  <w:noWrap w:val="0"/>
                  <w:vAlign w:val="center"/>
                </w:tcPr>
                <w:p w14:paraId="56DBB344">
                  <w:pPr>
                    <w:spacing w:line="240" w:lineRule="exact"/>
                    <w:jc w:val="center"/>
                    <w:rPr>
                      <w:color w:val="auto"/>
                      <w:szCs w:val="21"/>
                    </w:rPr>
                  </w:pPr>
                  <w:r>
                    <w:rPr>
                      <w:color w:val="auto"/>
                      <w:szCs w:val="21"/>
                    </w:rPr>
                    <w:t>若干</w:t>
                  </w:r>
                </w:p>
              </w:tc>
              <w:tc>
                <w:tcPr>
                  <w:tcW w:w="1142" w:type="pct"/>
                  <w:noWrap w:val="0"/>
                  <w:vAlign w:val="center"/>
                </w:tcPr>
                <w:p w14:paraId="38A2E69B">
                  <w:pPr>
                    <w:spacing w:line="240" w:lineRule="exact"/>
                    <w:jc w:val="center"/>
                    <w:rPr>
                      <w:color w:val="auto"/>
                      <w:szCs w:val="21"/>
                    </w:rPr>
                  </w:pPr>
                  <w:r>
                    <w:rPr>
                      <w:color w:val="auto"/>
                      <w:szCs w:val="21"/>
                    </w:rPr>
                    <w:t>1F药房</w:t>
                  </w:r>
                </w:p>
              </w:tc>
              <w:tc>
                <w:tcPr>
                  <w:tcW w:w="1033" w:type="pct"/>
                  <w:noWrap w:val="0"/>
                  <w:vAlign w:val="top"/>
                </w:tcPr>
                <w:p w14:paraId="193A8B1B">
                  <w:pPr>
                    <w:spacing w:line="240" w:lineRule="exact"/>
                    <w:jc w:val="center"/>
                    <w:rPr>
                      <w:rFonts w:hint="default" w:eastAsia="宋体"/>
                      <w:color w:val="auto"/>
                      <w:szCs w:val="21"/>
                      <w:lang w:val="en-US" w:eastAsia="zh-CN"/>
                    </w:rPr>
                  </w:pPr>
                  <w:r>
                    <w:rPr>
                      <w:color w:val="auto"/>
                      <w:szCs w:val="21"/>
                    </w:rPr>
                    <w:t>国产</w:t>
                  </w:r>
                  <w:r>
                    <w:rPr>
                      <w:rFonts w:hint="eastAsia"/>
                      <w:color w:val="auto"/>
                      <w:szCs w:val="21"/>
                      <w:lang w:eastAsia="zh-CN"/>
                    </w:rPr>
                    <w:t>、</w:t>
                  </w:r>
                  <w:r>
                    <w:rPr>
                      <w:rFonts w:hint="eastAsia"/>
                      <w:color w:val="auto"/>
                      <w:szCs w:val="21"/>
                      <w:lang w:val="en-US" w:eastAsia="zh-CN"/>
                    </w:rPr>
                    <w:t>不设置煎药房</w:t>
                  </w:r>
                </w:p>
              </w:tc>
            </w:tr>
            <w:tr w14:paraId="57CB4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599" w:type="pct"/>
                  <w:vMerge w:val="continue"/>
                  <w:noWrap w:val="0"/>
                  <w:vAlign w:val="center"/>
                </w:tcPr>
                <w:p w14:paraId="7BEE2A98">
                  <w:pPr>
                    <w:spacing w:line="240" w:lineRule="exact"/>
                    <w:jc w:val="center"/>
                    <w:rPr>
                      <w:color w:val="auto"/>
                      <w:szCs w:val="21"/>
                    </w:rPr>
                  </w:pPr>
                </w:p>
              </w:tc>
              <w:tc>
                <w:tcPr>
                  <w:tcW w:w="1268" w:type="pct"/>
                  <w:noWrap w:val="0"/>
                  <w:vAlign w:val="center"/>
                </w:tcPr>
                <w:p w14:paraId="43CD661F">
                  <w:pPr>
                    <w:spacing w:line="240" w:lineRule="exact"/>
                    <w:jc w:val="center"/>
                    <w:rPr>
                      <w:color w:val="auto"/>
                      <w:szCs w:val="21"/>
                    </w:rPr>
                  </w:pPr>
                  <w:r>
                    <w:rPr>
                      <w:color w:val="auto"/>
                      <w:szCs w:val="21"/>
                    </w:rPr>
                    <w:t>西药</w:t>
                  </w:r>
                </w:p>
              </w:tc>
              <w:tc>
                <w:tcPr>
                  <w:tcW w:w="954" w:type="pct"/>
                  <w:noWrap w:val="0"/>
                  <w:vAlign w:val="center"/>
                </w:tcPr>
                <w:p w14:paraId="7B0BD0D7">
                  <w:pPr>
                    <w:spacing w:line="240" w:lineRule="exact"/>
                    <w:jc w:val="center"/>
                    <w:rPr>
                      <w:color w:val="auto"/>
                      <w:szCs w:val="21"/>
                    </w:rPr>
                  </w:pPr>
                  <w:r>
                    <w:rPr>
                      <w:color w:val="auto"/>
                      <w:szCs w:val="21"/>
                    </w:rPr>
                    <w:t>若干</w:t>
                  </w:r>
                </w:p>
              </w:tc>
              <w:tc>
                <w:tcPr>
                  <w:tcW w:w="1142" w:type="pct"/>
                  <w:noWrap w:val="0"/>
                  <w:vAlign w:val="center"/>
                </w:tcPr>
                <w:p w14:paraId="5C7CD750">
                  <w:pPr>
                    <w:spacing w:line="240" w:lineRule="exact"/>
                    <w:jc w:val="center"/>
                    <w:rPr>
                      <w:color w:val="auto"/>
                      <w:szCs w:val="21"/>
                    </w:rPr>
                  </w:pPr>
                  <w:r>
                    <w:rPr>
                      <w:color w:val="auto"/>
                      <w:szCs w:val="21"/>
                    </w:rPr>
                    <w:t>1F药房</w:t>
                  </w:r>
                </w:p>
              </w:tc>
              <w:tc>
                <w:tcPr>
                  <w:tcW w:w="1033" w:type="pct"/>
                  <w:noWrap w:val="0"/>
                  <w:vAlign w:val="top"/>
                </w:tcPr>
                <w:p w14:paraId="67B45F67">
                  <w:pPr>
                    <w:spacing w:line="240" w:lineRule="exact"/>
                    <w:jc w:val="center"/>
                    <w:rPr>
                      <w:color w:val="auto"/>
                      <w:szCs w:val="21"/>
                    </w:rPr>
                  </w:pPr>
                  <w:r>
                    <w:rPr>
                      <w:color w:val="auto"/>
                      <w:szCs w:val="21"/>
                    </w:rPr>
                    <w:t>国产</w:t>
                  </w:r>
                </w:p>
              </w:tc>
            </w:tr>
            <w:tr w14:paraId="03967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restart"/>
                  <w:noWrap w:val="0"/>
                  <w:vAlign w:val="center"/>
                </w:tcPr>
                <w:p w14:paraId="5863387E">
                  <w:pPr>
                    <w:spacing w:line="240" w:lineRule="exact"/>
                    <w:jc w:val="center"/>
                    <w:rPr>
                      <w:color w:val="auto"/>
                      <w:szCs w:val="21"/>
                    </w:rPr>
                  </w:pPr>
                  <w:r>
                    <w:rPr>
                      <w:color w:val="auto"/>
                      <w:szCs w:val="21"/>
                    </w:rPr>
                    <w:t>医疗器械</w:t>
                  </w:r>
                </w:p>
              </w:tc>
              <w:tc>
                <w:tcPr>
                  <w:tcW w:w="1268" w:type="pct"/>
                  <w:noWrap w:val="0"/>
                  <w:vAlign w:val="center"/>
                </w:tcPr>
                <w:p w14:paraId="7A40CD20">
                  <w:pPr>
                    <w:spacing w:line="240" w:lineRule="exact"/>
                    <w:jc w:val="center"/>
                    <w:rPr>
                      <w:color w:val="auto"/>
                      <w:szCs w:val="21"/>
                    </w:rPr>
                  </w:pPr>
                  <w:r>
                    <w:rPr>
                      <w:color w:val="auto"/>
                      <w:szCs w:val="21"/>
                    </w:rPr>
                    <w:t>一次性空针、输液管</w:t>
                  </w:r>
                </w:p>
              </w:tc>
              <w:tc>
                <w:tcPr>
                  <w:tcW w:w="954" w:type="pct"/>
                  <w:noWrap w:val="0"/>
                  <w:vAlign w:val="center"/>
                </w:tcPr>
                <w:p w14:paraId="77D51086">
                  <w:pPr>
                    <w:spacing w:line="240" w:lineRule="exact"/>
                    <w:jc w:val="center"/>
                    <w:rPr>
                      <w:color w:val="auto"/>
                      <w:szCs w:val="21"/>
                    </w:rPr>
                  </w:pPr>
                  <w:r>
                    <w:rPr>
                      <w:color w:val="auto"/>
                      <w:szCs w:val="21"/>
                    </w:rPr>
                    <w:t>若干</w:t>
                  </w:r>
                </w:p>
              </w:tc>
              <w:tc>
                <w:tcPr>
                  <w:tcW w:w="1142" w:type="pct"/>
                  <w:noWrap w:val="0"/>
                  <w:vAlign w:val="center"/>
                </w:tcPr>
                <w:p w14:paraId="76645645">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top"/>
                </w:tcPr>
                <w:p w14:paraId="04361E56">
                  <w:pPr>
                    <w:spacing w:line="240" w:lineRule="exact"/>
                    <w:jc w:val="center"/>
                    <w:rPr>
                      <w:color w:val="auto"/>
                      <w:szCs w:val="21"/>
                    </w:rPr>
                  </w:pPr>
                  <w:r>
                    <w:rPr>
                      <w:color w:val="auto"/>
                      <w:szCs w:val="21"/>
                    </w:rPr>
                    <w:t>国产</w:t>
                  </w:r>
                </w:p>
              </w:tc>
            </w:tr>
            <w:tr w14:paraId="1F09F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5EC8F9DF">
                  <w:pPr>
                    <w:spacing w:line="240" w:lineRule="exact"/>
                    <w:jc w:val="center"/>
                    <w:rPr>
                      <w:color w:val="auto"/>
                      <w:szCs w:val="21"/>
                    </w:rPr>
                  </w:pPr>
                </w:p>
              </w:tc>
              <w:tc>
                <w:tcPr>
                  <w:tcW w:w="1268" w:type="pct"/>
                  <w:noWrap w:val="0"/>
                  <w:vAlign w:val="center"/>
                </w:tcPr>
                <w:p w14:paraId="2B09F5CC">
                  <w:pPr>
                    <w:spacing w:line="240" w:lineRule="exact"/>
                    <w:jc w:val="center"/>
                    <w:rPr>
                      <w:color w:val="auto"/>
                      <w:szCs w:val="21"/>
                    </w:rPr>
                  </w:pPr>
                  <w:r>
                    <w:rPr>
                      <w:color w:val="auto"/>
                      <w:szCs w:val="21"/>
                    </w:rPr>
                    <w:t>一次性手套</w:t>
                  </w:r>
                </w:p>
              </w:tc>
              <w:tc>
                <w:tcPr>
                  <w:tcW w:w="954" w:type="pct"/>
                  <w:noWrap w:val="0"/>
                  <w:vAlign w:val="center"/>
                </w:tcPr>
                <w:p w14:paraId="1B12F181">
                  <w:pPr>
                    <w:spacing w:line="240" w:lineRule="exact"/>
                    <w:jc w:val="center"/>
                    <w:rPr>
                      <w:color w:val="auto"/>
                      <w:szCs w:val="21"/>
                    </w:rPr>
                  </w:pPr>
                  <w:r>
                    <w:rPr>
                      <w:color w:val="auto"/>
                      <w:szCs w:val="21"/>
                    </w:rPr>
                    <w:t>若干</w:t>
                  </w:r>
                </w:p>
              </w:tc>
              <w:tc>
                <w:tcPr>
                  <w:tcW w:w="1142" w:type="pct"/>
                  <w:noWrap w:val="0"/>
                  <w:vAlign w:val="center"/>
                </w:tcPr>
                <w:p w14:paraId="0C0F0D54">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top"/>
                </w:tcPr>
                <w:p w14:paraId="2D87F91C">
                  <w:pPr>
                    <w:spacing w:line="240" w:lineRule="exact"/>
                    <w:jc w:val="center"/>
                    <w:rPr>
                      <w:color w:val="auto"/>
                      <w:szCs w:val="21"/>
                    </w:rPr>
                  </w:pPr>
                  <w:r>
                    <w:rPr>
                      <w:color w:val="auto"/>
                      <w:szCs w:val="21"/>
                    </w:rPr>
                    <w:t>国产</w:t>
                  </w:r>
                </w:p>
              </w:tc>
            </w:tr>
            <w:tr w14:paraId="2014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619078BE">
                  <w:pPr>
                    <w:spacing w:line="240" w:lineRule="exact"/>
                    <w:jc w:val="center"/>
                    <w:rPr>
                      <w:color w:val="auto"/>
                      <w:szCs w:val="21"/>
                    </w:rPr>
                  </w:pPr>
                </w:p>
              </w:tc>
              <w:tc>
                <w:tcPr>
                  <w:tcW w:w="1268" w:type="pct"/>
                  <w:noWrap w:val="0"/>
                  <w:vAlign w:val="center"/>
                </w:tcPr>
                <w:p w14:paraId="3DB409E8">
                  <w:pPr>
                    <w:spacing w:line="240" w:lineRule="exact"/>
                    <w:jc w:val="center"/>
                    <w:rPr>
                      <w:color w:val="auto"/>
                      <w:szCs w:val="21"/>
                    </w:rPr>
                  </w:pPr>
                  <w:r>
                    <w:rPr>
                      <w:color w:val="auto"/>
                      <w:szCs w:val="21"/>
                    </w:rPr>
                    <w:t>一次性中单、小单</w:t>
                  </w:r>
                </w:p>
              </w:tc>
              <w:tc>
                <w:tcPr>
                  <w:tcW w:w="954" w:type="pct"/>
                  <w:noWrap w:val="0"/>
                  <w:vAlign w:val="center"/>
                </w:tcPr>
                <w:p w14:paraId="0DC6ABF8">
                  <w:pPr>
                    <w:spacing w:line="240" w:lineRule="exact"/>
                    <w:jc w:val="center"/>
                    <w:rPr>
                      <w:color w:val="auto"/>
                      <w:szCs w:val="21"/>
                    </w:rPr>
                  </w:pPr>
                  <w:r>
                    <w:rPr>
                      <w:color w:val="auto"/>
                      <w:szCs w:val="21"/>
                    </w:rPr>
                    <w:t>若干</w:t>
                  </w:r>
                </w:p>
              </w:tc>
              <w:tc>
                <w:tcPr>
                  <w:tcW w:w="1142" w:type="pct"/>
                  <w:noWrap w:val="0"/>
                  <w:vAlign w:val="center"/>
                </w:tcPr>
                <w:p w14:paraId="05ECB301">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top"/>
                </w:tcPr>
                <w:p w14:paraId="45F89C00">
                  <w:pPr>
                    <w:spacing w:line="240" w:lineRule="exact"/>
                    <w:jc w:val="center"/>
                    <w:rPr>
                      <w:color w:val="auto"/>
                      <w:szCs w:val="21"/>
                    </w:rPr>
                  </w:pPr>
                  <w:r>
                    <w:rPr>
                      <w:color w:val="auto"/>
                      <w:szCs w:val="21"/>
                    </w:rPr>
                    <w:t>国产</w:t>
                  </w:r>
                </w:p>
              </w:tc>
            </w:tr>
            <w:tr w14:paraId="40EEC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40723632">
                  <w:pPr>
                    <w:spacing w:line="240" w:lineRule="exact"/>
                    <w:jc w:val="center"/>
                    <w:rPr>
                      <w:color w:val="auto"/>
                      <w:szCs w:val="21"/>
                    </w:rPr>
                  </w:pPr>
                </w:p>
              </w:tc>
              <w:tc>
                <w:tcPr>
                  <w:tcW w:w="1268" w:type="pct"/>
                  <w:noWrap w:val="0"/>
                  <w:vAlign w:val="center"/>
                </w:tcPr>
                <w:p w14:paraId="19879078">
                  <w:pPr>
                    <w:spacing w:line="240" w:lineRule="exact"/>
                    <w:jc w:val="center"/>
                    <w:rPr>
                      <w:color w:val="auto"/>
                      <w:szCs w:val="21"/>
                    </w:rPr>
                  </w:pPr>
                  <w:r>
                    <w:rPr>
                      <w:color w:val="auto"/>
                      <w:szCs w:val="21"/>
                    </w:rPr>
                    <w:t>一次性尿袋、尿管</w:t>
                  </w:r>
                </w:p>
              </w:tc>
              <w:tc>
                <w:tcPr>
                  <w:tcW w:w="954" w:type="pct"/>
                  <w:noWrap w:val="0"/>
                  <w:vAlign w:val="center"/>
                </w:tcPr>
                <w:p w14:paraId="799A9528">
                  <w:pPr>
                    <w:spacing w:line="240" w:lineRule="exact"/>
                    <w:jc w:val="center"/>
                    <w:rPr>
                      <w:color w:val="auto"/>
                      <w:szCs w:val="21"/>
                    </w:rPr>
                  </w:pPr>
                  <w:r>
                    <w:rPr>
                      <w:color w:val="auto"/>
                      <w:szCs w:val="21"/>
                    </w:rPr>
                    <w:t>若干</w:t>
                  </w:r>
                </w:p>
              </w:tc>
              <w:tc>
                <w:tcPr>
                  <w:tcW w:w="1142" w:type="pct"/>
                  <w:noWrap w:val="0"/>
                  <w:vAlign w:val="center"/>
                </w:tcPr>
                <w:p w14:paraId="1136AE0A">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top"/>
                </w:tcPr>
                <w:p w14:paraId="52D6F03E">
                  <w:pPr>
                    <w:spacing w:line="240" w:lineRule="exact"/>
                    <w:jc w:val="center"/>
                    <w:rPr>
                      <w:color w:val="auto"/>
                      <w:szCs w:val="21"/>
                    </w:rPr>
                  </w:pPr>
                  <w:r>
                    <w:rPr>
                      <w:color w:val="auto"/>
                      <w:szCs w:val="21"/>
                    </w:rPr>
                    <w:t>国产</w:t>
                  </w:r>
                </w:p>
              </w:tc>
            </w:tr>
            <w:tr w14:paraId="5DFD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4359145A">
                  <w:pPr>
                    <w:spacing w:line="240" w:lineRule="exact"/>
                    <w:jc w:val="center"/>
                    <w:rPr>
                      <w:color w:val="auto"/>
                      <w:szCs w:val="21"/>
                    </w:rPr>
                  </w:pPr>
                </w:p>
              </w:tc>
              <w:tc>
                <w:tcPr>
                  <w:tcW w:w="1268" w:type="pct"/>
                  <w:noWrap w:val="0"/>
                  <w:vAlign w:val="center"/>
                </w:tcPr>
                <w:p w14:paraId="3DF63488">
                  <w:pPr>
                    <w:spacing w:line="240" w:lineRule="exact"/>
                    <w:jc w:val="center"/>
                    <w:rPr>
                      <w:color w:val="auto"/>
                      <w:szCs w:val="21"/>
                    </w:rPr>
                  </w:pPr>
                  <w:r>
                    <w:rPr>
                      <w:color w:val="auto"/>
                      <w:szCs w:val="21"/>
                    </w:rPr>
                    <w:t>消毒棉球</w:t>
                  </w:r>
                </w:p>
              </w:tc>
              <w:tc>
                <w:tcPr>
                  <w:tcW w:w="954" w:type="pct"/>
                  <w:noWrap w:val="0"/>
                  <w:vAlign w:val="center"/>
                </w:tcPr>
                <w:p w14:paraId="67CE1EB8">
                  <w:pPr>
                    <w:spacing w:line="240" w:lineRule="exact"/>
                    <w:jc w:val="center"/>
                    <w:rPr>
                      <w:color w:val="auto"/>
                      <w:szCs w:val="21"/>
                    </w:rPr>
                  </w:pPr>
                  <w:r>
                    <w:rPr>
                      <w:color w:val="auto"/>
                      <w:szCs w:val="21"/>
                    </w:rPr>
                    <w:t>若干</w:t>
                  </w:r>
                </w:p>
              </w:tc>
              <w:tc>
                <w:tcPr>
                  <w:tcW w:w="1142" w:type="pct"/>
                  <w:noWrap w:val="0"/>
                  <w:vAlign w:val="center"/>
                </w:tcPr>
                <w:p w14:paraId="2FECC0EB">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top"/>
                </w:tcPr>
                <w:p w14:paraId="04CC0BCD">
                  <w:pPr>
                    <w:spacing w:line="240" w:lineRule="exact"/>
                    <w:jc w:val="center"/>
                    <w:rPr>
                      <w:color w:val="auto"/>
                      <w:szCs w:val="21"/>
                    </w:rPr>
                  </w:pPr>
                  <w:r>
                    <w:rPr>
                      <w:color w:val="auto"/>
                      <w:szCs w:val="21"/>
                    </w:rPr>
                    <w:t>国产</w:t>
                  </w:r>
                </w:p>
              </w:tc>
            </w:tr>
            <w:tr w14:paraId="0984A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9" w:type="pct"/>
                  <w:vMerge w:val="restart"/>
                  <w:noWrap w:val="0"/>
                  <w:vAlign w:val="center"/>
                </w:tcPr>
                <w:p w14:paraId="2C4B6330">
                  <w:pPr>
                    <w:spacing w:line="240" w:lineRule="exact"/>
                    <w:jc w:val="center"/>
                    <w:rPr>
                      <w:color w:val="auto"/>
                      <w:szCs w:val="21"/>
                    </w:rPr>
                  </w:pPr>
                  <w:r>
                    <w:rPr>
                      <w:color w:val="auto"/>
                      <w:szCs w:val="21"/>
                    </w:rPr>
                    <w:t>消毒剂</w:t>
                  </w:r>
                </w:p>
              </w:tc>
              <w:tc>
                <w:tcPr>
                  <w:tcW w:w="1268" w:type="pct"/>
                  <w:noWrap w:val="0"/>
                  <w:vAlign w:val="center"/>
                </w:tcPr>
                <w:p w14:paraId="6FDEE685">
                  <w:pPr>
                    <w:spacing w:line="240" w:lineRule="exact"/>
                    <w:jc w:val="center"/>
                    <w:rPr>
                      <w:color w:val="auto"/>
                      <w:szCs w:val="21"/>
                    </w:rPr>
                  </w:pPr>
                  <w:r>
                    <w:rPr>
                      <w:color w:val="auto"/>
                      <w:szCs w:val="21"/>
                    </w:rPr>
                    <w:t>乙醇（酒精）</w:t>
                  </w:r>
                </w:p>
              </w:tc>
              <w:tc>
                <w:tcPr>
                  <w:tcW w:w="954" w:type="pct"/>
                  <w:noWrap w:val="0"/>
                  <w:vAlign w:val="center"/>
                </w:tcPr>
                <w:p w14:paraId="2C3C8C51">
                  <w:pPr>
                    <w:spacing w:line="240" w:lineRule="exact"/>
                    <w:jc w:val="center"/>
                    <w:rPr>
                      <w:color w:val="auto"/>
                      <w:szCs w:val="21"/>
                    </w:rPr>
                  </w:pPr>
                  <w:r>
                    <w:rPr>
                      <w:color w:val="auto"/>
                      <w:szCs w:val="21"/>
                    </w:rPr>
                    <w:t>0.</w:t>
                  </w:r>
                  <w:r>
                    <w:rPr>
                      <w:rFonts w:hint="eastAsia"/>
                      <w:color w:val="auto"/>
                      <w:szCs w:val="21"/>
                    </w:rPr>
                    <w:t>1</w:t>
                  </w:r>
                  <w:r>
                    <w:rPr>
                      <w:color w:val="auto"/>
                      <w:szCs w:val="21"/>
                    </w:rPr>
                    <w:t>t</w:t>
                  </w:r>
                </w:p>
              </w:tc>
              <w:tc>
                <w:tcPr>
                  <w:tcW w:w="1142" w:type="pct"/>
                  <w:noWrap w:val="0"/>
                  <w:vAlign w:val="center"/>
                </w:tcPr>
                <w:p w14:paraId="64A3A595">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center"/>
                </w:tcPr>
                <w:p w14:paraId="1FBD23ED">
                  <w:pPr>
                    <w:spacing w:line="240" w:lineRule="exact"/>
                    <w:jc w:val="center"/>
                    <w:rPr>
                      <w:color w:val="auto"/>
                      <w:szCs w:val="21"/>
                    </w:rPr>
                  </w:pPr>
                  <w:r>
                    <w:rPr>
                      <w:color w:val="auto"/>
                      <w:szCs w:val="21"/>
                    </w:rPr>
                    <w:t>最大存储0.1t，用于治疗消毒</w:t>
                  </w:r>
                </w:p>
              </w:tc>
            </w:tr>
            <w:tr w14:paraId="691AD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710E4B23">
                  <w:pPr>
                    <w:spacing w:line="240" w:lineRule="exact"/>
                    <w:jc w:val="center"/>
                    <w:rPr>
                      <w:color w:val="auto"/>
                      <w:szCs w:val="21"/>
                    </w:rPr>
                  </w:pPr>
                </w:p>
              </w:tc>
              <w:tc>
                <w:tcPr>
                  <w:tcW w:w="1268" w:type="pct"/>
                  <w:noWrap w:val="0"/>
                  <w:vAlign w:val="center"/>
                </w:tcPr>
                <w:p w14:paraId="1D9E10D9">
                  <w:pPr>
                    <w:spacing w:line="240" w:lineRule="exact"/>
                    <w:jc w:val="center"/>
                    <w:rPr>
                      <w:color w:val="auto"/>
                      <w:szCs w:val="21"/>
                    </w:rPr>
                  </w:pPr>
                  <w:r>
                    <w:rPr>
                      <w:color w:val="auto"/>
                      <w:szCs w:val="21"/>
                    </w:rPr>
                    <w:t>双氧水（H</w:t>
                  </w:r>
                  <w:r>
                    <w:rPr>
                      <w:color w:val="auto"/>
                      <w:szCs w:val="21"/>
                      <w:vertAlign w:val="subscript"/>
                    </w:rPr>
                    <w:t>2</w:t>
                  </w:r>
                  <w:r>
                    <w:rPr>
                      <w:color w:val="auto"/>
                      <w:szCs w:val="21"/>
                    </w:rPr>
                    <w:t>O</w:t>
                  </w:r>
                  <w:r>
                    <w:rPr>
                      <w:color w:val="auto"/>
                      <w:szCs w:val="21"/>
                      <w:vertAlign w:val="subscript"/>
                    </w:rPr>
                    <w:t>2</w:t>
                  </w:r>
                  <w:r>
                    <w:rPr>
                      <w:color w:val="auto"/>
                      <w:szCs w:val="21"/>
                    </w:rPr>
                    <w:t>）</w:t>
                  </w:r>
                </w:p>
              </w:tc>
              <w:tc>
                <w:tcPr>
                  <w:tcW w:w="954" w:type="pct"/>
                  <w:noWrap w:val="0"/>
                  <w:vAlign w:val="center"/>
                </w:tcPr>
                <w:p w14:paraId="43F0D8F9">
                  <w:pPr>
                    <w:spacing w:line="240" w:lineRule="exact"/>
                    <w:jc w:val="center"/>
                    <w:rPr>
                      <w:color w:val="auto"/>
                      <w:szCs w:val="21"/>
                    </w:rPr>
                  </w:pPr>
                  <w:r>
                    <w:rPr>
                      <w:color w:val="auto"/>
                      <w:szCs w:val="21"/>
                    </w:rPr>
                    <w:t>0.</w:t>
                  </w:r>
                  <w:r>
                    <w:rPr>
                      <w:rFonts w:hint="eastAsia"/>
                      <w:color w:val="auto"/>
                      <w:szCs w:val="21"/>
                    </w:rPr>
                    <w:t>1</w:t>
                  </w:r>
                  <w:r>
                    <w:rPr>
                      <w:color w:val="auto"/>
                      <w:szCs w:val="21"/>
                    </w:rPr>
                    <w:t>t</w:t>
                  </w:r>
                </w:p>
              </w:tc>
              <w:tc>
                <w:tcPr>
                  <w:tcW w:w="1142" w:type="pct"/>
                  <w:noWrap w:val="0"/>
                  <w:vAlign w:val="center"/>
                </w:tcPr>
                <w:p w14:paraId="65E43A8B">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center"/>
                </w:tcPr>
                <w:p w14:paraId="0A13D4C1">
                  <w:pPr>
                    <w:spacing w:line="240" w:lineRule="exact"/>
                    <w:jc w:val="center"/>
                    <w:rPr>
                      <w:color w:val="auto"/>
                      <w:szCs w:val="21"/>
                    </w:rPr>
                  </w:pPr>
                  <w:r>
                    <w:rPr>
                      <w:color w:val="auto"/>
                      <w:szCs w:val="21"/>
                    </w:rPr>
                    <w:t>最大存储0.1t，用于治疗消毒</w:t>
                  </w:r>
                </w:p>
              </w:tc>
            </w:tr>
            <w:tr w14:paraId="34888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3C2CA007">
                  <w:pPr>
                    <w:spacing w:line="240" w:lineRule="exact"/>
                    <w:jc w:val="center"/>
                    <w:rPr>
                      <w:color w:val="auto"/>
                      <w:szCs w:val="21"/>
                    </w:rPr>
                  </w:pPr>
                </w:p>
              </w:tc>
              <w:tc>
                <w:tcPr>
                  <w:tcW w:w="1268" w:type="pct"/>
                  <w:noWrap w:val="0"/>
                  <w:vAlign w:val="center"/>
                </w:tcPr>
                <w:p w14:paraId="306321F9">
                  <w:pPr>
                    <w:spacing w:line="240" w:lineRule="exact"/>
                    <w:jc w:val="center"/>
                    <w:rPr>
                      <w:color w:val="auto"/>
                      <w:szCs w:val="21"/>
                    </w:rPr>
                  </w:pPr>
                  <w:r>
                    <w:rPr>
                      <w:color w:val="auto"/>
                      <w:szCs w:val="21"/>
                    </w:rPr>
                    <w:t>碘伏</w:t>
                  </w:r>
                </w:p>
              </w:tc>
              <w:tc>
                <w:tcPr>
                  <w:tcW w:w="954" w:type="pct"/>
                  <w:noWrap w:val="0"/>
                  <w:vAlign w:val="center"/>
                </w:tcPr>
                <w:p w14:paraId="62135DD0">
                  <w:pPr>
                    <w:spacing w:line="240" w:lineRule="exact"/>
                    <w:jc w:val="center"/>
                    <w:rPr>
                      <w:color w:val="auto"/>
                      <w:szCs w:val="21"/>
                    </w:rPr>
                  </w:pPr>
                  <w:r>
                    <w:rPr>
                      <w:color w:val="auto"/>
                      <w:szCs w:val="21"/>
                    </w:rPr>
                    <w:t>0.</w:t>
                  </w:r>
                  <w:r>
                    <w:rPr>
                      <w:rFonts w:hint="eastAsia"/>
                      <w:color w:val="auto"/>
                      <w:szCs w:val="21"/>
                    </w:rPr>
                    <w:t>1</w:t>
                  </w:r>
                  <w:r>
                    <w:rPr>
                      <w:color w:val="auto"/>
                      <w:szCs w:val="21"/>
                    </w:rPr>
                    <w:t>t</w:t>
                  </w:r>
                </w:p>
              </w:tc>
              <w:tc>
                <w:tcPr>
                  <w:tcW w:w="1142" w:type="pct"/>
                  <w:noWrap w:val="0"/>
                  <w:vAlign w:val="center"/>
                </w:tcPr>
                <w:p w14:paraId="6F9A62B4">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center"/>
                </w:tcPr>
                <w:p w14:paraId="7106E61A">
                  <w:pPr>
                    <w:spacing w:line="240" w:lineRule="exact"/>
                    <w:jc w:val="center"/>
                    <w:rPr>
                      <w:color w:val="auto"/>
                      <w:szCs w:val="21"/>
                    </w:rPr>
                  </w:pPr>
                  <w:r>
                    <w:rPr>
                      <w:color w:val="auto"/>
                      <w:szCs w:val="21"/>
                    </w:rPr>
                    <w:t>最大存储0.1t，用于治疗消毒</w:t>
                  </w:r>
                </w:p>
              </w:tc>
            </w:tr>
            <w:tr w14:paraId="0F258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519A51AF">
                  <w:pPr>
                    <w:spacing w:line="240" w:lineRule="exact"/>
                    <w:jc w:val="center"/>
                    <w:rPr>
                      <w:b/>
                      <w:color w:val="auto"/>
                      <w:szCs w:val="21"/>
                    </w:rPr>
                  </w:pPr>
                </w:p>
              </w:tc>
              <w:tc>
                <w:tcPr>
                  <w:tcW w:w="1268" w:type="pct"/>
                  <w:noWrap w:val="0"/>
                  <w:vAlign w:val="center"/>
                </w:tcPr>
                <w:p w14:paraId="60268B0C">
                  <w:pPr>
                    <w:spacing w:line="240" w:lineRule="exact"/>
                    <w:jc w:val="center"/>
                    <w:rPr>
                      <w:color w:val="auto"/>
                      <w:szCs w:val="21"/>
                    </w:rPr>
                  </w:pPr>
                  <w:r>
                    <w:rPr>
                      <w:color w:val="auto"/>
                      <w:szCs w:val="21"/>
                    </w:rPr>
                    <w:t>84消毒液（主要成分为次氯酸钠）</w:t>
                  </w:r>
                </w:p>
              </w:tc>
              <w:tc>
                <w:tcPr>
                  <w:tcW w:w="954" w:type="pct"/>
                  <w:noWrap w:val="0"/>
                  <w:vAlign w:val="center"/>
                </w:tcPr>
                <w:p w14:paraId="20D4845A">
                  <w:pPr>
                    <w:spacing w:line="240" w:lineRule="exact"/>
                    <w:jc w:val="center"/>
                    <w:rPr>
                      <w:color w:val="auto"/>
                      <w:szCs w:val="21"/>
                    </w:rPr>
                  </w:pPr>
                  <w:r>
                    <w:rPr>
                      <w:color w:val="auto"/>
                      <w:szCs w:val="21"/>
                    </w:rPr>
                    <w:t>0.</w:t>
                  </w:r>
                  <w:r>
                    <w:rPr>
                      <w:rFonts w:hint="eastAsia"/>
                      <w:color w:val="auto"/>
                      <w:szCs w:val="21"/>
                    </w:rPr>
                    <w:t>2</w:t>
                  </w:r>
                  <w:r>
                    <w:rPr>
                      <w:color w:val="auto"/>
                      <w:szCs w:val="21"/>
                    </w:rPr>
                    <w:t>t</w:t>
                  </w:r>
                </w:p>
              </w:tc>
              <w:tc>
                <w:tcPr>
                  <w:tcW w:w="1142" w:type="pct"/>
                  <w:noWrap w:val="0"/>
                  <w:vAlign w:val="center"/>
                </w:tcPr>
                <w:p w14:paraId="2CCF846A">
                  <w:pPr>
                    <w:spacing w:line="240" w:lineRule="exact"/>
                    <w:jc w:val="center"/>
                    <w:rPr>
                      <w:color w:val="auto"/>
                      <w:szCs w:val="21"/>
                    </w:rPr>
                  </w:pPr>
                  <w:r>
                    <w:rPr>
                      <w:rFonts w:hint="eastAsia"/>
                      <w:color w:val="auto"/>
                      <w:szCs w:val="21"/>
                      <w:lang w:val="en-US" w:eastAsia="zh-CN"/>
                    </w:rPr>
                    <w:t>1层</w:t>
                  </w:r>
                  <w:r>
                    <w:rPr>
                      <w:color w:val="auto"/>
                      <w:szCs w:val="21"/>
                    </w:rPr>
                    <w:t>库房</w:t>
                  </w:r>
                </w:p>
              </w:tc>
              <w:tc>
                <w:tcPr>
                  <w:tcW w:w="1033" w:type="pct"/>
                  <w:noWrap w:val="0"/>
                  <w:vAlign w:val="center"/>
                </w:tcPr>
                <w:p w14:paraId="26123C2F">
                  <w:pPr>
                    <w:spacing w:line="240" w:lineRule="exact"/>
                    <w:jc w:val="center"/>
                    <w:rPr>
                      <w:color w:val="auto"/>
                      <w:szCs w:val="21"/>
                    </w:rPr>
                  </w:pPr>
                  <w:r>
                    <w:rPr>
                      <w:color w:val="auto"/>
                      <w:szCs w:val="21"/>
                    </w:rPr>
                    <w:t>最大存储0.2t，国产，用于病房、办公室消毒</w:t>
                  </w:r>
                </w:p>
              </w:tc>
            </w:tr>
            <w:tr w14:paraId="4CDF3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2C252317">
                  <w:pPr>
                    <w:spacing w:line="240" w:lineRule="exact"/>
                    <w:jc w:val="center"/>
                    <w:rPr>
                      <w:b/>
                      <w:color w:val="auto"/>
                      <w:szCs w:val="21"/>
                    </w:rPr>
                  </w:pPr>
                </w:p>
              </w:tc>
              <w:tc>
                <w:tcPr>
                  <w:tcW w:w="1268" w:type="pct"/>
                  <w:noWrap w:val="0"/>
                  <w:vAlign w:val="center"/>
                </w:tcPr>
                <w:p w14:paraId="0B9BB602">
                  <w:pPr>
                    <w:jc w:val="center"/>
                    <w:rPr>
                      <w:color w:val="auto"/>
                      <w:kern w:val="0"/>
                      <w:szCs w:val="21"/>
                    </w:rPr>
                  </w:pPr>
                  <w:r>
                    <w:rPr>
                      <w:color w:val="auto"/>
                      <w:kern w:val="0"/>
                      <w:szCs w:val="21"/>
                    </w:rPr>
                    <w:t>次氯酸</w:t>
                  </w:r>
                  <w:r>
                    <w:rPr>
                      <w:color w:val="auto"/>
                      <w:szCs w:val="21"/>
                    </w:rPr>
                    <w:t>钠</w:t>
                  </w:r>
                </w:p>
              </w:tc>
              <w:tc>
                <w:tcPr>
                  <w:tcW w:w="954" w:type="pct"/>
                  <w:noWrap w:val="0"/>
                  <w:vAlign w:val="center"/>
                </w:tcPr>
                <w:p w14:paraId="5152FA6A">
                  <w:pPr>
                    <w:jc w:val="center"/>
                    <w:rPr>
                      <w:color w:val="auto"/>
                      <w:szCs w:val="21"/>
                    </w:rPr>
                  </w:pPr>
                  <w:r>
                    <w:rPr>
                      <w:color w:val="auto"/>
                      <w:szCs w:val="21"/>
                    </w:rPr>
                    <w:t>0.</w:t>
                  </w:r>
                  <w:r>
                    <w:rPr>
                      <w:rFonts w:hint="eastAsia"/>
                      <w:color w:val="auto"/>
                      <w:szCs w:val="21"/>
                    </w:rPr>
                    <w:t>2</w:t>
                  </w:r>
                  <w:r>
                    <w:rPr>
                      <w:color w:val="auto"/>
                      <w:szCs w:val="21"/>
                    </w:rPr>
                    <w:t>t</w:t>
                  </w:r>
                </w:p>
              </w:tc>
              <w:tc>
                <w:tcPr>
                  <w:tcW w:w="1142" w:type="pct"/>
                  <w:vMerge w:val="restart"/>
                  <w:noWrap w:val="0"/>
                  <w:vAlign w:val="center"/>
                </w:tcPr>
                <w:p w14:paraId="1D02279D">
                  <w:pPr>
                    <w:spacing w:line="240" w:lineRule="exact"/>
                    <w:jc w:val="center"/>
                    <w:rPr>
                      <w:color w:val="auto"/>
                      <w:szCs w:val="21"/>
                    </w:rPr>
                  </w:pPr>
                  <w:r>
                    <w:rPr>
                      <w:rFonts w:hint="eastAsia"/>
                      <w:color w:val="auto"/>
                      <w:szCs w:val="21"/>
                    </w:rPr>
                    <w:t>药</w:t>
                  </w:r>
                  <w:r>
                    <w:rPr>
                      <w:rFonts w:hint="eastAsia"/>
                      <w:color w:val="auto"/>
                      <w:szCs w:val="21"/>
                      <w:lang w:val="en-US" w:eastAsia="zh-CN"/>
                    </w:rPr>
                    <w:t>品</w:t>
                  </w:r>
                  <w:r>
                    <w:rPr>
                      <w:rFonts w:hint="eastAsia"/>
                      <w:color w:val="auto"/>
                      <w:szCs w:val="21"/>
                    </w:rPr>
                    <w:t>间</w:t>
                  </w:r>
                </w:p>
              </w:tc>
              <w:tc>
                <w:tcPr>
                  <w:tcW w:w="1033" w:type="pct"/>
                  <w:noWrap w:val="0"/>
                  <w:vAlign w:val="center"/>
                </w:tcPr>
                <w:p w14:paraId="6350B030">
                  <w:pPr>
                    <w:spacing w:line="240" w:lineRule="exact"/>
                    <w:jc w:val="center"/>
                    <w:rPr>
                      <w:color w:val="auto"/>
                      <w:szCs w:val="21"/>
                    </w:rPr>
                  </w:pPr>
                  <w:r>
                    <w:rPr>
                      <w:color w:val="auto"/>
                      <w:szCs w:val="21"/>
                    </w:rPr>
                    <w:t>最大存储0.2t，国产，用于</w:t>
                  </w:r>
                  <w:r>
                    <w:rPr>
                      <w:rFonts w:hint="eastAsia"/>
                      <w:color w:val="auto"/>
                      <w:szCs w:val="21"/>
                    </w:rPr>
                    <w:t>污水站消毒</w:t>
                  </w:r>
                </w:p>
              </w:tc>
            </w:tr>
            <w:tr w14:paraId="434B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1CAD71E4">
                  <w:pPr>
                    <w:spacing w:line="240" w:lineRule="exact"/>
                    <w:jc w:val="center"/>
                    <w:rPr>
                      <w:b/>
                      <w:color w:val="auto"/>
                      <w:szCs w:val="21"/>
                    </w:rPr>
                  </w:pPr>
                </w:p>
              </w:tc>
              <w:tc>
                <w:tcPr>
                  <w:tcW w:w="1268" w:type="pct"/>
                  <w:noWrap w:val="0"/>
                  <w:vAlign w:val="center"/>
                </w:tcPr>
                <w:p w14:paraId="2A400F01">
                  <w:pPr>
                    <w:jc w:val="center"/>
                    <w:rPr>
                      <w:color w:val="auto"/>
                      <w:kern w:val="0"/>
                      <w:szCs w:val="21"/>
                    </w:rPr>
                  </w:pPr>
                  <w:r>
                    <w:rPr>
                      <w:rFonts w:hint="default"/>
                      <w:color w:val="auto"/>
                      <w:kern w:val="0"/>
                      <w:szCs w:val="21"/>
                      <w:lang w:val="en-US" w:eastAsia="zh-CN"/>
                    </w:rPr>
                    <w:t>PAM</w:t>
                  </w:r>
                </w:p>
              </w:tc>
              <w:tc>
                <w:tcPr>
                  <w:tcW w:w="954" w:type="pct"/>
                  <w:noWrap w:val="0"/>
                  <w:vAlign w:val="center"/>
                </w:tcPr>
                <w:p w14:paraId="0483E7F1">
                  <w:pPr>
                    <w:jc w:val="center"/>
                    <w:rPr>
                      <w:rFonts w:hint="default" w:eastAsia="宋体"/>
                      <w:color w:val="auto"/>
                      <w:szCs w:val="21"/>
                      <w:lang w:val="en-US" w:eastAsia="zh-CN"/>
                    </w:rPr>
                  </w:pPr>
                  <w:r>
                    <w:rPr>
                      <w:rFonts w:hint="eastAsia"/>
                      <w:color w:val="auto"/>
                      <w:szCs w:val="21"/>
                      <w:lang w:val="en-US" w:eastAsia="zh-CN"/>
                    </w:rPr>
                    <w:t>0.5</w:t>
                  </w:r>
                  <w:r>
                    <w:rPr>
                      <w:color w:val="auto"/>
                      <w:szCs w:val="21"/>
                    </w:rPr>
                    <w:t>t</w:t>
                  </w:r>
                </w:p>
              </w:tc>
              <w:tc>
                <w:tcPr>
                  <w:tcW w:w="1142" w:type="pct"/>
                  <w:vMerge w:val="continue"/>
                  <w:noWrap w:val="0"/>
                  <w:vAlign w:val="center"/>
                </w:tcPr>
                <w:p w14:paraId="0CDB6EB3">
                  <w:pPr>
                    <w:spacing w:line="240" w:lineRule="exact"/>
                    <w:jc w:val="center"/>
                    <w:rPr>
                      <w:rFonts w:hint="eastAsia"/>
                      <w:color w:val="auto"/>
                      <w:szCs w:val="21"/>
                    </w:rPr>
                  </w:pPr>
                </w:p>
              </w:tc>
              <w:tc>
                <w:tcPr>
                  <w:tcW w:w="1033" w:type="pct"/>
                  <w:noWrap w:val="0"/>
                  <w:vAlign w:val="center"/>
                </w:tcPr>
                <w:p w14:paraId="05EAE0D9">
                  <w:pPr>
                    <w:spacing w:line="240" w:lineRule="exact"/>
                    <w:jc w:val="center"/>
                    <w:rPr>
                      <w:rFonts w:hint="default" w:eastAsia="宋体"/>
                      <w:color w:val="auto"/>
                      <w:szCs w:val="21"/>
                      <w:lang w:val="en-US" w:eastAsia="zh-CN"/>
                    </w:rPr>
                  </w:pPr>
                  <w:r>
                    <w:rPr>
                      <w:color w:val="auto"/>
                      <w:szCs w:val="21"/>
                    </w:rPr>
                    <w:t>最大存储0.2t</w:t>
                  </w:r>
                  <w:r>
                    <w:rPr>
                      <w:rFonts w:hint="eastAsia"/>
                      <w:color w:val="auto"/>
                      <w:szCs w:val="21"/>
                      <w:lang w:eastAsia="zh-CN"/>
                    </w:rPr>
                    <w:t>，</w:t>
                  </w:r>
                  <w:r>
                    <w:rPr>
                      <w:rFonts w:hint="eastAsia"/>
                      <w:color w:val="auto"/>
                      <w:szCs w:val="21"/>
                      <w:lang w:val="en-US" w:eastAsia="zh-CN"/>
                    </w:rPr>
                    <w:t>用于吸附污水中的悬浮颗粒</w:t>
                  </w:r>
                </w:p>
              </w:tc>
            </w:tr>
            <w:tr w14:paraId="2BBAA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231BF130">
                  <w:pPr>
                    <w:spacing w:line="240" w:lineRule="exact"/>
                    <w:jc w:val="center"/>
                    <w:rPr>
                      <w:b/>
                      <w:color w:val="auto"/>
                      <w:szCs w:val="21"/>
                    </w:rPr>
                  </w:pPr>
                </w:p>
              </w:tc>
              <w:tc>
                <w:tcPr>
                  <w:tcW w:w="1268" w:type="pct"/>
                  <w:noWrap w:val="0"/>
                  <w:vAlign w:val="center"/>
                </w:tcPr>
                <w:p w14:paraId="14FA8349">
                  <w:pPr>
                    <w:jc w:val="center"/>
                    <w:rPr>
                      <w:rFonts w:hint="eastAsia" w:eastAsia="宋体"/>
                      <w:color w:val="auto"/>
                      <w:kern w:val="0"/>
                      <w:szCs w:val="21"/>
                      <w:lang w:val="en-US" w:eastAsia="zh-CN"/>
                    </w:rPr>
                  </w:pPr>
                  <w:r>
                    <w:rPr>
                      <w:rFonts w:hint="eastAsia"/>
                      <w:color w:val="auto"/>
                      <w:kern w:val="0"/>
                      <w:szCs w:val="21"/>
                      <w:lang w:val="en-US" w:eastAsia="zh-CN"/>
                    </w:rPr>
                    <w:t>生石灰</w:t>
                  </w:r>
                </w:p>
              </w:tc>
              <w:tc>
                <w:tcPr>
                  <w:tcW w:w="954" w:type="pct"/>
                  <w:noWrap w:val="0"/>
                  <w:vAlign w:val="center"/>
                </w:tcPr>
                <w:p w14:paraId="4AB9C1EC">
                  <w:pPr>
                    <w:jc w:val="center"/>
                    <w:rPr>
                      <w:color w:val="auto"/>
                      <w:kern w:val="2"/>
                      <w:sz w:val="21"/>
                      <w:szCs w:val="21"/>
                      <w:lang w:val="en-US" w:eastAsia="zh-CN" w:bidi="ar-SA"/>
                    </w:rPr>
                  </w:pPr>
                  <w:r>
                    <w:rPr>
                      <w:color w:val="auto"/>
                      <w:szCs w:val="21"/>
                    </w:rPr>
                    <w:t>0.</w:t>
                  </w:r>
                  <w:r>
                    <w:rPr>
                      <w:rFonts w:hint="eastAsia"/>
                      <w:color w:val="auto"/>
                      <w:szCs w:val="21"/>
                    </w:rPr>
                    <w:t>2</w:t>
                  </w:r>
                  <w:r>
                    <w:rPr>
                      <w:color w:val="auto"/>
                      <w:szCs w:val="21"/>
                    </w:rPr>
                    <w:t>t</w:t>
                  </w:r>
                </w:p>
              </w:tc>
              <w:tc>
                <w:tcPr>
                  <w:tcW w:w="1142" w:type="pct"/>
                  <w:vMerge w:val="continue"/>
                  <w:noWrap w:val="0"/>
                  <w:vAlign w:val="center"/>
                </w:tcPr>
                <w:p w14:paraId="404AB154">
                  <w:pPr>
                    <w:spacing w:line="240" w:lineRule="exact"/>
                    <w:jc w:val="center"/>
                    <w:rPr>
                      <w:rFonts w:hint="eastAsia"/>
                      <w:color w:val="auto"/>
                      <w:kern w:val="2"/>
                      <w:sz w:val="21"/>
                      <w:szCs w:val="21"/>
                      <w:lang w:val="en-US" w:eastAsia="zh-CN" w:bidi="ar-SA"/>
                    </w:rPr>
                  </w:pPr>
                </w:p>
              </w:tc>
              <w:tc>
                <w:tcPr>
                  <w:tcW w:w="1033" w:type="pct"/>
                  <w:noWrap w:val="0"/>
                  <w:vAlign w:val="center"/>
                </w:tcPr>
                <w:p w14:paraId="3A24D619">
                  <w:pPr>
                    <w:spacing w:line="240" w:lineRule="exact"/>
                    <w:jc w:val="center"/>
                    <w:rPr>
                      <w:color w:val="auto"/>
                      <w:szCs w:val="21"/>
                    </w:rPr>
                  </w:pPr>
                  <w:r>
                    <w:rPr>
                      <w:color w:val="auto"/>
                      <w:szCs w:val="21"/>
                    </w:rPr>
                    <w:t>最大存储0.2t，国产，用于</w:t>
                  </w:r>
                  <w:r>
                    <w:rPr>
                      <w:rFonts w:hint="eastAsia"/>
                      <w:color w:val="auto"/>
                      <w:szCs w:val="21"/>
                    </w:rPr>
                    <w:t>污</w:t>
                  </w:r>
                  <w:r>
                    <w:rPr>
                      <w:rFonts w:hint="eastAsia"/>
                      <w:color w:val="auto"/>
                      <w:szCs w:val="21"/>
                      <w:lang w:val="en-US" w:eastAsia="zh-CN"/>
                    </w:rPr>
                    <w:t>泥</w:t>
                  </w:r>
                  <w:r>
                    <w:rPr>
                      <w:rFonts w:hint="eastAsia"/>
                      <w:color w:val="auto"/>
                      <w:szCs w:val="21"/>
                    </w:rPr>
                    <w:t>消毒</w:t>
                  </w:r>
                </w:p>
              </w:tc>
            </w:tr>
            <w:tr w14:paraId="026D2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noWrap w:val="0"/>
                  <w:vAlign w:val="center"/>
                </w:tcPr>
                <w:p w14:paraId="3632303D">
                  <w:pPr>
                    <w:ind w:firstLine="210" w:firstLineChars="100"/>
                    <w:rPr>
                      <w:color w:val="auto"/>
                      <w:szCs w:val="21"/>
                    </w:rPr>
                  </w:pPr>
                  <w:r>
                    <w:rPr>
                      <w:color w:val="auto"/>
                      <w:szCs w:val="21"/>
                    </w:rPr>
                    <w:t>氧气</w:t>
                  </w:r>
                </w:p>
              </w:tc>
              <w:tc>
                <w:tcPr>
                  <w:tcW w:w="1268" w:type="pct"/>
                  <w:noWrap w:val="0"/>
                  <w:vAlign w:val="center"/>
                </w:tcPr>
                <w:p w14:paraId="713E6784">
                  <w:pPr>
                    <w:jc w:val="center"/>
                    <w:rPr>
                      <w:color w:val="auto"/>
                      <w:szCs w:val="21"/>
                    </w:rPr>
                  </w:pPr>
                  <w:r>
                    <w:rPr>
                      <w:color w:val="auto"/>
                      <w:szCs w:val="21"/>
                    </w:rPr>
                    <w:t>液氧</w:t>
                  </w:r>
                </w:p>
              </w:tc>
              <w:tc>
                <w:tcPr>
                  <w:tcW w:w="954" w:type="pct"/>
                  <w:noWrap w:val="0"/>
                  <w:vAlign w:val="center"/>
                </w:tcPr>
                <w:p w14:paraId="04C5C428">
                  <w:pPr>
                    <w:jc w:val="center"/>
                    <w:rPr>
                      <w:color w:val="auto"/>
                      <w:szCs w:val="21"/>
                    </w:rPr>
                  </w:pPr>
                  <w:r>
                    <w:rPr>
                      <w:rFonts w:hint="eastAsia"/>
                      <w:color w:val="auto"/>
                      <w:szCs w:val="21"/>
                    </w:rPr>
                    <w:t>1</w:t>
                  </w:r>
                  <w:r>
                    <w:rPr>
                      <w:color w:val="auto"/>
                      <w:szCs w:val="21"/>
                    </w:rPr>
                    <w:t>0m</w:t>
                  </w:r>
                  <w:r>
                    <w:rPr>
                      <w:color w:val="auto"/>
                      <w:szCs w:val="21"/>
                      <w:vertAlign w:val="superscript"/>
                    </w:rPr>
                    <w:t>3</w:t>
                  </w:r>
                </w:p>
              </w:tc>
              <w:tc>
                <w:tcPr>
                  <w:tcW w:w="1142" w:type="pct"/>
                  <w:noWrap w:val="0"/>
                  <w:vAlign w:val="center"/>
                </w:tcPr>
                <w:p w14:paraId="3799E032">
                  <w:pPr>
                    <w:jc w:val="center"/>
                    <w:rPr>
                      <w:rFonts w:hint="eastAsia" w:eastAsia="宋体"/>
                      <w:color w:val="auto"/>
                      <w:szCs w:val="21"/>
                      <w:lang w:eastAsia="zh-CN"/>
                    </w:rPr>
                  </w:pPr>
                  <w:r>
                    <w:rPr>
                      <w:color w:val="auto"/>
                      <w:szCs w:val="21"/>
                    </w:rPr>
                    <w:t>供氧站</w:t>
                  </w:r>
                </w:p>
              </w:tc>
              <w:tc>
                <w:tcPr>
                  <w:tcW w:w="1033" w:type="pct"/>
                  <w:noWrap w:val="0"/>
                  <w:vAlign w:val="center"/>
                </w:tcPr>
                <w:p w14:paraId="20EA5DE9">
                  <w:pPr>
                    <w:jc w:val="center"/>
                    <w:rPr>
                      <w:color w:val="auto"/>
                      <w:szCs w:val="21"/>
                    </w:rPr>
                  </w:pPr>
                  <w:r>
                    <w:rPr>
                      <w:color w:val="auto"/>
                      <w:szCs w:val="21"/>
                    </w:rPr>
                    <w:t>依托已建</w:t>
                  </w:r>
                </w:p>
              </w:tc>
            </w:tr>
            <w:tr w14:paraId="33E18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restart"/>
                  <w:noWrap w:val="0"/>
                  <w:vAlign w:val="center"/>
                </w:tcPr>
                <w:p w14:paraId="2A0AF0E6">
                  <w:pPr>
                    <w:spacing w:line="240" w:lineRule="exact"/>
                    <w:jc w:val="center"/>
                    <w:rPr>
                      <w:color w:val="auto"/>
                      <w:szCs w:val="21"/>
                    </w:rPr>
                  </w:pPr>
                  <w:r>
                    <w:rPr>
                      <w:color w:val="auto"/>
                      <w:szCs w:val="21"/>
                    </w:rPr>
                    <w:t>能源</w:t>
                  </w:r>
                </w:p>
              </w:tc>
              <w:tc>
                <w:tcPr>
                  <w:tcW w:w="1268" w:type="pct"/>
                  <w:noWrap w:val="0"/>
                  <w:vAlign w:val="center"/>
                </w:tcPr>
                <w:p w14:paraId="2C7541FC">
                  <w:pPr>
                    <w:spacing w:line="240" w:lineRule="exact"/>
                    <w:jc w:val="center"/>
                    <w:rPr>
                      <w:color w:val="auto"/>
                      <w:szCs w:val="21"/>
                    </w:rPr>
                  </w:pPr>
                  <w:r>
                    <w:rPr>
                      <w:color w:val="auto"/>
                      <w:szCs w:val="21"/>
                    </w:rPr>
                    <w:t>水</w:t>
                  </w:r>
                </w:p>
              </w:tc>
              <w:tc>
                <w:tcPr>
                  <w:tcW w:w="954" w:type="pct"/>
                  <w:noWrap w:val="0"/>
                  <w:vAlign w:val="center"/>
                </w:tcPr>
                <w:p w14:paraId="1B03FC03">
                  <w:pPr>
                    <w:spacing w:line="240" w:lineRule="exact"/>
                    <w:jc w:val="center"/>
                    <w:rPr>
                      <w:color w:val="auto"/>
                      <w:szCs w:val="21"/>
                    </w:rPr>
                  </w:pPr>
                  <w:r>
                    <w:rPr>
                      <w:rFonts w:hint="eastAsia"/>
                      <w:color w:val="auto"/>
                      <w:szCs w:val="21"/>
                      <w:lang w:val="en-US" w:eastAsia="zh-CN"/>
                    </w:rPr>
                    <w:t>12081.5</w:t>
                  </w:r>
                  <w:r>
                    <w:rPr>
                      <w:color w:val="auto"/>
                      <w:szCs w:val="21"/>
                    </w:rPr>
                    <w:t>m</w:t>
                  </w:r>
                  <w:r>
                    <w:rPr>
                      <w:color w:val="auto"/>
                      <w:szCs w:val="21"/>
                      <w:vertAlign w:val="superscript"/>
                    </w:rPr>
                    <w:t>3</w:t>
                  </w:r>
                  <w:r>
                    <w:rPr>
                      <w:color w:val="auto"/>
                      <w:szCs w:val="21"/>
                    </w:rPr>
                    <w:t>/a</w:t>
                  </w:r>
                </w:p>
              </w:tc>
              <w:tc>
                <w:tcPr>
                  <w:tcW w:w="1142" w:type="pct"/>
                  <w:noWrap w:val="0"/>
                  <w:vAlign w:val="center"/>
                </w:tcPr>
                <w:p w14:paraId="0477EF8E">
                  <w:pPr>
                    <w:spacing w:line="240" w:lineRule="exact"/>
                    <w:jc w:val="center"/>
                    <w:rPr>
                      <w:color w:val="auto"/>
                      <w:szCs w:val="21"/>
                    </w:rPr>
                  </w:pPr>
                  <w:r>
                    <w:rPr>
                      <w:color w:val="auto"/>
                      <w:szCs w:val="21"/>
                    </w:rPr>
                    <w:t>/</w:t>
                  </w:r>
                </w:p>
              </w:tc>
              <w:tc>
                <w:tcPr>
                  <w:tcW w:w="1033" w:type="pct"/>
                  <w:noWrap w:val="0"/>
                  <w:vAlign w:val="center"/>
                </w:tcPr>
                <w:p w14:paraId="30F30B76">
                  <w:pPr>
                    <w:spacing w:line="240" w:lineRule="exact"/>
                    <w:jc w:val="center"/>
                    <w:rPr>
                      <w:color w:val="auto"/>
                      <w:szCs w:val="21"/>
                    </w:rPr>
                  </w:pPr>
                  <w:r>
                    <w:rPr>
                      <w:color w:val="auto"/>
                      <w:szCs w:val="21"/>
                    </w:rPr>
                    <w:t>市政给水</w:t>
                  </w:r>
                </w:p>
              </w:tc>
            </w:tr>
            <w:tr w14:paraId="0730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99" w:type="pct"/>
                  <w:vMerge w:val="continue"/>
                  <w:noWrap w:val="0"/>
                  <w:vAlign w:val="center"/>
                </w:tcPr>
                <w:p w14:paraId="5617DFC9">
                  <w:pPr>
                    <w:spacing w:line="360" w:lineRule="exact"/>
                    <w:ind w:firstLine="420"/>
                    <w:rPr>
                      <w:color w:val="auto"/>
                      <w:szCs w:val="21"/>
                    </w:rPr>
                  </w:pPr>
                </w:p>
              </w:tc>
              <w:tc>
                <w:tcPr>
                  <w:tcW w:w="1268" w:type="pct"/>
                  <w:noWrap w:val="0"/>
                  <w:vAlign w:val="center"/>
                </w:tcPr>
                <w:p w14:paraId="1C7B9E6A">
                  <w:pPr>
                    <w:spacing w:line="240" w:lineRule="exact"/>
                    <w:jc w:val="center"/>
                    <w:rPr>
                      <w:color w:val="auto"/>
                      <w:szCs w:val="21"/>
                    </w:rPr>
                  </w:pPr>
                  <w:r>
                    <w:rPr>
                      <w:color w:val="auto"/>
                      <w:szCs w:val="21"/>
                    </w:rPr>
                    <w:t>电</w:t>
                  </w:r>
                </w:p>
              </w:tc>
              <w:tc>
                <w:tcPr>
                  <w:tcW w:w="954" w:type="pct"/>
                  <w:noWrap w:val="0"/>
                  <w:vAlign w:val="center"/>
                </w:tcPr>
                <w:p w14:paraId="59C5256F">
                  <w:pPr>
                    <w:spacing w:line="240" w:lineRule="exact"/>
                    <w:jc w:val="center"/>
                    <w:rPr>
                      <w:color w:val="auto"/>
                      <w:szCs w:val="21"/>
                    </w:rPr>
                  </w:pPr>
                  <w:r>
                    <w:rPr>
                      <w:rFonts w:hint="eastAsia"/>
                      <w:color w:val="auto"/>
                      <w:szCs w:val="21"/>
                    </w:rPr>
                    <w:t>2</w:t>
                  </w:r>
                  <w:r>
                    <w:rPr>
                      <w:color w:val="auto"/>
                      <w:szCs w:val="21"/>
                    </w:rPr>
                    <w:t>.0×10</w:t>
                  </w:r>
                  <w:r>
                    <w:rPr>
                      <w:color w:val="auto"/>
                      <w:szCs w:val="21"/>
                      <w:vertAlign w:val="superscript"/>
                    </w:rPr>
                    <w:t>5</w:t>
                  </w:r>
                  <w:r>
                    <w:rPr>
                      <w:color w:val="auto"/>
                    </w:rPr>
                    <w:t>kw·h/a</w:t>
                  </w:r>
                </w:p>
              </w:tc>
              <w:tc>
                <w:tcPr>
                  <w:tcW w:w="1142" w:type="pct"/>
                  <w:noWrap w:val="0"/>
                  <w:vAlign w:val="center"/>
                </w:tcPr>
                <w:p w14:paraId="2918844C">
                  <w:pPr>
                    <w:spacing w:line="240" w:lineRule="exact"/>
                    <w:jc w:val="center"/>
                    <w:rPr>
                      <w:color w:val="auto"/>
                      <w:szCs w:val="21"/>
                    </w:rPr>
                  </w:pPr>
                  <w:r>
                    <w:rPr>
                      <w:color w:val="auto"/>
                      <w:szCs w:val="21"/>
                    </w:rPr>
                    <w:t>/</w:t>
                  </w:r>
                </w:p>
              </w:tc>
              <w:tc>
                <w:tcPr>
                  <w:tcW w:w="1033" w:type="pct"/>
                  <w:noWrap w:val="0"/>
                  <w:vAlign w:val="center"/>
                </w:tcPr>
                <w:p w14:paraId="3617D1D3">
                  <w:pPr>
                    <w:spacing w:line="240" w:lineRule="exact"/>
                    <w:jc w:val="center"/>
                    <w:rPr>
                      <w:color w:val="auto"/>
                      <w:szCs w:val="21"/>
                    </w:rPr>
                  </w:pPr>
                  <w:r>
                    <w:rPr>
                      <w:color w:val="auto"/>
                      <w:szCs w:val="21"/>
                    </w:rPr>
                    <w:t>市政供电</w:t>
                  </w:r>
                </w:p>
              </w:tc>
            </w:tr>
          </w:tbl>
          <w:p w14:paraId="6256E7DC">
            <w:pPr>
              <w:adjustRightInd w:val="0"/>
              <w:snapToGrid w:val="0"/>
              <w:spacing w:before="120" w:beforeLines="50"/>
              <w:jc w:val="center"/>
              <w:rPr>
                <w:b/>
                <w:bCs/>
                <w:color w:val="auto"/>
                <w:sz w:val="24"/>
              </w:rPr>
            </w:pPr>
            <w:r>
              <w:rPr>
                <w:b/>
                <w:bCs/>
                <w:color w:val="auto"/>
                <w:sz w:val="24"/>
              </w:rPr>
              <w:t>表2-</w:t>
            </w:r>
            <w:r>
              <w:rPr>
                <w:rFonts w:hint="eastAsia"/>
                <w:b/>
                <w:bCs/>
                <w:color w:val="auto"/>
                <w:sz w:val="24"/>
                <w:lang w:val="en-US" w:eastAsia="zh-CN"/>
              </w:rPr>
              <w:t>8</w:t>
            </w:r>
            <w:r>
              <w:rPr>
                <w:b/>
                <w:bCs/>
                <w:color w:val="auto"/>
                <w:sz w:val="24"/>
              </w:rPr>
              <w:t>扩建后医院主要原辅材料变化情况一览表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3590"/>
              <w:gridCol w:w="1349"/>
              <w:gridCol w:w="2726"/>
            </w:tblGrid>
            <w:tr w14:paraId="5B080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noWrap w:val="0"/>
                  <w:vAlign w:val="center"/>
                </w:tcPr>
                <w:p w14:paraId="755BB629">
                  <w:pPr>
                    <w:jc w:val="center"/>
                    <w:rPr>
                      <w:b/>
                      <w:color w:val="auto"/>
                      <w:szCs w:val="21"/>
                    </w:rPr>
                  </w:pPr>
                  <w:r>
                    <w:rPr>
                      <w:b/>
                      <w:color w:val="auto"/>
                      <w:szCs w:val="21"/>
                    </w:rPr>
                    <w:t>类别</w:t>
                  </w:r>
                </w:p>
              </w:tc>
              <w:tc>
                <w:tcPr>
                  <w:tcW w:w="2007" w:type="pct"/>
                  <w:noWrap w:val="0"/>
                  <w:vAlign w:val="center"/>
                </w:tcPr>
                <w:p w14:paraId="4A52D8CF">
                  <w:pPr>
                    <w:jc w:val="center"/>
                    <w:rPr>
                      <w:b/>
                      <w:color w:val="auto"/>
                      <w:szCs w:val="21"/>
                    </w:rPr>
                  </w:pPr>
                  <w:r>
                    <w:rPr>
                      <w:b/>
                      <w:color w:val="auto"/>
                      <w:szCs w:val="21"/>
                    </w:rPr>
                    <w:t>名称</w:t>
                  </w:r>
                </w:p>
              </w:tc>
              <w:tc>
                <w:tcPr>
                  <w:tcW w:w="754" w:type="pct"/>
                  <w:noWrap w:val="0"/>
                  <w:vAlign w:val="center"/>
                </w:tcPr>
                <w:p w14:paraId="5C185FAD">
                  <w:pPr>
                    <w:jc w:val="center"/>
                    <w:rPr>
                      <w:b/>
                      <w:color w:val="auto"/>
                      <w:szCs w:val="21"/>
                    </w:rPr>
                  </w:pPr>
                  <w:r>
                    <w:rPr>
                      <w:b/>
                      <w:color w:val="auto"/>
                      <w:szCs w:val="21"/>
                    </w:rPr>
                    <w:t>年用量</w:t>
                  </w:r>
                </w:p>
              </w:tc>
              <w:tc>
                <w:tcPr>
                  <w:tcW w:w="1524" w:type="pct"/>
                  <w:noWrap w:val="0"/>
                  <w:vAlign w:val="top"/>
                </w:tcPr>
                <w:p w14:paraId="48D3DDC7">
                  <w:pPr>
                    <w:jc w:val="center"/>
                    <w:rPr>
                      <w:b/>
                      <w:color w:val="auto"/>
                      <w:szCs w:val="21"/>
                    </w:rPr>
                  </w:pPr>
                  <w:r>
                    <w:rPr>
                      <w:b/>
                      <w:color w:val="auto"/>
                      <w:szCs w:val="21"/>
                    </w:rPr>
                    <w:t>变化情况</w:t>
                  </w:r>
                </w:p>
              </w:tc>
            </w:tr>
            <w:tr w14:paraId="5DAFC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74641F08">
                  <w:pPr>
                    <w:jc w:val="center"/>
                    <w:rPr>
                      <w:color w:val="auto"/>
                      <w:szCs w:val="21"/>
                    </w:rPr>
                  </w:pPr>
                  <w:r>
                    <w:rPr>
                      <w:color w:val="auto"/>
                      <w:szCs w:val="21"/>
                    </w:rPr>
                    <w:t>药品</w:t>
                  </w:r>
                </w:p>
              </w:tc>
              <w:tc>
                <w:tcPr>
                  <w:tcW w:w="2007" w:type="pct"/>
                  <w:noWrap w:val="0"/>
                  <w:vAlign w:val="center"/>
                </w:tcPr>
                <w:p w14:paraId="4A3D6A80">
                  <w:pPr>
                    <w:jc w:val="center"/>
                    <w:rPr>
                      <w:color w:val="auto"/>
                      <w:szCs w:val="21"/>
                    </w:rPr>
                  </w:pPr>
                  <w:r>
                    <w:rPr>
                      <w:color w:val="auto"/>
                      <w:szCs w:val="21"/>
                    </w:rPr>
                    <w:t>针剂药品</w:t>
                  </w:r>
                </w:p>
              </w:tc>
              <w:tc>
                <w:tcPr>
                  <w:tcW w:w="754" w:type="pct"/>
                  <w:noWrap w:val="0"/>
                  <w:vAlign w:val="center"/>
                </w:tcPr>
                <w:p w14:paraId="7CDDBE83">
                  <w:pPr>
                    <w:jc w:val="center"/>
                    <w:rPr>
                      <w:color w:val="auto"/>
                      <w:szCs w:val="21"/>
                    </w:rPr>
                  </w:pPr>
                  <w:r>
                    <w:rPr>
                      <w:color w:val="auto"/>
                      <w:szCs w:val="21"/>
                    </w:rPr>
                    <w:t>若干</w:t>
                  </w:r>
                </w:p>
              </w:tc>
              <w:tc>
                <w:tcPr>
                  <w:tcW w:w="1524" w:type="pct"/>
                  <w:noWrap w:val="0"/>
                  <w:vAlign w:val="top"/>
                </w:tcPr>
                <w:p w14:paraId="533EB5C2">
                  <w:pPr>
                    <w:jc w:val="center"/>
                    <w:rPr>
                      <w:color w:val="auto"/>
                      <w:szCs w:val="21"/>
                    </w:rPr>
                  </w:pPr>
                  <w:r>
                    <w:rPr>
                      <w:color w:val="auto"/>
                      <w:szCs w:val="21"/>
                    </w:rPr>
                    <w:t>新增若干</w:t>
                  </w:r>
                </w:p>
              </w:tc>
            </w:tr>
            <w:tr w14:paraId="7DDC1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1E3D6BE6">
                  <w:pPr>
                    <w:jc w:val="center"/>
                    <w:rPr>
                      <w:color w:val="auto"/>
                      <w:szCs w:val="21"/>
                    </w:rPr>
                  </w:pPr>
                </w:p>
              </w:tc>
              <w:tc>
                <w:tcPr>
                  <w:tcW w:w="2007" w:type="pct"/>
                  <w:noWrap w:val="0"/>
                  <w:vAlign w:val="center"/>
                </w:tcPr>
                <w:p w14:paraId="3601FBE5">
                  <w:pPr>
                    <w:jc w:val="center"/>
                    <w:rPr>
                      <w:color w:val="auto"/>
                      <w:szCs w:val="21"/>
                    </w:rPr>
                  </w:pPr>
                  <w:r>
                    <w:rPr>
                      <w:color w:val="auto"/>
                      <w:szCs w:val="21"/>
                    </w:rPr>
                    <w:t>中药</w:t>
                  </w:r>
                </w:p>
              </w:tc>
              <w:tc>
                <w:tcPr>
                  <w:tcW w:w="754" w:type="pct"/>
                  <w:noWrap w:val="0"/>
                  <w:vAlign w:val="center"/>
                </w:tcPr>
                <w:p w14:paraId="6672DB0B">
                  <w:pPr>
                    <w:jc w:val="center"/>
                    <w:rPr>
                      <w:color w:val="auto"/>
                      <w:szCs w:val="21"/>
                    </w:rPr>
                  </w:pPr>
                  <w:r>
                    <w:rPr>
                      <w:color w:val="auto"/>
                      <w:szCs w:val="21"/>
                    </w:rPr>
                    <w:t>若干</w:t>
                  </w:r>
                </w:p>
              </w:tc>
              <w:tc>
                <w:tcPr>
                  <w:tcW w:w="1524" w:type="pct"/>
                  <w:noWrap w:val="0"/>
                  <w:vAlign w:val="top"/>
                </w:tcPr>
                <w:p w14:paraId="4FE7932A">
                  <w:pPr>
                    <w:jc w:val="center"/>
                    <w:rPr>
                      <w:color w:val="auto"/>
                      <w:szCs w:val="21"/>
                    </w:rPr>
                  </w:pPr>
                  <w:r>
                    <w:rPr>
                      <w:color w:val="auto"/>
                      <w:szCs w:val="21"/>
                    </w:rPr>
                    <w:t>新增若干</w:t>
                  </w:r>
                </w:p>
              </w:tc>
            </w:tr>
            <w:tr w14:paraId="6B0F3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1E23B037">
                  <w:pPr>
                    <w:jc w:val="center"/>
                    <w:rPr>
                      <w:color w:val="auto"/>
                      <w:szCs w:val="21"/>
                    </w:rPr>
                  </w:pPr>
                </w:p>
              </w:tc>
              <w:tc>
                <w:tcPr>
                  <w:tcW w:w="2007" w:type="pct"/>
                  <w:noWrap w:val="0"/>
                  <w:vAlign w:val="center"/>
                </w:tcPr>
                <w:p w14:paraId="61C7A4A1">
                  <w:pPr>
                    <w:jc w:val="center"/>
                    <w:rPr>
                      <w:color w:val="auto"/>
                      <w:szCs w:val="21"/>
                    </w:rPr>
                  </w:pPr>
                  <w:r>
                    <w:rPr>
                      <w:color w:val="auto"/>
                      <w:szCs w:val="21"/>
                    </w:rPr>
                    <w:t>西药</w:t>
                  </w:r>
                </w:p>
              </w:tc>
              <w:tc>
                <w:tcPr>
                  <w:tcW w:w="754" w:type="pct"/>
                  <w:noWrap w:val="0"/>
                  <w:vAlign w:val="center"/>
                </w:tcPr>
                <w:p w14:paraId="2C9C61AE">
                  <w:pPr>
                    <w:jc w:val="center"/>
                    <w:rPr>
                      <w:color w:val="auto"/>
                      <w:szCs w:val="21"/>
                    </w:rPr>
                  </w:pPr>
                  <w:r>
                    <w:rPr>
                      <w:color w:val="auto"/>
                      <w:szCs w:val="21"/>
                    </w:rPr>
                    <w:t>若干</w:t>
                  </w:r>
                </w:p>
              </w:tc>
              <w:tc>
                <w:tcPr>
                  <w:tcW w:w="1524" w:type="pct"/>
                  <w:noWrap w:val="0"/>
                  <w:vAlign w:val="top"/>
                </w:tcPr>
                <w:p w14:paraId="67C6F843">
                  <w:pPr>
                    <w:jc w:val="center"/>
                    <w:rPr>
                      <w:color w:val="auto"/>
                      <w:szCs w:val="21"/>
                    </w:rPr>
                  </w:pPr>
                  <w:r>
                    <w:rPr>
                      <w:color w:val="auto"/>
                      <w:szCs w:val="21"/>
                    </w:rPr>
                    <w:t>新增若干</w:t>
                  </w:r>
                </w:p>
              </w:tc>
            </w:tr>
            <w:tr w14:paraId="220D0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5DDC5A1A">
                  <w:pPr>
                    <w:jc w:val="center"/>
                    <w:rPr>
                      <w:color w:val="auto"/>
                      <w:szCs w:val="21"/>
                    </w:rPr>
                  </w:pPr>
                  <w:r>
                    <w:rPr>
                      <w:color w:val="auto"/>
                      <w:szCs w:val="21"/>
                    </w:rPr>
                    <w:t>医疗器械</w:t>
                  </w:r>
                </w:p>
              </w:tc>
              <w:tc>
                <w:tcPr>
                  <w:tcW w:w="2007" w:type="pct"/>
                  <w:noWrap w:val="0"/>
                  <w:vAlign w:val="center"/>
                </w:tcPr>
                <w:p w14:paraId="5D8F0857">
                  <w:pPr>
                    <w:jc w:val="center"/>
                    <w:rPr>
                      <w:color w:val="auto"/>
                      <w:szCs w:val="21"/>
                    </w:rPr>
                  </w:pPr>
                  <w:r>
                    <w:rPr>
                      <w:color w:val="auto"/>
                      <w:szCs w:val="21"/>
                    </w:rPr>
                    <w:t>一次性空针、输液管</w:t>
                  </w:r>
                </w:p>
              </w:tc>
              <w:tc>
                <w:tcPr>
                  <w:tcW w:w="754" w:type="pct"/>
                  <w:noWrap w:val="0"/>
                  <w:vAlign w:val="center"/>
                </w:tcPr>
                <w:p w14:paraId="290057FE">
                  <w:pPr>
                    <w:jc w:val="center"/>
                    <w:rPr>
                      <w:color w:val="auto"/>
                      <w:szCs w:val="21"/>
                    </w:rPr>
                  </w:pPr>
                  <w:r>
                    <w:rPr>
                      <w:color w:val="auto"/>
                      <w:szCs w:val="21"/>
                    </w:rPr>
                    <w:t>若干</w:t>
                  </w:r>
                </w:p>
              </w:tc>
              <w:tc>
                <w:tcPr>
                  <w:tcW w:w="1524" w:type="pct"/>
                  <w:noWrap w:val="0"/>
                  <w:vAlign w:val="top"/>
                </w:tcPr>
                <w:p w14:paraId="560C5951">
                  <w:pPr>
                    <w:jc w:val="center"/>
                    <w:rPr>
                      <w:color w:val="auto"/>
                      <w:szCs w:val="21"/>
                    </w:rPr>
                  </w:pPr>
                  <w:r>
                    <w:rPr>
                      <w:color w:val="auto"/>
                      <w:szCs w:val="21"/>
                    </w:rPr>
                    <w:t>新增若干</w:t>
                  </w:r>
                </w:p>
              </w:tc>
            </w:tr>
            <w:tr w14:paraId="53D05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7A188BFB">
                  <w:pPr>
                    <w:jc w:val="center"/>
                    <w:rPr>
                      <w:color w:val="auto"/>
                      <w:szCs w:val="21"/>
                    </w:rPr>
                  </w:pPr>
                </w:p>
              </w:tc>
              <w:tc>
                <w:tcPr>
                  <w:tcW w:w="2007" w:type="pct"/>
                  <w:noWrap w:val="0"/>
                  <w:vAlign w:val="center"/>
                </w:tcPr>
                <w:p w14:paraId="1BE522DA">
                  <w:pPr>
                    <w:jc w:val="center"/>
                    <w:rPr>
                      <w:color w:val="auto"/>
                      <w:szCs w:val="21"/>
                    </w:rPr>
                  </w:pPr>
                  <w:r>
                    <w:rPr>
                      <w:color w:val="auto"/>
                      <w:szCs w:val="21"/>
                    </w:rPr>
                    <w:t>一次性手套</w:t>
                  </w:r>
                </w:p>
              </w:tc>
              <w:tc>
                <w:tcPr>
                  <w:tcW w:w="754" w:type="pct"/>
                  <w:noWrap w:val="0"/>
                  <w:vAlign w:val="center"/>
                </w:tcPr>
                <w:p w14:paraId="7EB7C8DB">
                  <w:pPr>
                    <w:jc w:val="center"/>
                    <w:rPr>
                      <w:color w:val="auto"/>
                      <w:szCs w:val="21"/>
                    </w:rPr>
                  </w:pPr>
                  <w:r>
                    <w:rPr>
                      <w:color w:val="auto"/>
                      <w:szCs w:val="21"/>
                    </w:rPr>
                    <w:t>若干</w:t>
                  </w:r>
                </w:p>
              </w:tc>
              <w:tc>
                <w:tcPr>
                  <w:tcW w:w="1524" w:type="pct"/>
                  <w:noWrap w:val="0"/>
                  <w:vAlign w:val="top"/>
                </w:tcPr>
                <w:p w14:paraId="2D759134">
                  <w:pPr>
                    <w:jc w:val="center"/>
                    <w:rPr>
                      <w:color w:val="auto"/>
                      <w:szCs w:val="21"/>
                    </w:rPr>
                  </w:pPr>
                  <w:r>
                    <w:rPr>
                      <w:color w:val="auto"/>
                      <w:szCs w:val="21"/>
                    </w:rPr>
                    <w:t>新增若干</w:t>
                  </w:r>
                </w:p>
              </w:tc>
            </w:tr>
            <w:tr w14:paraId="5F753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1FB82C22">
                  <w:pPr>
                    <w:jc w:val="center"/>
                    <w:rPr>
                      <w:color w:val="auto"/>
                      <w:szCs w:val="21"/>
                    </w:rPr>
                  </w:pPr>
                </w:p>
              </w:tc>
              <w:tc>
                <w:tcPr>
                  <w:tcW w:w="2007" w:type="pct"/>
                  <w:noWrap w:val="0"/>
                  <w:vAlign w:val="center"/>
                </w:tcPr>
                <w:p w14:paraId="60D5A1B6">
                  <w:pPr>
                    <w:jc w:val="center"/>
                    <w:rPr>
                      <w:color w:val="auto"/>
                      <w:szCs w:val="21"/>
                    </w:rPr>
                  </w:pPr>
                  <w:r>
                    <w:rPr>
                      <w:color w:val="auto"/>
                      <w:szCs w:val="21"/>
                    </w:rPr>
                    <w:t>一次性中单、小单</w:t>
                  </w:r>
                </w:p>
              </w:tc>
              <w:tc>
                <w:tcPr>
                  <w:tcW w:w="754" w:type="pct"/>
                  <w:noWrap w:val="0"/>
                  <w:vAlign w:val="center"/>
                </w:tcPr>
                <w:p w14:paraId="575BD3CB">
                  <w:pPr>
                    <w:jc w:val="center"/>
                    <w:rPr>
                      <w:color w:val="auto"/>
                      <w:szCs w:val="21"/>
                    </w:rPr>
                  </w:pPr>
                  <w:r>
                    <w:rPr>
                      <w:color w:val="auto"/>
                      <w:szCs w:val="21"/>
                    </w:rPr>
                    <w:t>若干</w:t>
                  </w:r>
                </w:p>
              </w:tc>
              <w:tc>
                <w:tcPr>
                  <w:tcW w:w="1524" w:type="pct"/>
                  <w:noWrap w:val="0"/>
                  <w:vAlign w:val="top"/>
                </w:tcPr>
                <w:p w14:paraId="1DAD8E82">
                  <w:pPr>
                    <w:jc w:val="center"/>
                    <w:rPr>
                      <w:color w:val="auto"/>
                      <w:szCs w:val="21"/>
                    </w:rPr>
                  </w:pPr>
                  <w:r>
                    <w:rPr>
                      <w:color w:val="auto"/>
                      <w:szCs w:val="21"/>
                    </w:rPr>
                    <w:t>新增若干</w:t>
                  </w:r>
                </w:p>
              </w:tc>
            </w:tr>
            <w:tr w14:paraId="10960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B2BEDE8">
                  <w:pPr>
                    <w:jc w:val="center"/>
                    <w:rPr>
                      <w:color w:val="auto"/>
                      <w:szCs w:val="21"/>
                    </w:rPr>
                  </w:pPr>
                </w:p>
              </w:tc>
              <w:tc>
                <w:tcPr>
                  <w:tcW w:w="2007" w:type="pct"/>
                  <w:noWrap w:val="0"/>
                  <w:vAlign w:val="center"/>
                </w:tcPr>
                <w:p w14:paraId="34D2E326">
                  <w:pPr>
                    <w:jc w:val="center"/>
                    <w:rPr>
                      <w:color w:val="auto"/>
                      <w:szCs w:val="21"/>
                    </w:rPr>
                  </w:pPr>
                  <w:r>
                    <w:rPr>
                      <w:color w:val="auto"/>
                      <w:szCs w:val="21"/>
                    </w:rPr>
                    <w:t>一次性尿袋、尿管</w:t>
                  </w:r>
                </w:p>
              </w:tc>
              <w:tc>
                <w:tcPr>
                  <w:tcW w:w="754" w:type="pct"/>
                  <w:noWrap w:val="0"/>
                  <w:vAlign w:val="center"/>
                </w:tcPr>
                <w:p w14:paraId="01666DF7">
                  <w:pPr>
                    <w:jc w:val="center"/>
                    <w:rPr>
                      <w:color w:val="auto"/>
                      <w:szCs w:val="21"/>
                    </w:rPr>
                  </w:pPr>
                  <w:r>
                    <w:rPr>
                      <w:color w:val="auto"/>
                      <w:szCs w:val="21"/>
                    </w:rPr>
                    <w:t>若干</w:t>
                  </w:r>
                </w:p>
              </w:tc>
              <w:tc>
                <w:tcPr>
                  <w:tcW w:w="1524" w:type="pct"/>
                  <w:noWrap w:val="0"/>
                  <w:vAlign w:val="top"/>
                </w:tcPr>
                <w:p w14:paraId="54D782F6">
                  <w:pPr>
                    <w:jc w:val="center"/>
                    <w:rPr>
                      <w:color w:val="auto"/>
                      <w:szCs w:val="21"/>
                    </w:rPr>
                  </w:pPr>
                  <w:r>
                    <w:rPr>
                      <w:color w:val="auto"/>
                      <w:szCs w:val="21"/>
                    </w:rPr>
                    <w:t>新增若干</w:t>
                  </w:r>
                </w:p>
              </w:tc>
            </w:tr>
            <w:tr w14:paraId="4FFA8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72D6078">
                  <w:pPr>
                    <w:jc w:val="center"/>
                    <w:rPr>
                      <w:color w:val="auto"/>
                      <w:szCs w:val="21"/>
                    </w:rPr>
                  </w:pPr>
                </w:p>
              </w:tc>
              <w:tc>
                <w:tcPr>
                  <w:tcW w:w="2007" w:type="pct"/>
                  <w:noWrap w:val="0"/>
                  <w:vAlign w:val="center"/>
                </w:tcPr>
                <w:p w14:paraId="73921879">
                  <w:pPr>
                    <w:jc w:val="center"/>
                    <w:rPr>
                      <w:color w:val="auto"/>
                      <w:szCs w:val="21"/>
                    </w:rPr>
                  </w:pPr>
                  <w:r>
                    <w:rPr>
                      <w:color w:val="auto"/>
                      <w:szCs w:val="21"/>
                    </w:rPr>
                    <w:t>消毒棉球</w:t>
                  </w:r>
                </w:p>
              </w:tc>
              <w:tc>
                <w:tcPr>
                  <w:tcW w:w="754" w:type="pct"/>
                  <w:noWrap w:val="0"/>
                  <w:vAlign w:val="center"/>
                </w:tcPr>
                <w:p w14:paraId="435D964F">
                  <w:pPr>
                    <w:jc w:val="center"/>
                    <w:rPr>
                      <w:color w:val="auto"/>
                      <w:szCs w:val="21"/>
                    </w:rPr>
                  </w:pPr>
                  <w:r>
                    <w:rPr>
                      <w:color w:val="auto"/>
                      <w:szCs w:val="21"/>
                    </w:rPr>
                    <w:t>若干</w:t>
                  </w:r>
                </w:p>
              </w:tc>
              <w:tc>
                <w:tcPr>
                  <w:tcW w:w="1524" w:type="pct"/>
                  <w:noWrap w:val="0"/>
                  <w:vAlign w:val="top"/>
                </w:tcPr>
                <w:p w14:paraId="1CA98AFA">
                  <w:pPr>
                    <w:jc w:val="center"/>
                    <w:rPr>
                      <w:color w:val="auto"/>
                      <w:szCs w:val="21"/>
                    </w:rPr>
                  </w:pPr>
                  <w:r>
                    <w:rPr>
                      <w:color w:val="auto"/>
                      <w:szCs w:val="21"/>
                    </w:rPr>
                    <w:t>新增若干</w:t>
                  </w:r>
                </w:p>
              </w:tc>
            </w:tr>
            <w:tr w14:paraId="3ECF5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4F60278E">
                  <w:pPr>
                    <w:jc w:val="center"/>
                    <w:rPr>
                      <w:color w:val="auto"/>
                      <w:szCs w:val="21"/>
                    </w:rPr>
                  </w:pPr>
                  <w:r>
                    <w:rPr>
                      <w:color w:val="auto"/>
                      <w:szCs w:val="21"/>
                    </w:rPr>
                    <w:t>消毒剂</w:t>
                  </w:r>
                </w:p>
              </w:tc>
              <w:tc>
                <w:tcPr>
                  <w:tcW w:w="2007" w:type="pct"/>
                  <w:noWrap w:val="0"/>
                  <w:vAlign w:val="center"/>
                </w:tcPr>
                <w:p w14:paraId="29ECC365">
                  <w:pPr>
                    <w:spacing w:line="240" w:lineRule="exact"/>
                    <w:jc w:val="center"/>
                    <w:rPr>
                      <w:color w:val="auto"/>
                      <w:szCs w:val="21"/>
                    </w:rPr>
                  </w:pPr>
                  <w:r>
                    <w:rPr>
                      <w:color w:val="auto"/>
                      <w:szCs w:val="21"/>
                    </w:rPr>
                    <w:t>乙醇（酒精）</w:t>
                  </w:r>
                </w:p>
              </w:tc>
              <w:tc>
                <w:tcPr>
                  <w:tcW w:w="754" w:type="pct"/>
                  <w:noWrap w:val="0"/>
                  <w:vAlign w:val="center"/>
                </w:tcPr>
                <w:p w14:paraId="299972C3">
                  <w:pPr>
                    <w:adjustRightInd w:val="0"/>
                    <w:snapToGrid w:val="0"/>
                    <w:jc w:val="center"/>
                    <w:rPr>
                      <w:color w:val="auto"/>
                      <w:szCs w:val="21"/>
                    </w:rPr>
                  </w:pPr>
                  <w:r>
                    <w:rPr>
                      <w:rFonts w:hint="eastAsia"/>
                      <w:color w:val="auto"/>
                      <w:szCs w:val="21"/>
                    </w:rPr>
                    <w:t>0.6</w:t>
                  </w:r>
                  <w:r>
                    <w:rPr>
                      <w:color w:val="auto"/>
                      <w:szCs w:val="21"/>
                    </w:rPr>
                    <w:t>t</w:t>
                  </w:r>
                </w:p>
              </w:tc>
              <w:tc>
                <w:tcPr>
                  <w:tcW w:w="1524" w:type="pct"/>
                  <w:noWrap w:val="0"/>
                  <w:vAlign w:val="center"/>
                </w:tcPr>
                <w:p w14:paraId="6599330E">
                  <w:pPr>
                    <w:adjustRightInd w:val="0"/>
                    <w:snapToGrid w:val="0"/>
                    <w:jc w:val="center"/>
                    <w:rPr>
                      <w:color w:val="auto"/>
                      <w:szCs w:val="21"/>
                    </w:rPr>
                  </w:pPr>
                  <w:r>
                    <w:rPr>
                      <w:color w:val="auto"/>
                      <w:szCs w:val="21"/>
                    </w:rPr>
                    <w:t>新增用量</w:t>
                  </w:r>
                  <w:r>
                    <w:rPr>
                      <w:rFonts w:hint="eastAsia"/>
                      <w:color w:val="auto"/>
                      <w:szCs w:val="21"/>
                    </w:rPr>
                    <w:t>0.1</w:t>
                  </w:r>
                  <w:r>
                    <w:rPr>
                      <w:color w:val="auto"/>
                      <w:szCs w:val="21"/>
                    </w:rPr>
                    <w:t>t</w:t>
                  </w:r>
                </w:p>
              </w:tc>
            </w:tr>
            <w:tr w14:paraId="0BDB2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1AF1EFB0">
                  <w:pPr>
                    <w:jc w:val="center"/>
                    <w:rPr>
                      <w:color w:val="auto"/>
                      <w:szCs w:val="21"/>
                    </w:rPr>
                  </w:pPr>
                </w:p>
              </w:tc>
              <w:tc>
                <w:tcPr>
                  <w:tcW w:w="2007" w:type="pct"/>
                  <w:noWrap w:val="0"/>
                  <w:vAlign w:val="center"/>
                </w:tcPr>
                <w:p w14:paraId="53B3ECDD">
                  <w:pPr>
                    <w:spacing w:line="240" w:lineRule="exact"/>
                    <w:jc w:val="center"/>
                    <w:rPr>
                      <w:color w:val="auto"/>
                      <w:szCs w:val="21"/>
                    </w:rPr>
                  </w:pPr>
                  <w:r>
                    <w:rPr>
                      <w:color w:val="auto"/>
                      <w:szCs w:val="21"/>
                    </w:rPr>
                    <w:t>双氧水（H</w:t>
                  </w:r>
                  <w:r>
                    <w:rPr>
                      <w:color w:val="auto"/>
                      <w:szCs w:val="21"/>
                      <w:vertAlign w:val="subscript"/>
                    </w:rPr>
                    <w:t>2</w:t>
                  </w:r>
                  <w:r>
                    <w:rPr>
                      <w:color w:val="auto"/>
                      <w:szCs w:val="21"/>
                    </w:rPr>
                    <w:t>O</w:t>
                  </w:r>
                  <w:r>
                    <w:rPr>
                      <w:color w:val="auto"/>
                      <w:szCs w:val="21"/>
                      <w:vertAlign w:val="subscript"/>
                    </w:rPr>
                    <w:t>2</w:t>
                  </w:r>
                  <w:r>
                    <w:rPr>
                      <w:color w:val="auto"/>
                      <w:szCs w:val="21"/>
                    </w:rPr>
                    <w:t>）</w:t>
                  </w:r>
                </w:p>
              </w:tc>
              <w:tc>
                <w:tcPr>
                  <w:tcW w:w="754" w:type="pct"/>
                  <w:noWrap w:val="0"/>
                  <w:vAlign w:val="center"/>
                </w:tcPr>
                <w:p w14:paraId="41B566EF">
                  <w:pPr>
                    <w:adjustRightInd w:val="0"/>
                    <w:snapToGrid w:val="0"/>
                    <w:jc w:val="center"/>
                    <w:rPr>
                      <w:color w:val="auto"/>
                      <w:szCs w:val="21"/>
                    </w:rPr>
                  </w:pPr>
                  <w:r>
                    <w:rPr>
                      <w:color w:val="auto"/>
                      <w:szCs w:val="21"/>
                    </w:rPr>
                    <w:t>0.</w:t>
                  </w:r>
                  <w:r>
                    <w:rPr>
                      <w:rFonts w:hint="eastAsia"/>
                      <w:color w:val="auto"/>
                      <w:szCs w:val="21"/>
                    </w:rPr>
                    <w:t>3</w:t>
                  </w:r>
                  <w:r>
                    <w:rPr>
                      <w:color w:val="auto"/>
                      <w:szCs w:val="21"/>
                    </w:rPr>
                    <w:t>t</w:t>
                  </w:r>
                </w:p>
              </w:tc>
              <w:tc>
                <w:tcPr>
                  <w:tcW w:w="1524" w:type="pct"/>
                  <w:noWrap w:val="0"/>
                  <w:vAlign w:val="center"/>
                </w:tcPr>
                <w:p w14:paraId="5D867802">
                  <w:pPr>
                    <w:adjustRightInd w:val="0"/>
                    <w:snapToGrid w:val="0"/>
                    <w:jc w:val="center"/>
                    <w:rPr>
                      <w:color w:val="auto"/>
                      <w:szCs w:val="21"/>
                    </w:rPr>
                  </w:pPr>
                  <w:r>
                    <w:rPr>
                      <w:color w:val="auto"/>
                      <w:szCs w:val="21"/>
                    </w:rPr>
                    <w:t>新增用量0.</w:t>
                  </w:r>
                  <w:r>
                    <w:rPr>
                      <w:rFonts w:hint="eastAsia"/>
                      <w:color w:val="auto"/>
                      <w:szCs w:val="21"/>
                    </w:rPr>
                    <w:t>1</w:t>
                  </w:r>
                  <w:r>
                    <w:rPr>
                      <w:color w:val="auto"/>
                      <w:szCs w:val="21"/>
                    </w:rPr>
                    <w:t>t</w:t>
                  </w:r>
                </w:p>
              </w:tc>
            </w:tr>
            <w:tr w14:paraId="17C7D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E133693">
                  <w:pPr>
                    <w:jc w:val="center"/>
                    <w:rPr>
                      <w:color w:val="auto"/>
                      <w:szCs w:val="21"/>
                    </w:rPr>
                  </w:pPr>
                </w:p>
              </w:tc>
              <w:tc>
                <w:tcPr>
                  <w:tcW w:w="2007" w:type="pct"/>
                  <w:noWrap w:val="0"/>
                  <w:vAlign w:val="center"/>
                </w:tcPr>
                <w:p w14:paraId="63FFF65F">
                  <w:pPr>
                    <w:spacing w:line="240" w:lineRule="exact"/>
                    <w:jc w:val="center"/>
                    <w:rPr>
                      <w:color w:val="auto"/>
                      <w:szCs w:val="21"/>
                    </w:rPr>
                  </w:pPr>
                  <w:r>
                    <w:rPr>
                      <w:color w:val="auto"/>
                      <w:szCs w:val="21"/>
                    </w:rPr>
                    <w:t>碘伏</w:t>
                  </w:r>
                </w:p>
              </w:tc>
              <w:tc>
                <w:tcPr>
                  <w:tcW w:w="754" w:type="pct"/>
                  <w:noWrap w:val="0"/>
                  <w:vAlign w:val="center"/>
                </w:tcPr>
                <w:p w14:paraId="06B8BECC">
                  <w:pPr>
                    <w:adjustRightInd w:val="0"/>
                    <w:snapToGrid w:val="0"/>
                    <w:jc w:val="center"/>
                    <w:rPr>
                      <w:color w:val="auto"/>
                      <w:szCs w:val="21"/>
                    </w:rPr>
                  </w:pPr>
                  <w:r>
                    <w:rPr>
                      <w:color w:val="auto"/>
                      <w:szCs w:val="21"/>
                    </w:rPr>
                    <w:t>0.</w:t>
                  </w:r>
                  <w:r>
                    <w:rPr>
                      <w:rFonts w:hint="eastAsia"/>
                      <w:color w:val="auto"/>
                      <w:szCs w:val="21"/>
                    </w:rPr>
                    <w:t>3</w:t>
                  </w:r>
                  <w:r>
                    <w:rPr>
                      <w:color w:val="auto"/>
                      <w:szCs w:val="21"/>
                    </w:rPr>
                    <w:t>t</w:t>
                  </w:r>
                </w:p>
              </w:tc>
              <w:tc>
                <w:tcPr>
                  <w:tcW w:w="1524" w:type="pct"/>
                  <w:noWrap w:val="0"/>
                  <w:vAlign w:val="center"/>
                </w:tcPr>
                <w:p w14:paraId="07D8E00B">
                  <w:pPr>
                    <w:adjustRightInd w:val="0"/>
                    <w:snapToGrid w:val="0"/>
                    <w:jc w:val="center"/>
                    <w:rPr>
                      <w:color w:val="auto"/>
                      <w:szCs w:val="21"/>
                    </w:rPr>
                  </w:pPr>
                  <w:r>
                    <w:rPr>
                      <w:color w:val="auto"/>
                      <w:szCs w:val="21"/>
                    </w:rPr>
                    <w:t>新增用量0.</w:t>
                  </w:r>
                  <w:r>
                    <w:rPr>
                      <w:rFonts w:hint="eastAsia"/>
                      <w:color w:val="auto"/>
                      <w:szCs w:val="21"/>
                    </w:rPr>
                    <w:t>1</w:t>
                  </w:r>
                  <w:r>
                    <w:rPr>
                      <w:color w:val="auto"/>
                      <w:szCs w:val="21"/>
                    </w:rPr>
                    <w:t>t</w:t>
                  </w:r>
                </w:p>
              </w:tc>
            </w:tr>
            <w:tr w14:paraId="679EB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BB47E80">
                  <w:pPr>
                    <w:jc w:val="center"/>
                    <w:rPr>
                      <w:b/>
                      <w:color w:val="auto"/>
                      <w:szCs w:val="21"/>
                    </w:rPr>
                  </w:pPr>
                </w:p>
              </w:tc>
              <w:tc>
                <w:tcPr>
                  <w:tcW w:w="2007" w:type="pct"/>
                  <w:noWrap w:val="0"/>
                  <w:vAlign w:val="center"/>
                </w:tcPr>
                <w:p w14:paraId="503D17D1">
                  <w:pPr>
                    <w:spacing w:line="240" w:lineRule="exact"/>
                    <w:jc w:val="center"/>
                    <w:rPr>
                      <w:color w:val="auto"/>
                      <w:szCs w:val="21"/>
                    </w:rPr>
                  </w:pPr>
                  <w:r>
                    <w:rPr>
                      <w:color w:val="auto"/>
                      <w:szCs w:val="21"/>
                    </w:rPr>
                    <w:t>84消毒液（主要成分为次氯酸钠）</w:t>
                  </w:r>
                </w:p>
              </w:tc>
              <w:tc>
                <w:tcPr>
                  <w:tcW w:w="754" w:type="pct"/>
                  <w:noWrap w:val="0"/>
                  <w:vAlign w:val="center"/>
                </w:tcPr>
                <w:p w14:paraId="0F4E60BA">
                  <w:pPr>
                    <w:adjustRightInd w:val="0"/>
                    <w:snapToGrid w:val="0"/>
                    <w:jc w:val="center"/>
                    <w:rPr>
                      <w:color w:val="auto"/>
                      <w:szCs w:val="21"/>
                    </w:rPr>
                  </w:pPr>
                  <w:r>
                    <w:rPr>
                      <w:rFonts w:hint="eastAsia"/>
                      <w:color w:val="auto"/>
                      <w:szCs w:val="21"/>
                    </w:rPr>
                    <w:t>0.7</w:t>
                  </w:r>
                  <w:r>
                    <w:rPr>
                      <w:color w:val="auto"/>
                      <w:szCs w:val="21"/>
                    </w:rPr>
                    <w:t>t</w:t>
                  </w:r>
                </w:p>
              </w:tc>
              <w:tc>
                <w:tcPr>
                  <w:tcW w:w="1524" w:type="pct"/>
                  <w:noWrap w:val="0"/>
                  <w:vAlign w:val="center"/>
                </w:tcPr>
                <w:p w14:paraId="761F8CC2">
                  <w:pPr>
                    <w:adjustRightInd w:val="0"/>
                    <w:snapToGrid w:val="0"/>
                    <w:jc w:val="center"/>
                    <w:rPr>
                      <w:color w:val="auto"/>
                      <w:szCs w:val="21"/>
                    </w:rPr>
                  </w:pPr>
                  <w:r>
                    <w:rPr>
                      <w:color w:val="auto"/>
                      <w:szCs w:val="21"/>
                    </w:rPr>
                    <w:t>新增用量</w:t>
                  </w:r>
                  <w:r>
                    <w:rPr>
                      <w:rFonts w:hint="eastAsia"/>
                      <w:color w:val="auto"/>
                      <w:szCs w:val="21"/>
                    </w:rPr>
                    <w:t>0.2</w:t>
                  </w:r>
                  <w:r>
                    <w:rPr>
                      <w:color w:val="auto"/>
                      <w:szCs w:val="21"/>
                    </w:rPr>
                    <w:t>t</w:t>
                  </w:r>
                </w:p>
              </w:tc>
            </w:tr>
            <w:tr w14:paraId="3D11F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882D614">
                  <w:pPr>
                    <w:ind w:firstLine="420"/>
                    <w:jc w:val="center"/>
                    <w:rPr>
                      <w:color w:val="auto"/>
                      <w:szCs w:val="21"/>
                    </w:rPr>
                  </w:pPr>
                </w:p>
              </w:tc>
              <w:tc>
                <w:tcPr>
                  <w:tcW w:w="2007" w:type="pct"/>
                  <w:noWrap w:val="0"/>
                  <w:vAlign w:val="center"/>
                </w:tcPr>
                <w:p w14:paraId="4C30EAA3">
                  <w:pPr>
                    <w:spacing w:line="240" w:lineRule="exact"/>
                    <w:jc w:val="center"/>
                    <w:rPr>
                      <w:color w:val="auto"/>
                      <w:szCs w:val="21"/>
                    </w:rPr>
                  </w:pPr>
                  <w:r>
                    <w:rPr>
                      <w:color w:val="auto"/>
                      <w:szCs w:val="21"/>
                    </w:rPr>
                    <w:t>次氯酸钠</w:t>
                  </w:r>
                </w:p>
              </w:tc>
              <w:tc>
                <w:tcPr>
                  <w:tcW w:w="754" w:type="pct"/>
                  <w:noWrap w:val="0"/>
                  <w:vAlign w:val="center"/>
                </w:tcPr>
                <w:p w14:paraId="0A7C93E4">
                  <w:pPr>
                    <w:jc w:val="center"/>
                    <w:rPr>
                      <w:color w:val="auto"/>
                      <w:szCs w:val="21"/>
                    </w:rPr>
                  </w:pPr>
                  <w:r>
                    <w:rPr>
                      <w:color w:val="auto"/>
                      <w:szCs w:val="21"/>
                    </w:rPr>
                    <w:t>0.</w:t>
                  </w:r>
                  <w:r>
                    <w:rPr>
                      <w:rFonts w:hint="eastAsia"/>
                      <w:color w:val="auto"/>
                      <w:szCs w:val="21"/>
                    </w:rPr>
                    <w:t>4</w:t>
                  </w:r>
                  <w:r>
                    <w:rPr>
                      <w:color w:val="auto"/>
                      <w:szCs w:val="21"/>
                    </w:rPr>
                    <w:t>t</w:t>
                  </w:r>
                </w:p>
              </w:tc>
              <w:tc>
                <w:tcPr>
                  <w:tcW w:w="1524" w:type="pct"/>
                  <w:noWrap w:val="0"/>
                  <w:vAlign w:val="top"/>
                </w:tcPr>
                <w:p w14:paraId="35C5A648">
                  <w:pPr>
                    <w:jc w:val="center"/>
                    <w:rPr>
                      <w:color w:val="auto"/>
                      <w:szCs w:val="21"/>
                    </w:rPr>
                  </w:pPr>
                  <w:r>
                    <w:rPr>
                      <w:color w:val="auto"/>
                      <w:szCs w:val="21"/>
                    </w:rPr>
                    <w:t>新增用量</w:t>
                  </w:r>
                  <w:r>
                    <w:rPr>
                      <w:rFonts w:hint="eastAsia"/>
                      <w:color w:val="auto"/>
                      <w:szCs w:val="21"/>
                    </w:rPr>
                    <w:t>0.2</w:t>
                  </w:r>
                  <w:r>
                    <w:rPr>
                      <w:color w:val="auto"/>
                      <w:szCs w:val="21"/>
                    </w:rPr>
                    <w:t>t</w:t>
                  </w:r>
                </w:p>
              </w:tc>
            </w:tr>
            <w:tr w14:paraId="3AD6E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7D236643">
                  <w:pPr>
                    <w:ind w:firstLine="420"/>
                    <w:jc w:val="center"/>
                    <w:rPr>
                      <w:color w:val="auto"/>
                      <w:szCs w:val="21"/>
                    </w:rPr>
                  </w:pPr>
                </w:p>
              </w:tc>
              <w:tc>
                <w:tcPr>
                  <w:tcW w:w="2007" w:type="pct"/>
                  <w:noWrap w:val="0"/>
                  <w:vAlign w:val="center"/>
                </w:tcPr>
                <w:p w14:paraId="31A3D057">
                  <w:pPr>
                    <w:spacing w:line="240" w:lineRule="exact"/>
                    <w:jc w:val="center"/>
                    <w:rPr>
                      <w:color w:val="auto"/>
                      <w:szCs w:val="21"/>
                    </w:rPr>
                  </w:pPr>
                  <w:r>
                    <w:rPr>
                      <w:rFonts w:hint="default"/>
                      <w:color w:val="auto"/>
                      <w:kern w:val="0"/>
                      <w:szCs w:val="21"/>
                      <w:lang w:val="en-US" w:eastAsia="zh-CN"/>
                    </w:rPr>
                    <w:t>PAM</w:t>
                  </w:r>
                </w:p>
              </w:tc>
              <w:tc>
                <w:tcPr>
                  <w:tcW w:w="754" w:type="pct"/>
                  <w:noWrap w:val="0"/>
                  <w:vAlign w:val="center"/>
                </w:tcPr>
                <w:p w14:paraId="210D80B2">
                  <w:pPr>
                    <w:jc w:val="center"/>
                    <w:rPr>
                      <w:rFonts w:hint="default" w:eastAsia="宋体"/>
                      <w:color w:val="auto"/>
                      <w:szCs w:val="21"/>
                      <w:lang w:val="en-US" w:eastAsia="zh-CN"/>
                    </w:rPr>
                  </w:pPr>
                  <w:r>
                    <w:rPr>
                      <w:rFonts w:hint="eastAsia"/>
                      <w:color w:val="auto"/>
                      <w:szCs w:val="21"/>
                      <w:lang w:val="en-US" w:eastAsia="zh-CN"/>
                    </w:rPr>
                    <w:t>0.9</w:t>
                  </w:r>
                  <w:r>
                    <w:rPr>
                      <w:color w:val="auto"/>
                      <w:szCs w:val="21"/>
                    </w:rPr>
                    <w:t>t</w:t>
                  </w:r>
                </w:p>
              </w:tc>
              <w:tc>
                <w:tcPr>
                  <w:tcW w:w="1524" w:type="pct"/>
                  <w:noWrap w:val="0"/>
                  <w:vAlign w:val="top"/>
                </w:tcPr>
                <w:p w14:paraId="4F8FD7C4">
                  <w:pPr>
                    <w:jc w:val="center"/>
                    <w:rPr>
                      <w:color w:val="auto"/>
                      <w:szCs w:val="21"/>
                    </w:rPr>
                  </w:pPr>
                  <w:r>
                    <w:rPr>
                      <w:color w:val="auto"/>
                      <w:szCs w:val="21"/>
                    </w:rPr>
                    <w:t>新增用量</w:t>
                  </w:r>
                  <w:r>
                    <w:rPr>
                      <w:rFonts w:hint="eastAsia"/>
                      <w:color w:val="auto"/>
                      <w:szCs w:val="21"/>
                    </w:rPr>
                    <w:t>0.</w:t>
                  </w:r>
                  <w:r>
                    <w:rPr>
                      <w:rFonts w:hint="eastAsia"/>
                      <w:color w:val="auto"/>
                      <w:szCs w:val="21"/>
                      <w:lang w:val="en-US" w:eastAsia="zh-CN"/>
                    </w:rPr>
                    <w:t>5</w:t>
                  </w:r>
                  <w:r>
                    <w:rPr>
                      <w:color w:val="auto"/>
                      <w:szCs w:val="21"/>
                    </w:rPr>
                    <w:t>t</w:t>
                  </w:r>
                </w:p>
              </w:tc>
            </w:tr>
            <w:tr w14:paraId="543F6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1C80641">
                  <w:pPr>
                    <w:ind w:firstLine="420"/>
                    <w:jc w:val="center"/>
                    <w:rPr>
                      <w:color w:val="auto"/>
                      <w:szCs w:val="21"/>
                    </w:rPr>
                  </w:pPr>
                </w:p>
              </w:tc>
              <w:tc>
                <w:tcPr>
                  <w:tcW w:w="2007" w:type="pct"/>
                  <w:noWrap w:val="0"/>
                  <w:vAlign w:val="center"/>
                </w:tcPr>
                <w:p w14:paraId="09E2F0C2">
                  <w:pPr>
                    <w:spacing w:line="240" w:lineRule="exact"/>
                    <w:jc w:val="center"/>
                    <w:rPr>
                      <w:rFonts w:hint="eastAsia" w:eastAsia="宋体"/>
                      <w:color w:val="auto"/>
                      <w:szCs w:val="21"/>
                      <w:lang w:val="en-US" w:eastAsia="zh-CN"/>
                    </w:rPr>
                  </w:pPr>
                  <w:r>
                    <w:rPr>
                      <w:rFonts w:hint="eastAsia"/>
                      <w:color w:val="auto"/>
                      <w:szCs w:val="21"/>
                      <w:lang w:val="en-US" w:eastAsia="zh-CN"/>
                    </w:rPr>
                    <w:t>生石灰</w:t>
                  </w:r>
                </w:p>
              </w:tc>
              <w:tc>
                <w:tcPr>
                  <w:tcW w:w="754" w:type="pct"/>
                  <w:noWrap w:val="0"/>
                  <w:vAlign w:val="center"/>
                </w:tcPr>
                <w:p w14:paraId="7245684A">
                  <w:pPr>
                    <w:jc w:val="center"/>
                    <w:rPr>
                      <w:rFonts w:hint="default" w:eastAsia="宋体"/>
                      <w:color w:val="auto"/>
                      <w:szCs w:val="21"/>
                      <w:lang w:val="en-US" w:eastAsia="zh-CN"/>
                    </w:rPr>
                  </w:pPr>
                  <w:r>
                    <w:rPr>
                      <w:rFonts w:hint="eastAsia"/>
                      <w:color w:val="auto"/>
                      <w:szCs w:val="21"/>
                      <w:lang w:val="en-US" w:eastAsia="zh-CN"/>
                    </w:rPr>
                    <w:t>0.4</w:t>
                  </w:r>
                  <w:r>
                    <w:rPr>
                      <w:color w:val="auto"/>
                      <w:szCs w:val="21"/>
                    </w:rPr>
                    <w:t>t</w:t>
                  </w:r>
                </w:p>
              </w:tc>
              <w:tc>
                <w:tcPr>
                  <w:tcW w:w="1524" w:type="pct"/>
                  <w:noWrap w:val="0"/>
                  <w:vAlign w:val="top"/>
                </w:tcPr>
                <w:p w14:paraId="1939E1D4">
                  <w:pPr>
                    <w:jc w:val="center"/>
                    <w:rPr>
                      <w:color w:val="auto"/>
                      <w:szCs w:val="21"/>
                    </w:rPr>
                  </w:pPr>
                  <w:r>
                    <w:rPr>
                      <w:color w:val="auto"/>
                      <w:szCs w:val="21"/>
                    </w:rPr>
                    <w:t>新增用量</w:t>
                  </w:r>
                  <w:r>
                    <w:rPr>
                      <w:rFonts w:hint="eastAsia"/>
                      <w:color w:val="auto"/>
                      <w:szCs w:val="21"/>
                    </w:rPr>
                    <w:t>0.2</w:t>
                  </w:r>
                  <w:r>
                    <w:rPr>
                      <w:color w:val="auto"/>
                      <w:szCs w:val="21"/>
                    </w:rPr>
                    <w:t>t</w:t>
                  </w:r>
                </w:p>
              </w:tc>
            </w:tr>
          </w:tbl>
          <w:p w14:paraId="315C757D">
            <w:pPr>
              <w:adjustRightInd w:val="0"/>
              <w:snapToGrid w:val="0"/>
              <w:rPr>
                <w:bCs/>
                <w:color w:val="auto"/>
                <w:szCs w:val="21"/>
              </w:rPr>
            </w:pPr>
          </w:p>
        </w:tc>
      </w:tr>
      <w:tr w14:paraId="4D72C4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3" w:hRule="atLeast"/>
          <w:jc w:val="center"/>
        </w:trPr>
        <w:tc>
          <w:tcPr>
            <w:tcW w:w="823" w:type="dxa"/>
            <w:noWrap w:val="0"/>
            <w:vAlign w:val="center"/>
          </w:tcPr>
          <w:p w14:paraId="200B6092">
            <w:pPr>
              <w:pStyle w:val="23"/>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9170" w:type="dxa"/>
            <w:noWrap w:val="0"/>
            <w:vAlign w:val="top"/>
          </w:tcPr>
          <w:p w14:paraId="59C4B60F">
            <w:pPr>
              <w:spacing w:line="360" w:lineRule="auto"/>
              <w:jc w:val="left"/>
              <w:rPr>
                <w:b/>
                <w:color w:val="auto"/>
                <w:kern w:val="0"/>
                <w:sz w:val="24"/>
              </w:rPr>
            </w:pPr>
            <w:r>
              <w:rPr>
                <w:rFonts w:hint="eastAsia"/>
                <w:b/>
                <w:color w:val="auto"/>
                <w:sz w:val="24"/>
              </w:rPr>
              <w:t>2.10</w:t>
            </w:r>
            <w:r>
              <w:rPr>
                <w:b/>
                <w:color w:val="auto"/>
                <w:kern w:val="0"/>
                <w:sz w:val="24"/>
              </w:rPr>
              <w:t>施工期工艺流程及产污环节</w:t>
            </w:r>
          </w:p>
          <w:p w14:paraId="025724F9">
            <w:pPr>
              <w:adjustRightInd w:val="0"/>
              <w:snapToGrid w:val="0"/>
              <w:spacing w:line="360" w:lineRule="auto"/>
              <w:ind w:firstLine="480" w:firstLineChars="200"/>
              <w:rPr>
                <w:bCs/>
                <w:color w:val="auto"/>
                <w:kern w:val="0"/>
                <w:sz w:val="24"/>
              </w:rPr>
            </w:pPr>
            <w:r>
              <w:rPr>
                <w:bCs/>
                <w:color w:val="auto"/>
                <w:kern w:val="0"/>
                <w:sz w:val="24"/>
              </w:rPr>
              <w:t>新增编制床位工程</w:t>
            </w:r>
            <w:r>
              <w:rPr>
                <w:bCs/>
                <w:color w:val="auto"/>
                <w:sz w:val="24"/>
              </w:rPr>
              <w:t>施工工艺简述</w:t>
            </w:r>
            <w:r>
              <w:rPr>
                <w:bCs/>
                <w:color w:val="auto"/>
                <w:kern w:val="0"/>
                <w:sz w:val="24"/>
              </w:rPr>
              <w:t>：</w:t>
            </w:r>
            <w:r>
              <w:rPr>
                <w:rFonts w:hint="eastAsia"/>
                <w:bCs/>
                <w:color w:val="auto"/>
                <w:kern w:val="0"/>
                <w:sz w:val="24"/>
              </w:rPr>
              <w:t>租用</w:t>
            </w:r>
            <w:r>
              <w:rPr>
                <w:rFonts w:hint="eastAsia"/>
                <w:bCs/>
                <w:color w:val="auto"/>
                <w:kern w:val="0"/>
                <w:sz w:val="24"/>
                <w:lang w:eastAsia="zh-CN"/>
              </w:rPr>
              <w:t>重庆市九龙坡区石新路33号渝州新城7号楼</w:t>
            </w:r>
            <w:r>
              <w:rPr>
                <w:bCs/>
                <w:color w:val="auto"/>
                <w:kern w:val="0"/>
                <w:sz w:val="24"/>
              </w:rPr>
              <w:t>已建</w:t>
            </w:r>
            <w:r>
              <w:rPr>
                <w:rFonts w:hint="eastAsia"/>
                <w:bCs/>
                <w:color w:val="auto"/>
                <w:kern w:val="0"/>
                <w:sz w:val="24"/>
              </w:rPr>
              <w:t>楼房，</w:t>
            </w:r>
            <w:r>
              <w:rPr>
                <w:bCs/>
                <w:color w:val="auto"/>
                <w:kern w:val="0"/>
                <w:sz w:val="24"/>
              </w:rPr>
              <w:t>新增床位，由于装饰工程已于大楼修建时完成，故施工期仅剩</w:t>
            </w:r>
            <w:r>
              <w:rPr>
                <w:rFonts w:hint="eastAsia"/>
                <w:bCs/>
                <w:color w:val="auto"/>
                <w:kern w:val="0"/>
                <w:sz w:val="24"/>
              </w:rPr>
              <w:t>部分水电线路改造、</w:t>
            </w:r>
            <w:r>
              <w:rPr>
                <w:bCs/>
                <w:color w:val="auto"/>
                <w:kern w:val="0"/>
                <w:sz w:val="24"/>
              </w:rPr>
              <w:t>床位、设备的安装和调试。</w:t>
            </w:r>
            <w:r>
              <w:rPr>
                <w:rFonts w:hint="eastAsia"/>
                <w:bCs/>
                <w:color w:val="auto"/>
                <w:kern w:val="0"/>
                <w:sz w:val="24"/>
              </w:rPr>
              <w:t>污水处理站扩容</w:t>
            </w:r>
            <w:r>
              <w:rPr>
                <w:color w:val="auto"/>
                <w:sz w:val="24"/>
              </w:rPr>
              <w:t>池体开挖、管道改造</w:t>
            </w:r>
            <w:r>
              <w:rPr>
                <w:rFonts w:hint="eastAsia"/>
                <w:color w:val="auto"/>
                <w:sz w:val="24"/>
              </w:rPr>
              <w:t>。</w:t>
            </w:r>
          </w:p>
          <w:p w14:paraId="3A8E4CD4">
            <w:pPr>
              <w:spacing w:line="360" w:lineRule="auto"/>
              <w:ind w:firstLine="480" w:firstLineChars="200"/>
              <w:jc w:val="left"/>
              <w:rPr>
                <w:bCs/>
                <w:color w:val="auto"/>
                <w:kern w:val="0"/>
                <w:sz w:val="24"/>
              </w:rPr>
            </w:pPr>
            <w:r>
              <w:rPr>
                <w:bCs/>
                <w:color w:val="auto"/>
                <w:kern w:val="0"/>
                <w:sz w:val="24"/>
              </w:rPr>
              <w:t>施工内容主要产污为：G施工粉尘、S开挖土石方、N噪声、W施工人员生活污水、W施工废水、S施工人员生活垃圾。</w:t>
            </w:r>
          </w:p>
          <w:p w14:paraId="4347D6AD">
            <w:pPr>
              <w:spacing w:line="360" w:lineRule="auto"/>
              <w:rPr>
                <w:b/>
                <w:color w:val="auto"/>
                <w:kern w:val="0"/>
                <w:sz w:val="24"/>
              </w:rPr>
            </w:pPr>
            <w:r>
              <w:rPr>
                <w:rFonts w:hint="eastAsia"/>
                <w:b/>
                <w:color w:val="auto"/>
                <w:kern w:val="0"/>
                <w:sz w:val="24"/>
              </w:rPr>
              <w:t>2.11</w:t>
            </w:r>
            <w:r>
              <w:rPr>
                <w:b/>
                <w:color w:val="auto"/>
                <w:kern w:val="0"/>
                <w:sz w:val="24"/>
              </w:rPr>
              <w:t>服务期工艺流程及产污环节</w:t>
            </w:r>
          </w:p>
          <w:p w14:paraId="1C501A42">
            <w:pPr>
              <w:spacing w:line="360" w:lineRule="auto"/>
              <w:ind w:firstLine="480" w:firstLineChars="200"/>
              <w:rPr>
                <w:color w:val="auto"/>
                <w:sz w:val="24"/>
              </w:rPr>
            </w:pPr>
            <w:r>
              <w:rPr>
                <w:color w:val="auto"/>
                <w:sz w:val="24"/>
              </w:rPr>
              <w:t>扩建项目为床位扩建。医院床位扩建后主要是为病人提供询医治病疗养等服务，</w:t>
            </w:r>
            <w:r>
              <w:rPr>
                <w:rFonts w:hint="eastAsia"/>
                <w:color w:val="auto"/>
                <w:kern w:val="0"/>
                <w:sz w:val="24"/>
              </w:rPr>
              <w:t>门诊和射线设施均依托原有项目。</w:t>
            </w:r>
            <w:r>
              <w:rPr>
                <w:color w:val="auto"/>
                <w:sz w:val="24"/>
              </w:rPr>
              <w:t>医疗服务的工作流程</w:t>
            </w:r>
            <w:r>
              <w:rPr>
                <w:rFonts w:hint="eastAsia"/>
                <w:color w:val="auto"/>
                <w:sz w:val="24"/>
                <w:lang w:eastAsia="zh-CN"/>
              </w:rPr>
              <w:t>见</w:t>
            </w:r>
            <w:r>
              <w:rPr>
                <w:color w:val="auto"/>
                <w:sz w:val="24"/>
              </w:rPr>
              <w:t>图2-</w:t>
            </w:r>
            <w:r>
              <w:rPr>
                <w:rFonts w:hint="eastAsia"/>
                <w:color w:val="auto"/>
                <w:sz w:val="24"/>
              </w:rPr>
              <w:t>2</w:t>
            </w:r>
            <w:r>
              <w:rPr>
                <w:color w:val="auto"/>
                <w:sz w:val="24"/>
              </w:rPr>
              <w:t>。</w:t>
            </w:r>
          </w:p>
          <w:p w14:paraId="776A218C">
            <w:pPr>
              <w:pStyle w:val="5"/>
              <w:rPr>
                <w:color w:val="auto"/>
              </w:rPr>
            </w:pPr>
          </w:p>
          <w:p w14:paraId="4B636D87">
            <w:pPr>
              <w:rPr>
                <w:color w:val="auto"/>
              </w:rPr>
            </w:pPr>
          </w:p>
          <w:p w14:paraId="55E058F7">
            <w:pPr>
              <w:pStyle w:val="2"/>
              <w:rPr>
                <w:color w:val="auto"/>
              </w:rPr>
            </w:pPr>
          </w:p>
          <w:p w14:paraId="3EBEECFD">
            <w:pPr>
              <w:pStyle w:val="2"/>
              <w:rPr>
                <w:color w:val="auto"/>
              </w:rPr>
            </w:pPr>
          </w:p>
          <w:p w14:paraId="05C92D4E">
            <w:pPr>
              <w:pStyle w:val="71"/>
              <w:spacing w:line="360" w:lineRule="auto"/>
              <w:ind w:firstLine="400"/>
              <w:rPr>
                <w:color w:val="auto"/>
                <w:szCs w:val="24"/>
              </w:rPr>
            </w:pPr>
            <w:r>
              <w:rPr>
                <w:bCs/>
                <w:color w:val="auto"/>
                <w:sz w:val="20"/>
                <w:szCs w:val="30"/>
              </w:rPr>
              <mc:AlternateContent>
                <mc:Choice Requires="wps">
                  <w:drawing>
                    <wp:anchor distT="0" distB="0" distL="114300" distR="114300" simplePos="0" relativeHeight="251661312" behindDoc="0" locked="0" layoutInCell="1" allowOverlap="1">
                      <wp:simplePos x="0" y="0"/>
                      <wp:positionH relativeFrom="column">
                        <wp:posOffset>2880360</wp:posOffset>
                      </wp:positionH>
                      <wp:positionV relativeFrom="paragraph">
                        <wp:posOffset>45720</wp:posOffset>
                      </wp:positionV>
                      <wp:extent cx="955675" cy="297180"/>
                      <wp:effectExtent l="4445" t="4445" r="11430" b="22225"/>
                      <wp:wrapNone/>
                      <wp:docPr id="2" name="文本框 957"/>
                      <wp:cNvGraphicFramePr/>
                      <a:graphic xmlns:a="http://schemas.openxmlformats.org/drawingml/2006/main">
                        <a:graphicData uri="http://schemas.microsoft.com/office/word/2010/wordprocessingShape">
                          <wps:wsp>
                            <wps:cNvSpPr txBox="1"/>
                            <wps:spPr>
                              <a:xfrm>
                                <a:off x="0" y="0"/>
                                <a:ext cx="95567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422D1C">
                                  <w:pPr>
                                    <w:ind w:firstLine="105" w:firstLineChars="50"/>
                                  </w:pPr>
                                  <w:r>
                                    <w:rPr>
                                      <w:rFonts w:hint="eastAsia" w:ascii="宋体" w:hAnsi="宋体"/>
                                    </w:rPr>
                                    <w:t>病员入院</w:t>
                                  </w:r>
                                </w:p>
                              </w:txbxContent>
                            </wps:txbx>
                            <wps:bodyPr wrap="square" upright="1"/>
                          </wps:wsp>
                        </a:graphicData>
                      </a:graphic>
                    </wp:anchor>
                  </w:drawing>
                </mc:Choice>
                <mc:Fallback>
                  <w:pict>
                    <v:shape id="文本框 957" o:spid="_x0000_s1026" o:spt="202" type="#_x0000_t202" style="position:absolute;left:0pt;margin-left:226.8pt;margin-top:3.6pt;height:23.4pt;width:75.25pt;z-index:251661312;mso-width-relative:page;mso-height-relative:page;" fillcolor="#FFFFFF" filled="t" stroked="t" coordsize="21600,21600" o:gfxdata="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o160NgAAAAIAQAADwAA&#10;AAAAAAABACAAAAAiAAAAZHJzL2Rvd25yZXYueG1sUEsBAhQAFAAAAAgAh07iQNvpOKgWAgAARQQA&#10;AA4AAAAAAAAAAQAgAAAAJwEAAGRycy9lMm9Eb2MueG1sUEsFBgAAAAAGAAYAWQEAAK8FAAAAAA==&#10;">
                      <v:fill on="t" focussize="0,0"/>
                      <v:stroke color="#000000" joinstyle="miter"/>
                      <v:imagedata o:title=""/>
                      <o:lock v:ext="edit" aspectratio="f"/>
                      <v:textbox>
                        <w:txbxContent>
                          <w:p w14:paraId="6F422D1C">
                            <w:pPr>
                              <w:ind w:firstLine="105" w:firstLineChars="50"/>
                            </w:pPr>
                            <w:r>
                              <w:rPr>
                                <w:rFonts w:hint="eastAsia" w:ascii="宋体" w:hAnsi="宋体"/>
                              </w:rPr>
                              <w:t>病员入院</w:t>
                            </w:r>
                          </w:p>
                        </w:txbxContent>
                      </v:textbox>
                    </v:shape>
                  </w:pict>
                </mc:Fallback>
              </mc:AlternateContent>
            </w:r>
          </w:p>
          <w:p w14:paraId="4AD81814">
            <w:pPr>
              <w:spacing w:line="360" w:lineRule="auto"/>
              <w:ind w:firstLine="400" w:firstLineChars="200"/>
              <w:rPr>
                <w:b/>
                <w:color w:val="auto"/>
              </w:rPr>
            </w:pPr>
            <w:r>
              <w:rPr>
                <w:color w:val="auto"/>
                <w:sz w:val="20"/>
                <w:szCs w:val="30"/>
              </w:rPr>
              <mc:AlternateContent>
                <mc:Choice Requires="wps">
                  <w:drawing>
                    <wp:anchor distT="0" distB="0" distL="114300" distR="114300" simplePos="0" relativeHeight="251660288" behindDoc="0" locked="0" layoutInCell="1" allowOverlap="1">
                      <wp:simplePos x="0" y="0"/>
                      <wp:positionH relativeFrom="column">
                        <wp:posOffset>1788160</wp:posOffset>
                      </wp:positionH>
                      <wp:positionV relativeFrom="paragraph">
                        <wp:posOffset>155575</wp:posOffset>
                      </wp:positionV>
                      <wp:extent cx="2730500" cy="3115310"/>
                      <wp:effectExtent l="13970" t="13970" r="17780" b="33020"/>
                      <wp:wrapNone/>
                      <wp:docPr id="1" name="矩形 996"/>
                      <wp:cNvGraphicFramePr/>
                      <a:graphic xmlns:a="http://schemas.openxmlformats.org/drawingml/2006/main">
                        <a:graphicData uri="http://schemas.microsoft.com/office/word/2010/wordprocessingShape">
                          <wps:wsp>
                            <wps:cNvSpPr/>
                            <wps:spPr>
                              <a:xfrm>
                                <a:off x="0" y="0"/>
                                <a:ext cx="2730500" cy="3115310"/>
                              </a:xfrm>
                              <a:prstGeom prst="rect">
                                <a:avLst/>
                              </a:prstGeom>
                              <a:solidFill>
                                <a:srgbClr val="FFFFFF">
                                  <a:alpha val="0"/>
                                </a:srgbClr>
                              </a:solidFill>
                              <a:ln w="28575" cap="flat" cmpd="sng">
                                <a:solidFill>
                                  <a:srgbClr val="FF0000"/>
                                </a:solidFill>
                                <a:prstDash val="dashDot"/>
                                <a:miter/>
                                <a:headEnd type="none" w="med" len="med"/>
                                <a:tailEnd type="none" w="med" len="med"/>
                              </a:ln>
                            </wps:spPr>
                            <wps:txbx>
                              <w:txbxContent>
                                <w:p w14:paraId="40D50A5E"/>
                              </w:txbxContent>
                            </wps:txbx>
                            <wps:bodyPr wrap="square" upright="1"/>
                          </wps:wsp>
                        </a:graphicData>
                      </a:graphic>
                    </wp:anchor>
                  </w:drawing>
                </mc:Choice>
                <mc:Fallback>
                  <w:pict>
                    <v:rect id="矩形 996" o:spid="_x0000_s1026" o:spt="1" style="position:absolute;left:0pt;margin-left:140.8pt;margin-top:12.25pt;height:245.3pt;width:215pt;z-index:251660288;mso-width-relative:page;mso-height-relative:page;" fillcolor="#FFFFFF" filled="t" stroked="t" coordsize="21600,21600" o:gfxdata="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qRCu9UAAAAK&#10;AQAADwAAAAAAAAABACAAAAAiAAAAZHJzL2Rvd25yZXYueG1sUEsBAhQAFAAAAAgAh07iQLNpZ/Yf&#10;AgAAWgQAAA4AAAAAAAAAAQAgAAAAJAEAAGRycy9lMm9Eb2MueG1sUEsFBgAAAAAGAAYAWQEAALUF&#10;AAAAAA==&#10;">
                      <v:fill on="t" opacity="0f" focussize="0,0"/>
                      <v:stroke weight="2.25pt" color="#FF0000" joinstyle="miter" dashstyle="dashDot"/>
                      <v:imagedata o:title=""/>
                      <o:lock v:ext="edit" aspectratio="f"/>
                      <v:textbox>
                        <w:txbxContent>
                          <w:p w14:paraId="40D50A5E"/>
                        </w:txbxContent>
                      </v:textbox>
                    </v:rect>
                  </w:pict>
                </mc:Fallback>
              </mc:AlternateContent>
            </w:r>
            <w:r>
              <w:rPr>
                <w:color w:val="auto"/>
                <w:sz w:val="20"/>
                <w:szCs w:val="30"/>
              </w:rPr>
              <mc:AlternateContent>
                <mc:Choice Requires="wps">
                  <w:drawing>
                    <wp:anchor distT="0" distB="0" distL="114300" distR="114300" simplePos="0" relativeHeight="251666432" behindDoc="0" locked="0" layoutInCell="1" allowOverlap="1">
                      <wp:simplePos x="0" y="0"/>
                      <wp:positionH relativeFrom="column">
                        <wp:posOffset>3290570</wp:posOffset>
                      </wp:positionH>
                      <wp:positionV relativeFrom="paragraph">
                        <wp:posOffset>-6350</wp:posOffset>
                      </wp:positionV>
                      <wp:extent cx="635" cy="234315"/>
                      <wp:effectExtent l="38100" t="0" r="37465" b="13335"/>
                      <wp:wrapNone/>
                      <wp:docPr id="7" name="直线 970"/>
                      <wp:cNvGraphicFramePr/>
                      <a:graphic xmlns:a="http://schemas.openxmlformats.org/drawingml/2006/main">
                        <a:graphicData uri="http://schemas.microsoft.com/office/word/2010/wordprocessingShape">
                          <wps:wsp>
                            <wps:cNvCnPr/>
                            <wps:spPr>
                              <a:xfrm flipH="1">
                                <a:off x="0" y="0"/>
                                <a:ext cx="635" cy="2343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70" o:spid="_x0000_s1026" o:spt="20" style="position:absolute;left:0pt;flip:x;margin-left:259.1pt;margin-top:-0.5pt;height:18.45pt;width:0.05pt;z-index:251666432;mso-width-relative:page;mso-height-relative:page;" filled="f" stroked="t" coordsize="21600,21600" o:gfxdata="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mVONLZAAAACQEAAA8AAAAAAAAAAQAgAAAAIgAAAGRycy9kb3ducmV2Lnht&#10;bFBLAQIUABQAAAAIAIdO4kAvWAtz+AEAAOwDAAAOAAAAAAAAAAEAIAAAACgBAABkcnMvZTJvRG9j&#10;LnhtbFBLBQYAAAAABgAGAFkBAACSBQAAAAA=&#10;">
                      <v:fill on="f" focussize="0,0"/>
                      <v:stroke color="#000000" joinstyle="round" endarrow="block"/>
                      <v:imagedata o:title=""/>
                      <o:lock v:ext="edit" aspectratio="f"/>
                    </v:line>
                  </w:pict>
                </mc:Fallback>
              </mc:AlternateContent>
            </w:r>
          </w:p>
          <w:p w14:paraId="643A60BD">
            <w:pPr>
              <w:spacing w:line="360" w:lineRule="auto"/>
              <w:ind w:firstLine="420" w:firstLineChars="200"/>
              <w:rPr>
                <w:b/>
                <w:color w:val="auto"/>
              </w:rPr>
            </w:pPr>
            <w:r>
              <w:rPr>
                <w:color w:val="auto"/>
              </w:rPr>
              <mc:AlternateContent>
                <mc:Choice Requires="wps">
                  <w:drawing>
                    <wp:anchor distT="0" distB="0" distL="114300" distR="114300" simplePos="0" relativeHeight="251685888" behindDoc="0" locked="0" layoutInCell="1" allowOverlap="1">
                      <wp:simplePos x="0" y="0"/>
                      <wp:positionH relativeFrom="column">
                        <wp:posOffset>287020</wp:posOffset>
                      </wp:positionH>
                      <wp:positionV relativeFrom="paragraph">
                        <wp:posOffset>-1905</wp:posOffset>
                      </wp:positionV>
                      <wp:extent cx="818515" cy="306070"/>
                      <wp:effectExtent l="4445" t="4445" r="15240" b="13335"/>
                      <wp:wrapNone/>
                      <wp:docPr id="26" name="文本框 993"/>
                      <wp:cNvGraphicFramePr/>
                      <a:graphic xmlns:a="http://schemas.openxmlformats.org/drawingml/2006/main">
                        <a:graphicData uri="http://schemas.microsoft.com/office/word/2010/wordprocessingShape">
                          <wps:wsp>
                            <wps:cNvSpPr txBox="1"/>
                            <wps:spPr>
                              <a:xfrm>
                                <a:off x="0" y="0"/>
                                <a:ext cx="818515" cy="30607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3FE6173C">
                                  <w:pPr>
                                    <w:rPr>
                                      <w:rFonts w:hint="eastAsia"/>
                                    </w:rPr>
                                  </w:pPr>
                                  <w:r>
                                    <w:rPr>
                                      <w:rFonts w:hint="eastAsia"/>
                                    </w:rPr>
                                    <w:t>生活垃圾</w:t>
                                  </w:r>
                                </w:p>
                              </w:txbxContent>
                            </wps:txbx>
                            <wps:bodyPr wrap="square" upright="1"/>
                          </wps:wsp>
                        </a:graphicData>
                      </a:graphic>
                    </wp:anchor>
                  </w:drawing>
                </mc:Choice>
                <mc:Fallback>
                  <w:pict>
                    <v:shape id="文本框 993" o:spid="_x0000_s1026" o:spt="202" type="#_x0000_t202" style="position:absolute;left:0pt;margin-left:22.6pt;margin-top:-0.15pt;height:24.1pt;width:64.45pt;z-index:251685888;mso-width-relative:page;mso-height-relative:page;" fillcolor="#FFFFFF" filled="t" stroked="t" coordsize="21600,21600" o:gfxdata="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uy4Or1AAAAAcBAAAPAAAA&#10;AAAAAAEAIAAAACIAAABkcnMvZG93bnJldi54bWxQSwECFAAUAAAACACHTuJALsQr+hkCAABFBAAA&#10;DgAAAAAAAAABACAAAAAjAQAAZHJzL2Uyb0RvYy54bWxQSwUGAAAAAAYABgBZAQAArgUAAAAA&#10;">
                      <v:fill on="t" focussize="0,0"/>
                      <v:stroke color="#000000" joinstyle="miter" dashstyle="dash"/>
                      <v:imagedata o:title=""/>
                      <o:lock v:ext="edit" aspectratio="f"/>
                      <v:textbox>
                        <w:txbxContent>
                          <w:p w14:paraId="3FE6173C">
                            <w:pPr>
                              <w:rPr>
                                <w:rFonts w:hint="eastAsia"/>
                              </w:rPr>
                            </w:pPr>
                            <w:r>
                              <w:rPr>
                                <w:rFonts w:hint="eastAsia"/>
                              </w:rPr>
                              <w:t>生活垃圾</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2880360</wp:posOffset>
                      </wp:positionH>
                      <wp:positionV relativeFrom="paragraph">
                        <wp:posOffset>-6350</wp:posOffset>
                      </wp:positionV>
                      <wp:extent cx="955675" cy="297180"/>
                      <wp:effectExtent l="4445" t="4445" r="11430" b="22225"/>
                      <wp:wrapNone/>
                      <wp:docPr id="9" name="文本框 975"/>
                      <wp:cNvGraphicFramePr/>
                      <a:graphic xmlns:a="http://schemas.openxmlformats.org/drawingml/2006/main">
                        <a:graphicData uri="http://schemas.microsoft.com/office/word/2010/wordprocessingShape">
                          <wps:wsp>
                            <wps:cNvSpPr txBox="1"/>
                            <wps:spPr>
                              <a:xfrm>
                                <a:off x="0" y="0"/>
                                <a:ext cx="95567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0B4FCC">
                                  <w:pPr>
                                    <w:jc w:val="center"/>
                                    <w:rPr>
                                      <w:rFonts w:hint="eastAsia"/>
                                    </w:rPr>
                                  </w:pPr>
                                  <w:r>
                                    <w:rPr>
                                      <w:rFonts w:hint="eastAsia"/>
                                    </w:rPr>
                                    <w:t>初步诊断</w:t>
                                  </w:r>
                                </w:p>
                                <w:p w14:paraId="3E80C81D"/>
                              </w:txbxContent>
                            </wps:txbx>
                            <wps:bodyPr wrap="square" upright="1"/>
                          </wps:wsp>
                        </a:graphicData>
                      </a:graphic>
                    </wp:anchor>
                  </w:drawing>
                </mc:Choice>
                <mc:Fallback>
                  <w:pict>
                    <v:shape id="文本框 975" o:spid="_x0000_s1026" o:spt="202" type="#_x0000_t202" style="position:absolute;left:0pt;margin-left:226.8pt;margin-top:-0.5pt;height:23.4pt;width:75.25pt;z-index:251668480;mso-width-relative:page;mso-height-relative:page;" fillcolor="#FFFFFF" filled="t" stroked="t" coordsize="21600,21600" o:gfxdata="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Xv8tJ2AAAAAkBAAAPAAAA&#10;AAAAAAEAIAAAACIAAABkcnMvZG93bnJldi54bWxQSwECFAAUAAAACACHTuJAyIpDvhUCAABFBAAA&#10;DgAAAAAAAAABACAAAAAnAQAAZHJzL2Uyb0RvYy54bWxQSwUGAAAAAAYABgBZAQAArgUAAAAA&#10;">
                      <v:fill on="t" focussize="0,0"/>
                      <v:stroke color="#000000" joinstyle="miter"/>
                      <v:imagedata o:title=""/>
                      <o:lock v:ext="edit" aspectratio="f"/>
                      <v:textbox>
                        <w:txbxContent>
                          <w:p w14:paraId="740B4FCC">
                            <w:pPr>
                              <w:jc w:val="center"/>
                              <w:rPr>
                                <w:rFonts w:hint="eastAsia"/>
                              </w:rPr>
                            </w:pPr>
                            <w:r>
                              <w:rPr>
                                <w:rFonts w:hint="eastAsia"/>
                              </w:rPr>
                              <w:t>初步诊断</w:t>
                            </w:r>
                          </w:p>
                          <w:p w14:paraId="3E80C81D"/>
                        </w:txbxContent>
                      </v:textbox>
                    </v:shape>
                  </w:pict>
                </mc:Fallback>
              </mc:AlternateContent>
            </w:r>
          </w:p>
          <w:p w14:paraId="63CE59C9">
            <w:pPr>
              <w:spacing w:line="360" w:lineRule="auto"/>
              <w:ind w:firstLine="420" w:firstLineChars="200"/>
              <w:rPr>
                <w:b/>
                <w:color w:val="auto"/>
              </w:rPr>
            </w:pPr>
            <w:r>
              <w:rPr>
                <w:color w:val="auto"/>
              </w:rPr>
              <mc:AlternateContent>
                <mc:Choice Requires="wps">
                  <w:drawing>
                    <wp:anchor distT="0" distB="0" distL="114300" distR="114300" simplePos="0" relativeHeight="251684864" behindDoc="0" locked="0" layoutInCell="1" allowOverlap="1">
                      <wp:simplePos x="0" y="0"/>
                      <wp:positionH relativeFrom="column">
                        <wp:posOffset>696595</wp:posOffset>
                      </wp:positionH>
                      <wp:positionV relativeFrom="paragraph">
                        <wp:posOffset>101600</wp:posOffset>
                      </wp:positionV>
                      <wp:extent cx="1905" cy="333375"/>
                      <wp:effectExtent l="37465" t="0" r="36830" b="9525"/>
                      <wp:wrapNone/>
                      <wp:docPr id="25" name="直线 992"/>
                      <wp:cNvGraphicFramePr/>
                      <a:graphic xmlns:a="http://schemas.openxmlformats.org/drawingml/2006/main">
                        <a:graphicData uri="http://schemas.microsoft.com/office/word/2010/wordprocessingShape">
                          <wps:wsp>
                            <wps:cNvCnPr/>
                            <wps:spPr>
                              <a:xfrm flipH="1" flipV="1">
                                <a:off x="0" y="0"/>
                                <a:ext cx="1905" cy="33337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92" o:spid="_x0000_s1026" o:spt="20" style="position:absolute;left:0pt;flip:x y;margin-left:54.85pt;margin-top:8pt;height:26.25pt;width:0.15pt;z-index:251684864;mso-width-relative:page;mso-height-relative:page;" filled="f" stroked="t" coordsize="21600,21600" o:gfxdata="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wh9q9YAAAAJAQAADwAAAAAAAAABACAAAAAiAAAAZHJzL2Rvd25yZXYu&#10;eG1sUEsBAhQAFAAAAAgAh07iQDAwyfD9AQAA9wMAAA4AAAAAAAAAAQAgAAAAJQEAAGRycy9lMm9E&#10;b2MueG1sUEsFBgAAAAAGAAYAWQEAAJQFAAAAAA==&#10;">
                      <v:fill on="f" focussize="0,0"/>
                      <v:stroke color="#000000" joinstyle="round" dashstyle="dash" endarrow="block"/>
                      <v:imagedata o:title=""/>
                      <o:lock v:ext="edit" aspectratio="f"/>
                    </v:line>
                  </w:pict>
                </mc:Fallback>
              </mc:AlternateContent>
            </w:r>
            <w:r>
              <w:rPr>
                <w:color w:val="auto"/>
                <w:sz w:val="20"/>
                <w:szCs w:val="30"/>
              </w:rPr>
              <mc:AlternateContent>
                <mc:Choice Requires="wps">
                  <w:drawing>
                    <wp:anchor distT="0" distB="0" distL="114300" distR="114300" simplePos="0" relativeHeight="251663360" behindDoc="0" locked="0" layoutInCell="1" allowOverlap="1">
                      <wp:simplePos x="0" y="0"/>
                      <wp:positionH relativeFrom="column">
                        <wp:posOffset>3018155</wp:posOffset>
                      </wp:positionH>
                      <wp:positionV relativeFrom="paragraph">
                        <wp:posOffset>26035</wp:posOffset>
                      </wp:positionV>
                      <wp:extent cx="3175" cy="222250"/>
                      <wp:effectExtent l="36830" t="0" r="36195" b="6350"/>
                      <wp:wrapNone/>
                      <wp:docPr id="4" name="直线 967"/>
                      <wp:cNvGraphicFramePr/>
                      <a:graphic xmlns:a="http://schemas.openxmlformats.org/drawingml/2006/main">
                        <a:graphicData uri="http://schemas.microsoft.com/office/word/2010/wordprocessingShape">
                          <wps:wsp>
                            <wps:cNvCnPr/>
                            <wps:spPr>
                              <a:xfrm flipH="1">
                                <a:off x="0" y="0"/>
                                <a:ext cx="3175" cy="22225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67" o:spid="_x0000_s1026" o:spt="20" style="position:absolute;left:0pt;flip:x;margin-left:237.65pt;margin-top:2.05pt;height:17.5pt;width:0.25pt;z-index:251663360;mso-width-relative:page;mso-height-relative:page;" filled="f" stroked="t" coordsize="21600,21600" o:gfxdata="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RgdXmtgAAAAIAQAADwAAAAAAAAABACAAAAAiAAAAZHJzL2Rvd25yZXYu&#10;eG1sUEsBAhQAFAAAAAgAh07iQBuShGz7AQAA7QMAAA4AAAAAAAAAAQAgAAAAJwEAAGRycy9lMm9E&#10;b2MueG1sUEsFBgAAAAAGAAYAWQEAAJQFAAAAAA==&#10;">
                      <v:fill on="f" focussize="0,0"/>
                      <v:stroke color="#000000" joinstyle="round" endarrow="block"/>
                      <v:imagedata o:title=""/>
                      <o:lock v:ext="edit" aspectratio="f"/>
                    </v:line>
                  </w:pict>
                </mc:Fallback>
              </mc:AlternateContent>
            </w:r>
            <w:r>
              <w:rPr>
                <w:color w:val="auto"/>
                <w:sz w:val="20"/>
                <w:szCs w:val="30"/>
              </w:rPr>
              <mc:AlternateContent>
                <mc:Choice Requires="wps">
                  <w:drawing>
                    <wp:anchor distT="0" distB="0" distL="114300" distR="114300" simplePos="0" relativeHeight="251664384" behindDoc="0" locked="0" layoutInCell="1" allowOverlap="1">
                      <wp:simplePos x="0" y="0"/>
                      <wp:positionH relativeFrom="column">
                        <wp:posOffset>3700780</wp:posOffset>
                      </wp:positionH>
                      <wp:positionV relativeFrom="paragraph">
                        <wp:posOffset>-10160</wp:posOffset>
                      </wp:positionV>
                      <wp:extent cx="635" cy="274320"/>
                      <wp:effectExtent l="38100" t="0" r="37465" b="11430"/>
                      <wp:wrapNone/>
                      <wp:docPr id="5" name="直线 968"/>
                      <wp:cNvGraphicFramePr/>
                      <a:graphic xmlns:a="http://schemas.openxmlformats.org/drawingml/2006/main">
                        <a:graphicData uri="http://schemas.microsoft.com/office/word/2010/wordprocessingShape">
                          <wps:wsp>
                            <wps:cNvCnPr/>
                            <wps:spPr>
                              <a:xfrm flipH="1">
                                <a:off x="0" y="0"/>
                                <a:ext cx="635" cy="27432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68" o:spid="_x0000_s1026" o:spt="20" style="position:absolute;left:0pt;flip:x;margin-left:291.4pt;margin-top:-0.8pt;height:21.6pt;width:0.05pt;z-index:251664384;mso-width-relative:page;mso-height-relative:page;" filled="f" stroked="t" coordsize="21600,21600" o:gfxdata="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I5UytgAAAAJAQAADwAAAAAAAAABACAAAAAiAAAAZHJzL2Rvd25yZXYu&#10;eG1sUEsBAhQAFAAAAAgAh07iQBjtpxL7AQAA7AMAAA4AAAAAAAAAAQAgAAAAJwEAAGRycy9lMm9E&#10;b2MueG1sUEsFBgAAAAAGAAYAWQEAAJQFAAAAAA==&#10;">
                      <v:fill on="f" focussize="0,0"/>
                      <v:stroke color="#000000" joinstyle="round" endarrow="block"/>
                      <v:imagedata o:title=""/>
                      <o:lock v:ext="edit" aspectratio="f"/>
                    </v:line>
                  </w:pict>
                </mc:Fallback>
              </mc:AlternateContent>
            </w:r>
          </w:p>
          <w:p w14:paraId="2971E58E">
            <w:pPr>
              <w:spacing w:line="360" w:lineRule="auto"/>
              <w:ind w:firstLine="420" w:firstLineChars="200"/>
              <w:rPr>
                <w:b/>
                <w:color w:val="auto"/>
              </w:rPr>
            </w:pPr>
            <w:r>
              <w:rPr>
                <w:color w:val="auto"/>
              </w:rPr>
              <mc:AlternateContent>
                <mc:Choice Requires="wps">
                  <w:drawing>
                    <wp:anchor distT="0" distB="0" distL="114300" distR="114300" simplePos="0" relativeHeight="251683840" behindDoc="0" locked="0" layoutInCell="1" allowOverlap="1">
                      <wp:simplePos x="0" y="0"/>
                      <wp:positionH relativeFrom="column">
                        <wp:posOffset>287020</wp:posOffset>
                      </wp:positionH>
                      <wp:positionV relativeFrom="paragraph">
                        <wp:posOffset>205105</wp:posOffset>
                      </wp:positionV>
                      <wp:extent cx="955040" cy="297180"/>
                      <wp:effectExtent l="4445" t="4445" r="12065" b="22225"/>
                      <wp:wrapNone/>
                      <wp:docPr id="24" name="文本框 991"/>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C7092CE">
                                  <w:pPr>
                                    <w:ind w:firstLine="105" w:firstLineChars="50"/>
                                    <w:rPr>
                                      <w:rFonts w:hint="eastAsia"/>
                                    </w:rPr>
                                  </w:pPr>
                                  <w:r>
                                    <w:rPr>
                                      <w:rFonts w:hint="eastAsia"/>
                                    </w:rPr>
                                    <w:t>医护人员</w:t>
                                  </w:r>
                                </w:p>
                              </w:txbxContent>
                            </wps:txbx>
                            <wps:bodyPr wrap="square" upright="1"/>
                          </wps:wsp>
                        </a:graphicData>
                      </a:graphic>
                    </wp:anchor>
                  </w:drawing>
                </mc:Choice>
                <mc:Fallback>
                  <w:pict>
                    <v:shape id="文本框 991" o:spid="_x0000_s1026" o:spt="202" type="#_x0000_t202" style="position:absolute;left:0pt;margin-left:22.6pt;margin-top:16.15pt;height:23.4pt;width:75.2pt;z-index:251683840;mso-width-relative:page;mso-height-relative:page;" fillcolor="#FFFFFF" filled="t" stroked="t" coordsize="21600,21600" o:gfxdata="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dDYjfYAAAACAEAAA8A&#10;AAAAAAAAAQAgAAAAIgAAAGRycy9kb3ducmV2LnhtbFBLAQIUABQAAAAIAIdO4kCxmZOSFwIAAEYE&#10;AAAOAAAAAAAAAAEAIAAAACcBAABkcnMvZTJvRG9jLnhtbFBLBQYAAAAABgAGAFkBAACwBQAAAAA=&#10;">
                      <v:fill on="t" focussize="0,0"/>
                      <v:stroke color="#000000" joinstyle="miter"/>
                      <v:imagedata o:title=""/>
                      <o:lock v:ext="edit" aspectratio="f"/>
                      <v:textbox>
                        <w:txbxContent>
                          <w:p w14:paraId="7C7092CE">
                            <w:pPr>
                              <w:ind w:firstLine="105" w:firstLineChars="50"/>
                              <w:rPr>
                                <w:rFonts w:hint="eastAsia"/>
                              </w:rPr>
                            </w:pPr>
                            <w:r>
                              <w:rPr>
                                <w:rFonts w:hint="eastAsia"/>
                              </w:rPr>
                              <w:t>医护人员</w:t>
                            </w:r>
                          </w:p>
                        </w:txbxContent>
                      </v:textbox>
                    </v:shap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2197735</wp:posOffset>
                      </wp:positionH>
                      <wp:positionV relativeFrom="paragraph">
                        <wp:posOffset>18415</wp:posOffset>
                      </wp:positionV>
                      <wp:extent cx="955040" cy="297180"/>
                      <wp:effectExtent l="4445" t="4445" r="12065" b="22225"/>
                      <wp:wrapNone/>
                      <wp:docPr id="11" name="文本框 977"/>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00C2C2">
                                  <w:pPr>
                                    <w:rPr>
                                      <w:rFonts w:hint="eastAsia"/>
                                    </w:rPr>
                                  </w:pPr>
                                  <w:r>
                                    <w:rPr>
                                      <w:rFonts w:hint="eastAsia"/>
                                    </w:rPr>
                                    <w:t>化验、诊断</w:t>
                                  </w:r>
                                </w:p>
                              </w:txbxContent>
                            </wps:txbx>
                            <wps:bodyPr wrap="square" upright="1"/>
                          </wps:wsp>
                        </a:graphicData>
                      </a:graphic>
                    </wp:anchor>
                  </w:drawing>
                </mc:Choice>
                <mc:Fallback>
                  <w:pict>
                    <v:shape id="文本框 977" o:spid="_x0000_s1026" o:spt="202" type="#_x0000_t202" style="position:absolute;left:0pt;margin-left:173.05pt;margin-top:1.45pt;height:23.4pt;width:75.2pt;z-index:251670528;mso-width-relative:page;mso-height-relative:page;" fillcolor="#FFFFFF" filled="t" stroked="t" coordsize="21600,21600" o:gfxdata="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WwBRXZAAAACAEAAA8A&#10;AAAAAAAAAQAgAAAAIgAAAGRycy9kb3ducmV2LnhtbFBLAQIUABQAAAAIAIdO4kCK5Ml8FgIAAEYE&#10;AAAOAAAAAAAAAAEAIAAAACgBAABkcnMvZTJvRG9jLnhtbFBLBQYAAAAABgAGAFkBAACwBQAAAAA=&#10;">
                      <v:fill on="t" focussize="0,0"/>
                      <v:stroke color="#000000" joinstyle="miter"/>
                      <v:imagedata o:title=""/>
                      <o:lock v:ext="edit" aspectratio="f"/>
                      <v:textbox>
                        <w:txbxContent>
                          <w:p w14:paraId="4100C2C2">
                            <w:pPr>
                              <w:rPr>
                                <w:rFonts w:hint="eastAsia"/>
                              </w:rPr>
                            </w:pPr>
                            <w:r>
                              <w:rPr>
                                <w:rFonts w:hint="eastAsia"/>
                              </w:rPr>
                              <w:t>化验、诊断</w:t>
                            </w:r>
                          </w:p>
                        </w:txbxContent>
                      </v:textbox>
                    </v:shape>
                  </w:pict>
                </mc:Fallback>
              </mc:AlternateContent>
            </w:r>
            <w:r>
              <w:rPr>
                <w:color w:val="auto"/>
                <w:sz w:val="20"/>
                <w:szCs w:val="30"/>
              </w:rPr>
              <mc:AlternateContent>
                <mc:Choice Requires="wps">
                  <w:drawing>
                    <wp:anchor distT="0" distB="0" distL="114300" distR="114300" simplePos="0" relativeHeight="251662336" behindDoc="0" locked="0" layoutInCell="1" allowOverlap="1">
                      <wp:simplePos x="0" y="0"/>
                      <wp:positionH relativeFrom="column">
                        <wp:posOffset>3426460</wp:posOffset>
                      </wp:positionH>
                      <wp:positionV relativeFrom="paragraph">
                        <wp:posOffset>18415</wp:posOffset>
                      </wp:positionV>
                      <wp:extent cx="955040" cy="297180"/>
                      <wp:effectExtent l="4445" t="4445" r="12065" b="22225"/>
                      <wp:wrapNone/>
                      <wp:docPr id="3" name="文本框 961"/>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696CD23">
                                  <w:pPr>
                                    <w:rPr>
                                      <w:rFonts w:hint="eastAsia"/>
                                    </w:rPr>
                                  </w:pPr>
                                  <w:r>
                                    <w:rPr>
                                      <w:rFonts w:hint="eastAsia"/>
                                    </w:rPr>
                                    <w:t>化验、诊断</w:t>
                                  </w:r>
                                </w:p>
                              </w:txbxContent>
                            </wps:txbx>
                            <wps:bodyPr wrap="square" upright="1"/>
                          </wps:wsp>
                        </a:graphicData>
                      </a:graphic>
                    </wp:anchor>
                  </w:drawing>
                </mc:Choice>
                <mc:Fallback>
                  <w:pict>
                    <v:shape id="文本框 961" o:spid="_x0000_s1026" o:spt="202" type="#_x0000_t202" style="position:absolute;left:0pt;margin-left:269.8pt;margin-top:1.45pt;height:23.4pt;width:75.2pt;z-index:251662336;mso-width-relative:page;mso-height-relative:page;" fillcolor="#FFFFFF" filled="t" stroked="t" coordsize="21600,21600" o:gfxdata="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0okzLYAAAACAEAAA8A&#10;AAAAAAAAAQAgAAAAIgAAAGRycy9kb3ducmV2LnhtbFBLAQIUABQAAAAIAIdO4kCxs3gjFwIAAEUE&#10;AAAOAAAAAAAAAAEAIAAAACcBAABkcnMvZTJvRG9jLnhtbFBLBQYAAAAABgAGAFkBAACwBQAAAAA=&#10;">
                      <v:fill on="t" focussize="0,0"/>
                      <v:stroke color="#000000" joinstyle="miter"/>
                      <v:imagedata o:title=""/>
                      <o:lock v:ext="edit" aspectratio="f"/>
                      <v:textbox>
                        <w:txbxContent>
                          <w:p w14:paraId="6696CD23">
                            <w:pPr>
                              <w:rPr>
                                <w:rFonts w:hint="eastAsia"/>
                              </w:rPr>
                            </w:pPr>
                            <w:r>
                              <w:rPr>
                                <w:rFonts w:hint="eastAsia"/>
                              </w:rPr>
                              <w:t>化验、诊断</w:t>
                            </w:r>
                          </w:p>
                        </w:txbxContent>
                      </v:textbox>
                    </v:shape>
                  </w:pict>
                </mc:Fallback>
              </mc:AlternateContent>
            </w:r>
          </w:p>
          <w:p w14:paraId="1FC84ED1">
            <w:pPr>
              <w:spacing w:line="360" w:lineRule="auto"/>
              <w:ind w:firstLine="420" w:firstLineChars="200"/>
              <w:rPr>
                <w:b/>
                <w:color w:val="auto"/>
              </w:rPr>
            </w:pPr>
            <w:r>
              <w:rPr>
                <w:color w:val="auto"/>
              </w:rPr>
              <mc:AlternateContent>
                <mc:Choice Requires="wps">
                  <w:drawing>
                    <wp:anchor distT="0" distB="0" distL="114300" distR="114300" simplePos="0" relativeHeight="251682816" behindDoc="0" locked="0" layoutInCell="1" allowOverlap="1">
                      <wp:simplePos x="0" y="0"/>
                      <wp:positionH relativeFrom="column">
                        <wp:posOffset>4792345</wp:posOffset>
                      </wp:positionH>
                      <wp:positionV relativeFrom="paragraph">
                        <wp:posOffset>122555</wp:posOffset>
                      </wp:positionV>
                      <wp:extent cx="709930" cy="437515"/>
                      <wp:effectExtent l="4445" t="4445" r="9525" b="15240"/>
                      <wp:wrapNone/>
                      <wp:docPr id="23" name="文本框 990"/>
                      <wp:cNvGraphicFramePr/>
                      <a:graphic xmlns:a="http://schemas.openxmlformats.org/drawingml/2006/main">
                        <a:graphicData uri="http://schemas.microsoft.com/office/word/2010/wordprocessingShape">
                          <wps:wsp>
                            <wps:cNvSpPr txBox="1"/>
                            <wps:spPr>
                              <a:xfrm>
                                <a:off x="0" y="0"/>
                                <a:ext cx="709930" cy="4375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3CA3ACB">
                                  <w:pPr>
                                    <w:rPr>
                                      <w:rFonts w:hint="eastAsia"/>
                                    </w:rPr>
                                  </w:pPr>
                                  <w:r>
                                    <w:rPr>
                                      <w:rFonts w:hint="eastAsia"/>
                                    </w:rPr>
                                    <w:t>门诊病人出院</w:t>
                                  </w:r>
                                </w:p>
                              </w:txbxContent>
                            </wps:txbx>
                            <wps:bodyPr vert="horz" wrap="square" anchor="t" anchorCtr="0" upright="1"/>
                          </wps:wsp>
                        </a:graphicData>
                      </a:graphic>
                    </wp:anchor>
                  </w:drawing>
                </mc:Choice>
                <mc:Fallback>
                  <w:pict>
                    <v:shape id="文本框 990" o:spid="_x0000_s1026" o:spt="202" type="#_x0000_t202" style="position:absolute;left:0pt;margin-left:377.35pt;margin-top:9.65pt;height:34.45pt;width:55.9pt;z-index:251682816;mso-width-relative:page;mso-height-relative:page;" fillcolor="#FFFFFF" filled="t" stroked="t" coordsize="21600,21600" o:gfxdata="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9ofVvZAAAACQEAAA8AAAAAAAAAAQAgAAAAIgAAAGRycy9kb3ducmV2LnhtbFBLAQIU&#10;ABQAAAAIAIdO4kBunbUjKwIAAGsEAAAOAAAAAAAAAAEAIAAAACgBAABkcnMvZTJvRG9jLnhtbFBL&#10;BQYAAAAABgAGAFkBAADFBQAAAAA=&#10;">
                      <v:fill on="t" focussize="0,0"/>
                      <v:stroke color="#000000" joinstyle="miter"/>
                      <v:imagedata o:title=""/>
                      <o:lock v:ext="edit" aspectratio="f"/>
                      <v:textbox>
                        <w:txbxContent>
                          <w:p w14:paraId="63CA3ACB">
                            <w:pPr>
                              <w:rPr>
                                <w:rFonts w:hint="eastAsia"/>
                              </w:rPr>
                            </w:pPr>
                            <w:r>
                              <w:rPr>
                                <w:rFonts w:hint="eastAsia"/>
                              </w:rPr>
                              <w:t>门诊病人出院</w:t>
                            </w:r>
                          </w:p>
                        </w:txbxContent>
                      </v:textbox>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696595</wp:posOffset>
                      </wp:positionH>
                      <wp:positionV relativeFrom="paragraph">
                        <wp:posOffset>205740</wp:posOffset>
                      </wp:positionV>
                      <wp:extent cx="1905" cy="355600"/>
                      <wp:effectExtent l="36830" t="0" r="37465" b="6350"/>
                      <wp:wrapNone/>
                      <wp:docPr id="28" name="直线 995"/>
                      <wp:cNvGraphicFramePr/>
                      <a:graphic xmlns:a="http://schemas.openxmlformats.org/drawingml/2006/main">
                        <a:graphicData uri="http://schemas.microsoft.com/office/word/2010/wordprocessingShape">
                          <wps:wsp>
                            <wps:cNvCnPr/>
                            <wps:spPr>
                              <a:xfrm>
                                <a:off x="0" y="0"/>
                                <a:ext cx="1905" cy="35560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95" o:spid="_x0000_s1026" o:spt="20" style="position:absolute;left:0pt;margin-left:54.85pt;margin-top:16.2pt;height:28pt;width:0.15pt;z-index:251687936;mso-width-relative:page;mso-height-relative:page;" filled="f" stroked="t" coordsize="21600,21600" o:gfxdata="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ap1lzaAAAACQEAAA8AAAAAAAAAAQAgAAAAIgAAAGRycy9kb3ducmV2LnhtbFBL&#10;AQIUABQAAAAIAIdO4kA12h/w9AEAAOMDAAAOAAAAAAAAAAEAIAAAACkBAABkcnMvZTJvRG9jLnht&#10;bFBLBQYAAAAABgAGAFkBAACPBQ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2607945</wp:posOffset>
                      </wp:positionH>
                      <wp:positionV relativeFrom="paragraph">
                        <wp:posOffset>85090</wp:posOffset>
                      </wp:positionV>
                      <wp:extent cx="1270" cy="373380"/>
                      <wp:effectExtent l="36830" t="0" r="38100" b="7620"/>
                      <wp:wrapNone/>
                      <wp:docPr id="14" name="直线 980"/>
                      <wp:cNvGraphicFramePr/>
                      <a:graphic xmlns:a="http://schemas.openxmlformats.org/drawingml/2006/main">
                        <a:graphicData uri="http://schemas.microsoft.com/office/word/2010/wordprocessingShape">
                          <wps:wsp>
                            <wps:cNvCnPr/>
                            <wps:spPr>
                              <a:xfrm>
                                <a:off x="0" y="0"/>
                                <a:ext cx="1270" cy="3733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80" o:spid="_x0000_s1026" o:spt="20" style="position:absolute;left:0pt;margin-left:205.35pt;margin-top:6.7pt;height:29.4pt;width:0.1pt;z-index:251673600;mso-width-relative:page;mso-height-relative:page;" filled="f" stroked="t" coordsize="21600,21600" o:gfxdata="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VYvvi2QAAAAkBAAAPAAAAAAAAAAEAIAAAACIAAABkcnMvZG93bnJldi54bWxQSwEC&#10;FAAUAAAACACHTuJAGfmAH/MBAADkAwAADgAAAAAAAAABACAAAAAoAQAAZHJzL2Uyb0RvYy54bWxQ&#10;SwUGAAAAAAYABgBZAQAAjQU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3850005</wp:posOffset>
                      </wp:positionH>
                      <wp:positionV relativeFrom="paragraph">
                        <wp:posOffset>66675</wp:posOffset>
                      </wp:positionV>
                      <wp:extent cx="635" cy="205740"/>
                      <wp:effectExtent l="37465" t="0" r="38100" b="3810"/>
                      <wp:wrapNone/>
                      <wp:docPr id="15" name="直线 981"/>
                      <wp:cNvGraphicFramePr/>
                      <a:graphic xmlns:a="http://schemas.openxmlformats.org/drawingml/2006/main">
                        <a:graphicData uri="http://schemas.microsoft.com/office/word/2010/wordprocessingShape">
                          <wps:wsp>
                            <wps:cNvCnPr/>
                            <wps:spPr>
                              <a:xfrm>
                                <a:off x="0" y="0"/>
                                <a:ext cx="635" cy="2057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81" o:spid="_x0000_s1026" o:spt="20" style="position:absolute;left:0pt;margin-left:303.15pt;margin-top:5.25pt;height:16.2pt;width:0.05pt;z-index:251674624;mso-width-relative:page;mso-height-relative:page;" filled="f" stroked="t" coordsize="21600,21600" o:gfxdata="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gtjtV2QAAAAkBAAAPAAAAAAAAAAEAIAAAACIAAABkcnMvZG93bnJldi54bWxQSwEC&#10;FAAUAAAACACHTuJAP7aSV/MBAADjAwAADgAAAAAAAAABACAAAAAoAQAAZHJzL2Uyb0RvYy54bWxQ&#10;SwUGAAAAAAYABgBZAQAAjQUAAAAA&#10;">
                      <v:fill on="f" focussize="0,0"/>
                      <v:stroke color="#000000" joinstyle="round" endarrow="block"/>
                      <v:imagedata o:title=""/>
                      <o:lock v:ext="edit" aspectratio="f"/>
                    </v:line>
                  </w:pict>
                </mc:Fallback>
              </mc:AlternateContent>
            </w:r>
          </w:p>
          <w:p w14:paraId="42E40668">
            <w:pPr>
              <w:spacing w:line="360" w:lineRule="auto"/>
              <w:ind w:firstLine="400" w:firstLineChars="200"/>
              <w:rPr>
                <w:b/>
                <w:color w:val="auto"/>
              </w:rPr>
            </w:pPr>
            <w:r>
              <w:rPr>
                <w:color w:val="auto"/>
                <w:sz w:val="20"/>
                <w:szCs w:val="30"/>
              </w:rPr>
              <mc:AlternateContent>
                <mc:Choice Requires="wps">
                  <w:drawing>
                    <wp:anchor distT="0" distB="0" distL="114300" distR="114300" simplePos="0" relativeHeight="251667456" behindDoc="0" locked="0" layoutInCell="1" allowOverlap="1">
                      <wp:simplePos x="0" y="0"/>
                      <wp:positionH relativeFrom="column">
                        <wp:posOffset>4382770</wp:posOffset>
                      </wp:positionH>
                      <wp:positionV relativeFrom="paragraph">
                        <wp:posOffset>205105</wp:posOffset>
                      </wp:positionV>
                      <wp:extent cx="410210" cy="4445"/>
                      <wp:effectExtent l="0" t="34290" r="8890" b="37465"/>
                      <wp:wrapNone/>
                      <wp:docPr id="8" name="直线 973"/>
                      <wp:cNvGraphicFramePr/>
                      <a:graphic xmlns:a="http://schemas.openxmlformats.org/drawingml/2006/main">
                        <a:graphicData uri="http://schemas.microsoft.com/office/word/2010/wordprocessingShape">
                          <wps:wsp>
                            <wps:cNvCnPr/>
                            <wps:spPr>
                              <a:xfrm>
                                <a:off x="0" y="0"/>
                                <a:ext cx="410210" cy="444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73" o:spid="_x0000_s1026" o:spt="20" style="position:absolute;left:0pt;margin-left:345.1pt;margin-top:16.15pt;height:0.35pt;width:32.3pt;z-index:251667456;mso-width-relative:page;mso-height-relative:page;" filled="f" stroked="t" coordsize="21600,21600" o:gfxdata="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wlsZ7aAAAACQEAAA8AAAAAAAAAAQAgAAAAIgAAAGRycy9kb3ducmV2LnhtbFBLAQIU&#10;ABQAAAAIAIdO4kDnEkkg8QEAAOMDAAAOAAAAAAAAAAEAIAAAACkBAABkcnMvZTJvRG9jLnhtbFBL&#10;BQYAAAAABgAGAFkBAACM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3427730</wp:posOffset>
                      </wp:positionH>
                      <wp:positionV relativeFrom="paragraph">
                        <wp:posOffset>33655</wp:posOffset>
                      </wp:positionV>
                      <wp:extent cx="955040" cy="297180"/>
                      <wp:effectExtent l="4445" t="4445" r="12065" b="22225"/>
                      <wp:wrapNone/>
                      <wp:docPr id="10" name="文本框 976"/>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1C58D1">
                                  <w:pPr>
                                    <w:ind w:firstLine="210" w:firstLineChars="100"/>
                                    <w:rPr>
                                      <w:rFonts w:hint="eastAsia"/>
                                    </w:rPr>
                                  </w:pPr>
                                  <w:r>
                                    <w:rPr>
                                      <w:rFonts w:hint="eastAsia"/>
                                    </w:rPr>
                                    <w:t>取  药</w:t>
                                  </w:r>
                                </w:p>
                              </w:txbxContent>
                            </wps:txbx>
                            <wps:bodyPr wrap="square" upright="1"/>
                          </wps:wsp>
                        </a:graphicData>
                      </a:graphic>
                    </wp:anchor>
                  </w:drawing>
                </mc:Choice>
                <mc:Fallback>
                  <w:pict>
                    <v:shape id="文本框 976" o:spid="_x0000_s1026" o:spt="202" type="#_x0000_t202" style="position:absolute;left:0pt;margin-left:269.9pt;margin-top:2.65pt;height:23.4pt;width:75.2pt;z-index:251669504;mso-width-relative:page;mso-height-relative:page;" fillcolor="#FFFFFF" filled="t" stroked="t" coordsize="21600,21600" o:gfxdata="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w9+h21wAAAAgBAAAPAAAA&#10;AAAAAAEAIAAAACIAAABkcnMvZG93bnJldi54bWxQSwECFAAUAAAACACHTuJAtdduKBYCAABGBAAA&#10;DgAAAAAAAAABACAAAAAmAQAAZHJzL2Uyb0RvYy54bWxQSwUGAAAAAAYABgBZAQAArgUAAAAA&#10;">
                      <v:fill on="t" focussize="0,0"/>
                      <v:stroke color="#000000" joinstyle="miter"/>
                      <v:imagedata o:title=""/>
                      <o:lock v:ext="edit" aspectratio="f"/>
                      <v:textbox>
                        <w:txbxContent>
                          <w:p w14:paraId="601C58D1">
                            <w:pPr>
                              <w:ind w:firstLine="210" w:firstLineChars="100"/>
                              <w:rPr>
                                <w:rFonts w:hint="eastAsia"/>
                              </w:rPr>
                            </w:pPr>
                            <w:r>
                              <w:rPr>
                                <w:rFonts w:hint="eastAsia"/>
                              </w:rPr>
                              <w:t>取  药</w:t>
                            </w:r>
                          </w:p>
                        </w:txbxContent>
                      </v:textbox>
                    </v:shape>
                  </w:pict>
                </mc:Fallback>
              </mc:AlternateContent>
            </w:r>
          </w:p>
          <w:p w14:paraId="1393777F">
            <w:pPr>
              <w:rPr>
                <w:color w:val="auto"/>
              </w:rPr>
            </w:pPr>
            <w:r>
              <w:rPr>
                <w:color w:val="auto"/>
              </w:rPr>
              <mc:AlternateContent>
                <mc:Choice Requires="wps">
                  <w:drawing>
                    <wp:anchor distT="0" distB="0" distL="114300" distR="114300" simplePos="0" relativeHeight="251678720" behindDoc="0" locked="0" layoutInCell="1" allowOverlap="1">
                      <wp:simplePos x="0" y="0"/>
                      <wp:positionH relativeFrom="column">
                        <wp:posOffset>4793615</wp:posOffset>
                      </wp:positionH>
                      <wp:positionV relativeFrom="paragraph">
                        <wp:posOffset>140335</wp:posOffset>
                      </wp:positionV>
                      <wp:extent cx="746760" cy="588645"/>
                      <wp:effectExtent l="5080" t="5080" r="10160" b="15875"/>
                      <wp:wrapNone/>
                      <wp:docPr id="19" name="文本框 985"/>
                      <wp:cNvGraphicFramePr/>
                      <a:graphic xmlns:a="http://schemas.openxmlformats.org/drawingml/2006/main">
                        <a:graphicData uri="http://schemas.microsoft.com/office/word/2010/wordprocessingShape">
                          <wps:wsp>
                            <wps:cNvSpPr txBox="1"/>
                            <wps:spPr>
                              <a:xfrm>
                                <a:off x="0" y="0"/>
                                <a:ext cx="746760" cy="588645"/>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7CD187D8">
                                  <w:pPr>
                                    <w:rPr>
                                      <w:rFonts w:hint="eastAsia"/>
                                    </w:rPr>
                                  </w:pPr>
                                </w:p>
                                <w:p w14:paraId="0BCD9785">
                                  <w:pPr>
                                    <w:rPr>
                                      <w:rFonts w:hint="eastAsia"/>
                                    </w:rPr>
                                  </w:pPr>
                                  <w:r>
                                    <w:rPr>
                                      <w:rFonts w:hint="eastAsia"/>
                                    </w:rPr>
                                    <w:t>医疗垃圾</w:t>
                                  </w:r>
                                </w:p>
                              </w:txbxContent>
                            </wps:txbx>
                            <wps:bodyPr vert="horz" wrap="square" anchor="t" anchorCtr="0" upright="1"/>
                          </wps:wsp>
                        </a:graphicData>
                      </a:graphic>
                    </wp:anchor>
                  </w:drawing>
                </mc:Choice>
                <mc:Fallback>
                  <w:pict>
                    <v:shape id="文本框 985" o:spid="_x0000_s1026" o:spt="202" type="#_x0000_t202" style="position:absolute;left:0pt;margin-left:377.45pt;margin-top:11.05pt;height:46.35pt;width:58.8pt;z-index:251678720;mso-width-relative:page;mso-height-relative:page;" fillcolor="#FFFFFF" filled="t" stroked="t" coordsize="21600,21600" o:gfxdata="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En1eO2AAAAAoBAAAPAAAAAAAAAAEAIAAAACIAAABkcnMvZG93bnJldi54bWxQSwEC&#10;FAAUAAAACACHTuJA5f+0ki0CAABqBAAADgAAAAAAAAABACAAAAAnAQAAZHJzL2Uyb0RvYy54bWxQ&#10;SwUGAAAAAAYABgBZAQAAxgUAAAAA&#10;">
                      <v:fill on="t" focussize="0,0"/>
                      <v:stroke color="#000000" joinstyle="miter" dashstyle="dash"/>
                      <v:imagedata o:title=""/>
                      <o:lock v:ext="edit" aspectratio="f"/>
                      <v:textbox>
                        <w:txbxContent>
                          <w:p w14:paraId="7CD187D8">
                            <w:pPr>
                              <w:rPr>
                                <w:rFonts w:hint="eastAsia"/>
                              </w:rPr>
                            </w:pPr>
                          </w:p>
                          <w:p w14:paraId="0BCD9785">
                            <w:pPr>
                              <w:rPr>
                                <w:rFonts w:hint="eastAsia"/>
                              </w:rPr>
                            </w:pPr>
                            <w:r>
                              <w:rPr>
                                <w:rFonts w:hint="eastAsia"/>
                              </w:rPr>
                              <w:t>医疗垃圾</w:t>
                            </w:r>
                          </w:p>
                        </w:txbxContent>
                      </v:textbox>
                    </v:shap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2198370</wp:posOffset>
                      </wp:positionH>
                      <wp:positionV relativeFrom="paragraph">
                        <wp:posOffset>-1905</wp:posOffset>
                      </wp:positionV>
                      <wp:extent cx="955040" cy="297180"/>
                      <wp:effectExtent l="4445" t="4445" r="12065" b="22225"/>
                      <wp:wrapNone/>
                      <wp:docPr id="12" name="文本框 978"/>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59D54F">
                                  <w:pPr>
                                    <w:rPr>
                                      <w:rFonts w:hint="eastAsia"/>
                                    </w:rPr>
                                  </w:pPr>
                                  <w:r>
                                    <w:rPr>
                                      <w:rFonts w:hint="eastAsia"/>
                                    </w:rPr>
                                    <w:t>治疗、手术</w:t>
                                  </w:r>
                                </w:p>
                              </w:txbxContent>
                            </wps:txbx>
                            <wps:bodyPr wrap="square" upright="1"/>
                          </wps:wsp>
                        </a:graphicData>
                      </a:graphic>
                    </wp:anchor>
                  </w:drawing>
                </mc:Choice>
                <mc:Fallback>
                  <w:pict>
                    <v:shape id="文本框 978" o:spid="_x0000_s1026" o:spt="202" type="#_x0000_t202" style="position:absolute;left:0pt;margin-left:173.1pt;margin-top:-0.15pt;height:23.4pt;width:75.2pt;z-index:251671552;mso-width-relative:page;mso-height-relative:page;" fillcolor="#FFFFFF" filled="t" stroked="t" coordsize="21600,21600" o:gfxdata="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nYWbNgAAAAIAQAADwAA&#10;AAAAAAABACAAAAAiAAAAZHJzL2Rvd25yZXYueG1sUEsBAhQAFAAAAAgAh07iQHa/hCsWAgAARgQA&#10;AA4AAAAAAAAAAQAgAAAAJwEAAGRycy9lMm9Eb2MueG1sUEsFBgAAAAAGAAYAWQEAAK8FAAAAAA==&#10;">
                      <v:fill on="t" focussize="0,0"/>
                      <v:stroke color="#000000" joinstyle="miter"/>
                      <v:imagedata o:title=""/>
                      <o:lock v:ext="edit" aspectratio="f"/>
                      <v:textbox>
                        <w:txbxContent>
                          <w:p w14:paraId="1359D54F">
                            <w:pPr>
                              <w:rPr>
                                <w:rFonts w:hint="eastAsia"/>
                              </w:rPr>
                            </w:pPr>
                            <w:r>
                              <w:rPr>
                                <w:rFonts w:hint="eastAsia"/>
                              </w:rPr>
                              <w:t>治疗、手术</w:t>
                            </w:r>
                          </w:p>
                        </w:txbxContent>
                      </v:textbox>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287020</wp:posOffset>
                      </wp:positionH>
                      <wp:positionV relativeFrom="paragraph">
                        <wp:posOffset>101600</wp:posOffset>
                      </wp:positionV>
                      <wp:extent cx="818515" cy="306070"/>
                      <wp:effectExtent l="4445" t="4445" r="15240" b="13335"/>
                      <wp:wrapNone/>
                      <wp:docPr id="27" name="文本框 994"/>
                      <wp:cNvGraphicFramePr/>
                      <a:graphic xmlns:a="http://schemas.openxmlformats.org/drawingml/2006/main">
                        <a:graphicData uri="http://schemas.microsoft.com/office/word/2010/wordprocessingShape">
                          <wps:wsp>
                            <wps:cNvSpPr txBox="1"/>
                            <wps:spPr>
                              <a:xfrm>
                                <a:off x="0" y="0"/>
                                <a:ext cx="818515" cy="30607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3747E344">
                                  <w:pPr>
                                    <w:rPr>
                                      <w:rFonts w:hint="eastAsia"/>
                                    </w:rPr>
                                  </w:pPr>
                                  <w:r>
                                    <w:rPr>
                                      <w:rFonts w:hint="eastAsia"/>
                                    </w:rPr>
                                    <w:t>生活污水</w:t>
                                  </w:r>
                                </w:p>
                              </w:txbxContent>
                            </wps:txbx>
                            <wps:bodyPr wrap="square" upright="1"/>
                          </wps:wsp>
                        </a:graphicData>
                      </a:graphic>
                    </wp:anchor>
                  </w:drawing>
                </mc:Choice>
                <mc:Fallback>
                  <w:pict>
                    <v:shape id="文本框 994" o:spid="_x0000_s1026" o:spt="202" type="#_x0000_t202" style="position:absolute;left:0pt;margin-left:22.6pt;margin-top:8pt;height:24.1pt;width:64.45pt;z-index:251686912;mso-width-relative:page;mso-height-relative:page;" fillcolor="#FFFFFF" filled="t" stroked="t" coordsize="21600,21600" o:gfxdata="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wkkJ7WAAAACAEAAA8A&#10;AAAAAAAAAQAgAAAAIgAAAGRycy9kb3ducmV2LnhtbFBLAQIUABQAAAAIAIdO4kDvo27UGQIAAEUE&#10;AAAOAAAAAAAAAAEAIAAAACUBAABkcnMvZTJvRG9jLnhtbFBLBQYAAAAABgAGAFkBAACwBQAAAAA=&#10;">
                      <v:fill on="t" focussize="0,0"/>
                      <v:stroke color="#000000" joinstyle="miter" dashstyle="dash"/>
                      <v:imagedata o:title=""/>
                      <o:lock v:ext="edit" aspectratio="f"/>
                      <v:textbox>
                        <w:txbxContent>
                          <w:p w14:paraId="3747E344">
                            <w:pPr>
                              <w:rPr>
                                <w:rFonts w:hint="eastAsia"/>
                              </w:rPr>
                            </w:pPr>
                            <w:r>
                              <w:rPr>
                                <w:rFonts w:hint="eastAsia"/>
                              </w:rPr>
                              <w:t>生活污水</w:t>
                            </w:r>
                          </w:p>
                        </w:txbxContent>
                      </v:textbox>
                    </v:shape>
                  </w:pict>
                </mc:Fallback>
              </mc:AlternateContent>
            </w:r>
          </w:p>
          <w:p w14:paraId="685A8A06">
            <w:pPr>
              <w:rPr>
                <w:color w:val="auto"/>
              </w:rPr>
            </w:pPr>
            <w:r>
              <w:rPr>
                <w:color w:val="auto"/>
              </w:rPr>
              <mc:AlternateContent>
                <mc:Choice Requires="wps">
                  <w:drawing>
                    <wp:anchor distT="0" distB="0" distL="114300" distR="114300" simplePos="0" relativeHeight="251680768" behindDoc="0" locked="0" layoutInCell="1" allowOverlap="1">
                      <wp:simplePos x="0" y="0"/>
                      <wp:positionH relativeFrom="column">
                        <wp:posOffset>3155950</wp:posOffset>
                      </wp:positionH>
                      <wp:positionV relativeFrom="paragraph">
                        <wp:posOffset>83185</wp:posOffset>
                      </wp:positionV>
                      <wp:extent cx="1637665" cy="4445"/>
                      <wp:effectExtent l="0" t="38100" r="635" b="33655"/>
                      <wp:wrapNone/>
                      <wp:docPr id="21" name="直线 988"/>
                      <wp:cNvGraphicFramePr/>
                      <a:graphic xmlns:a="http://schemas.openxmlformats.org/drawingml/2006/main">
                        <a:graphicData uri="http://schemas.microsoft.com/office/word/2010/wordprocessingShape">
                          <wps:wsp>
                            <wps:cNvCnPr/>
                            <wps:spPr>
                              <a:xfrm flipV="1">
                                <a:off x="0" y="0"/>
                                <a:ext cx="1637665" cy="444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88" o:spid="_x0000_s1026" o:spt="20" style="position:absolute;left:0pt;flip:y;margin-left:248.5pt;margin-top:6.55pt;height:0.35pt;width:128.95pt;z-index:251680768;mso-width-relative:page;mso-height-relative:page;" filled="f" stroked="t" coordsize="21600,21600" o:gfxdata="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JM7jH1gAAAAkBAAAPAAAAAAAAAAEAIAAAACIAAABkcnMvZG93bnJldi54&#10;bWxQSwECFAAUAAAACACHTuJA23lZqPwBAADuAwAADgAAAAAAAAABACAAAAAlAQAAZHJzL2Uyb0Rv&#10;Yy54bWxQSwUGAAAAAAYABgBZAQAAkwU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2621280</wp:posOffset>
                      </wp:positionH>
                      <wp:positionV relativeFrom="paragraph">
                        <wp:posOffset>95885</wp:posOffset>
                      </wp:positionV>
                      <wp:extent cx="635" cy="312420"/>
                      <wp:effectExtent l="37465" t="0" r="38100" b="11430"/>
                      <wp:wrapNone/>
                      <wp:docPr id="17" name="直线 983"/>
                      <wp:cNvGraphicFramePr/>
                      <a:graphic xmlns:a="http://schemas.openxmlformats.org/drawingml/2006/main">
                        <a:graphicData uri="http://schemas.microsoft.com/office/word/2010/wordprocessingShape">
                          <wps:wsp>
                            <wps:cNvCnPr/>
                            <wps:spPr>
                              <a:xfrm>
                                <a:off x="0" y="0"/>
                                <a:ext cx="635" cy="31242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83" o:spid="_x0000_s1026" o:spt="20" style="position:absolute;left:0pt;margin-left:206.4pt;margin-top:7.55pt;height:24.6pt;width:0.05pt;z-index:251676672;mso-width-relative:page;mso-height-relative:page;" filled="f" stroked="t" coordsize="21600,21600" o:gfxdata="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M7c9NkAAAAJAQAADwAAAAAAAAABACAAAAAiAAAAZHJzL2Rvd25yZXYueG1sUEsB&#10;AhQAFAAAAAgAh07iQPQbzsf0AQAA4wMAAA4AAAAAAAAAAQAgAAAAKAEAAGRycy9lMm9Eb2MueG1s&#10;UEsFBgAAAAAGAAYAWQEAAI4FAAAAAA==&#10;">
                      <v:fill on="f" focussize="0,0"/>
                      <v:stroke color="#000000" joinstyle="round" endarrow="block"/>
                      <v:imagedata o:title=""/>
                      <o:lock v:ext="edit" aspectratio="f"/>
                    </v:line>
                  </w:pict>
                </mc:Fallback>
              </mc:AlternateContent>
            </w:r>
          </w:p>
          <w:p w14:paraId="4F4747EE">
            <w:pPr>
              <w:rPr>
                <w:color w:val="auto"/>
              </w:rPr>
            </w:pPr>
            <w:r>
              <w:rPr>
                <w:color w:val="auto"/>
              </w:rPr>
              <mc:AlternateContent>
                <mc:Choice Requires="wps">
                  <w:drawing>
                    <wp:anchor distT="0" distB="0" distL="114300" distR="114300" simplePos="0" relativeHeight="251688960" behindDoc="0" locked="0" layoutInCell="1" allowOverlap="1">
                      <wp:simplePos x="0" y="0"/>
                      <wp:positionH relativeFrom="column">
                        <wp:posOffset>560070</wp:posOffset>
                      </wp:positionH>
                      <wp:positionV relativeFrom="paragraph">
                        <wp:posOffset>100965</wp:posOffset>
                      </wp:positionV>
                      <wp:extent cx="635" cy="1445260"/>
                      <wp:effectExtent l="38100" t="0" r="37465" b="2540"/>
                      <wp:wrapNone/>
                      <wp:docPr id="29" name="直线 997"/>
                      <wp:cNvGraphicFramePr/>
                      <a:graphic xmlns:a="http://schemas.openxmlformats.org/drawingml/2006/main">
                        <a:graphicData uri="http://schemas.microsoft.com/office/word/2010/wordprocessingShape">
                          <wps:wsp>
                            <wps:cNvCnPr/>
                            <wps:spPr>
                              <a:xfrm flipH="1">
                                <a:off x="0" y="0"/>
                                <a:ext cx="635" cy="144526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97" o:spid="_x0000_s1026" o:spt="20" style="position:absolute;left:0pt;flip:x;margin-left:44.1pt;margin-top:7.95pt;height:113.8pt;width:0.05pt;z-index:251688960;mso-width-relative:page;mso-height-relative:page;" filled="f" stroked="t" coordsize="21600,21600" o:gfxdata="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w8tQrWAAAACAEAAA8AAAAAAAAAAQAgAAAAIgAAAGRycy9kb3ducmV2&#10;LnhtbFBLAQIUABQAAAAIAIdO4kCkN+Z6/gEAAO0DAAAOAAAAAAAAAAEAIAAAACUBAABkcnMvZTJv&#10;RG9jLnhtbFBLBQYAAAAABgAGAFkBAACVBQAAAAA=&#10;">
                      <v:fill on="f" focussize="0,0"/>
                      <v:stroke color="#000000" joinstyle="round" dashstyle="dash" endarrow="block"/>
                      <v:imagedata o:title=""/>
                      <o:lock v:ext="edit" aspectratio="f"/>
                    </v:line>
                  </w:pict>
                </mc:Fallback>
              </mc:AlternateContent>
            </w:r>
          </w:p>
          <w:p w14:paraId="2031C66E">
            <w:pPr>
              <w:rPr>
                <w:color w:val="auto"/>
              </w:rPr>
            </w:pPr>
            <w:r>
              <w:rPr>
                <w:color w:val="auto"/>
              </w:rPr>
              <mc:AlternateContent>
                <mc:Choice Requires="wps">
                  <w:drawing>
                    <wp:anchor distT="0" distB="0" distL="114300" distR="114300" simplePos="0" relativeHeight="251672576" behindDoc="0" locked="0" layoutInCell="1" allowOverlap="1">
                      <wp:simplePos x="0" y="0"/>
                      <wp:positionH relativeFrom="column">
                        <wp:posOffset>2061845</wp:posOffset>
                      </wp:positionH>
                      <wp:positionV relativeFrom="paragraph">
                        <wp:posOffset>101600</wp:posOffset>
                      </wp:positionV>
                      <wp:extent cx="1228725" cy="297180"/>
                      <wp:effectExtent l="4445" t="4445" r="5080" b="22225"/>
                      <wp:wrapNone/>
                      <wp:docPr id="13" name="文本框 979"/>
                      <wp:cNvGraphicFramePr/>
                      <a:graphic xmlns:a="http://schemas.openxmlformats.org/drawingml/2006/main">
                        <a:graphicData uri="http://schemas.microsoft.com/office/word/2010/wordprocessingShape">
                          <wps:wsp>
                            <wps:cNvSpPr txBox="1"/>
                            <wps:spPr>
                              <a:xfrm>
                                <a:off x="0" y="0"/>
                                <a:ext cx="122872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99707C">
                                  <w:pPr>
                                    <w:rPr>
                                      <w:rFonts w:hint="eastAsia"/>
                                    </w:rPr>
                                  </w:pPr>
                                  <w:r>
                                    <w:rPr>
                                      <w:rFonts w:hint="eastAsia"/>
                                    </w:rPr>
                                    <w:t>住院、治疗、护理</w:t>
                                  </w:r>
                                </w:p>
                              </w:txbxContent>
                            </wps:txbx>
                            <wps:bodyPr wrap="square" upright="1"/>
                          </wps:wsp>
                        </a:graphicData>
                      </a:graphic>
                    </wp:anchor>
                  </w:drawing>
                </mc:Choice>
                <mc:Fallback>
                  <w:pict>
                    <v:shape id="文本框 979" o:spid="_x0000_s1026" o:spt="202" type="#_x0000_t202" style="position:absolute;left:0pt;margin-left:162.35pt;margin-top:8pt;height:23.4pt;width:96.75pt;z-index:251672576;mso-width-relative:page;mso-height-relative:page;" fillcolor="#FFFFFF" filled="t" stroked="t" coordsize="21600,21600" o:gfxdata="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zV2sp2AAAAAkBAAAP&#10;AAAAAAAAAAEAIAAAACIAAABkcnMvZG93bnJldi54bWxQSwECFAAUAAAACACHTuJABkiecxgCAABH&#10;BAAADgAAAAAAAAABACAAAAAnAQAAZHJzL2Uyb0RvYy54bWxQSwUGAAAAAAYABgBZAQAAsQUAAAAA&#10;">
                      <v:fill on="t" focussize="0,0"/>
                      <v:stroke color="#000000" joinstyle="miter"/>
                      <v:imagedata o:title=""/>
                      <o:lock v:ext="edit" aspectratio="f"/>
                      <v:textbox>
                        <w:txbxContent>
                          <w:p w14:paraId="4199707C">
                            <w:pPr>
                              <w:rPr>
                                <w:rFonts w:hint="eastAsia"/>
                              </w:rPr>
                            </w:pPr>
                            <w:r>
                              <w:rPr>
                                <w:rFonts w:hint="eastAsia"/>
                              </w:rPr>
                              <w:t>住院、治疗、护理</w:t>
                            </w:r>
                          </w:p>
                        </w:txbxContent>
                      </v:textbox>
                    </v:shape>
                  </w:pict>
                </mc:Fallback>
              </mc:AlternateContent>
            </w:r>
          </w:p>
          <w:p w14:paraId="790C056D">
            <w:pPr>
              <w:rPr>
                <w:color w:val="auto"/>
              </w:rPr>
            </w:pPr>
            <w:r>
              <w:rPr>
                <w:color w:val="auto"/>
              </w:rPr>
              <mc:AlternateContent>
                <mc:Choice Requires="wps">
                  <w:drawing>
                    <wp:anchor distT="0" distB="0" distL="114300" distR="114300" simplePos="0" relativeHeight="251679744" behindDoc="0" locked="0" layoutInCell="1" allowOverlap="1">
                      <wp:simplePos x="0" y="0"/>
                      <wp:positionH relativeFrom="column">
                        <wp:posOffset>3290570</wp:posOffset>
                      </wp:positionH>
                      <wp:positionV relativeFrom="paragraph">
                        <wp:posOffset>-1905</wp:posOffset>
                      </wp:positionV>
                      <wp:extent cx="1501775" cy="0"/>
                      <wp:effectExtent l="0" t="38100" r="3175" b="38100"/>
                      <wp:wrapNone/>
                      <wp:docPr id="20" name="直线 986"/>
                      <wp:cNvGraphicFramePr/>
                      <a:graphic xmlns:a="http://schemas.openxmlformats.org/drawingml/2006/main">
                        <a:graphicData uri="http://schemas.microsoft.com/office/word/2010/wordprocessingShape">
                          <wps:wsp>
                            <wps:cNvCnPr/>
                            <wps:spPr>
                              <a:xfrm>
                                <a:off x="0" y="0"/>
                                <a:ext cx="1501775"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86" o:spid="_x0000_s1026" o:spt="20" style="position:absolute;left:0pt;margin-left:259.1pt;margin-top:-0.15pt;height:0pt;width:118.25pt;z-index:251679744;mso-width-relative:page;mso-height-relative:page;" filled="f" stroked="t" coordsize="21600,21600" o:gfxdata="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45+OdgAAAAHAQAADwAAAAAAAAABACAAAAAiAAAAZHJzL2Rvd25yZXYueG1sUEsBAhQA&#10;FAAAAAgAh07iQL0tUHTyAQAA4QMAAA4AAAAAAAAAAQAgAAAAJwEAAGRycy9lMm9Eb2MueG1sUEsF&#10;BgAAAAAGAAYAWQEAAIsFAAAAAA==&#10;">
                      <v:fill on="f" focussize="0,0"/>
                      <v:stroke color="#000000" joinstyle="round" dashstyle="dash" endarrow="block"/>
                      <v:imagedata o:title=""/>
                      <o:lock v:ext="edit" aspectratio="f"/>
                    </v:line>
                  </w:pict>
                </mc:Fallback>
              </mc:AlternateContent>
            </w:r>
          </w:p>
          <w:p w14:paraId="20C926AA">
            <w:pPr>
              <w:rPr>
                <w:color w:val="auto"/>
              </w:rPr>
            </w:pPr>
            <w:r>
              <w:rPr>
                <w:color w:val="auto"/>
              </w:rPr>
              <mc:AlternateContent>
                <mc:Choice Requires="wps">
                  <w:drawing>
                    <wp:anchor distT="0" distB="0" distL="114300" distR="114300" simplePos="0" relativeHeight="251675648" behindDoc="0" locked="0" layoutInCell="1" allowOverlap="1">
                      <wp:simplePos x="0" y="0"/>
                      <wp:positionH relativeFrom="column">
                        <wp:posOffset>2607945</wp:posOffset>
                      </wp:positionH>
                      <wp:positionV relativeFrom="paragraph">
                        <wp:posOffset>92075</wp:posOffset>
                      </wp:positionV>
                      <wp:extent cx="1270" cy="212725"/>
                      <wp:effectExtent l="37465" t="0" r="37465" b="15875"/>
                      <wp:wrapNone/>
                      <wp:docPr id="16" name="直线 982"/>
                      <wp:cNvGraphicFramePr/>
                      <a:graphic xmlns:a="http://schemas.openxmlformats.org/drawingml/2006/main">
                        <a:graphicData uri="http://schemas.microsoft.com/office/word/2010/wordprocessingShape">
                          <wps:wsp>
                            <wps:cNvCnPr/>
                            <wps:spPr>
                              <a:xfrm>
                                <a:off x="0" y="0"/>
                                <a:ext cx="1270" cy="21272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82" o:spid="_x0000_s1026" o:spt="20" style="position:absolute;left:0pt;margin-left:205.35pt;margin-top:7.25pt;height:16.75pt;width:0.1pt;z-index:251675648;mso-width-relative:page;mso-height-relative:page;" filled="f" stroked="t" coordsize="21600,21600" o:gfxdata="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P7BhvYAAAACQEAAA8AAAAAAAAAAQAgAAAAIgAAAGRycy9kb3ducmV2LnhtbFBLAQIUABQA&#10;AAAIAIdO4kDHH7QU8AEAAOQDAAAOAAAAAAAAAAEAIAAAACcBAABkcnMvZTJvRG9jLnhtbFBLBQYA&#10;AAAABgAGAFkBAACJBQAAAAA=&#10;">
                      <v:fill on="f" focussize="0,0"/>
                      <v:stroke color="#000000" joinstyle="round" endarrow="block"/>
                      <v:imagedata o:title=""/>
                      <o:lock v:ext="edit" aspectratio="f"/>
                    </v:line>
                  </w:pict>
                </mc:Fallback>
              </mc:AlternateContent>
            </w:r>
          </w:p>
          <w:p w14:paraId="6CFE8DBC">
            <w:pPr>
              <w:rPr>
                <w:color w:val="auto"/>
              </w:rPr>
            </w:pPr>
            <w:r>
              <w:rPr>
                <w:color w:val="auto"/>
              </w:rPr>
              <mc:AlternateContent>
                <mc:Choice Requires="wps">
                  <w:drawing>
                    <wp:anchor distT="0" distB="0" distL="114300" distR="114300" simplePos="0" relativeHeight="251691008" behindDoc="0" locked="0" layoutInCell="1" allowOverlap="1">
                      <wp:simplePos x="0" y="0"/>
                      <wp:positionH relativeFrom="column">
                        <wp:posOffset>696595</wp:posOffset>
                      </wp:positionH>
                      <wp:positionV relativeFrom="paragraph">
                        <wp:posOffset>101600</wp:posOffset>
                      </wp:positionV>
                      <wp:extent cx="818515" cy="517525"/>
                      <wp:effectExtent l="5080" t="4445" r="14605" b="11430"/>
                      <wp:wrapNone/>
                      <wp:docPr id="31" name="文本框 999"/>
                      <wp:cNvGraphicFramePr/>
                      <a:graphic xmlns:a="http://schemas.openxmlformats.org/drawingml/2006/main">
                        <a:graphicData uri="http://schemas.microsoft.com/office/word/2010/wordprocessingShape">
                          <wps:wsp>
                            <wps:cNvSpPr txBox="1"/>
                            <wps:spPr>
                              <a:xfrm>
                                <a:off x="0" y="0"/>
                                <a:ext cx="818515" cy="517525"/>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580304E1">
                                  <w:pPr>
                                    <w:rPr>
                                      <w:rFonts w:hint="eastAsia"/>
                                    </w:rPr>
                                  </w:pPr>
                                  <w:r>
                                    <w:rPr>
                                      <w:rFonts w:hint="eastAsia"/>
                                    </w:rPr>
                                    <w:t>生活污水、</w:t>
                                  </w:r>
                                </w:p>
                                <w:p w14:paraId="5B2EA1A9">
                                  <w:pPr>
                                    <w:rPr>
                                      <w:rFonts w:hint="eastAsia"/>
                                    </w:rPr>
                                  </w:pPr>
                                  <w:r>
                                    <w:rPr>
                                      <w:rFonts w:hint="eastAsia"/>
                                    </w:rPr>
                                    <w:t>医疗污水</w:t>
                                  </w:r>
                                </w:p>
                              </w:txbxContent>
                            </wps:txbx>
                            <wps:bodyPr wrap="square" upright="1"/>
                          </wps:wsp>
                        </a:graphicData>
                      </a:graphic>
                    </wp:anchor>
                  </w:drawing>
                </mc:Choice>
                <mc:Fallback>
                  <w:pict>
                    <v:shape id="文本框 999" o:spid="_x0000_s1026" o:spt="202" type="#_x0000_t202" style="position:absolute;left:0pt;margin-left:54.85pt;margin-top:8pt;height:40.75pt;width:64.45pt;z-index:251691008;mso-width-relative:page;mso-height-relative:page;" fillcolor="#FFFFFF" filled="t" stroked="t" coordsize="21600,21600" o:gfxdata="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V9Z6HWAAAACQEAAA8AAAAA&#10;AAAAAQAgAAAAIgAAAGRycy9kb3ducmV2LnhtbFBLAQIUABQAAAAIAIdO4kBrUKfoFgIAAEUEAAAO&#10;AAAAAAAAAAEAIAAAACUBAABkcnMvZTJvRG9jLnhtbFBLBQYAAAAABgAGAFkBAACtBQAAAAA=&#10;">
                      <v:fill on="t" focussize="0,0"/>
                      <v:stroke color="#000000" joinstyle="miter" dashstyle="dash"/>
                      <v:imagedata o:title=""/>
                      <o:lock v:ext="edit" aspectratio="f"/>
                      <v:textbox>
                        <w:txbxContent>
                          <w:p w14:paraId="580304E1">
                            <w:pPr>
                              <w:rPr>
                                <w:rFonts w:hint="eastAsia"/>
                              </w:rPr>
                            </w:pPr>
                            <w:r>
                              <w:rPr>
                                <w:rFonts w:hint="eastAsia"/>
                              </w:rPr>
                              <w:t>生活污水、</w:t>
                            </w:r>
                          </w:p>
                          <w:p w14:paraId="5B2EA1A9">
                            <w:pPr>
                              <w:rPr>
                                <w:rFonts w:hint="eastAsia"/>
                              </w:rPr>
                            </w:pPr>
                            <w:r>
                              <w:rPr>
                                <w:rFonts w:hint="eastAsia"/>
                              </w:rPr>
                              <w:t>医疗污水</w:t>
                            </w:r>
                          </w:p>
                        </w:txbxContent>
                      </v:textbox>
                    </v:shape>
                  </w:pict>
                </mc:Fallback>
              </mc:AlternateContent>
            </w:r>
          </w:p>
          <w:p w14:paraId="2614A2B0">
            <w:pPr>
              <w:rPr>
                <w:color w:val="auto"/>
              </w:rPr>
            </w:pPr>
            <w:r>
              <w:rPr>
                <w:color w:val="auto"/>
              </w:rPr>
              <mc:AlternateContent>
                <mc:Choice Requires="wps">
                  <w:drawing>
                    <wp:anchor distT="0" distB="0" distL="114300" distR="114300" simplePos="0" relativeHeight="251677696" behindDoc="0" locked="0" layoutInCell="1" allowOverlap="1">
                      <wp:simplePos x="0" y="0"/>
                      <wp:positionH relativeFrom="column">
                        <wp:posOffset>2198370</wp:posOffset>
                      </wp:positionH>
                      <wp:positionV relativeFrom="paragraph">
                        <wp:posOffset>-1905</wp:posOffset>
                      </wp:positionV>
                      <wp:extent cx="955040" cy="297180"/>
                      <wp:effectExtent l="4445" t="4445" r="12065" b="22225"/>
                      <wp:wrapNone/>
                      <wp:docPr id="18" name="文本框 984"/>
                      <wp:cNvGraphicFramePr/>
                      <a:graphic xmlns:a="http://schemas.openxmlformats.org/drawingml/2006/main">
                        <a:graphicData uri="http://schemas.microsoft.com/office/word/2010/wordprocessingShape">
                          <wps:wsp>
                            <wps:cNvSpPr txBox="1"/>
                            <wps:spPr>
                              <a:xfrm>
                                <a:off x="0" y="0"/>
                                <a:ext cx="955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AB011B">
                                  <w:pPr>
                                    <w:ind w:firstLine="210" w:firstLineChars="100"/>
                                    <w:rPr>
                                      <w:rFonts w:hint="eastAsia"/>
                                    </w:rPr>
                                  </w:pPr>
                                  <w:r>
                                    <w:rPr>
                                      <w:rFonts w:hint="eastAsia"/>
                                    </w:rPr>
                                    <w:t>复 查</w:t>
                                  </w:r>
                                </w:p>
                              </w:txbxContent>
                            </wps:txbx>
                            <wps:bodyPr wrap="square" upright="1"/>
                          </wps:wsp>
                        </a:graphicData>
                      </a:graphic>
                    </wp:anchor>
                  </w:drawing>
                </mc:Choice>
                <mc:Fallback>
                  <w:pict>
                    <v:shape id="文本框 984" o:spid="_x0000_s1026" o:spt="202" type="#_x0000_t202" style="position:absolute;left:0pt;margin-left:173.1pt;margin-top:-0.15pt;height:23.4pt;width:75.2pt;z-index:251677696;mso-width-relative:page;mso-height-relative:page;" fillcolor="#FFFFFF" filled="t" stroked="t" coordsize="21600,21600" o:gfxdata="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nYWbNgAAAAIAQAADwAA&#10;AAAAAAABACAAAAAiAAAAZHJzL2Rvd25yZXYueG1sUEsBAhQAFAAAAAgAh07iQA39yvEWAgAARgQA&#10;AA4AAAAAAAAAAQAgAAAAJwEAAGRycy9lMm9Eb2MueG1sUEsFBgAAAAAGAAYAWQEAAK8FAAAAAA==&#10;">
                      <v:fill on="t" focussize="0,0"/>
                      <v:stroke color="#000000" joinstyle="miter"/>
                      <v:imagedata o:title=""/>
                      <o:lock v:ext="edit" aspectratio="f"/>
                      <v:textbox>
                        <w:txbxContent>
                          <w:p w14:paraId="7DAB011B">
                            <w:pPr>
                              <w:ind w:firstLine="210" w:firstLineChars="100"/>
                              <w:rPr>
                                <w:rFonts w:hint="eastAsia"/>
                              </w:rPr>
                            </w:pPr>
                            <w:r>
                              <w:rPr>
                                <w:rFonts w:hint="eastAsia"/>
                              </w:rPr>
                              <w:t>复 查</w:t>
                            </w:r>
                          </w:p>
                        </w:txbxContent>
                      </v:textbox>
                    </v:shape>
                  </w:pict>
                </mc:Fallback>
              </mc:AlternateContent>
            </w:r>
          </w:p>
          <w:p w14:paraId="48D2EA30">
            <w:pPr>
              <w:rPr>
                <w:color w:val="auto"/>
              </w:rPr>
            </w:pPr>
            <w:r>
              <w:rPr>
                <w:color w:val="auto"/>
              </w:rPr>
              <mc:AlternateContent>
                <mc:Choice Requires="wps">
                  <w:drawing>
                    <wp:anchor distT="0" distB="0" distL="114300" distR="114300" simplePos="0" relativeHeight="251703296" behindDoc="0" locked="0" layoutInCell="1" allowOverlap="1">
                      <wp:simplePos x="0" y="0"/>
                      <wp:positionH relativeFrom="column">
                        <wp:posOffset>29210</wp:posOffset>
                      </wp:positionH>
                      <wp:positionV relativeFrom="paragraph">
                        <wp:posOffset>128905</wp:posOffset>
                      </wp:positionV>
                      <wp:extent cx="486410" cy="269240"/>
                      <wp:effectExtent l="4445" t="4445" r="23495" b="12065"/>
                      <wp:wrapNone/>
                      <wp:docPr id="43" name="文本框 325"/>
                      <wp:cNvGraphicFramePr/>
                      <a:graphic xmlns:a="http://schemas.openxmlformats.org/drawingml/2006/main">
                        <a:graphicData uri="http://schemas.microsoft.com/office/word/2010/wordprocessingShape">
                          <wps:wsp>
                            <wps:cNvSpPr txBox="1"/>
                            <wps:spPr>
                              <a:xfrm>
                                <a:off x="0" y="0"/>
                                <a:ext cx="486410" cy="26924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2C899918">
                                  <w:pPr>
                                    <w:rPr>
                                      <w:rFonts w:hint="eastAsia"/>
                                    </w:rPr>
                                  </w:pPr>
                                  <w:r>
                                    <w:rPr>
                                      <w:rFonts w:hint="eastAsia"/>
                                    </w:rPr>
                                    <w:t>臭气</w:t>
                                  </w:r>
                                </w:p>
                              </w:txbxContent>
                            </wps:txbx>
                            <wps:bodyPr vert="horz" wrap="square" anchor="t" anchorCtr="0" upright="1"/>
                          </wps:wsp>
                        </a:graphicData>
                      </a:graphic>
                    </wp:anchor>
                  </w:drawing>
                </mc:Choice>
                <mc:Fallback>
                  <w:pict>
                    <v:shape id="文本框 325" o:spid="_x0000_s1026" o:spt="202" type="#_x0000_t202" style="position:absolute;left:0pt;margin-left:2.3pt;margin-top:10.15pt;height:21.2pt;width:38.3pt;z-index:251703296;mso-width-relative:page;mso-height-relative:page;" fillcolor="#FFFFFF" filled="t" stroked="t" coordsize="21600,21600" o:gfxdata="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Rr6uY1AAAAAYBAAAPAAAAAAAAAAEAIAAAACIAAABkcnMvZG93bnJldi54bWxQSwECFAAU&#10;AAAACACHTuJAprLjQC4CAABqBAAADgAAAAAAAAABACAAAAAjAQAAZHJzL2Uyb0RvYy54bWxQSwUG&#10;AAAAAAYABgBZAQAAwwUAAAAA&#10;">
                      <v:fill on="t" focussize="0,0"/>
                      <v:stroke color="#000000" joinstyle="miter" dashstyle="dash"/>
                      <v:imagedata o:title=""/>
                      <o:lock v:ext="edit" aspectratio="f"/>
                      <v:textbox>
                        <w:txbxContent>
                          <w:p w14:paraId="2C899918">
                            <w:pPr>
                              <w:rPr>
                                <w:rFonts w:hint="eastAsia"/>
                              </w:rPr>
                            </w:pPr>
                            <w:r>
                              <w:rPr>
                                <w:rFonts w:hint="eastAsia"/>
                              </w:rPr>
                              <w:t>臭气</w:t>
                            </w:r>
                          </w:p>
                        </w:txbxContent>
                      </v:textbox>
                    </v:shape>
                  </w:pict>
                </mc:Fallback>
              </mc:AlternateContent>
            </w:r>
            <w:r>
              <w:rPr>
                <w:color w:val="auto"/>
                <w:sz w:val="20"/>
                <w:szCs w:val="30"/>
              </w:rPr>
              <mc:AlternateContent>
                <mc:Choice Requires="wps">
                  <w:drawing>
                    <wp:anchor distT="0" distB="0" distL="114300" distR="114300" simplePos="0" relativeHeight="251665408" behindDoc="0" locked="0" layoutInCell="1" allowOverlap="1">
                      <wp:simplePos x="0" y="0"/>
                      <wp:positionH relativeFrom="column">
                        <wp:posOffset>2608580</wp:posOffset>
                      </wp:positionH>
                      <wp:positionV relativeFrom="paragraph">
                        <wp:posOffset>101600</wp:posOffset>
                      </wp:positionV>
                      <wp:extent cx="635" cy="198120"/>
                      <wp:effectExtent l="37465" t="0" r="38100" b="11430"/>
                      <wp:wrapNone/>
                      <wp:docPr id="6" name="直线 969"/>
                      <wp:cNvGraphicFramePr/>
                      <a:graphic xmlns:a="http://schemas.openxmlformats.org/drawingml/2006/main">
                        <a:graphicData uri="http://schemas.microsoft.com/office/word/2010/wordprocessingShape">
                          <wps:wsp>
                            <wps:cNvCnPr/>
                            <wps:spPr>
                              <a:xfrm>
                                <a:off x="0" y="0"/>
                                <a:ext cx="635" cy="19812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969" o:spid="_x0000_s1026" o:spt="20" style="position:absolute;left:0pt;margin-left:205.4pt;margin-top:8pt;height:15.6pt;width:0.05pt;z-index:251665408;mso-width-relative:page;mso-height-relative:page;" filled="f" stroked="t" coordsize="21600,21600" o:gfxdata="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FFdDjYAAAACQEAAA8AAAAAAAAAAQAgAAAAIgAAAGRycy9kb3ducmV2LnhtbFBLAQIU&#10;ABQAAAAIAIdO4kDr/s/C8wEAAOIDAAAOAAAAAAAAAAEAIAAAACcBAABkcnMvZTJvRG9jLnhtbFBL&#10;BQYAAAAABgAGAFkBAACMBQAAAAA=&#10;">
                      <v:fill on="f" focussize="0,0"/>
                      <v:stroke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1515745</wp:posOffset>
                      </wp:positionH>
                      <wp:positionV relativeFrom="paragraph">
                        <wp:posOffset>-1905</wp:posOffset>
                      </wp:positionV>
                      <wp:extent cx="272415" cy="4445"/>
                      <wp:effectExtent l="0" t="34925" r="13335" b="36830"/>
                      <wp:wrapNone/>
                      <wp:docPr id="30" name="直线 998"/>
                      <wp:cNvGraphicFramePr/>
                      <a:graphic xmlns:a="http://schemas.openxmlformats.org/drawingml/2006/main">
                        <a:graphicData uri="http://schemas.microsoft.com/office/word/2010/wordprocessingShape">
                          <wps:wsp>
                            <wps:cNvCnPr/>
                            <wps:spPr>
                              <a:xfrm flipH="1">
                                <a:off x="0" y="0"/>
                                <a:ext cx="272415" cy="444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998" o:spid="_x0000_s1026" o:spt="20" style="position:absolute;left:0pt;flip:x;margin-left:119.35pt;margin-top:-0.15pt;height:0.35pt;width:21.45pt;z-index:251689984;mso-width-relative:page;mso-height-relative:page;" filled="f" stroked="t" coordsize="21600,21600" o:gfxdata="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C0VTrUAAAABgEAAA8AAAAAAAAAAQAgAAAAIgAAAGRycy9kb3ducmV2LnhtbFBL&#10;AQIUABQAAAAIAIdO4kDde+Fl+gEAAO0DAAAOAAAAAAAAAAEAIAAAACMBAABkcnMvZTJvRG9jLnht&#10;bFBLBQYAAAAABgAGAFkBAACPBQAAAAA=&#10;">
                      <v:fill on="f" focussize="0,0"/>
                      <v:stroke color="#000000" joinstyle="round" dashstyle="dash" endarrow="block"/>
                      <v:imagedata o:title=""/>
                      <o:lock v:ext="edit" aspectratio="f"/>
                    </v:line>
                  </w:pict>
                </mc:Fallback>
              </mc:AlternateContent>
            </w:r>
          </w:p>
          <w:p w14:paraId="36E77EBB">
            <w:pPr>
              <w:rPr>
                <w:color w:val="auto"/>
              </w:rPr>
            </w:pPr>
            <w:r>
              <w:rPr>
                <w:color w:val="auto"/>
              </w:rPr>
              <mc:AlternateContent>
                <mc:Choice Requires="wps">
                  <w:drawing>
                    <wp:anchor distT="0" distB="0" distL="114300" distR="114300" simplePos="0" relativeHeight="251693056" behindDoc="0" locked="0" layoutInCell="1" allowOverlap="1">
                      <wp:simplePos x="0" y="0"/>
                      <wp:positionH relativeFrom="column">
                        <wp:posOffset>961390</wp:posOffset>
                      </wp:positionH>
                      <wp:positionV relativeFrom="paragraph">
                        <wp:posOffset>127635</wp:posOffset>
                      </wp:positionV>
                      <wp:extent cx="8255" cy="345440"/>
                      <wp:effectExtent l="31750" t="0" r="36195" b="16510"/>
                      <wp:wrapNone/>
                      <wp:docPr id="33" name="直线 1001"/>
                      <wp:cNvGraphicFramePr/>
                      <a:graphic xmlns:a="http://schemas.openxmlformats.org/drawingml/2006/main">
                        <a:graphicData uri="http://schemas.microsoft.com/office/word/2010/wordprocessingShape">
                          <wps:wsp>
                            <wps:cNvCnPr/>
                            <wps:spPr>
                              <a:xfrm>
                                <a:off x="0" y="0"/>
                                <a:ext cx="8255" cy="34544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1001" o:spid="_x0000_s1026" o:spt="20" style="position:absolute;left:0pt;margin-left:75.7pt;margin-top:10.05pt;height:27.2pt;width:0.65pt;z-index:251693056;mso-width-relative:page;mso-height-relative:page;" filled="f" stroked="t" coordsize="21600,21600" o:gfxdata="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vb+UdkAAAAJAQAADwAAAAAAAAABACAAAAAiAAAAZHJzL2Rvd25yZXYueG1sUEsB&#10;AhQAFAAAAAgAh07iQFv2SDP0AQAA5AMAAA4AAAAAAAAAAQAgAAAAKAEAAGRycy9lMm9Eb2MueG1s&#10;UEsFBgAAAAAGAAYAWQEAAI4FAAAAAA==&#10;">
                      <v:fill on="f" focussize="0,0"/>
                      <v:stroke color="#000000" joinstyle="round" dashstyle="dash" endarrow="block"/>
                      <v:imagedata o:title=""/>
                      <o:lock v:ext="edit" aspectratio="f"/>
                    </v:line>
                  </w:pict>
                </mc:Fallback>
              </mc:AlternateContent>
            </w:r>
          </w:p>
          <w:p w14:paraId="25522D0B">
            <w:pPr>
              <w:rPr>
                <w:color w:val="auto"/>
              </w:rPr>
            </w:pPr>
            <w:r>
              <w:rPr>
                <w:color w:val="auto"/>
              </w:rPr>
              <mc:AlternateContent>
                <mc:Choice Requires="wps">
                  <w:drawing>
                    <wp:anchor distT="0" distB="0" distL="114300" distR="114300" simplePos="0" relativeHeight="251702272" behindDoc="0" locked="0" layoutInCell="1" allowOverlap="1">
                      <wp:simplePos x="0" y="0"/>
                      <wp:positionH relativeFrom="column">
                        <wp:posOffset>294640</wp:posOffset>
                      </wp:positionH>
                      <wp:positionV relativeFrom="paragraph">
                        <wp:posOffset>91440</wp:posOffset>
                      </wp:positionV>
                      <wp:extent cx="8255" cy="238125"/>
                      <wp:effectExtent l="32385" t="0" r="35560" b="9525"/>
                      <wp:wrapNone/>
                      <wp:docPr id="42" name="直线 329"/>
                      <wp:cNvGraphicFramePr/>
                      <a:graphic xmlns:a="http://schemas.openxmlformats.org/drawingml/2006/main">
                        <a:graphicData uri="http://schemas.microsoft.com/office/word/2010/wordprocessingShape">
                          <wps:wsp>
                            <wps:cNvCnPr/>
                            <wps:spPr>
                              <a:xfrm flipV="1">
                                <a:off x="0" y="0"/>
                                <a:ext cx="8255" cy="238125"/>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直线 329" o:spid="_x0000_s1026" o:spt="20" style="position:absolute;left:0pt;flip:y;margin-left:23.2pt;margin-top:7.2pt;height:18.75pt;width:0.65pt;z-index:251702272;mso-width-relative:page;mso-height-relative:page;" filled="f" stroked="t" coordsize="21600,21600" o:gfxdata="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jqNc/UAAAABwEAAA8AAAAAAAAAAQAgAAAAIgAAAGRycy9kb3ducmV2LnhtbFBL&#10;AQIUABQAAAAIAIdO4kBPRY2Q+gEAAO0DAAAOAAAAAAAAAAEAIAAAACMBAABkcnMvZTJvRG9jLnht&#10;bFBLBQYAAAAABgAGAFkBAACPBQAAAAA=&#10;">
                      <v:fill on="f" focussize="0,0"/>
                      <v:stroke color="#000000" joinstyle="round" dashstyle="dash" endarrow="block"/>
                      <v:imagedata o:title=""/>
                      <o:lock v:ext="edit" aspectratio="f"/>
                    </v:lin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2071370</wp:posOffset>
                      </wp:positionH>
                      <wp:positionV relativeFrom="paragraph">
                        <wp:posOffset>-6985</wp:posOffset>
                      </wp:positionV>
                      <wp:extent cx="1082040" cy="297180"/>
                      <wp:effectExtent l="4445" t="4445" r="18415" b="22225"/>
                      <wp:wrapNone/>
                      <wp:docPr id="22" name="文本框 989"/>
                      <wp:cNvGraphicFramePr/>
                      <a:graphic xmlns:a="http://schemas.openxmlformats.org/drawingml/2006/main">
                        <a:graphicData uri="http://schemas.microsoft.com/office/word/2010/wordprocessingShape">
                          <wps:wsp>
                            <wps:cNvSpPr txBox="1"/>
                            <wps:spPr>
                              <a:xfrm>
                                <a:off x="0" y="0"/>
                                <a:ext cx="108204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9C7A53">
                                  <w:pPr>
                                    <w:rPr>
                                      <w:rFonts w:hint="eastAsia"/>
                                    </w:rPr>
                                  </w:pPr>
                                  <w:r>
                                    <w:rPr>
                                      <w:rFonts w:hint="eastAsia"/>
                                    </w:rPr>
                                    <w:t>住院病人出院</w:t>
                                  </w:r>
                                </w:p>
                              </w:txbxContent>
                            </wps:txbx>
                            <wps:bodyPr wrap="square" upright="1"/>
                          </wps:wsp>
                        </a:graphicData>
                      </a:graphic>
                    </wp:anchor>
                  </w:drawing>
                </mc:Choice>
                <mc:Fallback>
                  <w:pict>
                    <v:shape id="文本框 989" o:spid="_x0000_s1026" o:spt="202" type="#_x0000_t202" style="position:absolute;left:0pt;margin-left:163.1pt;margin-top:-0.55pt;height:23.4pt;width:85.2pt;z-index:251681792;mso-width-relative:page;mso-height-relative:page;" fillcolor="#FFFFFF" filled="t" stroked="t" coordsize="21600,21600" o:gfxdata="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MLbnLaAAAACQEA&#10;AA8AAAAAAAAAAQAgAAAAIgAAAGRycy9kb3ducmV2LnhtbFBLAQIUABQAAAAIAIdO4kC+PxK5GAIA&#10;AEcEAAAOAAAAAAAAAAEAIAAAACkBAABkcnMvZTJvRG9jLnhtbFBLBQYAAAAABgAGAFkBAACzBQAA&#10;AAA=&#10;">
                      <v:fill on="t" focussize="0,0"/>
                      <v:stroke color="#000000" joinstyle="miter"/>
                      <v:imagedata o:title=""/>
                      <o:lock v:ext="edit" aspectratio="f"/>
                      <v:textbox>
                        <w:txbxContent>
                          <w:p w14:paraId="3D9C7A53">
                            <w:pPr>
                              <w:rPr>
                                <w:rFonts w:hint="eastAsia"/>
                              </w:rPr>
                            </w:pPr>
                            <w:r>
                              <w:rPr>
                                <w:rFonts w:hint="eastAsia"/>
                              </w:rPr>
                              <w:t>住院病人出院</w:t>
                            </w:r>
                          </w:p>
                        </w:txbxContent>
                      </v:textbox>
                    </v:shape>
                  </w:pict>
                </mc:Fallback>
              </mc:AlternateContent>
            </w:r>
          </w:p>
          <w:p w14:paraId="4E0069E9">
            <w:pPr>
              <w:rPr>
                <w:color w:val="auto"/>
              </w:rPr>
            </w:pPr>
          </w:p>
          <w:p w14:paraId="21F80B21">
            <w:pPr>
              <w:tabs>
                <w:tab w:val="left" w:pos="648"/>
              </w:tabs>
              <w:rPr>
                <w:color w:val="auto"/>
              </w:rPr>
            </w:pPr>
            <w:r>
              <w:rPr>
                <w:color w:val="auto"/>
              </w:rPr>
              <mc:AlternateContent>
                <mc:Choice Requires="wps">
                  <w:drawing>
                    <wp:anchor distT="0" distB="0" distL="114300" distR="114300" simplePos="0" relativeHeight="251692032" behindDoc="0" locked="0" layoutInCell="1" allowOverlap="1">
                      <wp:simplePos x="0" y="0"/>
                      <wp:positionH relativeFrom="column">
                        <wp:posOffset>195580</wp:posOffset>
                      </wp:positionH>
                      <wp:positionV relativeFrom="paragraph">
                        <wp:posOffset>13335</wp:posOffset>
                      </wp:positionV>
                      <wp:extent cx="1046480" cy="365125"/>
                      <wp:effectExtent l="13970" t="13970" r="25400" b="20955"/>
                      <wp:wrapNone/>
                      <wp:docPr id="32" name="文本框 1000"/>
                      <wp:cNvGraphicFramePr/>
                      <a:graphic xmlns:a="http://schemas.openxmlformats.org/drawingml/2006/main">
                        <a:graphicData uri="http://schemas.microsoft.com/office/word/2010/wordprocessingShape">
                          <wps:wsp>
                            <wps:cNvSpPr txBox="1"/>
                            <wps:spPr>
                              <a:xfrm>
                                <a:off x="0" y="0"/>
                                <a:ext cx="1046480" cy="365125"/>
                              </a:xfrm>
                              <a:prstGeom prst="rect">
                                <a:avLst/>
                              </a:prstGeom>
                              <a:solidFill>
                                <a:srgbClr val="FFFFFF"/>
                              </a:solidFill>
                              <a:ln w="28575" cap="flat" cmpd="sng">
                                <a:solidFill>
                                  <a:srgbClr val="000000"/>
                                </a:solidFill>
                                <a:prstDash val="solid"/>
                                <a:miter/>
                                <a:headEnd type="none" w="med" len="med"/>
                                <a:tailEnd type="none" w="med" len="med"/>
                              </a:ln>
                            </wps:spPr>
                            <wps:txbx>
                              <w:txbxContent>
                                <w:p w14:paraId="22694906">
                                  <w:pPr>
                                    <w:jc w:val="center"/>
                                    <w:rPr>
                                      <w:rFonts w:hint="eastAsia"/>
                                    </w:rPr>
                                  </w:pPr>
                                  <w:r>
                                    <w:rPr>
                                      <w:rFonts w:hint="eastAsia"/>
                                    </w:rPr>
                                    <w:t>废水处理站</w:t>
                                  </w:r>
                                </w:p>
                              </w:txbxContent>
                            </wps:txbx>
                            <wps:bodyPr wrap="square" upright="1"/>
                          </wps:wsp>
                        </a:graphicData>
                      </a:graphic>
                    </wp:anchor>
                  </w:drawing>
                </mc:Choice>
                <mc:Fallback>
                  <w:pict>
                    <v:shape id="文本框 1000" o:spid="_x0000_s1026" o:spt="202" type="#_x0000_t202" style="position:absolute;left:0pt;margin-left:15.4pt;margin-top:1.05pt;height:28.75pt;width:82.4pt;z-index:251692032;mso-width-relative:page;mso-height-relative:page;" fillcolor="#FFFFFF" filled="t" stroked="t" coordsize="21600,21600" o:gfxdata="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Jl0MbXAAAABwEA&#10;AA8AAAAAAAAAAQAgAAAAIgAAAGRycy9kb3ducmV2LnhtbFBLAQIUABQAAAAIAIdO4kDDV2dTGwIA&#10;AEkEAAAOAAAAAAAAAAEAIAAAACYBAABkcnMvZTJvRG9jLnhtbFBLBQYAAAAABgAGAFkBAACzBQAA&#10;AAA=&#10;">
                      <v:fill on="t" focussize="0,0"/>
                      <v:stroke weight="2.25pt" color="#000000" joinstyle="miter"/>
                      <v:imagedata o:title=""/>
                      <o:lock v:ext="edit" aspectratio="f"/>
                      <v:textbox>
                        <w:txbxContent>
                          <w:p w14:paraId="22694906">
                            <w:pPr>
                              <w:jc w:val="center"/>
                              <w:rPr>
                                <w:rFonts w:hint="eastAsia"/>
                              </w:rPr>
                            </w:pPr>
                            <w:r>
                              <w:rPr>
                                <w:rFonts w:hint="eastAsia"/>
                              </w:rPr>
                              <w:t>废水处理站</w:t>
                            </w:r>
                          </w:p>
                        </w:txbxContent>
                      </v:textbox>
                    </v:shap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2471420</wp:posOffset>
                      </wp:positionH>
                      <wp:positionV relativeFrom="paragraph">
                        <wp:posOffset>50800</wp:posOffset>
                      </wp:positionV>
                      <wp:extent cx="955675" cy="297180"/>
                      <wp:effectExtent l="0" t="0" r="0" b="0"/>
                      <wp:wrapNone/>
                      <wp:docPr id="40" name="文本框 1008"/>
                      <wp:cNvGraphicFramePr/>
                      <a:graphic xmlns:a="http://schemas.openxmlformats.org/drawingml/2006/main">
                        <a:graphicData uri="http://schemas.microsoft.com/office/word/2010/wordprocessingShape">
                          <wps:wsp>
                            <wps:cNvSpPr txBox="1"/>
                            <wps:spPr>
                              <a:xfrm>
                                <a:off x="0" y="0"/>
                                <a:ext cx="955675" cy="297180"/>
                              </a:xfrm>
                              <a:prstGeom prst="rect">
                                <a:avLst/>
                              </a:prstGeom>
                              <a:solidFill>
                                <a:srgbClr val="FFFFFF">
                                  <a:alpha val="0"/>
                                </a:srgbClr>
                              </a:solidFill>
                              <a:ln>
                                <a:noFill/>
                              </a:ln>
                            </wps:spPr>
                            <wps:txbx>
                              <w:txbxContent>
                                <w:p w14:paraId="7DA2952A">
                                  <w:pPr>
                                    <w:ind w:firstLine="315" w:firstLineChars="150"/>
                                  </w:pPr>
                                  <w:r>
                                    <w:rPr>
                                      <w:rFonts w:hint="eastAsia" w:ascii="宋体" w:hAnsi="宋体"/>
                                    </w:rPr>
                                    <w:t>消 毒</w:t>
                                  </w:r>
                                </w:p>
                              </w:txbxContent>
                            </wps:txbx>
                            <wps:bodyPr wrap="square" upright="1"/>
                          </wps:wsp>
                        </a:graphicData>
                      </a:graphic>
                    </wp:anchor>
                  </w:drawing>
                </mc:Choice>
                <mc:Fallback>
                  <w:pict>
                    <v:shape id="文本框 1008" o:spid="_x0000_s1026" o:spt="202" type="#_x0000_t202" style="position:absolute;left:0pt;margin-left:194.6pt;margin-top:4pt;height:23.4pt;width:75.25pt;z-index:251700224;mso-width-relative:page;mso-height-relative:page;" fillcolor="#FFFFFF" filled="t" stroked="f" coordsize="21600,21600" o:gfxdata="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8XM5G9gAAAAIAQAADwAAAAAA&#10;AAABACAAAAAiAAAAZHJzL2Rvd25yZXYueG1sUEsBAhQAFAAAAAgAh07iQPe/ahzaAQAApQMAAA4A&#10;AAAAAAAAAQAgAAAAJwEAAGRycy9lMm9Eb2MueG1sUEsFBgAAAAAGAAYAWQEAAHMFAAAAAA==&#10;">
                      <v:fill on="t" opacity="0f" focussize="0,0"/>
                      <v:stroke on="f"/>
                      <v:imagedata o:title=""/>
                      <o:lock v:ext="edit" aspectratio="f"/>
                      <v:textbox>
                        <w:txbxContent>
                          <w:p w14:paraId="7DA2952A">
                            <w:pPr>
                              <w:ind w:firstLine="315" w:firstLineChars="150"/>
                            </w:pPr>
                            <w:r>
                              <w:rPr>
                                <w:rFonts w:hint="eastAsia" w:ascii="宋体" w:hAnsi="宋体"/>
                              </w:rPr>
                              <w:t>消 毒</w:t>
                            </w:r>
                          </w:p>
                        </w:txbxContent>
                      </v:textbox>
                    </v:shap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3563620</wp:posOffset>
                      </wp:positionH>
                      <wp:positionV relativeFrom="paragraph">
                        <wp:posOffset>198120</wp:posOffset>
                      </wp:positionV>
                      <wp:extent cx="1363980" cy="297180"/>
                      <wp:effectExtent l="4445" t="4445" r="22225" b="22225"/>
                      <wp:wrapNone/>
                      <wp:docPr id="39" name="文本框 1007"/>
                      <wp:cNvGraphicFramePr/>
                      <a:graphic xmlns:a="http://schemas.openxmlformats.org/drawingml/2006/main">
                        <a:graphicData uri="http://schemas.microsoft.com/office/word/2010/wordprocessingShape">
                          <wps:wsp>
                            <wps:cNvSpPr txBox="1"/>
                            <wps:spPr>
                              <a:xfrm>
                                <a:off x="0" y="0"/>
                                <a:ext cx="136398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86E4C8">
                                  <w:pPr>
                                    <w:rPr>
                                      <w:rFonts w:hint="eastAsia"/>
                                    </w:rPr>
                                  </w:pPr>
                                  <w:r>
                                    <w:rPr>
                                      <w:rFonts w:hint="eastAsia"/>
                                    </w:rPr>
                                    <w:t>交有资质单位处理</w:t>
                                  </w:r>
                                </w:p>
                              </w:txbxContent>
                            </wps:txbx>
                            <wps:bodyPr wrap="square" upright="1"/>
                          </wps:wsp>
                        </a:graphicData>
                      </a:graphic>
                    </wp:anchor>
                  </w:drawing>
                </mc:Choice>
                <mc:Fallback>
                  <w:pict>
                    <v:shape id="文本框 1007" o:spid="_x0000_s1026" o:spt="202" type="#_x0000_t202" style="position:absolute;left:0pt;margin-left:280.6pt;margin-top:15.6pt;height:23.4pt;width:107.4pt;z-index:251699200;mso-width-relative:page;mso-height-relative:page;" fillcolor="#FFFFFF" filled="t" stroked="t" coordsize="21600,21600" o:gfxdata="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Nm4mb2AAAAAkBAAAP&#10;AAAAAAAAAAEAIAAAACIAAABkcnMvZG93bnJldi54bWxQSwECFAAUAAAACACHTuJAXQHFyhgCAABI&#10;BAAADgAAAAAAAAABACAAAAAnAQAAZHJzL2Uyb0RvYy54bWxQSwUGAAAAAAYABgBZAQAAsQUAAAAA&#10;">
                      <v:fill on="t" focussize="0,0"/>
                      <v:stroke color="#000000" joinstyle="miter"/>
                      <v:imagedata o:title=""/>
                      <o:lock v:ext="edit" aspectratio="f"/>
                      <v:textbox>
                        <w:txbxContent>
                          <w:p w14:paraId="4786E4C8">
                            <w:pPr>
                              <w:rPr>
                                <w:rFonts w:hint="eastAsia"/>
                              </w:rPr>
                            </w:pPr>
                            <w:r>
                              <w:rPr>
                                <w:rFonts w:hint="eastAsia"/>
                              </w:rPr>
                              <w:t>交有资质单位处理</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2471420</wp:posOffset>
                      </wp:positionH>
                      <wp:positionV relativeFrom="paragraph">
                        <wp:posOffset>301625</wp:posOffset>
                      </wp:positionV>
                      <wp:extent cx="1092200" cy="3810"/>
                      <wp:effectExtent l="0" t="42545" r="12700" b="48895"/>
                      <wp:wrapNone/>
                      <wp:docPr id="38" name="直线 1006"/>
                      <wp:cNvGraphicFramePr/>
                      <a:graphic xmlns:a="http://schemas.openxmlformats.org/drawingml/2006/main">
                        <a:graphicData uri="http://schemas.microsoft.com/office/word/2010/wordprocessingShape">
                          <wps:wsp>
                            <wps:cNvCnPr/>
                            <wps:spPr>
                              <a:xfrm flipV="1">
                                <a:off x="0" y="0"/>
                                <a:ext cx="1092200" cy="3810"/>
                              </a:xfrm>
                              <a:prstGeom prst="line">
                                <a:avLst/>
                              </a:prstGeom>
                              <a:ln w="28575" cap="flat" cmpd="sng">
                                <a:solidFill>
                                  <a:srgbClr val="000000"/>
                                </a:solidFill>
                                <a:prstDash val="solid"/>
                                <a:headEnd type="none" w="med" len="med"/>
                                <a:tailEnd type="triangle" w="med" len="med"/>
                              </a:ln>
                            </wps:spPr>
                            <wps:bodyPr upright="1"/>
                          </wps:wsp>
                        </a:graphicData>
                      </a:graphic>
                    </wp:anchor>
                  </w:drawing>
                </mc:Choice>
                <mc:Fallback>
                  <w:pict>
                    <v:line id="直线 1006" o:spid="_x0000_s1026" o:spt="20" style="position:absolute;left:0pt;flip:y;margin-left:194.6pt;margin-top:23.75pt;height:0.3pt;width:86pt;z-index:251698176;mso-width-relative:page;mso-height-relative:page;" filled="f" stroked="t" coordsize="21600,21600" o:gfxdata="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Ug0yTZAAAACQEAAA8AAAAAAAAAAQAgAAAAIgAAAGRycy9kb3du&#10;cmV2LnhtbFBLAQIUABQAAAAIAIdO4kBkbm8c/gEAAPEDAAAOAAAAAAAAAAEAIAAAACgBAABkcnMv&#10;ZTJvRG9jLnhtbFBLBQYAAAAABgAGAFkBAACYBQAAAAA=&#10;">
                      <v:fill on="f" focussize="0,0"/>
                      <v:stroke weight="2.25pt" color="#000000" joinstyle="round" endarrow="block"/>
                      <v:imagedata o:title=""/>
                      <o:lock v:ext="edit" aspectratio="f"/>
                    </v:lin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1788795</wp:posOffset>
                      </wp:positionH>
                      <wp:positionV relativeFrom="paragraph">
                        <wp:posOffset>198120</wp:posOffset>
                      </wp:positionV>
                      <wp:extent cx="681990" cy="297180"/>
                      <wp:effectExtent l="4445" t="4445" r="18415" b="22225"/>
                      <wp:wrapNone/>
                      <wp:docPr id="37" name="文本框 1005"/>
                      <wp:cNvGraphicFramePr/>
                      <a:graphic xmlns:a="http://schemas.openxmlformats.org/drawingml/2006/main">
                        <a:graphicData uri="http://schemas.microsoft.com/office/word/2010/wordprocessingShape">
                          <wps:wsp>
                            <wps:cNvSpPr txBox="1"/>
                            <wps:spPr>
                              <a:xfrm>
                                <a:off x="0" y="0"/>
                                <a:ext cx="68199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C01BF5">
                                  <w:pPr>
                                    <w:ind w:firstLine="105" w:firstLineChars="50"/>
                                  </w:pPr>
                                  <w:r>
                                    <w:rPr>
                                      <w:rFonts w:hint="eastAsia" w:ascii="宋体" w:hAnsi="宋体"/>
                                    </w:rPr>
                                    <w:t>污 泥</w:t>
                                  </w:r>
                                </w:p>
                              </w:txbxContent>
                            </wps:txbx>
                            <wps:bodyPr wrap="square" upright="1"/>
                          </wps:wsp>
                        </a:graphicData>
                      </a:graphic>
                    </wp:anchor>
                  </w:drawing>
                </mc:Choice>
                <mc:Fallback>
                  <w:pict>
                    <v:shape id="文本框 1005" o:spid="_x0000_s1026" o:spt="202" type="#_x0000_t202" style="position:absolute;left:0pt;margin-left:140.85pt;margin-top:15.6pt;height:23.4pt;width:53.7pt;z-index:251697152;mso-width-relative:page;mso-height-relative:page;" fillcolor="#FFFFFF" filled="t" stroked="t" coordsize="21600,21600" o:gfxdata="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pu2aF2QAAAAkB&#10;AAAPAAAAAAAAAAEAIAAAACIAAABkcnMvZG93bnJldi54bWxQSwECFAAUAAAACACHTuJAwXSVohoC&#10;AABHBAAADgAAAAAAAAABACAAAAAoAQAAZHJzL2Uyb0RvYy54bWxQSwUGAAAAAAYABgBZAQAAtAUA&#10;AAAA&#10;">
                      <v:fill on="t" focussize="0,0"/>
                      <v:stroke color="#000000" joinstyle="miter"/>
                      <v:imagedata o:title=""/>
                      <o:lock v:ext="edit" aspectratio="f"/>
                      <v:textbox>
                        <w:txbxContent>
                          <w:p w14:paraId="1EC01BF5">
                            <w:pPr>
                              <w:ind w:firstLine="105" w:firstLineChars="50"/>
                            </w:pPr>
                            <w:r>
                              <w:rPr>
                                <w:rFonts w:hint="eastAsia" w:ascii="宋体" w:hAnsi="宋体"/>
                              </w:rPr>
                              <w:t>污 泥</w:t>
                            </w:r>
                          </w:p>
                        </w:txbxContent>
                      </v:textbox>
                    </v:shap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1242695</wp:posOffset>
                      </wp:positionH>
                      <wp:positionV relativeFrom="paragraph">
                        <wp:posOffset>301625</wp:posOffset>
                      </wp:positionV>
                      <wp:extent cx="546100" cy="3810"/>
                      <wp:effectExtent l="0" t="42545" r="6350" b="48895"/>
                      <wp:wrapNone/>
                      <wp:docPr id="36" name="直线 1004"/>
                      <wp:cNvGraphicFramePr/>
                      <a:graphic xmlns:a="http://schemas.openxmlformats.org/drawingml/2006/main">
                        <a:graphicData uri="http://schemas.microsoft.com/office/word/2010/wordprocessingShape">
                          <wps:wsp>
                            <wps:cNvCnPr/>
                            <wps:spPr>
                              <a:xfrm flipV="1">
                                <a:off x="0" y="0"/>
                                <a:ext cx="546100" cy="3810"/>
                              </a:xfrm>
                              <a:prstGeom prst="line">
                                <a:avLst/>
                              </a:prstGeom>
                              <a:ln w="28575" cap="flat" cmpd="sng">
                                <a:solidFill>
                                  <a:srgbClr val="000000"/>
                                </a:solidFill>
                                <a:prstDash val="solid"/>
                                <a:headEnd type="none" w="med" len="med"/>
                                <a:tailEnd type="triangle" w="med" len="med"/>
                              </a:ln>
                            </wps:spPr>
                            <wps:bodyPr upright="1"/>
                          </wps:wsp>
                        </a:graphicData>
                      </a:graphic>
                    </wp:anchor>
                  </w:drawing>
                </mc:Choice>
                <mc:Fallback>
                  <w:pict>
                    <v:line id="直线 1004" o:spid="_x0000_s1026" o:spt="20" style="position:absolute;left:0pt;flip:y;margin-left:97.85pt;margin-top:23.75pt;height:0.3pt;width:43pt;z-index:251696128;mso-width-relative:page;mso-height-relative:page;" filled="f" stroked="t" coordsize="21600,21600" o:gfxdata="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VCH3HZAAAACQEAAA8AAAAAAAAAAQAgAAAAIgAAAGRycy9kb3du&#10;cmV2LnhtbFBLAQIUABQAAAAIAIdO4kDRYeA+/gEAAPADAAAOAAAAAAAAAAEAIAAAACgBAABkcnMv&#10;ZTJvRG9jLnhtbFBLBQYAAAAABgAGAFkBAACYBQAAAAA=&#10;">
                      <v:fill on="f" focussize="0,0"/>
                      <v:stroke weight="2.25pt" color="#000000" joinstyle="round" endarrow="block"/>
                      <v:imagedata o:title=""/>
                      <o:lock v:ext="edit" aspectratio="f"/>
                    </v:line>
                  </w:pict>
                </mc:Fallback>
              </mc:AlternateContent>
            </w:r>
          </w:p>
          <w:p w14:paraId="204EF746">
            <w:pPr>
              <w:rPr>
                <w:color w:val="auto"/>
              </w:rPr>
            </w:pPr>
          </w:p>
          <w:p w14:paraId="2A548217">
            <w:pPr>
              <w:rPr>
                <w:color w:val="auto"/>
              </w:rPr>
            </w:pPr>
            <w:r>
              <w:rPr>
                <w:color w:val="auto"/>
              </w:rPr>
              <mc:AlternateContent>
                <mc:Choice Requires="wps">
                  <w:drawing>
                    <wp:anchor distT="0" distB="0" distL="114300" distR="114300" simplePos="0" relativeHeight="251701248" behindDoc="0" locked="0" layoutInCell="1" allowOverlap="1">
                      <wp:simplePos x="0" y="0"/>
                      <wp:positionH relativeFrom="column">
                        <wp:posOffset>1135380</wp:posOffset>
                      </wp:positionH>
                      <wp:positionV relativeFrom="paragraph">
                        <wp:posOffset>94615</wp:posOffset>
                      </wp:positionV>
                      <wp:extent cx="635" cy="485775"/>
                      <wp:effectExtent l="7620" t="0" r="10795" b="9525"/>
                      <wp:wrapNone/>
                      <wp:docPr id="41" name="直线 399"/>
                      <wp:cNvGraphicFramePr/>
                      <a:graphic xmlns:a="http://schemas.openxmlformats.org/drawingml/2006/main">
                        <a:graphicData uri="http://schemas.microsoft.com/office/word/2010/wordprocessingShape">
                          <wps:wsp>
                            <wps:cNvCnPr/>
                            <wps:spPr>
                              <a:xfrm flipV="1">
                                <a:off x="0" y="0"/>
                                <a:ext cx="635" cy="485775"/>
                              </a:xfrm>
                              <a:prstGeom prst="line">
                                <a:avLst/>
                              </a:prstGeom>
                              <a:ln w="15875" cap="flat" cmpd="sng">
                                <a:solidFill>
                                  <a:srgbClr val="000000"/>
                                </a:solidFill>
                                <a:prstDash val="solid"/>
                                <a:headEnd type="none" w="med" len="med"/>
                                <a:tailEnd type="none" w="med" len="med"/>
                              </a:ln>
                            </wps:spPr>
                            <wps:bodyPr upright="1"/>
                          </wps:wsp>
                        </a:graphicData>
                      </a:graphic>
                    </wp:anchor>
                  </w:drawing>
                </mc:Choice>
                <mc:Fallback>
                  <w:pict>
                    <v:line id="直线 399" o:spid="_x0000_s1026" o:spt="20" style="position:absolute;left:0pt;flip:y;margin-left:89.4pt;margin-top:7.45pt;height:38.25pt;width:0.05pt;z-index:251701248;mso-width-relative:page;mso-height-relative:page;" filled="f" stroked="t" coordsize="21600,21600" o:gfxdata="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2Pz/QNYAAAAJAQAADwAAAAAAAAABACAAAAAiAAAAZHJzL2Rvd25yZXYueG1sUEsBAhQA&#10;FAAAAAgAh07iQOaH0sn0AQAA6gMAAA4AAAAAAAAAAQAgAAAAJQEAAGRycy9lMm9Eb2MueG1sUEsF&#10;BgAAAAAGAAYAWQEAAIsFAAAAAA==&#10;">
                      <v:fill on="f" focussize="0,0"/>
                      <v:stroke weight="1.25pt" color="#000000" joinstyle="round"/>
                      <v:imagedata o:title=""/>
                      <o:lock v:ext="edit" aspectratio="f"/>
                    </v:line>
                  </w:pict>
                </mc:Fallback>
              </mc:AlternateContent>
            </w:r>
          </w:p>
          <w:p w14:paraId="0FA802DE">
            <w:pPr>
              <w:rPr>
                <w:color w:val="auto"/>
              </w:rPr>
            </w:pPr>
          </w:p>
          <w:p w14:paraId="4A9012EB">
            <w:pPr>
              <w:rPr>
                <w:color w:val="auto"/>
              </w:rPr>
            </w:pPr>
            <w:r>
              <w:rPr>
                <w:color w:val="auto"/>
              </w:rPr>
              <mc:AlternateContent>
                <mc:Choice Requires="wps">
                  <w:drawing>
                    <wp:anchor distT="0" distB="0" distL="114300" distR="114300" simplePos="0" relativeHeight="251695104" behindDoc="0" locked="0" layoutInCell="1" allowOverlap="1">
                      <wp:simplePos x="0" y="0"/>
                      <wp:positionH relativeFrom="column">
                        <wp:posOffset>2045335</wp:posOffset>
                      </wp:positionH>
                      <wp:positionV relativeFrom="paragraph">
                        <wp:posOffset>97790</wp:posOffset>
                      </wp:positionV>
                      <wp:extent cx="1501140" cy="306070"/>
                      <wp:effectExtent l="4445" t="4445" r="18415" b="13335"/>
                      <wp:wrapNone/>
                      <wp:docPr id="35" name="文本框 1003"/>
                      <wp:cNvGraphicFramePr/>
                      <a:graphic xmlns:a="http://schemas.openxmlformats.org/drawingml/2006/main">
                        <a:graphicData uri="http://schemas.microsoft.com/office/word/2010/wordprocessingShape">
                          <wps:wsp>
                            <wps:cNvSpPr txBox="1"/>
                            <wps:spPr>
                              <a:xfrm>
                                <a:off x="0" y="0"/>
                                <a:ext cx="1501140" cy="306070"/>
                              </a:xfrm>
                              <a:prstGeom prst="rect">
                                <a:avLst/>
                              </a:prstGeom>
                              <a:solidFill>
                                <a:srgbClr val="FFFFFF"/>
                              </a:solidFill>
                              <a:ln w="9525" cap="flat" cmpd="sng">
                                <a:solidFill>
                                  <a:srgbClr val="000000"/>
                                </a:solidFill>
                                <a:prstDash val="dash"/>
                                <a:miter/>
                                <a:headEnd type="none" w="med" len="med"/>
                                <a:tailEnd type="none" w="med" len="med"/>
                              </a:ln>
                            </wps:spPr>
                            <wps:txbx>
                              <w:txbxContent>
                                <w:p w14:paraId="4B3A3BA3">
                                  <w:pPr>
                                    <w:rPr>
                                      <w:rFonts w:hint="eastAsia"/>
                                    </w:rPr>
                                  </w:pPr>
                                  <w:r>
                                    <w:rPr>
                                      <w:rFonts w:hint="eastAsia"/>
                                    </w:rPr>
                                    <w:t>排放或市政污水管网</w:t>
                                  </w:r>
                                </w:p>
                              </w:txbxContent>
                            </wps:txbx>
                            <wps:bodyPr wrap="square" upright="1"/>
                          </wps:wsp>
                        </a:graphicData>
                      </a:graphic>
                    </wp:anchor>
                  </w:drawing>
                </mc:Choice>
                <mc:Fallback>
                  <w:pict>
                    <v:shape id="文本框 1003" o:spid="_x0000_s1026" o:spt="202" type="#_x0000_t202" style="position:absolute;left:0pt;margin-left:161.05pt;margin-top:7.7pt;height:24.1pt;width:118.2pt;z-index:251695104;mso-width-relative:page;mso-height-relative:page;" fillcolor="#FFFFFF" filled="t" stroked="t" coordsize="21600,21600" o:gfxdata="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8M5MH1wAAAAkBAAAP&#10;AAAAAAAAAAEAIAAAACIAAABkcnMvZG93bnJldi54bWxQSwECFAAUAAAACACHTuJA8vreVxkCAABH&#10;BAAADgAAAAAAAAABACAAAAAmAQAAZHJzL2Uyb0RvYy54bWxQSwUGAAAAAAYABgBZAQAAsQUAAAAA&#10;">
                      <v:fill on="t" focussize="0,0"/>
                      <v:stroke color="#000000" joinstyle="miter" dashstyle="dash"/>
                      <v:imagedata o:title=""/>
                      <o:lock v:ext="edit" aspectratio="f"/>
                      <v:textbox>
                        <w:txbxContent>
                          <w:p w14:paraId="4B3A3BA3">
                            <w:pPr>
                              <w:rPr>
                                <w:rFonts w:hint="eastAsia"/>
                              </w:rPr>
                            </w:pPr>
                            <w:r>
                              <w:rPr>
                                <w:rFonts w:hint="eastAsia"/>
                              </w:rPr>
                              <w:t>排放或市政污水管网</w:t>
                            </w:r>
                          </w:p>
                        </w:txbxContent>
                      </v:textbox>
                    </v:shape>
                  </w:pict>
                </mc:Fallback>
              </mc:AlternateContent>
            </w:r>
            <w:r>
              <w:rPr>
                <w:color w:val="auto"/>
              </w:rPr>
              <w:t xml:space="preserve">                                  </w:t>
            </w:r>
          </w:p>
          <w:p w14:paraId="009342BA">
            <w:pPr>
              <w:rPr>
                <w:color w:val="auto"/>
              </w:rPr>
            </w:pPr>
            <w:r>
              <w:rPr>
                <w:color w:val="auto"/>
              </w:rPr>
              <mc:AlternateContent>
                <mc:Choice Requires="wps">
                  <w:drawing>
                    <wp:anchor distT="0" distB="0" distL="114300" distR="114300" simplePos="0" relativeHeight="251694080" behindDoc="0" locked="0" layoutInCell="1" allowOverlap="1">
                      <wp:simplePos x="0" y="0"/>
                      <wp:positionH relativeFrom="column">
                        <wp:posOffset>1146175</wp:posOffset>
                      </wp:positionH>
                      <wp:positionV relativeFrom="paragraph">
                        <wp:posOffset>114935</wp:posOffset>
                      </wp:positionV>
                      <wp:extent cx="883920" cy="8255"/>
                      <wp:effectExtent l="0" t="30480" r="11430" b="37465"/>
                      <wp:wrapNone/>
                      <wp:docPr id="34" name="直线 1002"/>
                      <wp:cNvGraphicFramePr/>
                      <a:graphic xmlns:a="http://schemas.openxmlformats.org/drawingml/2006/main">
                        <a:graphicData uri="http://schemas.microsoft.com/office/word/2010/wordprocessingShape">
                          <wps:wsp>
                            <wps:cNvCnPr/>
                            <wps:spPr>
                              <a:xfrm>
                                <a:off x="0" y="0"/>
                                <a:ext cx="883920" cy="8255"/>
                              </a:xfrm>
                              <a:prstGeom prst="line">
                                <a:avLst/>
                              </a:prstGeom>
                              <a:ln w="19050" cap="flat" cmpd="sng">
                                <a:solidFill>
                                  <a:srgbClr val="000000"/>
                                </a:solidFill>
                                <a:prstDash val="solid"/>
                                <a:headEnd type="none" w="med" len="med"/>
                                <a:tailEnd type="triangle" w="med" len="med"/>
                              </a:ln>
                            </wps:spPr>
                            <wps:bodyPr upright="1"/>
                          </wps:wsp>
                        </a:graphicData>
                      </a:graphic>
                    </wp:anchor>
                  </w:drawing>
                </mc:Choice>
                <mc:Fallback>
                  <w:pict>
                    <v:line id="直线 1002" o:spid="_x0000_s1026" o:spt="20" style="position:absolute;left:0pt;margin-left:90.25pt;margin-top:9.05pt;height:0.65pt;width:69.6pt;z-index:251694080;mso-width-relative:page;mso-height-relative:page;" filled="f" stroked="t" coordsize="21600,21600" o:gfxdata="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qc2br1gAAAAkBAAAPAAAAAAAAAAEAIAAAACIAAABkcnMvZG93bnJldi54bWxQSwECFAAU&#10;AAAACACHTuJA9rwFv/MBAADmAwAADgAAAAAAAAABACAAAAAlAQAAZHJzL2Uyb0RvYy54bWxQSwUG&#10;AAAAAAYABgBZAQAAigUAAAAA&#10;">
                      <v:fill on="f" focussize="0,0"/>
                      <v:stroke weight="1.5pt" color="#000000" joinstyle="round" endarrow="block"/>
                      <v:imagedata o:title=""/>
                      <o:lock v:ext="edit" aspectratio="f"/>
                    </v:line>
                  </w:pict>
                </mc:Fallback>
              </mc:AlternateContent>
            </w:r>
          </w:p>
          <w:p w14:paraId="34233EBA">
            <w:pPr>
              <w:spacing w:line="360" w:lineRule="auto"/>
              <w:ind w:firstLine="1365" w:firstLineChars="650"/>
              <w:rPr>
                <w:color w:val="auto"/>
              </w:rPr>
            </w:pPr>
            <w:r>
              <w:rPr>
                <w:color w:val="auto"/>
              </w:rPr>
              <w:tab/>
            </w:r>
            <w:r>
              <w:rPr>
                <w:color w:val="auto"/>
              </w:rPr>
              <w:t xml:space="preserve">   </w:t>
            </w:r>
          </w:p>
          <w:p w14:paraId="03AAB733">
            <w:pPr>
              <w:spacing w:line="360" w:lineRule="auto"/>
              <w:ind w:firstLine="420" w:firstLineChars="200"/>
              <w:rPr>
                <w:color w:val="auto"/>
                <w:sz w:val="24"/>
              </w:rPr>
            </w:pPr>
            <w:r>
              <w:rPr>
                <w:color w:val="auto"/>
              </w:rPr>
              <w:t xml:space="preserve">           </w:t>
            </w:r>
            <w:r>
              <w:rPr>
                <w:b/>
                <w:bCs/>
                <w:color w:val="auto"/>
              </w:rPr>
              <w:t>图</w:t>
            </w:r>
            <w:r>
              <w:rPr>
                <w:rFonts w:hint="eastAsia"/>
                <w:b/>
                <w:bCs/>
                <w:color w:val="auto"/>
              </w:rPr>
              <w:t>2</w:t>
            </w:r>
            <w:r>
              <w:rPr>
                <w:b/>
                <w:bCs/>
                <w:color w:val="auto"/>
              </w:rPr>
              <w:t>-2   医院医疗工作流程图</w:t>
            </w:r>
            <w:r>
              <w:rPr>
                <w:b/>
                <w:color w:val="auto"/>
                <w:szCs w:val="21"/>
              </w:rPr>
              <w:t>及产污环节图</w:t>
            </w:r>
          </w:p>
          <w:p w14:paraId="76D6F2AC">
            <w:pPr>
              <w:spacing w:line="360" w:lineRule="auto"/>
              <w:ind w:firstLine="482"/>
              <w:rPr>
                <w:b/>
                <w:color w:val="auto"/>
                <w:sz w:val="24"/>
              </w:rPr>
            </w:pPr>
            <w:r>
              <w:rPr>
                <w:b/>
                <w:color w:val="auto"/>
                <w:sz w:val="24"/>
              </w:rPr>
              <w:t>服务期主要污染物：</w:t>
            </w:r>
          </w:p>
          <w:p w14:paraId="44C4CA1C">
            <w:pPr>
              <w:spacing w:line="360" w:lineRule="auto"/>
              <w:ind w:firstLine="480" w:firstLineChars="200"/>
              <w:rPr>
                <w:color w:val="auto"/>
                <w:sz w:val="24"/>
              </w:rPr>
            </w:pPr>
            <w:r>
              <w:rPr>
                <w:color w:val="auto"/>
                <w:sz w:val="24"/>
              </w:rPr>
              <w:t>（1）大气污染物：污水处理站臭气、医疗废物暂存间臭气、病房等异味气体；</w:t>
            </w:r>
          </w:p>
          <w:p w14:paraId="71F25014">
            <w:pPr>
              <w:spacing w:line="360" w:lineRule="auto"/>
              <w:ind w:firstLine="480" w:firstLineChars="200"/>
              <w:rPr>
                <w:color w:val="auto"/>
                <w:sz w:val="24"/>
              </w:rPr>
            </w:pPr>
            <w:r>
              <w:rPr>
                <w:color w:val="auto"/>
                <w:sz w:val="24"/>
              </w:rPr>
              <w:t>（2）水污染物：医疗废水、生活污水、衣物清洗废水；</w:t>
            </w:r>
          </w:p>
          <w:p w14:paraId="493DB463">
            <w:pPr>
              <w:spacing w:line="360" w:lineRule="auto"/>
              <w:ind w:firstLine="480" w:firstLineChars="200"/>
              <w:rPr>
                <w:color w:val="auto"/>
                <w:sz w:val="24"/>
              </w:rPr>
            </w:pPr>
            <w:r>
              <w:rPr>
                <w:color w:val="auto"/>
                <w:sz w:val="24"/>
              </w:rPr>
              <w:t>（3）噪声：分体式空调、风机等噪声；</w:t>
            </w:r>
          </w:p>
          <w:p w14:paraId="49EB8EDE">
            <w:pPr>
              <w:spacing w:line="360" w:lineRule="auto"/>
              <w:ind w:firstLine="480" w:firstLineChars="200"/>
              <w:rPr>
                <w:bCs/>
                <w:color w:val="auto"/>
                <w:szCs w:val="21"/>
              </w:rPr>
            </w:pPr>
            <w:r>
              <w:rPr>
                <w:color w:val="auto"/>
                <w:sz w:val="24"/>
              </w:rPr>
              <w:t>（4）固体废物：生活垃圾、医疗废物、废活性炭、污水处理站污泥等；</w:t>
            </w:r>
          </w:p>
        </w:tc>
      </w:tr>
      <w:tr w14:paraId="794784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23" w:type="dxa"/>
            <w:noWrap w:val="0"/>
            <w:vAlign w:val="center"/>
          </w:tcPr>
          <w:p w14:paraId="573B88CA">
            <w:pPr>
              <w:pStyle w:val="23"/>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9170" w:type="dxa"/>
            <w:noWrap w:val="0"/>
            <w:vAlign w:val="top"/>
          </w:tcPr>
          <w:p w14:paraId="6FD58DDE">
            <w:pPr>
              <w:pStyle w:val="31"/>
              <w:spacing w:line="360" w:lineRule="auto"/>
              <w:jc w:val="both"/>
              <w:textAlignment w:val="auto"/>
              <w:rPr>
                <w:rFonts w:hint="eastAsia" w:ascii="Times New Roman" w:eastAsia="宋体" w:cs="Times New Roman"/>
                <w:b/>
                <w:color w:val="auto"/>
              </w:rPr>
            </w:pPr>
            <w:r>
              <w:rPr>
                <w:rFonts w:hint="eastAsia" w:ascii="Times New Roman" w:eastAsia="宋体" w:cs="Times New Roman"/>
                <w:b/>
                <w:color w:val="auto"/>
              </w:rPr>
              <w:t>2.</w:t>
            </w:r>
            <w:r>
              <w:rPr>
                <w:rFonts w:hint="eastAsia" w:ascii="Times New Roman" w:eastAsia="宋体" w:cs="Times New Roman"/>
                <w:b/>
                <w:color w:val="auto"/>
                <w:lang w:val="en-US" w:eastAsia="zh-CN"/>
              </w:rPr>
              <w:t>12</w:t>
            </w:r>
            <w:r>
              <w:rPr>
                <w:rFonts w:hint="eastAsia" w:ascii="Times New Roman" w:eastAsia="宋体" w:cs="Times New Roman"/>
                <w:b/>
                <w:color w:val="auto"/>
              </w:rPr>
              <w:t>与项目有关的原有环境污染问题</w:t>
            </w:r>
          </w:p>
          <w:p w14:paraId="42F6D901">
            <w:pPr>
              <w:pStyle w:val="31"/>
              <w:spacing w:line="360" w:lineRule="auto"/>
              <w:jc w:val="both"/>
              <w:textAlignment w:val="auto"/>
              <w:rPr>
                <w:rFonts w:hint="eastAsia" w:ascii="Times New Roman" w:eastAsia="宋体" w:cs="Times New Roman"/>
                <w:b/>
                <w:color w:val="auto"/>
              </w:rPr>
            </w:pPr>
            <w:r>
              <w:rPr>
                <w:rFonts w:hint="eastAsia" w:ascii="Times New Roman" w:eastAsia="宋体" w:cs="Times New Roman"/>
                <w:b/>
                <w:color w:val="auto"/>
              </w:rPr>
              <w:t>2.</w:t>
            </w:r>
            <w:r>
              <w:rPr>
                <w:rFonts w:hint="eastAsia" w:ascii="Times New Roman" w:eastAsia="宋体" w:cs="Times New Roman"/>
                <w:b/>
                <w:color w:val="auto"/>
                <w:lang w:val="en-US" w:eastAsia="zh-CN"/>
              </w:rPr>
              <w:t>12</w:t>
            </w:r>
            <w:r>
              <w:rPr>
                <w:rFonts w:hint="eastAsia" w:ascii="Times New Roman" w:eastAsia="宋体" w:cs="Times New Roman"/>
                <w:b/>
                <w:color w:val="auto"/>
              </w:rPr>
              <w:t>.1现有项目基本情况</w:t>
            </w:r>
          </w:p>
          <w:p w14:paraId="0AEC3D7B">
            <w:pPr>
              <w:pStyle w:val="31"/>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项目名称:重庆同心医院</w:t>
            </w:r>
          </w:p>
          <w:p w14:paraId="20545727">
            <w:pPr>
              <w:pStyle w:val="31"/>
              <w:spacing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项目总投资：1000万元</w:t>
            </w:r>
          </w:p>
          <w:p w14:paraId="2383DD73">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vertAlign w:val="superscript"/>
                <w:lang w:val="en-US" w:eastAsia="zh-CN" w:bidi="ar-SA"/>
              </w:rPr>
            </w:pPr>
            <w:r>
              <w:rPr>
                <w:rFonts w:hint="eastAsia" w:ascii="Times New Roman" w:hAnsi="Times New Roman" w:eastAsia="宋体" w:cs="Times New Roman"/>
                <w:color w:val="auto"/>
                <w:kern w:val="2"/>
                <w:sz w:val="24"/>
                <w:szCs w:val="24"/>
                <w:lang w:val="en-US" w:eastAsia="zh-CN" w:bidi="ar-SA"/>
              </w:rPr>
              <w:t>总建筑面积：本项目建筑面积5923.08m</w:t>
            </w:r>
            <w:r>
              <w:rPr>
                <w:rFonts w:hint="eastAsia" w:ascii="Times New Roman" w:hAnsi="Times New Roman" w:eastAsia="宋体" w:cs="Times New Roman"/>
                <w:color w:val="auto"/>
                <w:kern w:val="2"/>
                <w:sz w:val="24"/>
                <w:szCs w:val="24"/>
                <w:vertAlign w:val="superscript"/>
                <w:lang w:val="en-US" w:eastAsia="zh-CN" w:bidi="ar-SA"/>
              </w:rPr>
              <w:t>2</w:t>
            </w:r>
          </w:p>
          <w:p w14:paraId="1A2778EB">
            <w:pPr>
              <w:pStyle w:val="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rPr>
                <w:rFonts w:hint="default"/>
                <w:color w:val="auto"/>
                <w:lang w:val="en-US" w:eastAsia="zh-CN"/>
              </w:rPr>
            </w:pPr>
            <w:r>
              <w:rPr>
                <w:rFonts w:hint="eastAsia"/>
                <w:color w:val="auto"/>
                <w:lang w:val="en-US" w:eastAsia="zh-CN"/>
              </w:rPr>
              <w:t>建设地点：</w:t>
            </w:r>
            <w:r>
              <w:rPr>
                <w:rFonts w:hint="eastAsia"/>
                <w:color w:val="auto"/>
                <w:sz w:val="24"/>
                <w:lang w:eastAsia="zh-CN"/>
              </w:rPr>
              <w:t>重庆市九龙坡区石新路33号</w:t>
            </w:r>
          </w:p>
          <w:p w14:paraId="339E01FD">
            <w:pPr>
              <w:pStyle w:val="48"/>
              <w:adjustRightInd w:val="0"/>
              <w:snapToGrid w:val="0"/>
              <w:spacing w:line="360" w:lineRule="auto"/>
              <w:ind w:firstLine="461"/>
              <w:rPr>
                <w:color w:val="auto"/>
                <w:sz w:val="24"/>
              </w:rPr>
            </w:pPr>
            <w:r>
              <w:rPr>
                <w:rFonts w:hint="eastAsia" w:ascii="Times New Roman" w:hAnsi="Times New Roman" w:eastAsia="宋体" w:cs="Times New Roman"/>
                <w:color w:val="auto"/>
                <w:kern w:val="0"/>
                <w:sz w:val="24"/>
                <w:szCs w:val="20"/>
                <w:lang w:val="en-US" w:eastAsia="zh-CN" w:bidi="ar-SA"/>
              </w:rPr>
              <w:t>建设规模：</w:t>
            </w:r>
            <w:r>
              <w:rPr>
                <w:color w:val="auto"/>
                <w:kern w:val="0"/>
                <w:sz w:val="24"/>
                <w:lang w:bidi="ar"/>
              </w:rPr>
              <w:t>租用</w:t>
            </w:r>
            <w:r>
              <w:rPr>
                <w:rFonts w:hint="eastAsia"/>
                <w:color w:val="auto"/>
                <w:kern w:val="0"/>
                <w:sz w:val="24"/>
                <w:lang w:eastAsia="zh-CN" w:bidi="ar"/>
              </w:rPr>
              <w:t>渝州新城7号楼</w:t>
            </w:r>
            <w:r>
              <w:rPr>
                <w:color w:val="auto"/>
                <w:kern w:val="0"/>
                <w:sz w:val="24"/>
                <w:lang w:bidi="ar"/>
              </w:rPr>
              <w:t>1</w:t>
            </w:r>
            <w:r>
              <w:rPr>
                <w:rFonts w:hint="eastAsia"/>
                <w:color w:val="auto"/>
                <w:kern w:val="0"/>
                <w:sz w:val="24"/>
                <w:lang w:eastAsia="zh-CN" w:bidi="ar"/>
              </w:rPr>
              <w:t>、</w:t>
            </w:r>
            <w:r>
              <w:rPr>
                <w:rFonts w:hint="eastAsia"/>
                <w:color w:val="auto"/>
                <w:kern w:val="0"/>
                <w:sz w:val="24"/>
                <w:lang w:val="en-US" w:eastAsia="zh-CN" w:bidi="ar"/>
              </w:rPr>
              <w:t>3</w:t>
            </w:r>
            <w:r>
              <w:rPr>
                <w:color w:val="auto"/>
                <w:kern w:val="0"/>
                <w:sz w:val="24"/>
                <w:lang w:bidi="ar"/>
              </w:rPr>
              <w:t>F</w:t>
            </w:r>
            <w:r>
              <w:rPr>
                <w:rFonts w:hint="eastAsia"/>
                <w:color w:val="auto"/>
                <w:kern w:val="0"/>
                <w:sz w:val="24"/>
                <w:lang w:val="en-US" w:eastAsia="zh-CN" w:bidi="ar"/>
              </w:rPr>
              <w:t>部分</w:t>
            </w:r>
            <w:r>
              <w:rPr>
                <w:color w:val="auto"/>
                <w:kern w:val="0"/>
                <w:sz w:val="24"/>
                <w:lang w:bidi="ar"/>
              </w:rPr>
              <w:t>、</w:t>
            </w:r>
            <w:r>
              <w:rPr>
                <w:rFonts w:hint="eastAsia"/>
                <w:color w:val="auto"/>
                <w:kern w:val="0"/>
                <w:sz w:val="24"/>
                <w:lang w:val="en-US" w:eastAsia="zh-CN" w:bidi="ar"/>
              </w:rPr>
              <w:t>2、4</w:t>
            </w:r>
            <w:r>
              <w:rPr>
                <w:color w:val="auto"/>
                <w:kern w:val="0"/>
                <w:sz w:val="24"/>
                <w:lang w:bidi="ar"/>
              </w:rPr>
              <w:t>F</w:t>
            </w:r>
            <w:r>
              <w:rPr>
                <w:color w:val="auto"/>
                <w:sz w:val="24"/>
              </w:rPr>
              <w:t>，总建筑面积</w:t>
            </w:r>
            <w:r>
              <w:rPr>
                <w:rFonts w:hint="eastAsia"/>
                <w:color w:val="auto"/>
                <w:sz w:val="24"/>
                <w:lang w:val="en-US" w:eastAsia="zh-CN"/>
              </w:rPr>
              <w:t>5923.08</w:t>
            </w:r>
            <w:r>
              <w:rPr>
                <w:color w:val="auto"/>
                <w:sz w:val="24"/>
              </w:rPr>
              <w:t>m</w:t>
            </w:r>
            <w:r>
              <w:rPr>
                <w:color w:val="auto"/>
                <w:sz w:val="24"/>
                <w:vertAlign w:val="superscript"/>
              </w:rPr>
              <w:t>2</w:t>
            </w:r>
            <w:r>
              <w:rPr>
                <w:color w:val="auto"/>
                <w:sz w:val="24"/>
              </w:rPr>
              <w:t>。医院为综合医院</w:t>
            </w:r>
            <w:r>
              <w:rPr>
                <w:rFonts w:hint="eastAsia"/>
                <w:color w:val="auto"/>
                <w:sz w:val="24"/>
              </w:rPr>
              <w:t>，医院已有职工</w:t>
            </w:r>
            <w:r>
              <w:rPr>
                <w:rFonts w:hint="eastAsia"/>
                <w:color w:val="auto"/>
                <w:sz w:val="24"/>
                <w:lang w:val="en-US" w:eastAsia="zh-CN"/>
              </w:rPr>
              <w:t>7</w:t>
            </w:r>
            <w:r>
              <w:rPr>
                <w:rFonts w:hint="eastAsia"/>
                <w:color w:val="auto"/>
                <w:sz w:val="24"/>
              </w:rPr>
              <w:t>0人，</w:t>
            </w:r>
            <w:r>
              <w:rPr>
                <w:rFonts w:hint="eastAsia"/>
                <w:color w:val="auto"/>
                <w:sz w:val="24"/>
                <w:lang w:val="en-US" w:eastAsia="zh-CN"/>
              </w:rPr>
              <w:t>住院床位90</w:t>
            </w:r>
            <w:r>
              <w:rPr>
                <w:rFonts w:hint="eastAsia"/>
                <w:color w:val="auto"/>
                <w:sz w:val="24"/>
              </w:rPr>
              <w:t>张，</w:t>
            </w:r>
            <w:r>
              <w:rPr>
                <w:rFonts w:hint="eastAsia"/>
                <w:color w:val="auto"/>
                <w:sz w:val="24"/>
                <w:lang w:val="en-US" w:eastAsia="zh-CN"/>
              </w:rPr>
              <w:t>托老床位120张</w:t>
            </w:r>
            <w:r>
              <w:rPr>
                <w:rFonts w:hint="eastAsia"/>
                <w:color w:val="auto"/>
                <w:sz w:val="24"/>
              </w:rPr>
              <w:t>，</w:t>
            </w:r>
            <w:r>
              <w:rPr>
                <w:color w:val="auto"/>
                <w:sz w:val="24"/>
              </w:rPr>
              <w:t>日均</w:t>
            </w:r>
            <w:r>
              <w:rPr>
                <w:bCs/>
                <w:color w:val="auto"/>
                <w:sz w:val="24"/>
              </w:rPr>
              <w:t>接诊量约</w:t>
            </w:r>
            <w:r>
              <w:rPr>
                <w:rFonts w:hint="eastAsia"/>
                <w:bCs/>
                <w:color w:val="auto"/>
                <w:sz w:val="24"/>
              </w:rPr>
              <w:t>7.3</w:t>
            </w:r>
            <w:r>
              <w:rPr>
                <w:bCs/>
                <w:color w:val="auto"/>
                <w:sz w:val="24"/>
              </w:rPr>
              <w:t>万人次（日均</w:t>
            </w:r>
            <w:r>
              <w:rPr>
                <w:rFonts w:hint="eastAsia"/>
                <w:bCs/>
                <w:color w:val="auto"/>
                <w:sz w:val="24"/>
              </w:rPr>
              <w:t>2</w:t>
            </w:r>
            <w:r>
              <w:rPr>
                <w:bCs/>
                <w:color w:val="auto"/>
                <w:sz w:val="24"/>
              </w:rPr>
              <w:t>00人/d）</w:t>
            </w:r>
            <w:r>
              <w:rPr>
                <w:rFonts w:hint="eastAsia"/>
                <w:bCs/>
                <w:color w:val="auto"/>
                <w:sz w:val="24"/>
                <w:lang w:eastAsia="zh-CN"/>
              </w:rPr>
              <w:t>，</w:t>
            </w:r>
            <w:r>
              <w:rPr>
                <w:color w:val="auto"/>
                <w:sz w:val="24"/>
              </w:rPr>
              <w:t>设</w:t>
            </w:r>
            <w:r>
              <w:rPr>
                <w:rFonts w:hint="eastAsia"/>
                <w:color w:val="auto"/>
                <w:sz w:val="24"/>
              </w:rPr>
              <w:t>有</w:t>
            </w:r>
            <w:r>
              <w:rPr>
                <w:rFonts w:hint="eastAsia"/>
                <w:color w:val="auto"/>
                <w:kern w:val="0"/>
                <w:sz w:val="24"/>
                <w:lang w:bidi="ar"/>
              </w:rPr>
              <w:t>内科、外科、妇产科、中医科、儿科、皮肤科、口腔科、医学检验科、医学影像科及托老院等科室</w:t>
            </w:r>
            <w:r>
              <w:rPr>
                <w:color w:val="auto"/>
                <w:sz w:val="24"/>
              </w:rPr>
              <w:t>，</w:t>
            </w:r>
            <w:r>
              <w:rPr>
                <w:color w:val="auto"/>
                <w:kern w:val="0"/>
                <w:sz w:val="24"/>
                <w:lang w:bidi="ar"/>
              </w:rPr>
              <w:t>不</w:t>
            </w:r>
            <w:r>
              <w:rPr>
                <w:rFonts w:hint="eastAsia"/>
                <w:color w:val="auto"/>
                <w:kern w:val="0"/>
                <w:sz w:val="24"/>
                <w:lang w:val="en-US" w:eastAsia="zh-CN" w:bidi="ar"/>
              </w:rPr>
              <w:t>设置</w:t>
            </w:r>
            <w:r>
              <w:rPr>
                <w:rFonts w:hint="eastAsia"/>
                <w:color w:val="auto"/>
                <w:sz w:val="24"/>
                <w:szCs w:val="24"/>
                <w:lang w:val="en-US" w:eastAsia="zh-CN"/>
              </w:rPr>
              <w:t>传染科、肠道发热门诊、生化检验、太平间、医疗废物焚烧炉</w:t>
            </w:r>
            <w:r>
              <w:rPr>
                <w:color w:val="auto"/>
                <w:kern w:val="0"/>
                <w:sz w:val="24"/>
                <w:lang w:bidi="ar"/>
              </w:rPr>
              <w:t>、食堂</w:t>
            </w:r>
            <w:r>
              <w:rPr>
                <w:color w:val="auto"/>
                <w:sz w:val="24"/>
              </w:rPr>
              <w:t>。</w:t>
            </w:r>
          </w:p>
          <w:p w14:paraId="78018C67">
            <w:pPr>
              <w:pStyle w:val="31"/>
              <w:spacing w:line="360" w:lineRule="auto"/>
              <w:jc w:val="both"/>
              <w:textAlignment w:val="auto"/>
              <w:rPr>
                <w:rFonts w:hint="eastAsia" w:ascii="Times New Roman" w:eastAsia="宋体" w:cs="Times New Roman"/>
                <w:b/>
                <w:color w:val="auto"/>
              </w:rPr>
            </w:pPr>
            <w:r>
              <w:rPr>
                <w:rFonts w:hint="eastAsia" w:ascii="Times New Roman" w:eastAsia="宋体" w:cs="Times New Roman"/>
                <w:b/>
                <w:color w:val="auto"/>
              </w:rPr>
              <w:t>2.</w:t>
            </w:r>
            <w:r>
              <w:rPr>
                <w:rFonts w:hint="eastAsia" w:ascii="Times New Roman" w:eastAsia="宋体" w:cs="Times New Roman"/>
                <w:b/>
                <w:color w:val="auto"/>
                <w:lang w:val="en-US" w:eastAsia="zh-CN"/>
              </w:rPr>
              <w:t>12</w:t>
            </w:r>
            <w:r>
              <w:rPr>
                <w:rFonts w:hint="eastAsia" w:ascii="Times New Roman" w:eastAsia="宋体" w:cs="Times New Roman"/>
                <w:b/>
                <w:color w:val="auto"/>
              </w:rPr>
              <w:t>.</w:t>
            </w:r>
            <w:r>
              <w:rPr>
                <w:rFonts w:hint="eastAsia" w:ascii="Times New Roman" w:eastAsia="宋体" w:cs="Times New Roman"/>
                <w:b/>
                <w:color w:val="auto"/>
                <w:lang w:val="en-US" w:eastAsia="zh-CN"/>
              </w:rPr>
              <w:t>2</w:t>
            </w:r>
            <w:r>
              <w:rPr>
                <w:rFonts w:hint="eastAsia" w:ascii="Times New Roman" w:eastAsia="宋体" w:cs="Times New Roman"/>
                <w:b/>
                <w:color w:val="auto"/>
              </w:rPr>
              <w:t>现有项目</w:t>
            </w:r>
            <w:r>
              <w:rPr>
                <w:rFonts w:hint="eastAsia" w:ascii="Times New Roman" w:hAnsi="Times New Roman" w:eastAsia="宋体" w:cs="宋体"/>
                <w:b/>
                <w:bCs/>
                <w:color w:val="auto"/>
                <w:lang w:val="en-US" w:eastAsia="zh-CN"/>
              </w:rPr>
              <w:t>履行环境影响评价、竣工环境保护验收及排污许可手续等情况</w:t>
            </w:r>
          </w:p>
          <w:p w14:paraId="22524640">
            <w:pPr>
              <w:adjustRightInd w:val="0"/>
              <w:snapToGrid w:val="0"/>
              <w:spacing w:line="360" w:lineRule="auto"/>
              <w:ind w:firstLine="480" w:firstLineChars="200"/>
              <w:jc w:val="left"/>
              <w:rPr>
                <w:color w:val="auto"/>
                <w:sz w:val="24"/>
              </w:rPr>
            </w:pPr>
            <w:r>
              <w:rPr>
                <w:rFonts w:hint="eastAsia" w:ascii="Times New Roman" w:hAnsi="Times New Roman" w:eastAsia="宋体" w:cs="Times New Roman"/>
                <w:color w:val="auto"/>
                <w:kern w:val="2"/>
                <w:sz w:val="24"/>
                <w:szCs w:val="24"/>
                <w:lang w:val="en-US" w:eastAsia="zh-CN" w:bidi="ar-SA"/>
              </w:rPr>
              <w:t>重庆同心医院</w:t>
            </w:r>
            <w:r>
              <w:rPr>
                <w:rFonts w:hint="eastAsia"/>
                <w:color w:val="auto"/>
                <w:sz w:val="24"/>
                <w:lang w:val="en-US" w:eastAsia="zh-CN"/>
              </w:rPr>
              <w:t>项目</w:t>
            </w:r>
            <w:r>
              <w:rPr>
                <w:color w:val="auto"/>
                <w:sz w:val="24"/>
              </w:rPr>
              <w:t>于20</w:t>
            </w:r>
            <w:r>
              <w:rPr>
                <w:rFonts w:hint="eastAsia"/>
                <w:color w:val="auto"/>
                <w:sz w:val="24"/>
              </w:rPr>
              <w:t>1</w:t>
            </w:r>
            <w:r>
              <w:rPr>
                <w:rFonts w:hint="eastAsia"/>
                <w:color w:val="auto"/>
                <w:sz w:val="24"/>
                <w:lang w:val="en-US" w:eastAsia="zh-CN"/>
              </w:rPr>
              <w:t>4</w:t>
            </w:r>
            <w:r>
              <w:rPr>
                <w:color w:val="auto"/>
                <w:sz w:val="24"/>
              </w:rPr>
              <w:t>年编制了《</w:t>
            </w:r>
            <w:r>
              <w:rPr>
                <w:rFonts w:hint="eastAsia"/>
                <w:color w:val="auto"/>
                <w:sz w:val="24"/>
                <w:lang w:eastAsia="zh-CN"/>
              </w:rPr>
              <w:t>重庆同心医院（有限合伙）重庆同心医院</w:t>
            </w:r>
            <w:r>
              <w:rPr>
                <w:rFonts w:hint="eastAsia"/>
                <w:color w:val="auto"/>
                <w:sz w:val="24"/>
              </w:rPr>
              <w:t>项目环境影响报告</w:t>
            </w:r>
            <w:r>
              <w:rPr>
                <w:rFonts w:hint="eastAsia"/>
                <w:color w:val="auto"/>
                <w:sz w:val="24"/>
                <w:lang w:val="en-US" w:eastAsia="zh-CN"/>
              </w:rPr>
              <w:t>书</w:t>
            </w:r>
            <w:r>
              <w:rPr>
                <w:color w:val="auto"/>
                <w:sz w:val="24"/>
              </w:rPr>
              <w:t>》</w:t>
            </w:r>
            <w:r>
              <w:rPr>
                <w:rFonts w:hint="eastAsia"/>
                <w:color w:val="auto"/>
                <w:sz w:val="24"/>
              </w:rPr>
              <w:t>，并</w:t>
            </w:r>
            <w:r>
              <w:rPr>
                <w:color w:val="auto"/>
                <w:sz w:val="24"/>
              </w:rPr>
              <w:t>取得《重庆市建设项目环境影响评价批准书》（</w:t>
            </w:r>
            <w:r>
              <w:rPr>
                <w:color w:val="auto"/>
                <w:kern w:val="0"/>
                <w:sz w:val="24"/>
                <w:lang w:bidi="ar"/>
              </w:rPr>
              <w:t>渝（九）环准</w:t>
            </w:r>
            <w:r>
              <w:rPr>
                <w:rFonts w:hint="eastAsia"/>
                <w:color w:val="auto"/>
                <w:kern w:val="0"/>
                <w:sz w:val="24"/>
                <w:lang w:eastAsia="zh-CN" w:bidi="ar"/>
              </w:rPr>
              <w:t>〔</w:t>
            </w:r>
            <w:r>
              <w:rPr>
                <w:color w:val="auto"/>
                <w:kern w:val="0"/>
                <w:sz w:val="24"/>
                <w:lang w:bidi="ar"/>
              </w:rPr>
              <w:t>201</w:t>
            </w:r>
            <w:r>
              <w:rPr>
                <w:rFonts w:hint="eastAsia"/>
                <w:color w:val="auto"/>
                <w:kern w:val="0"/>
                <w:sz w:val="24"/>
                <w:lang w:val="en-US" w:eastAsia="zh-CN" w:bidi="ar"/>
              </w:rPr>
              <w:t>4</w:t>
            </w:r>
            <w:r>
              <w:rPr>
                <w:rFonts w:hint="eastAsia"/>
                <w:color w:val="auto"/>
                <w:kern w:val="0"/>
                <w:sz w:val="24"/>
                <w:lang w:eastAsia="zh-CN" w:bidi="ar"/>
              </w:rPr>
              <w:t>〕</w:t>
            </w:r>
            <w:r>
              <w:rPr>
                <w:rFonts w:hint="eastAsia"/>
                <w:color w:val="auto"/>
                <w:kern w:val="0"/>
                <w:sz w:val="24"/>
                <w:lang w:val="en-US" w:eastAsia="zh-CN" w:bidi="ar"/>
              </w:rPr>
              <w:t>73</w:t>
            </w:r>
            <w:r>
              <w:rPr>
                <w:color w:val="auto"/>
                <w:kern w:val="0"/>
                <w:sz w:val="24"/>
                <w:lang w:bidi="ar"/>
              </w:rPr>
              <w:t>号</w:t>
            </w:r>
            <w:r>
              <w:rPr>
                <w:color w:val="auto"/>
                <w:sz w:val="24"/>
              </w:rPr>
              <w:t>），</w:t>
            </w:r>
            <w:r>
              <w:rPr>
                <w:rFonts w:hint="eastAsia"/>
                <w:color w:val="auto"/>
                <w:sz w:val="24"/>
                <w:lang w:eastAsia="zh-CN"/>
              </w:rPr>
              <w:t>“重庆同心医院（有限合伙）重庆同心医院</w:t>
            </w:r>
            <w:r>
              <w:rPr>
                <w:rFonts w:hint="eastAsia"/>
                <w:color w:val="auto"/>
                <w:sz w:val="24"/>
              </w:rPr>
              <w:t>项目</w:t>
            </w:r>
            <w:r>
              <w:rPr>
                <w:rFonts w:hint="eastAsia"/>
                <w:color w:val="auto"/>
                <w:sz w:val="24"/>
                <w:lang w:eastAsia="zh-CN"/>
              </w:rPr>
              <w:t>”</w:t>
            </w:r>
            <w:r>
              <w:rPr>
                <w:color w:val="auto"/>
                <w:sz w:val="24"/>
              </w:rPr>
              <w:t>建成后于201</w:t>
            </w:r>
            <w:r>
              <w:rPr>
                <w:rFonts w:hint="eastAsia"/>
                <w:color w:val="auto"/>
                <w:kern w:val="0"/>
                <w:sz w:val="24"/>
                <w:lang w:val="en-US" w:eastAsia="zh-CN" w:bidi="ar"/>
              </w:rPr>
              <w:t>5</w:t>
            </w:r>
            <w:r>
              <w:rPr>
                <w:color w:val="auto"/>
                <w:kern w:val="0"/>
                <w:sz w:val="24"/>
                <w:lang w:bidi="ar"/>
              </w:rPr>
              <w:t>年</w:t>
            </w:r>
            <w:r>
              <w:rPr>
                <w:rFonts w:hint="eastAsia"/>
                <w:color w:val="auto"/>
                <w:kern w:val="0"/>
                <w:sz w:val="24"/>
                <w:lang w:val="en-US" w:eastAsia="zh-CN" w:bidi="ar"/>
              </w:rPr>
              <w:t>8</w:t>
            </w:r>
            <w:r>
              <w:rPr>
                <w:color w:val="auto"/>
                <w:kern w:val="0"/>
                <w:sz w:val="24"/>
                <w:lang w:bidi="ar"/>
              </w:rPr>
              <w:t>月</w:t>
            </w:r>
            <w:r>
              <w:rPr>
                <w:color w:val="auto"/>
                <w:sz w:val="24"/>
              </w:rPr>
              <w:t>完成了竣工环境保护验收工作；</w:t>
            </w:r>
            <w:r>
              <w:rPr>
                <w:rFonts w:hint="eastAsia"/>
                <w:color w:val="auto"/>
                <w:sz w:val="24"/>
                <w:lang w:val="en-US" w:eastAsia="zh-CN"/>
              </w:rPr>
              <w:t>2020年6月17日申领了</w:t>
            </w:r>
            <w:r>
              <w:rPr>
                <w:rFonts w:hint="eastAsia"/>
                <w:color w:val="auto"/>
                <w:sz w:val="24"/>
              </w:rPr>
              <w:t>《排污许可证》（91500107MA5U54MNXJ001U）</w:t>
            </w:r>
            <w:r>
              <w:rPr>
                <w:rFonts w:hint="eastAsia"/>
                <w:color w:val="auto"/>
                <w:sz w:val="24"/>
                <w:lang w:eastAsia="zh-CN"/>
              </w:rPr>
              <w:t>，</w:t>
            </w:r>
            <w:r>
              <w:rPr>
                <w:rFonts w:hint="eastAsia"/>
                <w:color w:val="auto"/>
                <w:sz w:val="24"/>
                <w:lang w:val="en-US" w:eastAsia="zh-CN"/>
              </w:rPr>
              <w:t>2023年5月11日办理了延续，有效期自2023-06-16 至 2028-06-15</w:t>
            </w:r>
            <w:r>
              <w:rPr>
                <w:rFonts w:hint="eastAsia" w:ascii="Times New Roman" w:hAnsi="Times New Roman" w:eastAsia="宋体" w:cs="宋体"/>
                <w:color w:val="auto"/>
                <w:sz w:val="24"/>
                <w:szCs w:val="24"/>
                <w:lang w:val="en-US" w:eastAsia="zh-CN"/>
              </w:rPr>
              <w:t>。</w:t>
            </w:r>
          </w:p>
          <w:p w14:paraId="5A3E4662">
            <w:pPr>
              <w:pStyle w:val="80"/>
              <w:spacing w:line="360" w:lineRule="auto"/>
              <w:ind w:firstLine="0" w:firstLineChars="0"/>
              <w:rPr>
                <w:rFonts w:ascii="Times New Roman" w:hAnsi="Times New Roman" w:eastAsia="宋体" w:cs="Times New Roman"/>
                <w:b/>
                <w:color w:val="auto"/>
              </w:rPr>
            </w:pPr>
            <w:r>
              <w:rPr>
                <w:rFonts w:hint="eastAsia" w:ascii="Times New Roman" w:eastAsia="宋体" w:cs="Times New Roman"/>
                <w:b/>
                <w:color w:val="auto"/>
              </w:rPr>
              <w:t>2.</w:t>
            </w:r>
            <w:r>
              <w:rPr>
                <w:rFonts w:hint="eastAsia" w:ascii="Times New Roman" w:eastAsia="宋体" w:cs="Times New Roman"/>
                <w:b/>
                <w:color w:val="auto"/>
                <w:lang w:val="en-US" w:eastAsia="zh-CN"/>
              </w:rPr>
              <w:t>12</w:t>
            </w:r>
            <w:r>
              <w:rPr>
                <w:rFonts w:hint="eastAsia" w:ascii="Times New Roman" w:eastAsia="宋体" w:cs="Times New Roman"/>
                <w:b/>
                <w:color w:val="auto"/>
              </w:rPr>
              <w:t>.</w:t>
            </w:r>
            <w:r>
              <w:rPr>
                <w:rFonts w:hint="eastAsia" w:ascii="Times New Roman" w:hAnsi="Times New Roman" w:eastAsia="宋体" w:cs="Times New Roman"/>
                <w:b/>
                <w:snapToGrid w:val="0"/>
                <w:color w:val="auto"/>
                <w:kern w:val="0"/>
                <w:sz w:val="24"/>
                <w:szCs w:val="24"/>
                <w:lang w:val="en-US" w:eastAsia="zh-CN" w:bidi="ar-SA"/>
              </w:rPr>
              <w:t>3监测计划执行情况</w:t>
            </w:r>
          </w:p>
          <w:p w14:paraId="6FA2385E">
            <w:pPr>
              <w:adjustRightInd w:val="0"/>
              <w:snapToGrid w:val="0"/>
              <w:spacing w:line="360" w:lineRule="auto"/>
              <w:ind w:firstLine="480" w:firstLineChars="200"/>
              <w:jc w:val="left"/>
              <w:rPr>
                <w:rFonts w:hint="default" w:ascii="Times New Roman" w:hAnsi="Times New Roman" w:eastAsia="宋体" w:cs="宋体"/>
                <w:color w:val="auto"/>
                <w:sz w:val="24"/>
                <w:szCs w:val="24"/>
                <w:lang w:val="en-US" w:eastAsia="zh-CN"/>
              </w:rPr>
            </w:pPr>
            <w:r>
              <w:rPr>
                <w:rFonts w:hint="eastAsia" w:cs="宋体"/>
                <w:color w:val="auto"/>
                <w:sz w:val="24"/>
                <w:szCs w:val="24"/>
                <w:lang w:val="en-US" w:eastAsia="zh-CN"/>
              </w:rPr>
              <w:t>医院近一年</w:t>
            </w:r>
            <w:r>
              <w:rPr>
                <w:rFonts w:hint="default" w:ascii="Times New Roman" w:hAnsi="Times New Roman" w:eastAsia="宋体" w:cs="宋体"/>
                <w:color w:val="auto"/>
                <w:sz w:val="24"/>
                <w:szCs w:val="24"/>
                <w:lang w:val="en-US" w:eastAsia="zh-CN"/>
              </w:rPr>
              <w:t>自行监测计划执行情况见下表。</w:t>
            </w:r>
          </w:p>
          <w:p w14:paraId="3C8E74DA">
            <w:pPr>
              <w:pStyle w:val="80"/>
              <w:spacing w:line="240" w:lineRule="auto"/>
              <w:ind w:firstLine="422"/>
              <w:jc w:val="center"/>
              <w:rPr>
                <w:rFonts w:ascii="Times New Roman" w:hAnsi="Times New Roman" w:eastAsia="宋体" w:cs="Times New Roman"/>
                <w:b/>
                <w:bCs/>
                <w:color w:val="auto"/>
                <w:kern w:val="2"/>
                <w:sz w:val="24"/>
                <w:szCs w:val="24"/>
                <w:lang w:val="en-US" w:eastAsia="zh-CN" w:bidi="ar-SA"/>
              </w:rPr>
            </w:pPr>
            <w:r>
              <w:rPr>
                <w:rFonts w:ascii="Times New Roman" w:hAnsi="Times New Roman" w:eastAsia="宋体" w:cs="Times New Roman"/>
                <w:b/>
                <w:bCs/>
                <w:color w:val="auto"/>
                <w:kern w:val="2"/>
                <w:sz w:val="24"/>
                <w:szCs w:val="24"/>
                <w:lang w:val="en-US" w:eastAsia="zh-CN" w:bidi="ar-SA"/>
              </w:rPr>
              <w:t>表</w:t>
            </w:r>
            <w:r>
              <w:rPr>
                <w:rFonts w:hint="eastAsia" w:ascii="Times New Roman" w:hAnsi="Times New Roman" w:eastAsia="宋体" w:cs="Times New Roman"/>
                <w:b/>
                <w:bCs/>
                <w:color w:val="auto"/>
                <w:kern w:val="2"/>
                <w:sz w:val="24"/>
                <w:szCs w:val="24"/>
                <w:lang w:val="en-US" w:eastAsia="zh-CN" w:bidi="ar-SA"/>
              </w:rPr>
              <w:t>2-9</w:t>
            </w:r>
            <w:r>
              <w:rPr>
                <w:rFonts w:ascii="Times New Roman" w:hAnsi="Times New Roman" w:eastAsia="宋体" w:cs="Times New Roman"/>
                <w:b/>
                <w:bCs/>
                <w:color w:val="auto"/>
                <w:kern w:val="2"/>
                <w:sz w:val="24"/>
                <w:szCs w:val="24"/>
                <w:lang w:val="en-US" w:eastAsia="zh-CN" w:bidi="ar-SA"/>
              </w:rPr>
              <w:t xml:space="preserve">  </w:t>
            </w:r>
            <w:r>
              <w:rPr>
                <w:rFonts w:hint="eastAsia" w:ascii="Times New Roman" w:hAnsi="Times New Roman" w:eastAsia="宋体" w:cs="Times New Roman"/>
                <w:b/>
                <w:bCs/>
                <w:color w:val="auto"/>
                <w:kern w:val="2"/>
                <w:sz w:val="24"/>
                <w:szCs w:val="24"/>
                <w:lang w:val="en-US" w:eastAsia="zh-CN" w:bidi="ar-SA"/>
              </w:rPr>
              <w:t>医院</w:t>
            </w:r>
            <w:r>
              <w:rPr>
                <w:rFonts w:ascii="Times New Roman" w:hAnsi="Times New Roman" w:eastAsia="宋体" w:cs="Times New Roman"/>
                <w:b/>
                <w:bCs/>
                <w:color w:val="auto"/>
                <w:kern w:val="2"/>
                <w:sz w:val="24"/>
                <w:szCs w:val="24"/>
                <w:lang w:val="en-US" w:eastAsia="zh-CN" w:bidi="ar-SA"/>
              </w:rPr>
              <w:t>自行监测计划执行情况一览表</w:t>
            </w:r>
          </w:p>
          <w:tbl>
            <w:tblPr>
              <w:tblStyle w:val="25"/>
              <w:tblW w:w="89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928"/>
              <w:gridCol w:w="1712"/>
              <w:gridCol w:w="1558"/>
              <w:gridCol w:w="1246"/>
              <w:gridCol w:w="2022"/>
              <w:gridCol w:w="1488"/>
            </w:tblGrid>
            <w:tr w14:paraId="32B84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blHeader/>
                <w:jc w:val="center"/>
              </w:trPr>
              <w:tc>
                <w:tcPr>
                  <w:tcW w:w="518" w:type="pct"/>
                  <w:tcBorders>
                    <w:top w:val="single" w:color="auto" w:sz="6" w:space="0"/>
                    <w:left w:val="single" w:color="auto" w:sz="0" w:space="0"/>
                    <w:bottom w:val="single" w:color="auto" w:sz="4" w:space="0"/>
                  </w:tcBorders>
                  <w:vAlign w:val="center"/>
                </w:tcPr>
                <w:p w14:paraId="6F1A4BB7">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类别</w:t>
                  </w:r>
                </w:p>
              </w:tc>
              <w:tc>
                <w:tcPr>
                  <w:tcW w:w="955" w:type="pct"/>
                  <w:tcBorders>
                    <w:top w:val="single" w:color="auto" w:sz="6" w:space="0"/>
                    <w:bottom w:val="single" w:color="auto" w:sz="4" w:space="0"/>
                  </w:tcBorders>
                  <w:shd w:val="clear" w:color="auto" w:fill="auto"/>
                  <w:vAlign w:val="center"/>
                </w:tcPr>
                <w:p w14:paraId="5ED79667">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监测点位</w:t>
                  </w:r>
                </w:p>
              </w:tc>
              <w:tc>
                <w:tcPr>
                  <w:tcW w:w="870" w:type="pct"/>
                  <w:tcBorders>
                    <w:top w:val="single" w:color="auto" w:sz="6" w:space="0"/>
                    <w:bottom w:val="single" w:color="auto" w:sz="4" w:space="0"/>
                  </w:tcBorders>
                  <w:shd w:val="clear" w:color="auto" w:fill="auto"/>
                  <w:vAlign w:val="center"/>
                </w:tcPr>
                <w:p w14:paraId="0FB1CF0E">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监测项目</w:t>
                  </w:r>
                </w:p>
              </w:tc>
              <w:tc>
                <w:tcPr>
                  <w:tcW w:w="695" w:type="pct"/>
                  <w:tcBorders>
                    <w:top w:val="single" w:color="auto" w:sz="6" w:space="0"/>
                    <w:bottom w:val="single" w:color="auto" w:sz="4" w:space="0"/>
                  </w:tcBorders>
                  <w:shd w:val="clear" w:color="auto" w:fill="auto"/>
                  <w:vAlign w:val="center"/>
                </w:tcPr>
                <w:p w14:paraId="3360F333">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监测频次</w:t>
                  </w:r>
                </w:p>
              </w:tc>
              <w:tc>
                <w:tcPr>
                  <w:tcW w:w="1129" w:type="pct"/>
                  <w:tcBorders>
                    <w:top w:val="single" w:color="auto" w:sz="6" w:space="0"/>
                    <w:bottom w:val="single" w:color="auto" w:sz="4" w:space="0"/>
                  </w:tcBorders>
                  <w:vAlign w:val="center"/>
                </w:tcPr>
                <w:p w14:paraId="10B8A3AA">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202</w:t>
                  </w:r>
                  <w:r>
                    <w:rPr>
                      <w:rFonts w:hint="eastAsia" w:ascii="Times New Roman" w:hAnsi="Times New Roman" w:eastAsia="宋体" w:cs="Times New Roman"/>
                      <w:b/>
                      <w:bCs/>
                      <w:color w:val="auto"/>
                      <w:sz w:val="21"/>
                      <w:szCs w:val="21"/>
                      <w:lang w:val="en-US" w:eastAsia="zh-CN"/>
                    </w:rPr>
                    <w:t>4</w:t>
                  </w:r>
                  <w:r>
                    <w:rPr>
                      <w:rFonts w:ascii="Times New Roman" w:hAnsi="Times New Roman" w:eastAsia="宋体" w:cs="Times New Roman"/>
                      <w:b/>
                      <w:bCs/>
                      <w:color w:val="auto"/>
                      <w:sz w:val="21"/>
                      <w:szCs w:val="21"/>
                    </w:rPr>
                    <w:t>年监测频次</w:t>
                  </w:r>
                </w:p>
              </w:tc>
              <w:tc>
                <w:tcPr>
                  <w:tcW w:w="830" w:type="pct"/>
                  <w:tcBorders>
                    <w:top w:val="single" w:color="auto" w:sz="6" w:space="0"/>
                    <w:bottom w:val="single" w:color="auto" w:sz="4" w:space="0"/>
                    <w:right w:val="single" w:color="auto" w:sz="6" w:space="0"/>
                  </w:tcBorders>
                  <w:shd w:val="clear" w:color="auto" w:fill="auto"/>
                  <w:vAlign w:val="center"/>
                </w:tcPr>
                <w:p w14:paraId="295EBE53">
                  <w:pPr>
                    <w:pStyle w:val="45"/>
                    <w:spacing w:beforeLines="0" w:afterLines="0" w:line="240" w:lineRule="auto"/>
                    <w:ind w:left="0" w:leftChars="0"/>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是否符合要求</w:t>
                  </w:r>
                </w:p>
              </w:tc>
            </w:tr>
            <w:tr w14:paraId="72530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tcBorders>
                    <w:top w:val="single" w:color="auto" w:sz="4" w:space="0"/>
                    <w:left w:val="single" w:color="auto" w:sz="4" w:space="0"/>
                    <w:bottom w:val="single" w:color="auto" w:sz="4" w:space="0"/>
                  </w:tcBorders>
                  <w:vAlign w:val="center"/>
                </w:tcPr>
                <w:p w14:paraId="76BDD3B1">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无组织废气</w:t>
                  </w:r>
                </w:p>
              </w:tc>
              <w:tc>
                <w:tcPr>
                  <w:tcW w:w="955" w:type="pct"/>
                  <w:tcBorders>
                    <w:top w:val="single" w:color="auto" w:sz="4" w:space="0"/>
                    <w:bottom w:val="single" w:color="auto" w:sz="4" w:space="0"/>
                  </w:tcBorders>
                  <w:shd w:val="clear" w:color="auto" w:fill="auto"/>
                  <w:vAlign w:val="center"/>
                </w:tcPr>
                <w:p w14:paraId="6B6F2EA0">
                  <w:pPr>
                    <w:pStyle w:val="45"/>
                    <w:spacing w:beforeLines="0" w:afterLines="0" w:line="240" w:lineRule="auto"/>
                    <w:ind w:left="0" w:leftChars="0"/>
                    <w:jc w:val="lef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厂界外20m处上风向设参照点，下风向设监控点</w:t>
                  </w:r>
                </w:p>
              </w:tc>
              <w:tc>
                <w:tcPr>
                  <w:tcW w:w="870" w:type="pct"/>
                  <w:tcBorders>
                    <w:top w:val="single" w:color="auto" w:sz="4" w:space="0"/>
                    <w:bottom w:val="single" w:color="auto" w:sz="4" w:space="0"/>
                  </w:tcBorders>
                  <w:shd w:val="clear" w:color="auto" w:fill="auto"/>
                  <w:vAlign w:val="center"/>
                </w:tcPr>
                <w:p w14:paraId="235C9DBF">
                  <w:pPr>
                    <w:pStyle w:val="45"/>
                    <w:spacing w:beforeLines="0" w:afterLines="0" w:line="240" w:lineRule="auto"/>
                    <w:ind w:left="0" w:leftChars="0"/>
                    <w:jc w:val="both"/>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甲烷</w:t>
                  </w:r>
                  <w:r>
                    <w:rPr>
                      <w:rFonts w:hint="eastAsia" w:ascii="Times New Roman" w:hAnsi="Times New Roman" w:eastAsia="宋体" w:cs="Times New Roman"/>
                      <w:color w:val="auto"/>
                      <w:sz w:val="21"/>
                      <w:szCs w:val="21"/>
                      <w:lang w:eastAsia="zh-CN"/>
                    </w:rPr>
                    <w:t>、臭气浓度、氨（氨气）、氯、硫化氢</w:t>
                  </w:r>
                </w:p>
              </w:tc>
              <w:tc>
                <w:tcPr>
                  <w:tcW w:w="695" w:type="pct"/>
                  <w:tcBorders>
                    <w:top w:val="single" w:color="auto" w:sz="4" w:space="0"/>
                    <w:bottom w:val="single" w:color="auto" w:sz="4" w:space="0"/>
                  </w:tcBorders>
                  <w:shd w:val="clear" w:color="auto" w:fill="auto"/>
                  <w:vAlign w:val="center"/>
                </w:tcPr>
                <w:p w14:paraId="331C7856">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1次/季度</w:t>
                  </w:r>
                </w:p>
              </w:tc>
              <w:tc>
                <w:tcPr>
                  <w:tcW w:w="1129" w:type="pct"/>
                  <w:tcBorders>
                    <w:top w:val="single" w:color="auto" w:sz="4" w:space="0"/>
                    <w:bottom w:val="single" w:color="auto" w:sz="4" w:space="0"/>
                  </w:tcBorders>
                  <w:vAlign w:val="center"/>
                </w:tcPr>
                <w:p w14:paraId="06DF6778">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1次/季度</w:t>
                  </w:r>
                </w:p>
              </w:tc>
              <w:tc>
                <w:tcPr>
                  <w:tcW w:w="830" w:type="pct"/>
                  <w:tcBorders>
                    <w:top w:val="single" w:color="auto" w:sz="4" w:space="0"/>
                    <w:bottom w:val="single" w:color="auto" w:sz="4" w:space="0"/>
                    <w:right w:val="single" w:color="auto" w:sz="6" w:space="0"/>
                  </w:tcBorders>
                  <w:shd w:val="clear" w:color="auto" w:fill="auto"/>
                  <w:vAlign w:val="center"/>
                </w:tcPr>
                <w:p w14:paraId="66414DD0">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14:paraId="60696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vMerge w:val="restart"/>
                  <w:tcBorders>
                    <w:top w:val="single" w:color="auto" w:sz="4" w:space="0"/>
                    <w:left w:val="single" w:color="auto" w:sz="4" w:space="0"/>
                  </w:tcBorders>
                  <w:vAlign w:val="center"/>
                </w:tcPr>
                <w:p w14:paraId="75EDBBF7">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废水</w:t>
                  </w:r>
                </w:p>
              </w:tc>
              <w:tc>
                <w:tcPr>
                  <w:tcW w:w="955" w:type="pct"/>
                  <w:vMerge w:val="restart"/>
                  <w:tcBorders>
                    <w:top w:val="single" w:color="auto" w:sz="4" w:space="0"/>
                  </w:tcBorders>
                  <w:shd w:val="clear" w:color="auto" w:fill="auto"/>
                  <w:vAlign w:val="center"/>
                </w:tcPr>
                <w:p w14:paraId="3C50E958">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废水总排口</w:t>
                  </w:r>
                </w:p>
              </w:tc>
              <w:tc>
                <w:tcPr>
                  <w:tcW w:w="870" w:type="pct"/>
                  <w:tcBorders>
                    <w:top w:val="single" w:color="auto" w:sz="4" w:space="0"/>
                    <w:bottom w:val="single" w:color="auto" w:sz="4" w:space="0"/>
                  </w:tcBorders>
                  <w:shd w:val="clear" w:color="auto" w:fill="auto"/>
                  <w:vAlign w:val="center"/>
                </w:tcPr>
                <w:p w14:paraId="07149D21">
                  <w:pPr>
                    <w:pStyle w:val="45"/>
                    <w:tabs>
                      <w:tab w:val="left" w:pos="2400"/>
                    </w:tabs>
                    <w:spacing w:beforeLines="0" w:afterLines="0" w:line="240" w:lineRule="auto"/>
                    <w:ind w:left="0" w:leftChars="0"/>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pH</w:t>
                  </w:r>
                </w:p>
              </w:tc>
              <w:tc>
                <w:tcPr>
                  <w:tcW w:w="695" w:type="pct"/>
                  <w:tcBorders>
                    <w:top w:val="single" w:color="auto" w:sz="4" w:space="0"/>
                    <w:bottom w:val="single" w:color="auto" w:sz="4" w:space="0"/>
                  </w:tcBorders>
                  <w:shd w:val="clear" w:color="auto" w:fill="auto"/>
                  <w:vAlign w:val="center"/>
                </w:tcPr>
                <w:p w14:paraId="3CDCAB64">
                  <w:pPr>
                    <w:pStyle w:val="45"/>
                    <w:tabs>
                      <w:tab w:val="left" w:pos="2400"/>
                    </w:tabs>
                    <w:spacing w:beforeLines="0" w:afterLines="0" w:line="240" w:lineRule="auto"/>
                    <w:ind w:left="0" w:leftChars="0"/>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1次/</w:t>
                  </w:r>
                  <w:r>
                    <w:rPr>
                      <w:rFonts w:hint="eastAsia" w:ascii="Times New Roman" w:hAnsi="Times New Roman" w:eastAsia="宋体" w:cs="Times New Roman"/>
                      <w:color w:val="auto"/>
                      <w:sz w:val="21"/>
                      <w:szCs w:val="21"/>
                      <w:lang w:val="en-US" w:eastAsia="zh-CN"/>
                    </w:rPr>
                    <w:t>12小时</w:t>
                  </w:r>
                </w:p>
              </w:tc>
              <w:tc>
                <w:tcPr>
                  <w:tcW w:w="1129" w:type="pct"/>
                  <w:tcBorders>
                    <w:top w:val="single" w:color="auto" w:sz="4" w:space="0"/>
                    <w:bottom w:val="single" w:color="auto" w:sz="4" w:space="0"/>
                  </w:tcBorders>
                  <w:vAlign w:val="center"/>
                </w:tcPr>
                <w:p w14:paraId="2E5A7077">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w:t>
                  </w:r>
                  <w:r>
                    <w:rPr>
                      <w:rFonts w:hint="eastAsia" w:ascii="Times New Roman" w:hAnsi="Times New Roman" w:eastAsia="宋体" w:cs="Times New Roman"/>
                      <w:color w:val="auto"/>
                      <w:sz w:val="21"/>
                      <w:szCs w:val="21"/>
                      <w:lang w:val="en-US" w:eastAsia="zh-CN"/>
                    </w:rPr>
                    <w:t>12小时</w:t>
                  </w:r>
                </w:p>
              </w:tc>
              <w:tc>
                <w:tcPr>
                  <w:tcW w:w="830" w:type="pct"/>
                  <w:tcBorders>
                    <w:top w:val="single" w:color="auto" w:sz="4" w:space="0"/>
                    <w:bottom w:val="single" w:color="auto" w:sz="4" w:space="0"/>
                    <w:right w:val="single" w:color="auto" w:sz="6" w:space="0"/>
                  </w:tcBorders>
                  <w:shd w:val="clear" w:color="auto" w:fill="auto"/>
                  <w:vAlign w:val="center"/>
                </w:tcPr>
                <w:p w14:paraId="78A80234">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14:paraId="48976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5" w:hRule="exact"/>
                <w:jc w:val="center"/>
              </w:trPr>
              <w:tc>
                <w:tcPr>
                  <w:tcW w:w="518" w:type="pct"/>
                  <w:vMerge w:val="continue"/>
                  <w:tcBorders>
                    <w:left w:val="single" w:color="auto" w:sz="4" w:space="0"/>
                  </w:tcBorders>
                  <w:vAlign w:val="center"/>
                </w:tcPr>
                <w:p w14:paraId="4448F039">
                  <w:pPr>
                    <w:pStyle w:val="45"/>
                    <w:spacing w:beforeLines="0" w:afterLines="0" w:line="240" w:lineRule="auto"/>
                    <w:ind w:left="0" w:leftChars="0"/>
                    <w:rPr>
                      <w:rFonts w:ascii="Times New Roman" w:hAnsi="Times New Roman" w:eastAsia="宋体" w:cs="Times New Roman"/>
                      <w:color w:val="auto"/>
                      <w:sz w:val="21"/>
                      <w:szCs w:val="21"/>
                    </w:rPr>
                  </w:pPr>
                </w:p>
              </w:tc>
              <w:tc>
                <w:tcPr>
                  <w:tcW w:w="955" w:type="pct"/>
                  <w:vMerge w:val="continue"/>
                  <w:shd w:val="clear" w:color="auto" w:fill="auto"/>
                  <w:vAlign w:val="center"/>
                </w:tcPr>
                <w:p w14:paraId="2351844B">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p>
              </w:tc>
              <w:tc>
                <w:tcPr>
                  <w:tcW w:w="870" w:type="pct"/>
                  <w:tcBorders>
                    <w:top w:val="single" w:color="auto" w:sz="4" w:space="0"/>
                    <w:bottom w:val="single" w:color="auto" w:sz="4" w:space="0"/>
                  </w:tcBorders>
                  <w:shd w:val="clear" w:color="auto" w:fill="auto"/>
                  <w:vAlign w:val="center"/>
                </w:tcPr>
                <w:p w14:paraId="3E470350">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COD、SS</w:t>
                  </w:r>
                </w:p>
              </w:tc>
              <w:tc>
                <w:tcPr>
                  <w:tcW w:w="695" w:type="pct"/>
                  <w:tcBorders>
                    <w:top w:val="single" w:color="auto" w:sz="4" w:space="0"/>
                    <w:bottom w:val="single" w:color="auto" w:sz="4" w:space="0"/>
                  </w:tcBorders>
                  <w:shd w:val="clear" w:color="auto" w:fill="auto"/>
                  <w:vAlign w:val="center"/>
                </w:tcPr>
                <w:p w14:paraId="4EE7BFAA">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1次/周</w:t>
                  </w:r>
                </w:p>
              </w:tc>
              <w:tc>
                <w:tcPr>
                  <w:tcW w:w="1129" w:type="pct"/>
                  <w:tcBorders>
                    <w:top w:val="single" w:color="auto" w:sz="4" w:space="0"/>
                    <w:bottom w:val="single" w:color="auto" w:sz="4" w:space="0"/>
                  </w:tcBorders>
                  <w:vAlign w:val="center"/>
                </w:tcPr>
                <w:p w14:paraId="1B39B54C">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1次/周</w:t>
                  </w:r>
                </w:p>
              </w:tc>
              <w:tc>
                <w:tcPr>
                  <w:tcW w:w="830" w:type="pct"/>
                  <w:tcBorders>
                    <w:top w:val="single" w:color="auto" w:sz="4" w:space="0"/>
                    <w:bottom w:val="single" w:color="auto" w:sz="4" w:space="0"/>
                    <w:right w:val="single" w:color="auto" w:sz="6" w:space="0"/>
                  </w:tcBorders>
                  <w:shd w:val="clear" w:color="auto" w:fill="auto"/>
                  <w:vAlign w:val="center"/>
                </w:tcPr>
                <w:p w14:paraId="67D02A79">
                  <w:pPr>
                    <w:pStyle w:val="45"/>
                    <w:spacing w:beforeLines="0" w:afterLines="0" w:line="240" w:lineRule="auto"/>
                    <w:ind w:left="0" w:leftChars="0"/>
                    <w:rPr>
                      <w:rFonts w:hint="eastAsia"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符合</w:t>
                  </w:r>
                </w:p>
              </w:tc>
            </w:tr>
            <w:tr w14:paraId="20C36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vMerge w:val="continue"/>
                  <w:tcBorders>
                    <w:left w:val="single" w:color="auto" w:sz="4" w:space="0"/>
                  </w:tcBorders>
                  <w:vAlign w:val="center"/>
                </w:tcPr>
                <w:p w14:paraId="1F535C3C">
                  <w:pPr>
                    <w:pStyle w:val="45"/>
                    <w:spacing w:beforeLines="0" w:afterLines="0" w:line="240" w:lineRule="auto"/>
                    <w:ind w:left="0" w:leftChars="0"/>
                    <w:rPr>
                      <w:rFonts w:ascii="Times New Roman" w:hAnsi="Times New Roman" w:eastAsia="宋体" w:cs="Times New Roman"/>
                      <w:color w:val="auto"/>
                      <w:sz w:val="21"/>
                      <w:szCs w:val="21"/>
                    </w:rPr>
                  </w:pPr>
                </w:p>
              </w:tc>
              <w:tc>
                <w:tcPr>
                  <w:tcW w:w="955" w:type="pct"/>
                  <w:vMerge w:val="continue"/>
                  <w:shd w:val="clear" w:color="auto" w:fill="auto"/>
                  <w:vAlign w:val="center"/>
                </w:tcPr>
                <w:p w14:paraId="76EC5E3C">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p>
              </w:tc>
              <w:tc>
                <w:tcPr>
                  <w:tcW w:w="870" w:type="pct"/>
                  <w:tcBorders>
                    <w:top w:val="single" w:color="auto" w:sz="4" w:space="0"/>
                    <w:bottom w:val="single" w:color="auto" w:sz="4" w:space="0"/>
                  </w:tcBorders>
                  <w:shd w:val="clear" w:color="auto" w:fill="auto"/>
                  <w:vAlign w:val="center"/>
                </w:tcPr>
                <w:p w14:paraId="17C5B42B">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粪大肠菌群数</w:t>
                  </w:r>
                </w:p>
              </w:tc>
              <w:tc>
                <w:tcPr>
                  <w:tcW w:w="695" w:type="pct"/>
                  <w:tcBorders>
                    <w:top w:val="single" w:color="auto" w:sz="4" w:space="0"/>
                    <w:bottom w:val="single" w:color="auto" w:sz="4" w:space="0"/>
                  </w:tcBorders>
                  <w:shd w:val="clear" w:color="auto" w:fill="auto"/>
                  <w:vAlign w:val="center"/>
                </w:tcPr>
                <w:p w14:paraId="0A5A4412">
                  <w:pPr>
                    <w:pStyle w:val="45"/>
                    <w:tabs>
                      <w:tab w:val="left" w:pos="2400"/>
                    </w:tabs>
                    <w:spacing w:beforeLines="0" w:afterLines="0" w:line="240" w:lineRule="auto"/>
                    <w:ind w:left="0" w:leftChars="0"/>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1次/</w:t>
                  </w:r>
                  <w:r>
                    <w:rPr>
                      <w:rFonts w:hint="eastAsia" w:ascii="Times New Roman" w:cs="Times New Roman"/>
                      <w:color w:val="auto"/>
                      <w:sz w:val="21"/>
                      <w:szCs w:val="21"/>
                      <w:lang w:val="en-US" w:eastAsia="zh-CN"/>
                    </w:rPr>
                    <w:t>月</w:t>
                  </w:r>
                </w:p>
              </w:tc>
              <w:tc>
                <w:tcPr>
                  <w:tcW w:w="1129" w:type="pct"/>
                  <w:tcBorders>
                    <w:top w:val="single" w:color="auto" w:sz="4" w:space="0"/>
                    <w:bottom w:val="single" w:color="auto" w:sz="4" w:space="0"/>
                  </w:tcBorders>
                  <w:vAlign w:val="center"/>
                </w:tcPr>
                <w:p w14:paraId="7AF79F15">
                  <w:pPr>
                    <w:pStyle w:val="45"/>
                    <w:spacing w:beforeLines="0" w:afterLines="0" w:line="240" w:lineRule="auto"/>
                    <w:ind w:left="0" w:leftChars="0"/>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1次/</w:t>
                  </w:r>
                  <w:r>
                    <w:rPr>
                      <w:rFonts w:hint="eastAsia" w:ascii="Times New Roman" w:cs="Times New Roman"/>
                      <w:color w:val="auto"/>
                      <w:sz w:val="21"/>
                      <w:szCs w:val="21"/>
                      <w:lang w:val="en-US" w:eastAsia="zh-CN"/>
                    </w:rPr>
                    <w:t>季度</w:t>
                  </w:r>
                </w:p>
              </w:tc>
              <w:tc>
                <w:tcPr>
                  <w:tcW w:w="830" w:type="pct"/>
                  <w:tcBorders>
                    <w:top w:val="single" w:color="auto" w:sz="4" w:space="0"/>
                    <w:bottom w:val="single" w:color="auto" w:sz="4" w:space="0"/>
                    <w:right w:val="single" w:color="auto" w:sz="6" w:space="0"/>
                  </w:tcBorders>
                  <w:shd w:val="clear" w:color="auto" w:fill="auto"/>
                  <w:vAlign w:val="center"/>
                </w:tcPr>
                <w:p w14:paraId="5D41079D">
                  <w:pPr>
                    <w:pStyle w:val="45"/>
                    <w:spacing w:beforeLines="0" w:afterLines="0" w:line="240" w:lineRule="auto"/>
                    <w:ind w:left="0" w:leftChars="0"/>
                    <w:rPr>
                      <w:rFonts w:ascii="Times New Roman" w:hAnsi="Times New Roman" w:eastAsia="宋体" w:cs="Times New Roman"/>
                      <w:b w:val="0"/>
                      <w:bCs/>
                      <w:color w:val="auto"/>
                      <w:sz w:val="21"/>
                      <w:szCs w:val="21"/>
                    </w:rPr>
                  </w:pPr>
                  <w:r>
                    <w:rPr>
                      <w:rFonts w:ascii="Times New Roman" w:hAnsi="Times New Roman" w:eastAsia="宋体" w:cs="Times New Roman"/>
                      <w:b w:val="0"/>
                      <w:bCs/>
                      <w:color w:val="auto"/>
                      <w:sz w:val="21"/>
                      <w:szCs w:val="21"/>
                    </w:rPr>
                    <w:t>不符合</w:t>
                  </w:r>
                </w:p>
              </w:tc>
            </w:tr>
            <w:tr w14:paraId="418FC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vMerge w:val="continue"/>
                  <w:tcBorders>
                    <w:left w:val="single" w:color="auto" w:sz="4" w:space="0"/>
                  </w:tcBorders>
                  <w:vAlign w:val="center"/>
                </w:tcPr>
                <w:p w14:paraId="7F338B38">
                  <w:pPr>
                    <w:pStyle w:val="45"/>
                    <w:spacing w:beforeLines="0" w:afterLines="0" w:line="240" w:lineRule="auto"/>
                    <w:ind w:left="0" w:leftChars="0"/>
                    <w:rPr>
                      <w:rFonts w:ascii="Times New Roman" w:hAnsi="Times New Roman" w:eastAsia="宋体" w:cs="Times New Roman"/>
                      <w:color w:val="auto"/>
                      <w:sz w:val="21"/>
                      <w:szCs w:val="21"/>
                    </w:rPr>
                  </w:pPr>
                </w:p>
              </w:tc>
              <w:tc>
                <w:tcPr>
                  <w:tcW w:w="955" w:type="pct"/>
                  <w:vMerge w:val="continue"/>
                  <w:shd w:val="clear" w:color="auto" w:fill="auto"/>
                  <w:vAlign w:val="center"/>
                </w:tcPr>
                <w:p w14:paraId="7F7FEFFF">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p>
              </w:tc>
              <w:tc>
                <w:tcPr>
                  <w:tcW w:w="870" w:type="pct"/>
                  <w:tcBorders>
                    <w:top w:val="single" w:color="auto" w:sz="4" w:space="0"/>
                    <w:bottom w:val="single" w:color="auto" w:sz="4" w:space="0"/>
                  </w:tcBorders>
                  <w:shd w:val="clear" w:color="auto" w:fill="auto"/>
                  <w:vAlign w:val="center"/>
                </w:tcPr>
                <w:p w14:paraId="6981FE11">
                  <w:pPr>
                    <w:pStyle w:val="45"/>
                    <w:tabs>
                      <w:tab w:val="left" w:pos="2400"/>
                    </w:tabs>
                    <w:spacing w:beforeLines="0" w:afterLines="0" w:line="240" w:lineRule="auto"/>
                    <w:ind w:left="0" w:leftChars="0"/>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总氰化物、</w:t>
                  </w:r>
                  <w:r>
                    <w:rPr>
                      <w:rFonts w:ascii="Arial" w:hAnsi="Arial" w:eastAsia="宋体" w:cs="Arial"/>
                      <w:i w:val="0"/>
                      <w:iCs w:val="0"/>
                      <w:caps w:val="0"/>
                      <w:color w:val="auto"/>
                      <w:spacing w:val="0"/>
                      <w:sz w:val="21"/>
                      <w:szCs w:val="21"/>
                      <w:shd w:val="clear" w:fill="FFFFFF"/>
                    </w:rPr>
                    <w:t>挥发酚</w:t>
                  </w:r>
                  <w:r>
                    <w:rPr>
                      <w:rFonts w:hint="eastAsia" w:ascii="Arial" w:hAnsi="Arial" w:eastAsia="宋体" w:cs="Arial"/>
                      <w:i w:val="0"/>
                      <w:iCs w:val="0"/>
                      <w:caps w:val="0"/>
                      <w:color w:val="auto"/>
                      <w:spacing w:val="0"/>
                      <w:sz w:val="21"/>
                      <w:szCs w:val="21"/>
                      <w:shd w:val="clear" w:fill="FFFFFF"/>
                      <w:lang w:eastAsia="zh-CN"/>
                    </w:rPr>
                    <w:t>、</w:t>
                  </w:r>
                  <w:r>
                    <w:rPr>
                      <w:rFonts w:ascii="Times New Roman" w:hAnsi="Times New Roman" w:eastAsia="宋体" w:cs="Times New Roman"/>
                      <w:color w:val="auto"/>
                      <w:sz w:val="21"/>
                      <w:szCs w:val="21"/>
                    </w:rPr>
                    <w:t>BOD</w:t>
                  </w:r>
                  <w:r>
                    <w:rPr>
                      <w:rFonts w:ascii="Times New Roman" w:hAnsi="Times New Roman" w:eastAsia="宋体" w:cs="Times New Roman"/>
                      <w:color w:val="auto"/>
                      <w:sz w:val="21"/>
                      <w:szCs w:val="21"/>
                      <w:vertAlign w:val="subscript"/>
                    </w:rPr>
                    <w:t>5</w:t>
                  </w:r>
                  <w:r>
                    <w:rPr>
                      <w:rFonts w:ascii="Times New Roman" w:hAnsi="Times New Roman" w:eastAsia="宋体" w:cs="Times New Roman"/>
                      <w:color w:val="auto"/>
                      <w:sz w:val="21"/>
                      <w:szCs w:val="21"/>
                    </w:rPr>
                    <w:t>、石油类、动植物油</w:t>
                  </w:r>
                  <w:r>
                    <w:rPr>
                      <w:rFonts w:hint="eastAsia" w:ascii="Times New Roman" w:cs="Times New Roman"/>
                      <w:color w:val="auto"/>
                      <w:sz w:val="21"/>
                      <w:szCs w:val="21"/>
                      <w:lang w:eastAsia="zh-CN"/>
                    </w:rPr>
                    <w:t>、阴离子表面活性剂</w:t>
                  </w:r>
                </w:p>
              </w:tc>
              <w:tc>
                <w:tcPr>
                  <w:tcW w:w="695" w:type="pct"/>
                  <w:tcBorders>
                    <w:top w:val="single" w:color="auto" w:sz="4" w:space="0"/>
                    <w:bottom w:val="single" w:color="auto" w:sz="4" w:space="0"/>
                  </w:tcBorders>
                  <w:shd w:val="clear" w:color="auto" w:fill="auto"/>
                  <w:vAlign w:val="center"/>
                </w:tcPr>
                <w:p w14:paraId="59E32371">
                  <w:pPr>
                    <w:pStyle w:val="45"/>
                    <w:tabs>
                      <w:tab w:val="left" w:pos="2400"/>
                    </w:tabs>
                    <w:spacing w:beforeLines="0" w:afterLines="0" w:line="240" w:lineRule="auto"/>
                    <w:ind w:left="0" w:leftChars="0"/>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1次/</w:t>
                  </w:r>
                  <w:r>
                    <w:rPr>
                      <w:rFonts w:hint="eastAsia" w:ascii="Times New Roman" w:cs="Times New Roman"/>
                      <w:color w:val="auto"/>
                      <w:sz w:val="21"/>
                      <w:szCs w:val="21"/>
                      <w:lang w:val="en-US" w:eastAsia="zh-CN"/>
                    </w:rPr>
                    <w:t>季度</w:t>
                  </w:r>
                </w:p>
              </w:tc>
              <w:tc>
                <w:tcPr>
                  <w:tcW w:w="1129" w:type="pct"/>
                  <w:tcBorders>
                    <w:top w:val="single" w:color="auto" w:sz="4" w:space="0"/>
                    <w:bottom w:val="single" w:color="auto" w:sz="4" w:space="0"/>
                  </w:tcBorders>
                  <w:vAlign w:val="center"/>
                </w:tcPr>
                <w:p w14:paraId="0567A334">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w:t>
                  </w:r>
                  <w:r>
                    <w:rPr>
                      <w:rFonts w:hint="eastAsia" w:ascii="Times New Roman" w:cs="Times New Roman"/>
                      <w:color w:val="auto"/>
                      <w:sz w:val="21"/>
                      <w:szCs w:val="21"/>
                      <w:lang w:val="en-US" w:eastAsia="zh-CN"/>
                    </w:rPr>
                    <w:t>季度</w:t>
                  </w:r>
                </w:p>
              </w:tc>
              <w:tc>
                <w:tcPr>
                  <w:tcW w:w="830" w:type="pct"/>
                  <w:tcBorders>
                    <w:top w:val="single" w:color="auto" w:sz="4" w:space="0"/>
                    <w:bottom w:val="single" w:color="auto" w:sz="4" w:space="0"/>
                    <w:right w:val="single" w:color="auto" w:sz="6" w:space="0"/>
                  </w:tcBorders>
                  <w:shd w:val="clear" w:color="auto" w:fill="auto"/>
                  <w:vAlign w:val="center"/>
                </w:tcPr>
                <w:p w14:paraId="5A52675A">
                  <w:pPr>
                    <w:pStyle w:val="45"/>
                    <w:spacing w:beforeLines="0" w:afterLines="0" w:line="240" w:lineRule="auto"/>
                    <w:ind w:left="0" w:leftChars="0"/>
                    <w:rPr>
                      <w:rFonts w:ascii="Times New Roman" w:hAnsi="Times New Roman" w:eastAsia="宋体" w:cs="Times New Roman"/>
                      <w:b w:val="0"/>
                      <w:bCs/>
                      <w:color w:val="auto"/>
                      <w:sz w:val="21"/>
                      <w:szCs w:val="21"/>
                    </w:rPr>
                  </w:pPr>
                  <w:r>
                    <w:rPr>
                      <w:rFonts w:ascii="Times New Roman" w:hAnsi="Times New Roman" w:eastAsia="宋体" w:cs="Times New Roman"/>
                      <w:b w:val="0"/>
                      <w:bCs/>
                      <w:color w:val="auto"/>
                      <w:sz w:val="21"/>
                      <w:szCs w:val="21"/>
                    </w:rPr>
                    <w:t>不</w:t>
                  </w:r>
                  <w:r>
                    <w:rPr>
                      <w:rFonts w:hint="eastAsia" w:ascii="Times New Roman" w:cs="Times New Roman"/>
                      <w:b w:val="0"/>
                      <w:bCs/>
                      <w:color w:val="auto"/>
                      <w:sz w:val="21"/>
                      <w:szCs w:val="21"/>
                      <w:lang w:val="en-US" w:eastAsia="zh-CN"/>
                    </w:rPr>
                    <w:t>符合</w:t>
                  </w:r>
                </w:p>
              </w:tc>
            </w:tr>
            <w:tr w14:paraId="5FE76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vMerge w:val="continue"/>
                  <w:tcBorders>
                    <w:left w:val="single" w:color="auto" w:sz="4" w:space="0"/>
                    <w:bottom w:val="single" w:color="auto" w:sz="4" w:space="0"/>
                  </w:tcBorders>
                  <w:vAlign w:val="center"/>
                </w:tcPr>
                <w:p w14:paraId="4679CA78">
                  <w:pPr>
                    <w:pStyle w:val="45"/>
                    <w:spacing w:beforeLines="0" w:afterLines="0" w:line="240" w:lineRule="auto"/>
                    <w:ind w:left="0" w:leftChars="0"/>
                    <w:rPr>
                      <w:rFonts w:ascii="Times New Roman" w:hAnsi="Times New Roman" w:eastAsia="宋体" w:cs="Times New Roman"/>
                      <w:color w:val="auto"/>
                      <w:sz w:val="21"/>
                      <w:szCs w:val="21"/>
                    </w:rPr>
                  </w:pPr>
                </w:p>
              </w:tc>
              <w:tc>
                <w:tcPr>
                  <w:tcW w:w="955" w:type="pct"/>
                  <w:vMerge w:val="continue"/>
                  <w:tcBorders>
                    <w:bottom w:val="single" w:color="auto" w:sz="4" w:space="0"/>
                  </w:tcBorders>
                  <w:shd w:val="clear" w:color="auto" w:fill="auto"/>
                  <w:vAlign w:val="center"/>
                </w:tcPr>
                <w:p w14:paraId="052D9E00">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p>
              </w:tc>
              <w:tc>
                <w:tcPr>
                  <w:tcW w:w="870" w:type="pct"/>
                  <w:tcBorders>
                    <w:top w:val="single" w:color="auto" w:sz="4" w:space="0"/>
                    <w:bottom w:val="single" w:color="auto" w:sz="4" w:space="0"/>
                  </w:tcBorders>
                  <w:shd w:val="clear" w:color="auto" w:fill="auto"/>
                  <w:vAlign w:val="center"/>
                </w:tcPr>
                <w:p w14:paraId="1E1998FC">
                  <w:pPr>
                    <w:pStyle w:val="45"/>
                    <w:tabs>
                      <w:tab w:val="left" w:pos="2400"/>
                    </w:tabs>
                    <w:spacing w:beforeLines="0" w:afterLines="0" w:line="240" w:lineRule="auto"/>
                    <w:ind w:left="0" w:leftChars="0"/>
                    <w:rPr>
                      <w:rFonts w:ascii="Times New Roman" w:hAnsi="Times New Roman" w:eastAsia="宋体" w:cs="Times New Roman"/>
                      <w:color w:val="auto"/>
                      <w:sz w:val="21"/>
                      <w:szCs w:val="21"/>
                    </w:rPr>
                  </w:pPr>
                  <w:r>
                    <w:rPr>
                      <w:rFonts w:hint="eastAsia" w:cs="Times New Roman"/>
                      <w:color w:val="auto"/>
                      <w:lang w:eastAsia="zh-CN"/>
                    </w:rPr>
                    <w:t>肠道致病菌(沙门氏菌)、色度、</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-N</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总余氯（以Cl计）</w:t>
                  </w:r>
                </w:p>
              </w:tc>
              <w:tc>
                <w:tcPr>
                  <w:tcW w:w="695" w:type="pct"/>
                  <w:tcBorders>
                    <w:top w:val="single" w:color="auto" w:sz="4" w:space="0"/>
                    <w:bottom w:val="single" w:color="auto" w:sz="4" w:space="0"/>
                  </w:tcBorders>
                  <w:shd w:val="clear" w:color="auto" w:fill="auto"/>
                  <w:vAlign w:val="center"/>
                </w:tcPr>
                <w:p w14:paraId="63BB9467">
                  <w:pPr>
                    <w:pStyle w:val="45"/>
                    <w:tabs>
                      <w:tab w:val="left" w:pos="2400"/>
                    </w:tabs>
                    <w:spacing w:beforeLines="0" w:afterLines="0" w:line="240" w:lineRule="auto"/>
                    <w:ind w:left="0" w:leftChars="0"/>
                    <w:rPr>
                      <w:rFonts w:hint="eastAsia" w:ascii="Times New Roman" w:hAnsi="Times New Roman" w:eastAsia="宋体" w:cs="Times New Roman"/>
                      <w:color w:val="auto"/>
                      <w:sz w:val="21"/>
                      <w:szCs w:val="21"/>
                      <w:lang w:eastAsia="zh-CN"/>
                    </w:rPr>
                  </w:pPr>
                  <w:r>
                    <w:rPr>
                      <w:rFonts w:hint="eastAsia" w:ascii="Times New Roman" w:cs="Times New Roman"/>
                      <w:color w:val="auto"/>
                      <w:sz w:val="21"/>
                      <w:szCs w:val="21"/>
                      <w:lang w:val="en-US" w:eastAsia="zh-CN"/>
                    </w:rPr>
                    <w:t>/</w:t>
                  </w:r>
                </w:p>
              </w:tc>
              <w:tc>
                <w:tcPr>
                  <w:tcW w:w="1129" w:type="pct"/>
                  <w:tcBorders>
                    <w:top w:val="single" w:color="auto" w:sz="4" w:space="0"/>
                    <w:bottom w:val="single" w:color="auto" w:sz="4" w:space="0"/>
                  </w:tcBorders>
                  <w:vAlign w:val="center"/>
                </w:tcPr>
                <w:p w14:paraId="30F5D9A2">
                  <w:pPr>
                    <w:pStyle w:val="45"/>
                    <w:spacing w:beforeLines="0" w:afterLines="0" w:line="240" w:lineRule="auto"/>
                    <w:ind w:left="0" w:leftChars="0"/>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总余氯（以Cl计）</w:t>
                  </w:r>
                  <w:r>
                    <w:rPr>
                      <w:rFonts w:ascii="Times New Roman" w:hAnsi="Times New Roman" w:eastAsia="宋体" w:cs="Times New Roman"/>
                      <w:color w:val="auto"/>
                      <w:sz w:val="21"/>
                      <w:szCs w:val="21"/>
                    </w:rPr>
                    <w:t>1次/</w:t>
                  </w:r>
                  <w:r>
                    <w:rPr>
                      <w:rFonts w:hint="eastAsia" w:ascii="Times New Roman" w:hAnsi="Times New Roman" w:eastAsia="宋体" w:cs="Times New Roman"/>
                      <w:color w:val="auto"/>
                      <w:sz w:val="21"/>
                      <w:szCs w:val="21"/>
                      <w:lang w:val="en-US" w:eastAsia="zh-CN"/>
                    </w:rPr>
                    <w:t>12小时；</w:t>
                  </w:r>
                  <w:r>
                    <w:rPr>
                      <w:rFonts w:hint="eastAsia" w:cs="Times New Roman"/>
                      <w:color w:val="auto"/>
                      <w:lang w:eastAsia="zh-CN"/>
                    </w:rPr>
                    <w:t>肠道致病菌(沙门氏菌)</w:t>
                  </w:r>
                  <w:r>
                    <w:rPr>
                      <w:rFonts w:hint="eastAsia" w:cs="Times New Roman"/>
                      <w:color w:val="auto"/>
                      <w:lang w:val="en-US" w:eastAsia="zh-CN"/>
                    </w:rPr>
                    <w:t>1次/年</w:t>
                  </w:r>
                </w:p>
              </w:tc>
              <w:tc>
                <w:tcPr>
                  <w:tcW w:w="830" w:type="pct"/>
                  <w:tcBorders>
                    <w:top w:val="single" w:color="auto" w:sz="4" w:space="0"/>
                    <w:bottom w:val="single" w:color="auto" w:sz="4" w:space="0"/>
                    <w:right w:val="single" w:color="auto" w:sz="6" w:space="0"/>
                  </w:tcBorders>
                  <w:shd w:val="clear" w:color="auto" w:fill="auto"/>
                  <w:vAlign w:val="center"/>
                </w:tcPr>
                <w:p w14:paraId="4C9763BC">
                  <w:pPr>
                    <w:pStyle w:val="45"/>
                    <w:spacing w:beforeLines="0" w:afterLines="0" w:line="240" w:lineRule="auto"/>
                    <w:ind w:left="0" w:leftChars="0"/>
                    <w:rPr>
                      <w:rFonts w:ascii="Times New Roman" w:hAnsi="Times New Roman" w:eastAsia="宋体" w:cs="Times New Roman"/>
                      <w:b w:val="0"/>
                      <w:bCs/>
                      <w:color w:val="auto"/>
                      <w:sz w:val="21"/>
                      <w:szCs w:val="21"/>
                    </w:rPr>
                  </w:pPr>
                  <w:r>
                    <w:rPr>
                      <w:rFonts w:ascii="Times New Roman" w:hAnsi="Times New Roman" w:eastAsia="宋体" w:cs="Times New Roman"/>
                      <w:b w:val="0"/>
                      <w:bCs/>
                      <w:color w:val="auto"/>
                      <w:sz w:val="21"/>
                      <w:szCs w:val="21"/>
                    </w:rPr>
                    <w:t>符合</w:t>
                  </w:r>
                </w:p>
              </w:tc>
            </w:tr>
            <w:tr w14:paraId="11871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18" w:type="pct"/>
                  <w:tcBorders>
                    <w:top w:val="single" w:color="auto" w:sz="4" w:space="0"/>
                    <w:left w:val="single" w:color="auto" w:sz="4" w:space="0"/>
                    <w:bottom w:val="single" w:color="auto" w:sz="6" w:space="0"/>
                  </w:tcBorders>
                  <w:vAlign w:val="center"/>
                </w:tcPr>
                <w:p w14:paraId="47A5C39C">
                  <w:pPr>
                    <w:pStyle w:val="45"/>
                    <w:tabs>
                      <w:tab w:val="left" w:pos="1190"/>
                    </w:tabs>
                    <w:spacing w:beforeLines="0" w:afterLines="0" w:line="240" w:lineRule="auto"/>
                    <w:ind w:left="0" w:leftChars="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场</w:t>
                  </w:r>
                  <w:r>
                    <w:rPr>
                      <w:rFonts w:ascii="Times New Roman" w:hAnsi="Times New Roman" w:eastAsia="宋体" w:cs="Times New Roman"/>
                      <w:color w:val="auto"/>
                      <w:sz w:val="21"/>
                      <w:szCs w:val="21"/>
                    </w:rPr>
                    <w:t>界噪声</w:t>
                  </w:r>
                </w:p>
              </w:tc>
              <w:tc>
                <w:tcPr>
                  <w:tcW w:w="955" w:type="pct"/>
                  <w:tcBorders>
                    <w:top w:val="single" w:color="auto" w:sz="4" w:space="0"/>
                    <w:bottom w:val="single" w:color="auto" w:sz="6" w:space="0"/>
                  </w:tcBorders>
                  <w:shd w:val="clear" w:color="auto" w:fill="auto"/>
                  <w:vAlign w:val="center"/>
                </w:tcPr>
                <w:p w14:paraId="3D4E20B9">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四周</w:t>
                  </w:r>
                </w:p>
              </w:tc>
              <w:tc>
                <w:tcPr>
                  <w:tcW w:w="870" w:type="pct"/>
                  <w:tcBorders>
                    <w:top w:val="single" w:color="auto" w:sz="4" w:space="0"/>
                    <w:bottom w:val="single" w:color="auto" w:sz="6" w:space="0"/>
                  </w:tcBorders>
                  <w:shd w:val="clear" w:color="auto" w:fill="auto"/>
                  <w:vAlign w:val="center"/>
                </w:tcPr>
                <w:p w14:paraId="794A2601">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等效声级 Leq</w:t>
                  </w:r>
                </w:p>
              </w:tc>
              <w:tc>
                <w:tcPr>
                  <w:tcW w:w="695" w:type="pct"/>
                  <w:tcBorders>
                    <w:top w:val="single" w:color="auto" w:sz="4" w:space="0"/>
                    <w:bottom w:val="single" w:color="auto" w:sz="6" w:space="0"/>
                  </w:tcBorders>
                  <w:shd w:val="clear" w:color="auto" w:fill="auto"/>
                  <w:vAlign w:val="center"/>
                </w:tcPr>
                <w:p w14:paraId="2CA0FB89">
                  <w:pPr>
                    <w:pStyle w:val="45"/>
                    <w:spacing w:beforeLines="0" w:afterLines="0" w:line="240" w:lineRule="auto"/>
                    <w:ind w:left="0" w:leftChars="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1次/季度</w:t>
                  </w:r>
                </w:p>
              </w:tc>
              <w:tc>
                <w:tcPr>
                  <w:tcW w:w="1129" w:type="pct"/>
                  <w:tcBorders>
                    <w:top w:val="single" w:color="auto" w:sz="4" w:space="0"/>
                    <w:bottom w:val="single" w:color="auto" w:sz="6" w:space="0"/>
                  </w:tcBorders>
                  <w:vAlign w:val="center"/>
                </w:tcPr>
                <w:p w14:paraId="3BB334CA">
                  <w:pPr>
                    <w:pStyle w:val="45"/>
                    <w:spacing w:beforeLines="0" w:afterLines="0" w:line="240" w:lineRule="auto"/>
                    <w:ind w:left="0" w:leftChars="0"/>
                    <w:rPr>
                      <w:rFonts w:ascii="Times New Roman" w:hAnsi="Times New Roman" w:eastAsia="宋体" w:cs="Times New Roman"/>
                      <w:b w:val="0"/>
                      <w:bCs/>
                      <w:color w:val="auto"/>
                      <w:sz w:val="21"/>
                      <w:szCs w:val="21"/>
                    </w:rPr>
                  </w:pPr>
                  <w:r>
                    <w:rPr>
                      <w:rFonts w:ascii="Times New Roman" w:hAnsi="Times New Roman" w:eastAsia="宋体" w:cs="Times New Roman"/>
                      <w:b w:val="0"/>
                      <w:bCs/>
                      <w:color w:val="auto"/>
                      <w:sz w:val="21"/>
                      <w:szCs w:val="21"/>
                    </w:rPr>
                    <w:t>1次</w:t>
                  </w:r>
                </w:p>
              </w:tc>
              <w:tc>
                <w:tcPr>
                  <w:tcW w:w="830" w:type="pct"/>
                  <w:tcBorders>
                    <w:top w:val="single" w:color="auto" w:sz="4" w:space="0"/>
                    <w:bottom w:val="single" w:color="auto" w:sz="6" w:space="0"/>
                    <w:right w:val="single" w:color="auto" w:sz="6" w:space="0"/>
                  </w:tcBorders>
                  <w:shd w:val="clear" w:color="auto" w:fill="auto"/>
                  <w:vAlign w:val="center"/>
                </w:tcPr>
                <w:p w14:paraId="36DE8452">
                  <w:pPr>
                    <w:pStyle w:val="45"/>
                    <w:spacing w:beforeLines="0" w:afterLines="0" w:line="240" w:lineRule="auto"/>
                    <w:ind w:left="0" w:leftChars="0"/>
                    <w:rPr>
                      <w:rFonts w:ascii="Times New Roman" w:hAnsi="Times New Roman" w:eastAsia="宋体" w:cs="Times New Roman"/>
                      <w:b w:val="0"/>
                      <w:bCs/>
                      <w:color w:val="auto"/>
                      <w:sz w:val="21"/>
                      <w:szCs w:val="21"/>
                    </w:rPr>
                  </w:pPr>
                  <w:r>
                    <w:rPr>
                      <w:rFonts w:ascii="Times New Roman" w:hAnsi="Times New Roman" w:eastAsia="宋体" w:cs="Times New Roman"/>
                      <w:b w:val="0"/>
                      <w:bCs/>
                      <w:color w:val="auto"/>
                      <w:sz w:val="21"/>
                      <w:szCs w:val="21"/>
                    </w:rPr>
                    <w:t>不符合</w:t>
                  </w:r>
                </w:p>
              </w:tc>
            </w:tr>
          </w:tbl>
          <w:p w14:paraId="6E41B71A">
            <w:pPr>
              <w:bidi w:val="0"/>
              <w:spacing w:line="360" w:lineRule="auto"/>
              <w:ind w:firstLine="480" w:firstLineChars="200"/>
              <w:jc w:val="both"/>
              <w:rPr>
                <w:rFonts w:hint="default" w:ascii="Times New Roman" w:hAnsi="Times New Roman" w:eastAsia="宋体" w:cs="宋体"/>
                <w:color w:val="auto"/>
                <w:sz w:val="24"/>
                <w:szCs w:val="24"/>
                <w:lang w:val="en-US" w:eastAsia="zh-CN"/>
              </w:rPr>
            </w:pPr>
            <w:r>
              <w:rPr>
                <w:rFonts w:hint="default" w:ascii="Times New Roman" w:hAnsi="Times New Roman" w:eastAsia="宋体" w:cs="宋体"/>
                <w:color w:val="auto"/>
                <w:sz w:val="24"/>
                <w:szCs w:val="24"/>
                <w:lang w:val="en-US" w:eastAsia="zh-CN"/>
              </w:rPr>
              <w:t>根据《排污单位自行监测技术指南  总则》及环评报告相关内容，企业自行监测计划情况如上表，企业厂界</w:t>
            </w:r>
            <w:r>
              <w:rPr>
                <w:rFonts w:hint="eastAsia" w:cs="宋体"/>
                <w:color w:val="auto"/>
                <w:sz w:val="24"/>
                <w:szCs w:val="24"/>
                <w:lang w:val="en-US" w:eastAsia="zh-CN"/>
              </w:rPr>
              <w:t>例行</w:t>
            </w:r>
            <w:r>
              <w:rPr>
                <w:rFonts w:hint="default" w:ascii="Times New Roman" w:hAnsi="Times New Roman" w:eastAsia="宋体" w:cs="宋体"/>
                <w:color w:val="auto"/>
                <w:sz w:val="24"/>
                <w:szCs w:val="24"/>
                <w:lang w:val="en-US" w:eastAsia="zh-CN"/>
              </w:rPr>
              <w:t>监测频次不满足相关要求，通过本次环评进行整改。</w:t>
            </w:r>
          </w:p>
          <w:p w14:paraId="2B12C3FE">
            <w:pPr>
              <w:pStyle w:val="80"/>
              <w:spacing w:line="360" w:lineRule="auto"/>
              <w:ind w:firstLine="0" w:firstLineChars="0"/>
              <w:rPr>
                <w:rFonts w:hint="default" w:ascii="Times New Roman" w:eastAsia="宋体" w:cs="Times New Roman"/>
                <w:b/>
                <w:color w:val="auto"/>
                <w:lang w:val="en-US" w:eastAsia="zh-CN"/>
              </w:rPr>
            </w:pPr>
            <w:r>
              <w:rPr>
                <w:rFonts w:hint="eastAsia" w:ascii="Times New Roman" w:eastAsia="宋体" w:cs="Times New Roman"/>
                <w:b/>
                <w:color w:val="auto"/>
                <w:lang w:val="en-US" w:eastAsia="zh-CN"/>
              </w:rPr>
              <w:t>2.12.4</w:t>
            </w:r>
            <w:r>
              <w:rPr>
                <w:rFonts w:hint="default" w:ascii="Times New Roman" w:eastAsia="宋体" w:cs="Times New Roman"/>
                <w:b/>
                <w:color w:val="auto"/>
                <w:lang w:val="en-US" w:eastAsia="zh-CN"/>
              </w:rPr>
              <w:t>现有工程环保投诉</w:t>
            </w:r>
          </w:p>
          <w:p w14:paraId="6A447F42">
            <w:pPr>
              <w:bidi w:val="0"/>
              <w:spacing w:line="360" w:lineRule="auto"/>
              <w:ind w:firstLine="480" w:firstLineChars="200"/>
              <w:jc w:val="both"/>
              <w:rPr>
                <w:rFonts w:hint="default" w:ascii="Times New Roman" w:hAnsi="Times New Roman" w:eastAsia="宋体" w:cs="宋体"/>
                <w:color w:val="auto"/>
                <w:sz w:val="24"/>
                <w:szCs w:val="24"/>
                <w:lang w:val="en-US" w:eastAsia="zh-CN"/>
              </w:rPr>
            </w:pPr>
            <w:r>
              <w:rPr>
                <w:rFonts w:hint="default" w:ascii="Times New Roman" w:hAnsi="Times New Roman" w:eastAsia="宋体" w:cs="宋体"/>
                <w:color w:val="auto"/>
                <w:sz w:val="24"/>
                <w:szCs w:val="24"/>
                <w:lang w:val="en-US" w:eastAsia="zh-CN"/>
              </w:rPr>
              <w:t>医院现状运行稳定，环保设施正常运行，近三年未接到相关环保投</w:t>
            </w:r>
            <w:r>
              <w:rPr>
                <w:rFonts w:hint="eastAsia" w:ascii="Times New Roman" w:hAnsi="Times New Roman" w:eastAsia="宋体" w:cs="宋体"/>
                <w:color w:val="auto"/>
                <w:sz w:val="24"/>
                <w:szCs w:val="24"/>
                <w:lang w:val="en-US" w:eastAsia="zh-CN"/>
              </w:rPr>
              <w:t>诉。</w:t>
            </w:r>
          </w:p>
          <w:p w14:paraId="7B9B522F">
            <w:pPr>
              <w:tabs>
                <w:tab w:val="left" w:pos="6590"/>
              </w:tabs>
              <w:bidi w:val="0"/>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sz w:val="24"/>
                <w:szCs w:val="24"/>
                <w:lang w:val="en-US" w:eastAsia="zh-CN"/>
              </w:rPr>
              <w:t>工程现有状况与环评、验收的对照情况如下表所示。</w:t>
            </w:r>
          </w:p>
          <w:p w14:paraId="2DC595D2">
            <w:pPr>
              <w:pStyle w:val="10"/>
              <w:bidi w:val="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表2-</w:t>
            </w:r>
            <w:r>
              <w:rPr>
                <w:rFonts w:hint="eastAsia" w:cs="Times New Roman"/>
                <w:b/>
                <w:bCs/>
                <w:color w:val="auto"/>
                <w:kern w:val="2"/>
                <w:sz w:val="24"/>
                <w:szCs w:val="24"/>
                <w:lang w:val="en-US" w:eastAsia="zh-CN" w:bidi="ar-SA"/>
              </w:rPr>
              <w:t>10</w:t>
            </w:r>
            <w:r>
              <w:rPr>
                <w:rFonts w:hint="eastAsia" w:ascii="Times New Roman" w:hAnsi="Times New Roman" w:eastAsia="宋体" w:cs="Times New Roman"/>
                <w:b/>
                <w:bCs/>
                <w:color w:val="auto"/>
                <w:kern w:val="2"/>
                <w:sz w:val="24"/>
                <w:szCs w:val="24"/>
                <w:lang w:val="en-US" w:eastAsia="zh-CN" w:bidi="ar-SA"/>
              </w:rPr>
              <w:t xml:space="preserve"> </w:t>
            </w:r>
            <w:r>
              <w:rPr>
                <w:rFonts w:hint="default" w:ascii="Times New Roman" w:hAnsi="Times New Roman" w:eastAsia="宋体" w:cs="Times New Roman"/>
                <w:b/>
                <w:bCs/>
                <w:color w:val="auto"/>
                <w:kern w:val="2"/>
                <w:sz w:val="24"/>
                <w:szCs w:val="24"/>
                <w:lang w:val="en-US" w:eastAsia="zh-CN" w:bidi="ar-SA"/>
              </w:rPr>
              <w:t>原有项目环评及验收情况介绍</w:t>
            </w:r>
          </w:p>
          <w:tbl>
            <w:tblPr>
              <w:tblStyle w:val="2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
              <w:gridCol w:w="1012"/>
              <w:gridCol w:w="3585"/>
              <w:gridCol w:w="3732"/>
            </w:tblGrid>
            <w:tr w14:paraId="69599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noWrap w:val="0"/>
                  <w:vAlign w:val="center"/>
                </w:tcPr>
                <w:p w14:paraId="174D952D">
                  <w:pPr>
                    <w:pStyle w:val="68"/>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序号</w:t>
                  </w:r>
                </w:p>
              </w:tc>
              <w:tc>
                <w:tcPr>
                  <w:tcW w:w="566" w:type="pct"/>
                  <w:noWrap w:val="0"/>
                  <w:vAlign w:val="center"/>
                </w:tcPr>
                <w:p w14:paraId="587666BF">
                  <w:pPr>
                    <w:pStyle w:val="68"/>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类别</w:t>
                  </w:r>
                </w:p>
              </w:tc>
              <w:tc>
                <w:tcPr>
                  <w:tcW w:w="2005" w:type="pct"/>
                  <w:noWrap w:val="0"/>
                  <w:vAlign w:val="center"/>
                </w:tcPr>
                <w:p w14:paraId="00887BF2">
                  <w:pPr>
                    <w:pStyle w:val="68"/>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原环评建设审批建设内容</w:t>
                  </w:r>
                </w:p>
              </w:tc>
              <w:tc>
                <w:tcPr>
                  <w:tcW w:w="2087" w:type="pct"/>
                  <w:noWrap w:val="0"/>
                  <w:vAlign w:val="center"/>
                </w:tcPr>
                <w:p w14:paraId="7495C803">
                  <w:pPr>
                    <w:pStyle w:val="68"/>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实际验收情况</w:t>
                  </w:r>
                </w:p>
              </w:tc>
            </w:tr>
            <w:tr w14:paraId="04EB0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noWrap w:val="0"/>
                  <w:vAlign w:val="center"/>
                </w:tcPr>
                <w:p w14:paraId="73B2230B">
                  <w:pPr>
                    <w:pStyle w:val="68"/>
                    <w:bidi w:val="0"/>
                    <w:ind w:left="0" w:leftChars="0" w:right="0" w:rightChars="0" w:firstLine="0" w:firstLineChars="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w:t>
                  </w:r>
                </w:p>
              </w:tc>
              <w:tc>
                <w:tcPr>
                  <w:tcW w:w="566" w:type="pct"/>
                  <w:noWrap w:val="0"/>
                  <w:vAlign w:val="center"/>
                </w:tcPr>
                <w:p w14:paraId="50894C07">
                  <w:pPr>
                    <w:pStyle w:val="68"/>
                    <w:bidi w:val="0"/>
                    <w:ind w:left="0" w:leftChars="0" w:right="0" w:rightChars="0" w:firstLine="0" w:firstLineChars="0"/>
                    <w:rPr>
                      <w:rFonts w:hint="default" w:ascii="Times New Roman" w:hAnsi="Times New Roman" w:cs="Times New Roman"/>
                      <w:color w:val="auto"/>
                      <w:lang w:eastAsia="zh-CN"/>
                    </w:rPr>
                  </w:pPr>
                  <w:r>
                    <w:rPr>
                      <w:rFonts w:hint="eastAsia" w:ascii="Times New Roman" w:hAnsi="Times New Roman" w:cs="Times New Roman"/>
                      <w:color w:val="auto"/>
                      <w:lang w:eastAsia="zh-CN"/>
                    </w:rPr>
                    <w:t>科室设置</w:t>
                  </w:r>
                  <w:r>
                    <w:rPr>
                      <w:rFonts w:hint="default" w:ascii="Times New Roman" w:hAnsi="Times New Roman" w:cs="Times New Roman"/>
                      <w:color w:val="auto"/>
                      <w:lang w:eastAsia="zh-CN"/>
                    </w:rPr>
                    <w:t>情况</w:t>
                  </w:r>
                </w:p>
              </w:tc>
              <w:tc>
                <w:tcPr>
                  <w:tcW w:w="2005" w:type="pct"/>
                  <w:noWrap w:val="0"/>
                  <w:vAlign w:val="center"/>
                </w:tcPr>
                <w:p w14:paraId="71B6CAFB">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设置了</w:t>
                  </w:r>
                  <w:r>
                    <w:rPr>
                      <w:rFonts w:hint="eastAsia"/>
                      <w:color w:val="auto"/>
                      <w:szCs w:val="21"/>
                      <w:lang w:val="en-US" w:eastAsia="zh-CN"/>
                    </w:rPr>
                    <w:t>内</w:t>
                  </w:r>
                  <w:r>
                    <w:rPr>
                      <w:rFonts w:hint="eastAsia"/>
                      <w:color w:val="auto"/>
                      <w:szCs w:val="21"/>
                    </w:rPr>
                    <w:t>科、</w:t>
                  </w:r>
                  <w:r>
                    <w:rPr>
                      <w:rFonts w:hint="eastAsia"/>
                      <w:color w:val="auto"/>
                      <w:szCs w:val="21"/>
                      <w:lang w:val="en-US" w:eastAsia="zh-CN"/>
                    </w:rPr>
                    <w:t>外</w:t>
                  </w:r>
                  <w:r>
                    <w:rPr>
                      <w:rFonts w:hint="eastAsia"/>
                      <w:color w:val="auto"/>
                      <w:szCs w:val="21"/>
                    </w:rPr>
                    <w:t>科、口腔科、</w:t>
                  </w:r>
                  <w:r>
                    <w:rPr>
                      <w:rFonts w:hint="eastAsia"/>
                      <w:color w:val="auto"/>
                      <w:szCs w:val="21"/>
                      <w:lang w:val="en-US" w:eastAsia="zh-CN"/>
                    </w:rPr>
                    <w:t>妇产科、放射科</w:t>
                  </w:r>
                  <w:r>
                    <w:rPr>
                      <w:rFonts w:hint="eastAsia"/>
                      <w:color w:val="auto"/>
                      <w:kern w:val="2"/>
                      <w:sz w:val="21"/>
                      <w:szCs w:val="21"/>
                      <w:lang w:val="en-US" w:eastAsia="zh-CN" w:bidi="ar-SA"/>
                    </w:rPr>
                    <w:t>、</w:t>
                  </w:r>
                  <w:r>
                    <w:rPr>
                      <w:rFonts w:hint="eastAsia"/>
                      <w:color w:val="auto"/>
                      <w:szCs w:val="21"/>
                      <w:lang w:val="en-US" w:eastAsia="zh-CN"/>
                    </w:rPr>
                    <w:t>检验科</w:t>
                  </w:r>
                  <w:r>
                    <w:rPr>
                      <w:rFonts w:hint="eastAsia" w:ascii="Times New Roman" w:hAnsi="Times New Roman" w:cs="Times New Roman"/>
                      <w:color w:val="auto"/>
                      <w:lang w:eastAsia="zh-CN"/>
                    </w:rPr>
                    <w:t>、医学检验科、医学影像科</w:t>
                  </w:r>
                  <w:r>
                    <w:rPr>
                      <w:rFonts w:hint="eastAsia" w:cs="Times New Roman"/>
                      <w:color w:val="auto"/>
                      <w:lang w:val="en-US" w:eastAsia="zh-CN"/>
                    </w:rPr>
                    <w:t>等。</w:t>
                  </w:r>
                </w:p>
              </w:tc>
              <w:tc>
                <w:tcPr>
                  <w:tcW w:w="2087" w:type="pct"/>
                  <w:noWrap w:val="0"/>
                  <w:vAlign w:val="center"/>
                </w:tcPr>
                <w:p w14:paraId="0D0408FD">
                  <w:pPr>
                    <w:pStyle w:val="68"/>
                    <w:bidi w:val="0"/>
                    <w:rPr>
                      <w:rFonts w:hint="default" w:ascii="Times New Roman" w:hAnsi="Times New Roman" w:cs="Times New Roman"/>
                      <w:color w:val="auto"/>
                      <w:lang w:eastAsia="zh-CN"/>
                    </w:rPr>
                  </w:pPr>
                  <w:r>
                    <w:rPr>
                      <w:rFonts w:hint="eastAsia" w:ascii="Times New Roman" w:hAnsi="Times New Roman" w:cs="Times New Roman"/>
                      <w:color w:val="auto"/>
                      <w:lang w:eastAsia="zh-CN"/>
                    </w:rPr>
                    <w:t>设置了</w:t>
                  </w:r>
                  <w:r>
                    <w:rPr>
                      <w:rFonts w:hint="eastAsia"/>
                      <w:color w:val="auto"/>
                      <w:szCs w:val="21"/>
                      <w:lang w:val="en-US" w:eastAsia="zh-CN"/>
                    </w:rPr>
                    <w:t>内</w:t>
                  </w:r>
                  <w:r>
                    <w:rPr>
                      <w:rFonts w:hint="eastAsia"/>
                      <w:color w:val="auto"/>
                      <w:szCs w:val="21"/>
                    </w:rPr>
                    <w:t>科、</w:t>
                  </w:r>
                  <w:r>
                    <w:rPr>
                      <w:rFonts w:hint="eastAsia"/>
                      <w:color w:val="auto"/>
                      <w:szCs w:val="21"/>
                      <w:lang w:val="en-US" w:eastAsia="zh-CN"/>
                    </w:rPr>
                    <w:t>外</w:t>
                  </w:r>
                  <w:r>
                    <w:rPr>
                      <w:rFonts w:hint="eastAsia"/>
                      <w:color w:val="auto"/>
                      <w:szCs w:val="21"/>
                    </w:rPr>
                    <w:t>科、口腔科、</w:t>
                  </w:r>
                  <w:r>
                    <w:rPr>
                      <w:rFonts w:hint="eastAsia"/>
                      <w:color w:val="auto"/>
                      <w:szCs w:val="21"/>
                      <w:lang w:val="en-US" w:eastAsia="zh-CN"/>
                    </w:rPr>
                    <w:t>妇产科、放射科</w:t>
                  </w:r>
                  <w:r>
                    <w:rPr>
                      <w:rFonts w:hint="eastAsia"/>
                      <w:color w:val="auto"/>
                      <w:kern w:val="2"/>
                      <w:sz w:val="21"/>
                      <w:szCs w:val="21"/>
                      <w:lang w:val="en-US" w:eastAsia="zh-CN" w:bidi="ar-SA"/>
                    </w:rPr>
                    <w:t>、</w:t>
                  </w:r>
                  <w:r>
                    <w:rPr>
                      <w:rFonts w:hint="eastAsia"/>
                      <w:color w:val="auto"/>
                      <w:szCs w:val="21"/>
                      <w:lang w:val="en-US" w:eastAsia="zh-CN"/>
                    </w:rPr>
                    <w:t>检验科</w:t>
                  </w:r>
                  <w:r>
                    <w:rPr>
                      <w:rFonts w:hint="eastAsia" w:ascii="Times New Roman" w:hAnsi="Times New Roman" w:cs="Times New Roman"/>
                      <w:color w:val="auto"/>
                      <w:lang w:eastAsia="zh-CN"/>
                    </w:rPr>
                    <w:t>、医学检验科、医学影像科</w:t>
                  </w:r>
                  <w:r>
                    <w:rPr>
                      <w:rFonts w:hint="eastAsia" w:cs="Times New Roman"/>
                      <w:color w:val="auto"/>
                      <w:lang w:val="en-US" w:eastAsia="zh-CN"/>
                    </w:rPr>
                    <w:t>等。</w:t>
                  </w:r>
                </w:p>
              </w:tc>
            </w:tr>
            <w:tr w14:paraId="3D3AF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noWrap w:val="0"/>
                  <w:vAlign w:val="center"/>
                </w:tcPr>
                <w:p w14:paraId="289FB151">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w:t>
                  </w:r>
                </w:p>
              </w:tc>
              <w:tc>
                <w:tcPr>
                  <w:tcW w:w="566" w:type="pct"/>
                  <w:noWrap w:val="0"/>
                  <w:vAlign w:val="center"/>
                </w:tcPr>
                <w:p w14:paraId="7FAF0632">
                  <w:pPr>
                    <w:pStyle w:val="68"/>
                    <w:bidi w:val="0"/>
                    <w:rPr>
                      <w:rFonts w:hint="default" w:ascii="Times New Roman" w:hAnsi="Times New Roman" w:cs="Times New Roman"/>
                      <w:color w:val="auto"/>
                      <w:lang w:eastAsia="zh-CN"/>
                    </w:rPr>
                  </w:pPr>
                  <w:r>
                    <w:rPr>
                      <w:rFonts w:hint="eastAsia" w:ascii="Times New Roman" w:hAnsi="Times New Roman" w:cs="Times New Roman"/>
                      <w:color w:val="auto"/>
                      <w:lang w:eastAsia="zh-CN"/>
                    </w:rPr>
                    <w:t>门诊量及床位设置情况</w:t>
                  </w:r>
                </w:p>
              </w:tc>
              <w:tc>
                <w:tcPr>
                  <w:tcW w:w="2005" w:type="pct"/>
                  <w:noWrap w:val="0"/>
                  <w:vAlign w:val="center"/>
                </w:tcPr>
                <w:p w14:paraId="3C73CE3C">
                  <w:pPr>
                    <w:pStyle w:val="6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医院为综合医院，共设置</w:t>
                  </w:r>
                  <w:r>
                    <w:rPr>
                      <w:rFonts w:hint="eastAsia" w:cs="Times New Roman"/>
                      <w:color w:val="auto"/>
                      <w:lang w:val="en-US" w:eastAsia="zh-CN"/>
                    </w:rPr>
                    <w:t>住院</w:t>
                  </w:r>
                  <w:r>
                    <w:rPr>
                      <w:rFonts w:hint="eastAsia" w:ascii="Times New Roman" w:hAnsi="Times New Roman" w:eastAsia="宋体" w:cs="Times New Roman"/>
                      <w:color w:val="auto"/>
                      <w:lang w:eastAsia="zh-CN"/>
                    </w:rPr>
                    <w:t>床位</w:t>
                  </w:r>
                  <w:r>
                    <w:rPr>
                      <w:rFonts w:hint="eastAsia" w:ascii="Times New Roman" w:hAnsi="Times New Roman" w:eastAsia="宋体" w:cs="Times New Roman"/>
                      <w:color w:val="auto"/>
                      <w:lang w:val="en-US" w:eastAsia="zh-CN"/>
                    </w:rPr>
                    <w:t>9</w:t>
                  </w:r>
                  <w:r>
                    <w:rPr>
                      <w:rFonts w:hint="eastAsia" w:cs="Times New Roman"/>
                      <w:color w:val="auto"/>
                      <w:lang w:val="en-US" w:eastAsia="zh-CN"/>
                    </w:rPr>
                    <w:t>0</w:t>
                  </w:r>
                  <w:r>
                    <w:rPr>
                      <w:rFonts w:hint="eastAsia" w:ascii="Times New Roman" w:hAnsi="Times New Roman" w:eastAsia="宋体" w:cs="Times New Roman"/>
                      <w:color w:val="auto"/>
                      <w:lang w:val="en-US" w:eastAsia="zh-CN"/>
                    </w:rPr>
                    <w:t>张，设计日均接待量为</w:t>
                  </w:r>
                  <w:r>
                    <w:rPr>
                      <w:rFonts w:hint="eastAsia" w:ascii="Times New Roman" w:hAnsi="Times New Roman" w:eastAsia="宋体" w:cs="Times New Roman"/>
                      <w:color w:val="auto"/>
                      <w:lang w:eastAsia="zh-CN"/>
                    </w:rPr>
                    <w:t>7.3万人次（日均200人/d）</w:t>
                  </w:r>
                </w:p>
              </w:tc>
              <w:tc>
                <w:tcPr>
                  <w:tcW w:w="2087" w:type="pct"/>
                  <w:noWrap w:val="0"/>
                  <w:vAlign w:val="center"/>
                </w:tcPr>
                <w:p w14:paraId="7678C3FB">
                  <w:pPr>
                    <w:pStyle w:val="68"/>
                    <w:bidi w:val="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eastAsia="zh-CN"/>
                    </w:rPr>
                    <w:t>医院为综合医院，共设置</w:t>
                  </w:r>
                  <w:r>
                    <w:rPr>
                      <w:rFonts w:hint="eastAsia" w:cs="Times New Roman"/>
                      <w:color w:val="auto"/>
                      <w:lang w:val="en-US" w:eastAsia="zh-CN"/>
                    </w:rPr>
                    <w:t>住院</w:t>
                  </w:r>
                  <w:r>
                    <w:rPr>
                      <w:rFonts w:hint="eastAsia" w:ascii="Times New Roman" w:hAnsi="Times New Roman" w:eastAsia="宋体" w:cs="Times New Roman"/>
                      <w:color w:val="auto"/>
                      <w:lang w:eastAsia="zh-CN"/>
                    </w:rPr>
                    <w:t>床位</w:t>
                  </w:r>
                  <w:r>
                    <w:rPr>
                      <w:rFonts w:hint="eastAsia" w:ascii="Times New Roman" w:hAnsi="Times New Roman" w:eastAsia="宋体" w:cs="Times New Roman"/>
                      <w:color w:val="auto"/>
                      <w:lang w:val="en-US" w:eastAsia="zh-CN"/>
                    </w:rPr>
                    <w:t>9</w:t>
                  </w:r>
                  <w:r>
                    <w:rPr>
                      <w:rFonts w:hint="eastAsia" w:cs="Times New Roman"/>
                      <w:color w:val="auto"/>
                      <w:lang w:val="en-US" w:eastAsia="zh-CN"/>
                    </w:rPr>
                    <w:t>0</w:t>
                  </w:r>
                  <w:r>
                    <w:rPr>
                      <w:rFonts w:hint="eastAsia" w:ascii="Times New Roman" w:hAnsi="Times New Roman" w:eastAsia="宋体" w:cs="Times New Roman"/>
                      <w:color w:val="auto"/>
                      <w:lang w:val="en-US" w:eastAsia="zh-CN"/>
                    </w:rPr>
                    <w:t>张，</w:t>
                  </w:r>
                  <w:r>
                    <w:rPr>
                      <w:rFonts w:hint="eastAsia" w:cs="Times New Roman"/>
                      <w:color w:val="auto"/>
                      <w:lang w:val="en-US" w:eastAsia="zh-CN"/>
                    </w:rPr>
                    <w:t>托老床位120张，</w:t>
                  </w:r>
                  <w:r>
                    <w:rPr>
                      <w:rFonts w:hint="eastAsia" w:ascii="Times New Roman" w:hAnsi="Times New Roman" w:eastAsia="宋体" w:cs="Times New Roman"/>
                      <w:color w:val="auto"/>
                      <w:lang w:val="en-US" w:eastAsia="zh-CN"/>
                    </w:rPr>
                    <w:t>日均接待量为</w:t>
                  </w:r>
                  <w:r>
                    <w:rPr>
                      <w:rFonts w:hint="eastAsia" w:ascii="Times New Roman" w:hAnsi="Times New Roman" w:eastAsia="宋体" w:cs="Times New Roman"/>
                      <w:color w:val="auto"/>
                      <w:lang w:eastAsia="zh-CN"/>
                    </w:rPr>
                    <w:t>7.3万人次（日均200人/d）</w:t>
                  </w:r>
                </w:p>
              </w:tc>
            </w:tr>
            <w:tr w14:paraId="1F1F1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noWrap w:val="0"/>
                  <w:vAlign w:val="center"/>
                </w:tcPr>
                <w:p w14:paraId="520D4CDB">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w:t>
                  </w:r>
                </w:p>
              </w:tc>
              <w:tc>
                <w:tcPr>
                  <w:tcW w:w="566" w:type="pct"/>
                  <w:noWrap w:val="0"/>
                  <w:vAlign w:val="center"/>
                </w:tcPr>
                <w:p w14:paraId="0B048B6E">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医疗废物暂存间</w:t>
                  </w:r>
                </w:p>
              </w:tc>
              <w:tc>
                <w:tcPr>
                  <w:tcW w:w="2005" w:type="pct"/>
                  <w:noWrap w:val="0"/>
                  <w:vAlign w:val="center"/>
                </w:tcPr>
                <w:p w14:paraId="7F7C693F">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位于</w:t>
                  </w:r>
                  <w:r>
                    <w:rPr>
                      <w:rFonts w:hint="eastAsia" w:cs="Times New Roman"/>
                      <w:color w:val="auto"/>
                      <w:lang w:val="en-US" w:eastAsia="zh-CN"/>
                    </w:rPr>
                    <w:t>1</w:t>
                  </w:r>
                  <w:r>
                    <w:rPr>
                      <w:rFonts w:hint="eastAsia" w:ascii="Times New Roman" w:hAnsi="Times New Roman" w:cs="Times New Roman"/>
                      <w:color w:val="auto"/>
                      <w:lang w:val="en-US" w:eastAsia="zh-CN"/>
                    </w:rPr>
                    <w:t>F，面积为10m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vertAlign w:val="baseline"/>
                      <w:lang w:val="en-US" w:eastAsia="zh-CN"/>
                    </w:rPr>
                    <w:t>，</w:t>
                  </w:r>
                  <w:r>
                    <w:rPr>
                      <w:rFonts w:hint="eastAsia"/>
                      <w:color w:val="auto"/>
                      <w:lang w:val="en-US" w:eastAsia="zh-CN"/>
                    </w:rPr>
                    <w:t>分类分区暂存医疗废物、特殊废液、废活性炭；暂存间采取防腐防渗措施，并设置围堰及托盘。</w:t>
                  </w:r>
                </w:p>
              </w:tc>
              <w:tc>
                <w:tcPr>
                  <w:tcW w:w="2087" w:type="pct"/>
                  <w:noWrap w:val="0"/>
                  <w:vAlign w:val="center"/>
                </w:tcPr>
                <w:p w14:paraId="707F3F77">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位于</w:t>
                  </w:r>
                  <w:r>
                    <w:rPr>
                      <w:rFonts w:hint="eastAsia" w:cs="Times New Roman"/>
                      <w:color w:val="auto"/>
                      <w:lang w:val="en-US" w:eastAsia="zh-CN"/>
                    </w:rPr>
                    <w:t>1</w:t>
                  </w:r>
                  <w:r>
                    <w:rPr>
                      <w:rFonts w:hint="eastAsia" w:ascii="Times New Roman" w:hAnsi="Times New Roman" w:cs="Times New Roman"/>
                      <w:color w:val="auto"/>
                      <w:lang w:val="en-US" w:eastAsia="zh-CN"/>
                    </w:rPr>
                    <w:t>F，面积为10m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vertAlign w:val="baseline"/>
                      <w:lang w:val="en-US" w:eastAsia="zh-CN"/>
                    </w:rPr>
                    <w:t>，</w:t>
                  </w:r>
                  <w:r>
                    <w:rPr>
                      <w:rFonts w:hint="eastAsia"/>
                      <w:color w:val="auto"/>
                      <w:lang w:val="en-US" w:eastAsia="zh-CN"/>
                    </w:rPr>
                    <w:t>分类分区暂存医疗废物、特殊废液、废活性炭；暂存间采取防腐防渗措施，并设置围堰及托盘。</w:t>
                  </w:r>
                </w:p>
              </w:tc>
            </w:tr>
            <w:tr w14:paraId="3E13B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noWrap w:val="0"/>
                  <w:vAlign w:val="center"/>
                </w:tcPr>
                <w:p w14:paraId="3F416B24">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c>
                <w:tcPr>
                  <w:tcW w:w="566" w:type="pct"/>
                  <w:noWrap w:val="0"/>
                  <w:vAlign w:val="center"/>
                </w:tcPr>
                <w:p w14:paraId="7F064677">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污水处理站</w:t>
                  </w:r>
                </w:p>
              </w:tc>
              <w:tc>
                <w:tcPr>
                  <w:tcW w:w="2005" w:type="pct"/>
                  <w:noWrap w:val="0"/>
                  <w:vAlign w:val="center"/>
                </w:tcPr>
                <w:p w14:paraId="0B2343E2">
                  <w:pPr>
                    <w:pStyle w:val="68"/>
                    <w:bidi w:val="0"/>
                    <w:rPr>
                      <w:rFonts w:hint="default" w:ascii="Times New Roman" w:hAnsi="Times New Roman" w:cs="Times New Roman"/>
                      <w:color w:val="auto"/>
                      <w:lang w:val="en-US" w:eastAsia="zh-CN"/>
                    </w:rPr>
                  </w:pPr>
                  <w:r>
                    <w:rPr>
                      <w:rFonts w:hint="eastAsia" w:cs="Times New Roman"/>
                      <w:color w:val="auto"/>
                      <w:lang w:val="en-US" w:eastAsia="zh-CN"/>
                    </w:rPr>
                    <w:t>设置</w:t>
                  </w:r>
                  <w:r>
                    <w:rPr>
                      <w:rFonts w:hint="eastAsia" w:ascii="Times New Roman" w:hAnsi="Times New Roman" w:cs="Times New Roman"/>
                      <w:color w:val="auto"/>
                      <w:lang w:val="en-US" w:eastAsia="zh-CN"/>
                    </w:rPr>
                    <w:t>1座污水处理站，位于院区</w:t>
                  </w:r>
                  <w:r>
                    <w:rPr>
                      <w:rFonts w:hint="eastAsia" w:cs="Times New Roman"/>
                      <w:color w:val="auto"/>
                      <w:lang w:val="en-US" w:eastAsia="zh-CN"/>
                    </w:rPr>
                    <w:t>西</w:t>
                  </w:r>
                  <w:r>
                    <w:rPr>
                      <w:rFonts w:hint="eastAsia" w:ascii="Times New Roman" w:hAnsi="Times New Roman" w:cs="Times New Roman"/>
                      <w:color w:val="auto"/>
                      <w:lang w:val="en-US" w:eastAsia="zh-CN"/>
                    </w:rPr>
                    <w:t>侧，处理工艺为“</w:t>
                  </w:r>
                  <w:r>
                    <w:rPr>
                      <w:rFonts w:hint="eastAsia"/>
                      <w:color w:val="auto"/>
                      <w:szCs w:val="21"/>
                      <w:lang w:eastAsia="zh-CN"/>
                    </w:rPr>
                    <w:t>一级强化处理+次氯酸钠消毒</w:t>
                  </w:r>
                  <w:r>
                    <w:rPr>
                      <w:rFonts w:hint="eastAsia" w:ascii="Times New Roman" w:hAnsi="Times New Roman" w:cs="Times New Roman"/>
                      <w:color w:val="auto"/>
                      <w:lang w:val="en-US" w:eastAsia="zh-CN"/>
                    </w:rPr>
                    <w:t>”，设计处理规模为</w:t>
                  </w:r>
                  <w:r>
                    <w:rPr>
                      <w:rFonts w:hint="eastAsia" w:cs="Times New Roman"/>
                      <w:color w:val="auto"/>
                      <w:lang w:val="en-US" w:eastAsia="zh-CN"/>
                    </w:rPr>
                    <w:t>85</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/d</w:t>
                  </w:r>
                </w:p>
              </w:tc>
              <w:tc>
                <w:tcPr>
                  <w:tcW w:w="2087" w:type="pct"/>
                  <w:noWrap w:val="0"/>
                  <w:vAlign w:val="center"/>
                </w:tcPr>
                <w:p w14:paraId="4401C4CC">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建设</w:t>
                  </w:r>
                  <w:r>
                    <w:rPr>
                      <w:rFonts w:hint="eastAsia" w:ascii="Times New Roman" w:hAnsi="Times New Roman" w:cs="Times New Roman"/>
                      <w:color w:val="auto"/>
                      <w:lang w:val="en-US" w:eastAsia="zh-CN"/>
                    </w:rPr>
                    <w:t>1座污水处理站，位于院区</w:t>
                  </w:r>
                  <w:r>
                    <w:rPr>
                      <w:rFonts w:hint="eastAsia" w:cs="Times New Roman"/>
                      <w:color w:val="auto"/>
                      <w:lang w:val="en-US" w:eastAsia="zh-CN"/>
                    </w:rPr>
                    <w:t>西</w:t>
                  </w:r>
                  <w:r>
                    <w:rPr>
                      <w:rFonts w:hint="eastAsia" w:ascii="Times New Roman" w:hAnsi="Times New Roman" w:cs="Times New Roman"/>
                      <w:color w:val="auto"/>
                      <w:lang w:val="en-US" w:eastAsia="zh-CN"/>
                    </w:rPr>
                    <w:t>侧，处理工艺为“</w:t>
                  </w:r>
                  <w:r>
                    <w:rPr>
                      <w:rFonts w:hint="eastAsia"/>
                      <w:color w:val="auto"/>
                      <w:szCs w:val="21"/>
                      <w:lang w:eastAsia="zh-CN"/>
                    </w:rPr>
                    <w:t>一级强化处理+次氯酸钠消毒</w:t>
                  </w:r>
                  <w:r>
                    <w:rPr>
                      <w:rFonts w:hint="eastAsia" w:ascii="Times New Roman" w:hAnsi="Times New Roman" w:cs="Times New Roman"/>
                      <w:color w:val="auto"/>
                      <w:lang w:val="en-US" w:eastAsia="zh-CN"/>
                    </w:rPr>
                    <w:t>”，设计处理规模为</w:t>
                  </w:r>
                  <w:r>
                    <w:rPr>
                      <w:rFonts w:hint="eastAsia" w:cs="Times New Roman"/>
                      <w:color w:val="auto"/>
                      <w:lang w:val="en-US" w:eastAsia="zh-CN"/>
                    </w:rPr>
                    <w:t>85</w:t>
                  </w:r>
                  <w:r>
                    <w:rPr>
                      <w:rFonts w:hint="eastAsia" w:ascii="Times New Roman" w:hAnsi="Times New Roman" w:cs="Times New Roman"/>
                      <w:color w:val="auto"/>
                      <w:lang w:val="en-US" w:eastAsia="zh-CN"/>
                    </w:rPr>
                    <w:t>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/d</w:t>
                  </w:r>
                </w:p>
              </w:tc>
            </w:tr>
            <w:tr w14:paraId="2CB6E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41" w:type="pct"/>
                  <w:vMerge w:val="restart"/>
                  <w:noWrap w:val="0"/>
                  <w:vAlign w:val="center"/>
                </w:tcPr>
                <w:p w14:paraId="0CB1AFEB">
                  <w:pPr>
                    <w:pStyle w:val="6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566" w:type="pct"/>
                  <w:vMerge w:val="restart"/>
                  <w:noWrap w:val="0"/>
                  <w:vAlign w:val="center"/>
                </w:tcPr>
                <w:p w14:paraId="0680A6D4">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废气处理设施</w:t>
                  </w:r>
                </w:p>
              </w:tc>
              <w:tc>
                <w:tcPr>
                  <w:tcW w:w="2005" w:type="pct"/>
                  <w:noWrap w:val="0"/>
                  <w:vAlign w:val="center"/>
                </w:tcPr>
                <w:p w14:paraId="29E6C266">
                  <w:pPr>
                    <w:pStyle w:val="68"/>
                    <w:bidi w:val="0"/>
                    <w:rPr>
                      <w:rFonts w:hint="eastAsia" w:ascii="Times New Roman" w:hAnsi="Times New Roman" w:cs="Times New Roman"/>
                      <w:color w:val="auto"/>
                      <w:lang w:eastAsia="zh-CN"/>
                    </w:rPr>
                  </w:pPr>
                  <w:r>
                    <w:rPr>
                      <w:color w:val="auto"/>
                      <w:szCs w:val="21"/>
                    </w:rPr>
                    <w:t>医疗废物暂存间设置排风装置</w:t>
                  </w:r>
                </w:p>
              </w:tc>
              <w:tc>
                <w:tcPr>
                  <w:tcW w:w="2087" w:type="pct"/>
                  <w:noWrap w:val="0"/>
                  <w:vAlign w:val="center"/>
                </w:tcPr>
                <w:p w14:paraId="5811A3D7">
                  <w:pPr>
                    <w:pStyle w:val="68"/>
                    <w:bidi w:val="0"/>
                    <w:rPr>
                      <w:rFonts w:hint="eastAsia" w:ascii="Times New Roman" w:hAnsi="Times New Roman" w:cs="Times New Roman"/>
                      <w:color w:val="auto"/>
                      <w:lang w:eastAsia="zh-CN"/>
                    </w:rPr>
                  </w:pPr>
                  <w:r>
                    <w:rPr>
                      <w:color w:val="auto"/>
                      <w:szCs w:val="21"/>
                    </w:rPr>
                    <w:t>医疗废物暂存间设置排风装置</w:t>
                  </w:r>
                </w:p>
              </w:tc>
            </w:tr>
            <w:tr w14:paraId="258BE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trPr>
              <w:tc>
                <w:tcPr>
                  <w:tcW w:w="341" w:type="pct"/>
                  <w:vMerge w:val="continue"/>
                  <w:noWrap w:val="0"/>
                  <w:vAlign w:val="center"/>
                </w:tcPr>
                <w:p w14:paraId="3C38ABB1">
                  <w:pPr>
                    <w:pStyle w:val="68"/>
                    <w:bidi w:val="0"/>
                    <w:rPr>
                      <w:rFonts w:hint="eastAsia" w:ascii="Times New Roman" w:hAnsi="Times New Roman" w:cs="Times New Roman"/>
                      <w:color w:val="auto"/>
                      <w:lang w:val="en-US" w:eastAsia="zh-CN"/>
                    </w:rPr>
                  </w:pPr>
                </w:p>
              </w:tc>
              <w:tc>
                <w:tcPr>
                  <w:tcW w:w="566" w:type="pct"/>
                  <w:vMerge w:val="continue"/>
                  <w:noWrap w:val="0"/>
                  <w:vAlign w:val="center"/>
                </w:tcPr>
                <w:p w14:paraId="09B5F362">
                  <w:pPr>
                    <w:pStyle w:val="68"/>
                    <w:bidi w:val="0"/>
                    <w:rPr>
                      <w:rFonts w:hint="eastAsia" w:ascii="Times New Roman" w:hAnsi="Times New Roman" w:cs="Times New Roman"/>
                      <w:color w:val="auto"/>
                      <w:lang w:eastAsia="zh-CN"/>
                    </w:rPr>
                  </w:pPr>
                </w:p>
              </w:tc>
              <w:tc>
                <w:tcPr>
                  <w:tcW w:w="2005" w:type="pct"/>
                  <w:noWrap w:val="0"/>
                  <w:vAlign w:val="center"/>
                </w:tcPr>
                <w:p w14:paraId="5A1AF679">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val="en-US" w:eastAsia="zh-CN"/>
                    </w:rPr>
                    <w:t>废气收集后经</w:t>
                  </w:r>
                  <w:r>
                    <w:rPr>
                      <w:rFonts w:hint="eastAsia" w:cs="Times New Roman"/>
                      <w:color w:val="auto"/>
                      <w:lang w:val="en-US" w:eastAsia="zh-CN"/>
                    </w:rPr>
                    <w:t>活性炭</w:t>
                  </w:r>
                  <w:r>
                    <w:rPr>
                      <w:rFonts w:hint="eastAsia" w:ascii="Times New Roman" w:hAnsi="Times New Roman" w:cs="Times New Roman"/>
                      <w:color w:val="auto"/>
                      <w:lang w:val="en-US" w:eastAsia="zh-CN"/>
                    </w:rPr>
                    <w:t>吸附处理达到GB18466-2005 标准后通过专用管道就近引至绿化带排放</w:t>
                  </w:r>
                </w:p>
              </w:tc>
              <w:tc>
                <w:tcPr>
                  <w:tcW w:w="2087" w:type="pct"/>
                  <w:noWrap w:val="0"/>
                  <w:vAlign w:val="center"/>
                </w:tcPr>
                <w:p w14:paraId="1E039C1A">
                  <w:pPr>
                    <w:pStyle w:val="68"/>
                    <w:bidi w:val="0"/>
                    <w:rPr>
                      <w:rFonts w:hint="eastAsia" w:ascii="Times New Roman" w:hAnsi="Times New Roman" w:cs="Times New Roman"/>
                      <w:color w:val="auto"/>
                      <w:lang w:eastAsia="zh-CN"/>
                    </w:rPr>
                  </w:pPr>
                  <w:r>
                    <w:rPr>
                      <w:rFonts w:hint="eastAsia" w:ascii="Times New Roman" w:hAnsi="Times New Roman" w:cs="Times New Roman"/>
                      <w:color w:val="auto"/>
                      <w:lang w:eastAsia="zh-CN"/>
                    </w:rPr>
                    <w:t>医疗污水处理设施产生的臭气经专用管道收集后引至楼顶排放</w:t>
                  </w:r>
                </w:p>
              </w:tc>
            </w:tr>
          </w:tbl>
          <w:p w14:paraId="1415721D">
            <w:pPr>
              <w:spacing w:line="360" w:lineRule="auto"/>
              <w:ind w:firstLine="480" w:firstLineChars="200"/>
              <w:rPr>
                <w:color w:val="auto"/>
                <w:sz w:val="24"/>
              </w:rPr>
            </w:pPr>
          </w:p>
        </w:tc>
      </w:tr>
      <w:tr w14:paraId="70C2D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13" w:hRule="atLeast"/>
          <w:jc w:val="center"/>
        </w:trPr>
        <w:tc>
          <w:tcPr>
            <w:tcW w:w="823" w:type="dxa"/>
            <w:noWrap w:val="0"/>
            <w:vAlign w:val="center"/>
          </w:tcPr>
          <w:p w14:paraId="1AE93CDD">
            <w:pPr>
              <w:pStyle w:val="23"/>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9170" w:type="dxa"/>
            <w:noWrap w:val="0"/>
            <w:vAlign w:val="top"/>
          </w:tcPr>
          <w:p w14:paraId="58F36DD1">
            <w:pPr>
              <w:pStyle w:val="48"/>
              <w:adjustRightInd w:val="0"/>
              <w:snapToGrid w:val="0"/>
              <w:spacing w:line="360" w:lineRule="auto"/>
              <w:rPr>
                <w:b/>
                <w:color w:val="auto"/>
                <w:sz w:val="24"/>
              </w:rPr>
            </w:pPr>
            <w:r>
              <w:rPr>
                <w:rFonts w:hint="eastAsia"/>
                <w:b/>
                <w:color w:val="auto"/>
                <w:sz w:val="24"/>
              </w:rPr>
              <w:t>2.</w:t>
            </w:r>
            <w:r>
              <w:rPr>
                <w:rFonts w:hint="eastAsia"/>
                <w:b/>
                <w:color w:val="auto"/>
                <w:sz w:val="24"/>
                <w:lang w:val="en-US" w:eastAsia="zh-CN"/>
              </w:rPr>
              <w:t>12</w:t>
            </w:r>
            <w:r>
              <w:rPr>
                <w:rFonts w:hint="eastAsia"/>
                <w:b/>
                <w:color w:val="auto"/>
                <w:sz w:val="24"/>
              </w:rPr>
              <w:t>.</w:t>
            </w:r>
            <w:r>
              <w:rPr>
                <w:rFonts w:hint="eastAsia"/>
                <w:b/>
                <w:color w:val="auto"/>
                <w:sz w:val="24"/>
                <w:lang w:val="en-US" w:eastAsia="zh-CN"/>
              </w:rPr>
              <w:t>5</w:t>
            </w:r>
            <w:r>
              <w:rPr>
                <w:b/>
                <w:color w:val="auto"/>
                <w:sz w:val="24"/>
              </w:rPr>
              <w:t>现有项目概况</w:t>
            </w:r>
          </w:p>
          <w:p w14:paraId="0EA89951">
            <w:pPr>
              <w:pStyle w:val="48"/>
              <w:adjustRightInd w:val="0"/>
              <w:snapToGrid w:val="0"/>
              <w:spacing w:line="360" w:lineRule="auto"/>
              <w:ind w:firstLine="461"/>
              <w:rPr>
                <w:b/>
                <w:bCs/>
                <w:color w:val="auto"/>
                <w:sz w:val="24"/>
              </w:rPr>
            </w:pPr>
            <w:r>
              <w:rPr>
                <w:b/>
                <w:bCs/>
                <w:color w:val="auto"/>
                <w:sz w:val="24"/>
              </w:rPr>
              <w:t>1）建设内容</w:t>
            </w:r>
          </w:p>
          <w:p w14:paraId="3CE1DB75">
            <w:pPr>
              <w:pStyle w:val="48"/>
              <w:adjustRightInd w:val="0"/>
              <w:snapToGrid w:val="0"/>
              <w:spacing w:line="360" w:lineRule="auto"/>
              <w:ind w:firstLine="461"/>
              <w:rPr>
                <w:color w:val="auto"/>
                <w:sz w:val="24"/>
              </w:rPr>
            </w:pPr>
            <w:r>
              <w:rPr>
                <w:rFonts w:hint="eastAsia"/>
                <w:color w:val="auto"/>
                <w:sz w:val="24"/>
                <w:lang w:eastAsia="zh-CN"/>
              </w:rPr>
              <w:t>重庆同心医院（有限合伙）</w:t>
            </w:r>
            <w:r>
              <w:rPr>
                <w:color w:val="auto"/>
                <w:sz w:val="24"/>
              </w:rPr>
              <w:t>现有</w:t>
            </w:r>
            <w:r>
              <w:rPr>
                <w:rFonts w:hint="eastAsia"/>
                <w:color w:val="auto"/>
                <w:sz w:val="24"/>
                <w:lang w:val="en-US" w:eastAsia="zh-CN"/>
              </w:rPr>
              <w:t>院区</w:t>
            </w:r>
            <w:r>
              <w:rPr>
                <w:color w:val="auto"/>
                <w:sz w:val="24"/>
              </w:rPr>
              <w:t>位于</w:t>
            </w:r>
            <w:r>
              <w:rPr>
                <w:rFonts w:hint="eastAsia"/>
                <w:color w:val="auto"/>
                <w:sz w:val="24"/>
              </w:rPr>
              <w:t>重庆市</w:t>
            </w:r>
            <w:r>
              <w:rPr>
                <w:rFonts w:hint="eastAsia"/>
                <w:color w:val="auto"/>
                <w:sz w:val="24"/>
                <w:lang w:eastAsia="zh-CN"/>
              </w:rPr>
              <w:t>九龙坡区石新路33号</w:t>
            </w:r>
            <w:r>
              <w:rPr>
                <w:color w:val="auto"/>
                <w:sz w:val="24"/>
              </w:rPr>
              <w:t>，租用</w:t>
            </w:r>
            <w:r>
              <w:rPr>
                <w:rFonts w:hint="eastAsia"/>
                <w:color w:val="auto"/>
                <w:sz w:val="24"/>
                <w:lang w:eastAsia="zh-CN"/>
              </w:rPr>
              <w:t>渝州新城7号楼</w:t>
            </w:r>
            <w:r>
              <w:rPr>
                <w:color w:val="auto"/>
                <w:kern w:val="0"/>
                <w:sz w:val="24"/>
                <w:lang w:bidi="ar"/>
              </w:rPr>
              <w:t>1</w:t>
            </w:r>
            <w:r>
              <w:rPr>
                <w:rFonts w:hint="eastAsia"/>
                <w:color w:val="auto"/>
                <w:kern w:val="0"/>
                <w:sz w:val="24"/>
                <w:lang w:eastAsia="zh-CN" w:bidi="ar"/>
              </w:rPr>
              <w:t>、</w:t>
            </w:r>
            <w:r>
              <w:rPr>
                <w:rFonts w:hint="eastAsia"/>
                <w:color w:val="auto"/>
                <w:kern w:val="0"/>
                <w:sz w:val="24"/>
                <w:lang w:val="en-US" w:eastAsia="zh-CN" w:bidi="ar"/>
              </w:rPr>
              <w:t>3</w:t>
            </w:r>
            <w:r>
              <w:rPr>
                <w:color w:val="auto"/>
                <w:kern w:val="0"/>
                <w:sz w:val="24"/>
                <w:lang w:bidi="ar"/>
              </w:rPr>
              <w:t>F</w:t>
            </w:r>
            <w:r>
              <w:rPr>
                <w:rFonts w:hint="eastAsia"/>
                <w:color w:val="auto"/>
                <w:kern w:val="0"/>
                <w:sz w:val="24"/>
                <w:lang w:val="en-US" w:eastAsia="zh-CN" w:bidi="ar"/>
              </w:rPr>
              <w:t>部分</w:t>
            </w:r>
            <w:r>
              <w:rPr>
                <w:color w:val="auto"/>
                <w:kern w:val="0"/>
                <w:sz w:val="24"/>
                <w:lang w:bidi="ar"/>
              </w:rPr>
              <w:t>、</w:t>
            </w:r>
            <w:r>
              <w:rPr>
                <w:rFonts w:hint="eastAsia"/>
                <w:color w:val="auto"/>
                <w:kern w:val="0"/>
                <w:sz w:val="24"/>
                <w:lang w:val="en-US" w:eastAsia="zh-CN" w:bidi="ar"/>
              </w:rPr>
              <w:t>2、4</w:t>
            </w:r>
            <w:r>
              <w:rPr>
                <w:color w:val="auto"/>
                <w:kern w:val="0"/>
                <w:sz w:val="24"/>
                <w:lang w:bidi="ar"/>
              </w:rPr>
              <w:t>F</w:t>
            </w:r>
            <w:r>
              <w:rPr>
                <w:color w:val="auto"/>
                <w:sz w:val="24"/>
              </w:rPr>
              <w:t>，总建筑面积</w:t>
            </w:r>
            <w:r>
              <w:rPr>
                <w:rFonts w:hint="eastAsia"/>
                <w:color w:val="auto"/>
                <w:sz w:val="24"/>
                <w:lang w:val="en-US" w:eastAsia="zh-CN"/>
              </w:rPr>
              <w:t>5923.08</w:t>
            </w:r>
            <w:r>
              <w:rPr>
                <w:color w:val="auto"/>
                <w:sz w:val="24"/>
              </w:rPr>
              <w:t>m</w:t>
            </w:r>
            <w:r>
              <w:rPr>
                <w:color w:val="auto"/>
                <w:sz w:val="24"/>
                <w:vertAlign w:val="superscript"/>
              </w:rPr>
              <w:t>2</w:t>
            </w:r>
            <w:r>
              <w:rPr>
                <w:color w:val="auto"/>
                <w:sz w:val="24"/>
              </w:rPr>
              <w:t>。医院为综合医院</w:t>
            </w:r>
            <w:r>
              <w:rPr>
                <w:rFonts w:hint="eastAsia"/>
                <w:color w:val="auto"/>
                <w:sz w:val="24"/>
              </w:rPr>
              <w:t>，</w:t>
            </w:r>
            <w:r>
              <w:rPr>
                <w:rFonts w:hint="eastAsia"/>
                <w:color w:val="auto"/>
                <w:sz w:val="24"/>
                <w:lang w:val="en-US" w:eastAsia="zh-CN"/>
              </w:rPr>
              <w:t>住院床位90</w:t>
            </w:r>
            <w:r>
              <w:rPr>
                <w:rFonts w:hint="eastAsia"/>
                <w:color w:val="auto"/>
                <w:sz w:val="24"/>
              </w:rPr>
              <w:t>张，</w:t>
            </w:r>
            <w:r>
              <w:rPr>
                <w:rFonts w:hint="eastAsia"/>
                <w:color w:val="auto"/>
                <w:sz w:val="24"/>
                <w:lang w:val="en-US" w:eastAsia="zh-CN"/>
              </w:rPr>
              <w:t>托老床位120张，</w:t>
            </w:r>
            <w:r>
              <w:rPr>
                <w:color w:val="auto"/>
                <w:sz w:val="24"/>
              </w:rPr>
              <w:t>日均</w:t>
            </w:r>
            <w:r>
              <w:rPr>
                <w:bCs/>
                <w:color w:val="auto"/>
                <w:sz w:val="24"/>
              </w:rPr>
              <w:t>接诊量约</w:t>
            </w:r>
            <w:r>
              <w:rPr>
                <w:rFonts w:hint="eastAsia"/>
                <w:bCs/>
                <w:color w:val="auto"/>
                <w:sz w:val="24"/>
              </w:rPr>
              <w:t>7.3</w:t>
            </w:r>
            <w:r>
              <w:rPr>
                <w:bCs/>
                <w:color w:val="auto"/>
                <w:sz w:val="24"/>
              </w:rPr>
              <w:t>万人次（日均</w:t>
            </w:r>
            <w:r>
              <w:rPr>
                <w:rFonts w:hint="eastAsia"/>
                <w:bCs/>
                <w:color w:val="auto"/>
                <w:sz w:val="24"/>
              </w:rPr>
              <w:t>2</w:t>
            </w:r>
            <w:r>
              <w:rPr>
                <w:bCs/>
                <w:color w:val="auto"/>
                <w:sz w:val="24"/>
              </w:rPr>
              <w:t>00人/d）</w:t>
            </w:r>
            <w:r>
              <w:rPr>
                <w:rFonts w:hint="eastAsia"/>
                <w:bCs/>
                <w:color w:val="auto"/>
                <w:sz w:val="24"/>
                <w:lang w:eastAsia="zh-CN"/>
              </w:rPr>
              <w:t>，</w:t>
            </w:r>
            <w:r>
              <w:rPr>
                <w:color w:val="auto"/>
                <w:sz w:val="24"/>
              </w:rPr>
              <w:t>设</w:t>
            </w:r>
            <w:r>
              <w:rPr>
                <w:rFonts w:hint="eastAsia"/>
                <w:color w:val="auto"/>
                <w:sz w:val="24"/>
              </w:rPr>
              <w:t>有</w:t>
            </w:r>
            <w:r>
              <w:rPr>
                <w:rFonts w:hint="eastAsia"/>
                <w:color w:val="auto"/>
                <w:kern w:val="0"/>
                <w:sz w:val="24"/>
                <w:lang w:bidi="ar"/>
              </w:rPr>
              <w:t>内科、外科、妇产科、中医科、儿科、皮肤科、口腔科、医学检验科、医学影像科及托老院等科室</w:t>
            </w:r>
            <w:r>
              <w:rPr>
                <w:color w:val="auto"/>
                <w:sz w:val="24"/>
              </w:rPr>
              <w:t>，</w:t>
            </w:r>
            <w:r>
              <w:rPr>
                <w:color w:val="auto"/>
                <w:kern w:val="0"/>
                <w:sz w:val="24"/>
                <w:lang w:bidi="ar"/>
              </w:rPr>
              <w:t>不</w:t>
            </w:r>
            <w:r>
              <w:rPr>
                <w:rFonts w:hint="eastAsia"/>
                <w:color w:val="auto"/>
                <w:kern w:val="0"/>
                <w:sz w:val="24"/>
                <w:lang w:val="en-US" w:eastAsia="zh-CN" w:bidi="ar"/>
              </w:rPr>
              <w:t>设置</w:t>
            </w:r>
            <w:r>
              <w:rPr>
                <w:rFonts w:hint="eastAsia"/>
                <w:color w:val="auto"/>
                <w:sz w:val="24"/>
                <w:szCs w:val="24"/>
                <w:lang w:val="en-US" w:eastAsia="zh-CN"/>
              </w:rPr>
              <w:t>传染科、肠道发热门诊、生化检验、太平间、医疗废物焚烧炉</w:t>
            </w:r>
            <w:r>
              <w:rPr>
                <w:color w:val="auto"/>
                <w:kern w:val="0"/>
                <w:sz w:val="24"/>
                <w:lang w:bidi="ar"/>
              </w:rPr>
              <w:t>、食堂</w:t>
            </w:r>
            <w:r>
              <w:rPr>
                <w:color w:val="auto"/>
                <w:sz w:val="24"/>
              </w:rPr>
              <w:t>。现有项目工程建设情况见表2-</w:t>
            </w:r>
            <w:r>
              <w:rPr>
                <w:rFonts w:hint="eastAsia"/>
                <w:color w:val="auto"/>
                <w:sz w:val="24"/>
                <w:lang w:val="en-US" w:eastAsia="zh-CN"/>
              </w:rPr>
              <w:t>11</w:t>
            </w:r>
            <w:r>
              <w:rPr>
                <w:color w:val="auto"/>
                <w:sz w:val="24"/>
              </w:rPr>
              <w:t>。</w:t>
            </w:r>
          </w:p>
          <w:p w14:paraId="7AAEE1C2">
            <w:pPr>
              <w:pStyle w:val="48"/>
              <w:ind w:firstLine="461"/>
              <w:jc w:val="center"/>
              <w:rPr>
                <w:b/>
                <w:bCs/>
                <w:color w:val="auto"/>
                <w:sz w:val="24"/>
              </w:rPr>
            </w:pPr>
            <w:r>
              <w:rPr>
                <w:b/>
                <w:bCs/>
                <w:color w:val="auto"/>
                <w:sz w:val="24"/>
              </w:rPr>
              <w:t>表2-</w:t>
            </w:r>
            <w:r>
              <w:rPr>
                <w:rFonts w:hint="eastAsia"/>
                <w:b/>
                <w:bCs/>
                <w:color w:val="auto"/>
                <w:sz w:val="24"/>
                <w:lang w:val="en-US" w:eastAsia="zh-CN"/>
              </w:rPr>
              <w:t>11</w:t>
            </w:r>
            <w:r>
              <w:rPr>
                <w:b/>
                <w:bCs/>
                <w:color w:val="auto"/>
                <w:sz w:val="24"/>
              </w:rPr>
              <w:t>现有工程建设情况一览表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
              <w:gridCol w:w="786"/>
              <w:gridCol w:w="7673"/>
            </w:tblGrid>
            <w:tr w14:paraId="69B8D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708" w:type="pct"/>
                  <w:gridSpan w:val="2"/>
                  <w:noWrap w:val="0"/>
                  <w:vAlign w:val="center"/>
                </w:tcPr>
                <w:p w14:paraId="4EC7FAA2">
                  <w:pPr>
                    <w:jc w:val="center"/>
                    <w:rPr>
                      <w:b/>
                      <w:bCs/>
                      <w:color w:val="auto"/>
                      <w:szCs w:val="21"/>
                    </w:rPr>
                  </w:pPr>
                  <w:r>
                    <w:rPr>
                      <w:rFonts w:hint="eastAsia"/>
                      <w:b/>
                      <w:bCs/>
                      <w:color w:val="auto"/>
                      <w:szCs w:val="21"/>
                    </w:rPr>
                    <w:t>工程</w:t>
                  </w:r>
                  <w:r>
                    <w:rPr>
                      <w:b/>
                      <w:bCs/>
                      <w:color w:val="auto"/>
                      <w:szCs w:val="21"/>
                    </w:rPr>
                    <w:t>类别</w:t>
                  </w:r>
                </w:p>
              </w:tc>
              <w:tc>
                <w:tcPr>
                  <w:tcW w:w="4291" w:type="pct"/>
                  <w:noWrap w:val="0"/>
                  <w:vAlign w:val="center"/>
                </w:tcPr>
                <w:p w14:paraId="436079BA">
                  <w:pPr>
                    <w:jc w:val="center"/>
                    <w:rPr>
                      <w:b/>
                      <w:bCs/>
                      <w:color w:val="auto"/>
                      <w:szCs w:val="21"/>
                    </w:rPr>
                  </w:pPr>
                  <w:r>
                    <w:rPr>
                      <w:rFonts w:hint="eastAsia"/>
                      <w:b/>
                      <w:bCs/>
                      <w:color w:val="auto"/>
                      <w:szCs w:val="21"/>
                    </w:rPr>
                    <w:t>建设内容</w:t>
                  </w:r>
                </w:p>
              </w:tc>
            </w:tr>
            <w:tr w14:paraId="5EC03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restart"/>
                  <w:noWrap w:val="0"/>
                  <w:vAlign w:val="center"/>
                </w:tcPr>
                <w:p w14:paraId="07FF5726">
                  <w:pPr>
                    <w:jc w:val="center"/>
                    <w:rPr>
                      <w:color w:val="auto"/>
                      <w:szCs w:val="21"/>
                    </w:rPr>
                  </w:pPr>
                  <w:r>
                    <w:rPr>
                      <w:color w:val="auto"/>
                      <w:szCs w:val="21"/>
                    </w:rPr>
                    <w:t>主体工程</w:t>
                  </w:r>
                </w:p>
              </w:tc>
              <w:tc>
                <w:tcPr>
                  <w:tcW w:w="4291" w:type="pct"/>
                  <w:noWrap w:val="0"/>
                  <w:vAlign w:val="center"/>
                </w:tcPr>
                <w:p w14:paraId="636DC808">
                  <w:pPr>
                    <w:rPr>
                      <w:color w:val="auto"/>
                      <w:szCs w:val="21"/>
                    </w:rPr>
                  </w:pPr>
                  <w:r>
                    <w:rPr>
                      <w:rFonts w:hint="eastAsia"/>
                      <w:color w:val="auto"/>
                      <w:szCs w:val="21"/>
                    </w:rPr>
                    <w:t>1F</w:t>
                  </w:r>
                  <w:r>
                    <w:rPr>
                      <w:color w:val="auto"/>
                      <w:szCs w:val="21"/>
                    </w:rPr>
                    <w:t>建筑</w:t>
                  </w:r>
                  <w:r>
                    <w:rPr>
                      <w:color w:val="auto"/>
                      <w:szCs w:val="21"/>
                      <w:shd w:val="clear" w:color="auto" w:fill="FFFFFF"/>
                    </w:rPr>
                    <w:t>面积共</w:t>
                  </w:r>
                  <w:r>
                    <w:rPr>
                      <w:rFonts w:hint="eastAsia"/>
                      <w:color w:val="auto"/>
                      <w:szCs w:val="21"/>
                      <w:lang w:val="en-US" w:eastAsia="zh-CN"/>
                    </w:rPr>
                    <w:t>722.99</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szCs w:val="21"/>
                    </w:rPr>
                    <w:t>设皮肤科、肛肠科、内科、口腔科、药房</w:t>
                  </w:r>
                  <w:r>
                    <w:rPr>
                      <w:rFonts w:hint="eastAsia"/>
                      <w:color w:val="auto"/>
                      <w:szCs w:val="21"/>
                      <w:lang w:val="en-US" w:eastAsia="zh-CN"/>
                    </w:rPr>
                    <w:t>等</w:t>
                  </w:r>
                  <w:r>
                    <w:rPr>
                      <w:rFonts w:hint="eastAsia"/>
                      <w:color w:val="auto"/>
                      <w:szCs w:val="21"/>
                    </w:rPr>
                    <w:t>。</w:t>
                  </w:r>
                </w:p>
              </w:tc>
            </w:tr>
            <w:tr w14:paraId="3657B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continue"/>
                  <w:noWrap w:val="0"/>
                  <w:vAlign w:val="center"/>
                </w:tcPr>
                <w:p w14:paraId="67148DF0">
                  <w:pPr>
                    <w:jc w:val="center"/>
                    <w:rPr>
                      <w:color w:val="auto"/>
                      <w:szCs w:val="21"/>
                    </w:rPr>
                  </w:pPr>
                </w:p>
              </w:tc>
              <w:tc>
                <w:tcPr>
                  <w:tcW w:w="4291" w:type="pct"/>
                  <w:noWrap w:val="0"/>
                  <w:vAlign w:val="center"/>
                </w:tcPr>
                <w:p w14:paraId="7BCB1ACC">
                  <w:pPr>
                    <w:adjustRightInd w:val="0"/>
                    <w:snapToGrid w:val="0"/>
                    <w:rPr>
                      <w:color w:val="auto"/>
                      <w:szCs w:val="21"/>
                    </w:rPr>
                  </w:pPr>
                  <w:r>
                    <w:rPr>
                      <w:color w:val="auto"/>
                      <w:szCs w:val="21"/>
                    </w:rPr>
                    <w:t>2F建筑</w:t>
                  </w:r>
                  <w:r>
                    <w:rPr>
                      <w:color w:val="auto"/>
                      <w:szCs w:val="21"/>
                      <w:shd w:val="clear" w:color="auto" w:fill="FFFFFF"/>
                    </w:rPr>
                    <w:t>面积共</w:t>
                  </w:r>
                  <w:r>
                    <w:rPr>
                      <w:rFonts w:hint="eastAsia"/>
                      <w:color w:val="auto"/>
                      <w:szCs w:val="21"/>
                      <w:lang w:val="en-US" w:eastAsia="zh-CN"/>
                    </w:rPr>
                    <w:t>2476.41</w:t>
                  </w:r>
                  <w:r>
                    <w:rPr>
                      <w:color w:val="auto"/>
                      <w:szCs w:val="21"/>
                    </w:rPr>
                    <w:t>m</w:t>
                  </w:r>
                  <w:r>
                    <w:rPr>
                      <w:rFonts w:hint="eastAsia"/>
                      <w:color w:val="auto"/>
                      <w:szCs w:val="21"/>
                      <w:vertAlign w:val="superscript"/>
                    </w:rPr>
                    <w:t>2</w:t>
                  </w:r>
                  <w:r>
                    <w:rPr>
                      <w:color w:val="auto"/>
                      <w:szCs w:val="21"/>
                      <w:shd w:val="clear" w:color="auto" w:fill="FFFFFF"/>
                    </w:rPr>
                    <w:t>，</w:t>
                  </w:r>
                  <w:r>
                    <w:rPr>
                      <w:color w:val="auto"/>
                      <w:szCs w:val="21"/>
                    </w:rPr>
                    <w:t>设托老院</w:t>
                  </w:r>
                  <w:r>
                    <w:rPr>
                      <w:rFonts w:hint="eastAsia"/>
                      <w:color w:val="auto"/>
                      <w:szCs w:val="21"/>
                      <w:lang w:eastAsia="zh-CN"/>
                    </w:rPr>
                    <w:t>，</w:t>
                  </w:r>
                  <w:r>
                    <w:rPr>
                      <w:rFonts w:hint="eastAsia"/>
                      <w:color w:val="auto"/>
                      <w:szCs w:val="21"/>
                      <w:lang w:val="en-US" w:eastAsia="zh-CN"/>
                    </w:rPr>
                    <w:t>共设120张床位</w:t>
                  </w:r>
                  <w:r>
                    <w:rPr>
                      <w:color w:val="auto"/>
                      <w:szCs w:val="21"/>
                    </w:rPr>
                    <w:t>。</w:t>
                  </w:r>
                </w:p>
              </w:tc>
            </w:tr>
            <w:tr w14:paraId="3D623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continue"/>
                  <w:noWrap w:val="0"/>
                  <w:vAlign w:val="center"/>
                </w:tcPr>
                <w:p w14:paraId="0108EACF">
                  <w:pPr>
                    <w:jc w:val="center"/>
                    <w:rPr>
                      <w:color w:val="auto"/>
                      <w:szCs w:val="21"/>
                    </w:rPr>
                  </w:pPr>
                </w:p>
              </w:tc>
              <w:tc>
                <w:tcPr>
                  <w:tcW w:w="4291" w:type="pct"/>
                  <w:noWrap w:val="0"/>
                  <w:vAlign w:val="center"/>
                </w:tcPr>
                <w:p w14:paraId="00923212">
                  <w:pPr>
                    <w:adjustRightInd w:val="0"/>
                    <w:snapToGrid w:val="0"/>
                    <w:jc w:val="left"/>
                    <w:rPr>
                      <w:color w:val="auto"/>
                      <w:szCs w:val="21"/>
                    </w:rPr>
                  </w:pPr>
                  <w:r>
                    <w:rPr>
                      <w:rFonts w:hint="eastAsia"/>
                      <w:color w:val="auto"/>
                      <w:kern w:val="2"/>
                      <w:sz w:val="21"/>
                      <w:szCs w:val="21"/>
                      <w:lang w:val="en-US" w:eastAsia="zh-CN" w:bidi="ar-SA"/>
                    </w:rPr>
                    <w:t>3F</w:t>
                  </w:r>
                  <w:r>
                    <w:rPr>
                      <w:color w:val="auto"/>
                      <w:szCs w:val="21"/>
                    </w:rPr>
                    <w:t>建筑</w:t>
                  </w:r>
                  <w:r>
                    <w:rPr>
                      <w:color w:val="auto"/>
                      <w:szCs w:val="21"/>
                      <w:shd w:val="clear" w:color="auto" w:fill="FFFFFF"/>
                    </w:rPr>
                    <w:t>面积共</w:t>
                  </w:r>
                  <w:r>
                    <w:rPr>
                      <w:rFonts w:hint="eastAsia"/>
                      <w:color w:val="auto"/>
                      <w:szCs w:val="21"/>
                      <w:lang w:val="en-US" w:eastAsia="zh-CN"/>
                    </w:rPr>
                    <w:t>247.3</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kern w:val="2"/>
                      <w:sz w:val="21"/>
                      <w:szCs w:val="21"/>
                      <w:lang w:val="en-US" w:eastAsia="zh-CN" w:bidi="ar-SA"/>
                    </w:rPr>
                    <w:t>设中医科、康复理疗室，</w:t>
                  </w:r>
                  <w:r>
                    <w:rPr>
                      <w:color w:val="auto"/>
                      <w:kern w:val="0"/>
                      <w:szCs w:val="21"/>
                    </w:rPr>
                    <w:t>编制病床共计约</w:t>
                  </w:r>
                  <w:r>
                    <w:rPr>
                      <w:rFonts w:hint="eastAsia"/>
                      <w:color w:val="auto"/>
                      <w:kern w:val="0"/>
                      <w:szCs w:val="21"/>
                      <w:lang w:val="en-US" w:eastAsia="zh-CN"/>
                    </w:rPr>
                    <w:t>10</w:t>
                  </w:r>
                  <w:r>
                    <w:rPr>
                      <w:color w:val="auto"/>
                      <w:kern w:val="0"/>
                      <w:szCs w:val="21"/>
                    </w:rPr>
                    <w:t>张</w:t>
                  </w:r>
                  <w:r>
                    <w:rPr>
                      <w:rFonts w:hint="eastAsia"/>
                      <w:color w:val="auto"/>
                      <w:kern w:val="2"/>
                      <w:sz w:val="21"/>
                      <w:szCs w:val="21"/>
                      <w:lang w:val="en-US" w:eastAsia="zh-CN" w:bidi="ar-SA"/>
                    </w:rPr>
                    <w:t>。</w:t>
                  </w:r>
                </w:p>
              </w:tc>
            </w:tr>
            <w:tr w14:paraId="43809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08" w:type="pct"/>
                  <w:gridSpan w:val="2"/>
                  <w:vMerge w:val="continue"/>
                  <w:noWrap w:val="0"/>
                  <w:vAlign w:val="center"/>
                </w:tcPr>
                <w:p w14:paraId="64A1E1D9">
                  <w:pPr>
                    <w:jc w:val="center"/>
                    <w:rPr>
                      <w:color w:val="auto"/>
                      <w:szCs w:val="21"/>
                    </w:rPr>
                  </w:pPr>
                </w:p>
              </w:tc>
              <w:tc>
                <w:tcPr>
                  <w:tcW w:w="4291" w:type="pct"/>
                  <w:noWrap w:val="0"/>
                  <w:vAlign w:val="center"/>
                </w:tcPr>
                <w:p w14:paraId="17E79D41">
                  <w:pPr>
                    <w:widowControl/>
                    <w:jc w:val="left"/>
                    <w:rPr>
                      <w:color w:val="auto"/>
                      <w:szCs w:val="21"/>
                    </w:rPr>
                  </w:pPr>
                  <w:r>
                    <w:rPr>
                      <w:rFonts w:hint="eastAsia"/>
                      <w:color w:val="auto"/>
                      <w:kern w:val="2"/>
                      <w:sz w:val="21"/>
                      <w:szCs w:val="21"/>
                      <w:lang w:val="en-US" w:eastAsia="zh-CN" w:bidi="ar-SA"/>
                    </w:rPr>
                    <w:t>4F</w:t>
                  </w:r>
                  <w:r>
                    <w:rPr>
                      <w:color w:val="auto"/>
                      <w:szCs w:val="21"/>
                    </w:rPr>
                    <w:t>建筑</w:t>
                  </w:r>
                  <w:r>
                    <w:rPr>
                      <w:color w:val="auto"/>
                      <w:szCs w:val="21"/>
                      <w:shd w:val="clear" w:color="auto" w:fill="FFFFFF"/>
                    </w:rPr>
                    <w:t>面积共</w:t>
                  </w:r>
                  <w:r>
                    <w:rPr>
                      <w:rFonts w:hint="eastAsia"/>
                      <w:color w:val="auto"/>
                      <w:szCs w:val="21"/>
                      <w:lang w:val="en-US" w:eastAsia="zh-CN"/>
                    </w:rPr>
                    <w:t>2476.41</w:t>
                  </w:r>
                  <w:r>
                    <w:rPr>
                      <w:color w:val="auto"/>
                      <w:szCs w:val="21"/>
                    </w:rPr>
                    <w:t>m</w:t>
                  </w:r>
                  <w:r>
                    <w:rPr>
                      <w:rFonts w:hint="eastAsia"/>
                      <w:color w:val="auto"/>
                      <w:szCs w:val="21"/>
                      <w:vertAlign w:val="superscript"/>
                    </w:rPr>
                    <w:t>2</w:t>
                  </w:r>
                  <w:r>
                    <w:rPr>
                      <w:color w:val="auto"/>
                      <w:szCs w:val="21"/>
                      <w:shd w:val="clear" w:color="auto" w:fill="FFFFFF"/>
                    </w:rPr>
                    <w:t>，</w:t>
                  </w:r>
                  <w:r>
                    <w:rPr>
                      <w:rFonts w:hint="eastAsia"/>
                      <w:color w:val="auto"/>
                      <w:kern w:val="2"/>
                      <w:sz w:val="21"/>
                      <w:szCs w:val="21"/>
                      <w:lang w:val="en-US" w:eastAsia="zh-CN" w:bidi="ar-SA"/>
                    </w:rPr>
                    <w:t>设皮肤科、妇科、产科、儿科、内科、五官科、外科、</w:t>
                  </w:r>
                  <w:r>
                    <w:rPr>
                      <w:rFonts w:hint="eastAsia" w:ascii="Times New Roman" w:hAnsi="Times New Roman" w:cs="Times New Roman"/>
                      <w:color w:val="auto"/>
                      <w:lang w:eastAsia="zh-CN"/>
                    </w:rPr>
                    <w:t>医学影像科</w:t>
                  </w:r>
                  <w:r>
                    <w:rPr>
                      <w:rFonts w:hint="eastAsia"/>
                      <w:color w:val="auto"/>
                      <w:kern w:val="2"/>
                      <w:sz w:val="21"/>
                      <w:szCs w:val="21"/>
                      <w:lang w:val="en-US" w:eastAsia="zh-CN" w:bidi="ar-SA"/>
                    </w:rPr>
                    <w:t>、手术室、住院部，</w:t>
                  </w:r>
                  <w:r>
                    <w:rPr>
                      <w:color w:val="auto"/>
                      <w:kern w:val="0"/>
                      <w:szCs w:val="21"/>
                    </w:rPr>
                    <w:t>编制病床共计约</w:t>
                  </w:r>
                  <w:r>
                    <w:rPr>
                      <w:rFonts w:hint="eastAsia"/>
                      <w:color w:val="auto"/>
                      <w:kern w:val="0"/>
                      <w:szCs w:val="21"/>
                      <w:lang w:val="en-US" w:eastAsia="zh-CN"/>
                    </w:rPr>
                    <w:t>80</w:t>
                  </w:r>
                  <w:r>
                    <w:rPr>
                      <w:color w:val="auto"/>
                      <w:kern w:val="0"/>
                      <w:szCs w:val="21"/>
                    </w:rPr>
                    <w:t>张</w:t>
                  </w:r>
                  <w:r>
                    <w:rPr>
                      <w:rFonts w:hint="eastAsia"/>
                      <w:color w:val="auto"/>
                      <w:kern w:val="2"/>
                      <w:sz w:val="21"/>
                      <w:szCs w:val="21"/>
                      <w:lang w:val="en-US" w:eastAsia="zh-CN" w:bidi="ar-SA"/>
                    </w:rPr>
                    <w:t>。</w:t>
                  </w:r>
                </w:p>
              </w:tc>
            </w:tr>
            <w:tr w14:paraId="5F80E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restart"/>
                  <w:noWrap w:val="0"/>
                  <w:vAlign w:val="center"/>
                </w:tcPr>
                <w:p w14:paraId="23C10F29">
                  <w:pPr>
                    <w:jc w:val="center"/>
                    <w:rPr>
                      <w:color w:val="auto"/>
                      <w:szCs w:val="21"/>
                    </w:rPr>
                  </w:pPr>
                  <w:r>
                    <w:rPr>
                      <w:color w:val="auto"/>
                      <w:szCs w:val="21"/>
                    </w:rPr>
                    <w:t>辅助工程</w:t>
                  </w:r>
                </w:p>
              </w:tc>
              <w:tc>
                <w:tcPr>
                  <w:tcW w:w="4291" w:type="pct"/>
                  <w:noWrap w:val="0"/>
                  <w:vAlign w:val="center"/>
                </w:tcPr>
                <w:p w14:paraId="54B7BF19">
                  <w:pPr>
                    <w:jc w:val="both"/>
                    <w:rPr>
                      <w:color w:val="auto"/>
                      <w:kern w:val="0"/>
                      <w:szCs w:val="21"/>
                    </w:rPr>
                  </w:pPr>
                  <w:r>
                    <w:rPr>
                      <w:color w:val="auto"/>
                      <w:kern w:val="0"/>
                      <w:szCs w:val="21"/>
                    </w:rPr>
                    <w:t>后勤综合办公区设置于</w:t>
                  </w:r>
                  <w:r>
                    <w:rPr>
                      <w:rFonts w:hint="eastAsia"/>
                      <w:color w:val="auto"/>
                      <w:kern w:val="0"/>
                      <w:szCs w:val="21"/>
                      <w:lang w:val="en-US" w:eastAsia="zh-CN"/>
                    </w:rPr>
                    <w:t>2F</w:t>
                  </w:r>
                  <w:r>
                    <w:rPr>
                      <w:color w:val="auto"/>
                      <w:kern w:val="0"/>
                      <w:szCs w:val="21"/>
                    </w:rPr>
                    <w:t>，建筑面积共计约</w:t>
                  </w:r>
                  <w:r>
                    <w:rPr>
                      <w:rFonts w:hint="eastAsia"/>
                      <w:color w:val="auto"/>
                      <w:kern w:val="0"/>
                      <w:szCs w:val="21"/>
                    </w:rPr>
                    <w:t>100</w:t>
                  </w:r>
                  <w:r>
                    <w:rPr>
                      <w:color w:val="auto"/>
                      <w:kern w:val="0"/>
                      <w:szCs w:val="21"/>
                    </w:rPr>
                    <w:t>m</w:t>
                  </w:r>
                  <w:r>
                    <w:rPr>
                      <w:color w:val="auto"/>
                      <w:kern w:val="0"/>
                      <w:szCs w:val="21"/>
                      <w:vertAlign w:val="superscript"/>
                    </w:rPr>
                    <w:t>2</w:t>
                  </w:r>
                  <w:r>
                    <w:rPr>
                      <w:color w:val="auto"/>
                      <w:kern w:val="0"/>
                      <w:szCs w:val="21"/>
                    </w:rPr>
                    <w:t>。</w:t>
                  </w:r>
                </w:p>
              </w:tc>
            </w:tr>
            <w:tr w14:paraId="0BC48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continue"/>
                  <w:noWrap w:val="0"/>
                  <w:vAlign w:val="center"/>
                </w:tcPr>
                <w:p w14:paraId="1D172197">
                  <w:pPr>
                    <w:jc w:val="center"/>
                    <w:rPr>
                      <w:color w:val="auto"/>
                      <w:szCs w:val="21"/>
                    </w:rPr>
                  </w:pPr>
                </w:p>
              </w:tc>
              <w:tc>
                <w:tcPr>
                  <w:tcW w:w="4291" w:type="pct"/>
                  <w:noWrap w:val="0"/>
                  <w:vAlign w:val="center"/>
                </w:tcPr>
                <w:p w14:paraId="5E9BCE76">
                  <w:pPr>
                    <w:adjustRightInd w:val="0"/>
                    <w:snapToGrid w:val="0"/>
                    <w:jc w:val="both"/>
                    <w:rPr>
                      <w:rFonts w:hint="eastAsia"/>
                      <w:color w:val="auto"/>
                      <w:kern w:val="0"/>
                      <w:szCs w:val="21"/>
                    </w:rPr>
                  </w:pPr>
                  <w:r>
                    <w:rPr>
                      <w:rFonts w:hint="eastAsia"/>
                      <w:color w:val="auto"/>
                      <w:kern w:val="0"/>
                      <w:szCs w:val="21"/>
                      <w:lang w:val="en-US" w:eastAsia="zh-CN"/>
                    </w:rPr>
                    <w:t>卫生间位于</w:t>
                  </w:r>
                  <w:r>
                    <w:rPr>
                      <w:color w:val="auto"/>
                      <w:kern w:val="0"/>
                      <w:szCs w:val="21"/>
                    </w:rPr>
                    <w:t>各病房、部分办公室旁分别布设有卫生间，用于病人、医护人员入厕。</w:t>
                  </w:r>
                </w:p>
              </w:tc>
            </w:tr>
            <w:tr w14:paraId="51DD1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8" w:type="pct"/>
                  <w:gridSpan w:val="2"/>
                  <w:vMerge w:val="continue"/>
                  <w:noWrap w:val="0"/>
                  <w:vAlign w:val="center"/>
                </w:tcPr>
                <w:p w14:paraId="25030700">
                  <w:pPr>
                    <w:jc w:val="center"/>
                    <w:rPr>
                      <w:color w:val="auto"/>
                      <w:szCs w:val="21"/>
                    </w:rPr>
                  </w:pPr>
                </w:p>
              </w:tc>
              <w:tc>
                <w:tcPr>
                  <w:tcW w:w="4291" w:type="pct"/>
                  <w:noWrap w:val="0"/>
                  <w:vAlign w:val="center"/>
                </w:tcPr>
                <w:p w14:paraId="35D56CB2">
                  <w:pPr>
                    <w:adjustRightInd w:val="0"/>
                    <w:snapToGrid w:val="0"/>
                    <w:jc w:val="both"/>
                    <w:rPr>
                      <w:color w:val="auto"/>
                      <w:kern w:val="0"/>
                      <w:szCs w:val="21"/>
                    </w:rPr>
                  </w:pPr>
                  <w:r>
                    <w:rPr>
                      <w:snapToGrid w:val="0"/>
                      <w:color w:val="auto"/>
                      <w:kern w:val="0"/>
                      <w:szCs w:val="21"/>
                    </w:rPr>
                    <w:t>洗衣</w:t>
                  </w:r>
                  <w:r>
                    <w:rPr>
                      <w:rFonts w:hint="eastAsia"/>
                      <w:color w:val="auto"/>
                      <w:kern w:val="0"/>
                      <w:szCs w:val="21"/>
                    </w:rPr>
                    <w:t>房位于裙楼楼顶，</w:t>
                  </w:r>
                  <w:r>
                    <w:rPr>
                      <w:rFonts w:hint="eastAsia"/>
                      <w:color w:val="auto"/>
                      <w:szCs w:val="21"/>
                    </w:rPr>
                    <w:t>面积约20m</w:t>
                  </w:r>
                  <w:r>
                    <w:rPr>
                      <w:rFonts w:hint="eastAsia"/>
                      <w:color w:val="auto"/>
                      <w:szCs w:val="21"/>
                      <w:vertAlign w:val="superscript"/>
                    </w:rPr>
                    <w:t>2</w:t>
                  </w:r>
                  <w:r>
                    <w:rPr>
                      <w:rFonts w:hint="eastAsia"/>
                      <w:color w:val="auto"/>
                      <w:szCs w:val="21"/>
                    </w:rPr>
                    <w:t>。</w:t>
                  </w:r>
                  <w:r>
                    <w:rPr>
                      <w:color w:val="auto"/>
                      <w:kern w:val="0"/>
                      <w:szCs w:val="21"/>
                    </w:rPr>
                    <w:t>用于衣物、</w:t>
                  </w:r>
                  <w:r>
                    <w:rPr>
                      <w:rFonts w:hint="eastAsia"/>
                      <w:color w:val="auto"/>
                      <w:kern w:val="0"/>
                      <w:szCs w:val="21"/>
                    </w:rPr>
                    <w:t>床单、</w:t>
                  </w:r>
                  <w:r>
                    <w:rPr>
                      <w:color w:val="auto"/>
                      <w:kern w:val="0"/>
                      <w:szCs w:val="21"/>
                    </w:rPr>
                    <w:t>污物清洗。</w:t>
                  </w:r>
                </w:p>
              </w:tc>
            </w:tr>
            <w:tr w14:paraId="142A9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268" w:type="pct"/>
                  <w:vMerge w:val="restart"/>
                  <w:noWrap w:val="0"/>
                  <w:vAlign w:val="center"/>
                </w:tcPr>
                <w:p w14:paraId="133B6856">
                  <w:pPr>
                    <w:jc w:val="center"/>
                    <w:rPr>
                      <w:color w:val="auto"/>
                      <w:szCs w:val="21"/>
                    </w:rPr>
                  </w:pPr>
                  <w:r>
                    <w:rPr>
                      <w:b/>
                      <w:bCs/>
                      <w:color w:val="auto"/>
                      <w:szCs w:val="21"/>
                    </w:rPr>
                    <w:t>公用工程</w:t>
                  </w:r>
                </w:p>
              </w:tc>
              <w:tc>
                <w:tcPr>
                  <w:tcW w:w="439" w:type="pct"/>
                  <w:noWrap w:val="0"/>
                  <w:vAlign w:val="center"/>
                </w:tcPr>
                <w:p w14:paraId="3FA0CE6D">
                  <w:pPr>
                    <w:adjustRightInd w:val="0"/>
                    <w:snapToGrid w:val="0"/>
                    <w:jc w:val="center"/>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供电设施</w:t>
                  </w:r>
                </w:p>
              </w:tc>
              <w:tc>
                <w:tcPr>
                  <w:tcW w:w="4291" w:type="pct"/>
                  <w:noWrap w:val="0"/>
                  <w:vAlign w:val="center"/>
                </w:tcPr>
                <w:p w14:paraId="495189BC">
                  <w:pPr>
                    <w:adjustRightInd w:val="0"/>
                    <w:snapToGrid w:val="0"/>
                    <w:rPr>
                      <w:rFonts w:hint="eastAsia" w:ascii="Times New Roman" w:hAnsi="Times New Roman" w:eastAsia="宋体" w:cs="Times New Roman"/>
                      <w:snapToGrid w:val="0"/>
                      <w:color w:val="auto"/>
                      <w:kern w:val="0"/>
                      <w:sz w:val="21"/>
                      <w:szCs w:val="21"/>
                      <w:lang w:val="en-US" w:eastAsia="zh-CN" w:bidi="ar-SA"/>
                    </w:rPr>
                  </w:pPr>
                  <w:r>
                    <w:rPr>
                      <w:snapToGrid w:val="0"/>
                      <w:color w:val="auto"/>
                      <w:kern w:val="0"/>
                      <w:szCs w:val="21"/>
                    </w:rPr>
                    <w:t>由市政电网供给</w:t>
                  </w:r>
                </w:p>
              </w:tc>
            </w:tr>
            <w:tr w14:paraId="5ED2B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68" w:type="pct"/>
                  <w:vMerge w:val="continue"/>
                  <w:noWrap w:val="0"/>
                  <w:vAlign w:val="center"/>
                </w:tcPr>
                <w:p w14:paraId="11348092">
                  <w:pPr>
                    <w:jc w:val="center"/>
                    <w:rPr>
                      <w:color w:val="auto"/>
                      <w:szCs w:val="21"/>
                    </w:rPr>
                  </w:pPr>
                </w:p>
              </w:tc>
              <w:tc>
                <w:tcPr>
                  <w:tcW w:w="439" w:type="pct"/>
                  <w:noWrap w:val="0"/>
                  <w:vAlign w:val="center"/>
                </w:tcPr>
                <w:p w14:paraId="28E813E0">
                  <w:pPr>
                    <w:adjustRightInd w:val="0"/>
                    <w:snapToGrid w:val="0"/>
                    <w:jc w:val="center"/>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供水设施</w:t>
                  </w:r>
                </w:p>
              </w:tc>
              <w:tc>
                <w:tcPr>
                  <w:tcW w:w="4291" w:type="pct"/>
                  <w:noWrap w:val="0"/>
                  <w:vAlign w:val="center"/>
                </w:tcPr>
                <w:p w14:paraId="329ED7EF">
                  <w:pPr>
                    <w:adjustRightInd w:val="0"/>
                    <w:snapToGrid w:val="0"/>
                    <w:jc w:val="both"/>
                    <w:rPr>
                      <w:rFonts w:hint="eastAsia" w:ascii="Times New Roman" w:hAnsi="Times New Roman" w:eastAsia="宋体" w:cs="Times New Roman"/>
                      <w:snapToGrid w:val="0"/>
                      <w:color w:val="auto"/>
                      <w:kern w:val="0"/>
                      <w:sz w:val="21"/>
                      <w:szCs w:val="21"/>
                      <w:lang w:val="en-US" w:eastAsia="zh-CN" w:bidi="ar-SA"/>
                    </w:rPr>
                  </w:pPr>
                  <w:r>
                    <w:rPr>
                      <w:snapToGrid w:val="0"/>
                      <w:color w:val="auto"/>
                      <w:kern w:val="0"/>
                      <w:szCs w:val="21"/>
                    </w:rPr>
                    <w:t>由当地自来水管网供给，院区</w:t>
                  </w:r>
                  <w:r>
                    <w:rPr>
                      <w:snapToGrid w:val="0"/>
                      <w:color w:val="auto"/>
                      <w:szCs w:val="21"/>
                      <w:lang w:bidi="ar"/>
                    </w:rPr>
                    <w:t>采用分散的电热水器和饮水机供应热水</w:t>
                  </w:r>
                </w:p>
              </w:tc>
            </w:tr>
            <w:tr w14:paraId="1CCA1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8" w:type="pct"/>
                  <w:vMerge w:val="continue"/>
                  <w:noWrap w:val="0"/>
                  <w:vAlign w:val="center"/>
                </w:tcPr>
                <w:p w14:paraId="5C2C6633">
                  <w:pPr>
                    <w:jc w:val="center"/>
                    <w:rPr>
                      <w:color w:val="auto"/>
                      <w:szCs w:val="21"/>
                    </w:rPr>
                  </w:pPr>
                </w:p>
              </w:tc>
              <w:tc>
                <w:tcPr>
                  <w:tcW w:w="439" w:type="pct"/>
                  <w:noWrap w:val="0"/>
                  <w:vAlign w:val="center"/>
                </w:tcPr>
                <w:p w14:paraId="47548948">
                  <w:pPr>
                    <w:adjustRightInd w:val="0"/>
                    <w:snapToGrid w:val="0"/>
                    <w:jc w:val="center"/>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通风设施</w:t>
                  </w:r>
                </w:p>
              </w:tc>
              <w:tc>
                <w:tcPr>
                  <w:tcW w:w="4291" w:type="pct"/>
                  <w:noWrap w:val="0"/>
                  <w:vAlign w:val="center"/>
                </w:tcPr>
                <w:p w14:paraId="533FF43A">
                  <w:pPr>
                    <w:widowControl/>
                    <w:jc w:val="left"/>
                    <w:rPr>
                      <w:rFonts w:hint="eastAsia"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采用自然通风；设备用房、检验科、卫生间等均设置机械排风系统</w:t>
                  </w:r>
                  <w:r>
                    <w:rPr>
                      <w:snapToGrid w:val="0"/>
                      <w:color w:val="auto"/>
                      <w:kern w:val="0"/>
                      <w:szCs w:val="21"/>
                    </w:rPr>
                    <w:t>。</w:t>
                  </w:r>
                </w:p>
              </w:tc>
            </w:tr>
            <w:tr w14:paraId="7E7CD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8" w:type="pct"/>
                  <w:vMerge w:val="continue"/>
                  <w:noWrap w:val="0"/>
                  <w:vAlign w:val="center"/>
                </w:tcPr>
                <w:p w14:paraId="7B736B89">
                  <w:pPr>
                    <w:jc w:val="center"/>
                    <w:rPr>
                      <w:color w:val="auto"/>
                      <w:szCs w:val="21"/>
                    </w:rPr>
                  </w:pPr>
                </w:p>
              </w:tc>
              <w:tc>
                <w:tcPr>
                  <w:tcW w:w="439" w:type="pct"/>
                  <w:noWrap w:val="0"/>
                  <w:vAlign w:val="center"/>
                </w:tcPr>
                <w:p w14:paraId="67AA069B">
                  <w:pPr>
                    <w:adjustRightInd w:val="0"/>
                    <w:snapToGrid w:val="0"/>
                    <w:jc w:val="center"/>
                    <w:rPr>
                      <w:snapToGrid w:val="0"/>
                      <w:color w:val="auto"/>
                      <w:kern w:val="0"/>
                      <w:szCs w:val="21"/>
                    </w:rPr>
                  </w:pPr>
                  <w:r>
                    <w:rPr>
                      <w:rFonts w:hint="eastAsia"/>
                      <w:snapToGrid w:val="0"/>
                      <w:color w:val="auto"/>
                      <w:kern w:val="0"/>
                      <w:szCs w:val="21"/>
                      <w:lang w:val="en-US" w:eastAsia="zh-CN"/>
                    </w:rPr>
                    <w:t>空调系统</w:t>
                  </w:r>
                </w:p>
              </w:tc>
              <w:tc>
                <w:tcPr>
                  <w:tcW w:w="4291" w:type="pct"/>
                  <w:noWrap w:val="0"/>
                  <w:vAlign w:val="center"/>
                </w:tcPr>
                <w:p w14:paraId="34B964D5">
                  <w:pPr>
                    <w:widowControl/>
                    <w:jc w:val="left"/>
                    <w:rPr>
                      <w:rFonts w:hint="eastAsia" w:eastAsia="宋体"/>
                      <w:snapToGrid w:val="0"/>
                      <w:color w:val="auto"/>
                      <w:kern w:val="0"/>
                      <w:szCs w:val="21"/>
                      <w:lang w:val="en-US" w:eastAsia="zh-CN"/>
                    </w:rPr>
                  </w:pPr>
                  <w:r>
                    <w:rPr>
                      <w:rFonts w:hint="eastAsia"/>
                      <w:snapToGrid w:val="0"/>
                      <w:color w:val="auto"/>
                      <w:kern w:val="0"/>
                      <w:szCs w:val="21"/>
                      <w:lang w:val="en-US" w:eastAsia="zh-CN"/>
                    </w:rPr>
                    <w:t>设置分体式挂机</w:t>
                  </w:r>
                  <w:r>
                    <w:rPr>
                      <w:rFonts w:hint="eastAsia" w:ascii="宋体" w:hAnsi="宋体" w:cs="宋体"/>
                      <w:color w:val="auto"/>
                      <w:kern w:val="0"/>
                      <w:szCs w:val="21"/>
                      <w:lang w:eastAsia="zh-CN" w:bidi="ar"/>
                    </w:rPr>
                    <w:t>。</w:t>
                  </w:r>
                </w:p>
              </w:tc>
            </w:tr>
            <w:tr w14:paraId="7C723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8" w:type="pct"/>
                  <w:vMerge w:val="continue"/>
                  <w:noWrap w:val="0"/>
                  <w:vAlign w:val="center"/>
                </w:tcPr>
                <w:p w14:paraId="4B100EB9">
                  <w:pPr>
                    <w:jc w:val="center"/>
                    <w:rPr>
                      <w:color w:val="auto"/>
                      <w:szCs w:val="21"/>
                    </w:rPr>
                  </w:pPr>
                </w:p>
              </w:tc>
              <w:tc>
                <w:tcPr>
                  <w:tcW w:w="439" w:type="pct"/>
                  <w:noWrap w:val="0"/>
                  <w:vAlign w:val="center"/>
                </w:tcPr>
                <w:p w14:paraId="58DA7602">
                  <w:pPr>
                    <w:adjustRightInd w:val="0"/>
                    <w:snapToGrid w:val="0"/>
                    <w:jc w:val="center"/>
                    <w:rPr>
                      <w:snapToGrid w:val="0"/>
                      <w:color w:val="auto"/>
                      <w:kern w:val="0"/>
                      <w:szCs w:val="21"/>
                    </w:rPr>
                  </w:pPr>
                  <w:r>
                    <w:rPr>
                      <w:rFonts w:hint="eastAsia"/>
                      <w:snapToGrid w:val="0"/>
                      <w:color w:val="auto"/>
                      <w:kern w:val="0"/>
                      <w:szCs w:val="21"/>
                      <w:lang w:val="en-US" w:eastAsia="zh-CN"/>
                    </w:rPr>
                    <w:t>热水系统</w:t>
                  </w:r>
                </w:p>
              </w:tc>
              <w:tc>
                <w:tcPr>
                  <w:tcW w:w="4291" w:type="pct"/>
                  <w:noWrap w:val="0"/>
                  <w:vAlign w:val="center"/>
                </w:tcPr>
                <w:p w14:paraId="437D4E1D">
                  <w:pPr>
                    <w:widowControl/>
                    <w:jc w:val="left"/>
                    <w:rPr>
                      <w:rFonts w:hint="default"/>
                      <w:snapToGrid w:val="0"/>
                      <w:color w:val="auto"/>
                      <w:kern w:val="0"/>
                      <w:szCs w:val="21"/>
                      <w:lang w:val="en-US" w:eastAsia="zh-CN"/>
                    </w:rPr>
                  </w:pPr>
                  <w:r>
                    <w:rPr>
                      <w:rFonts w:hint="eastAsia"/>
                      <w:snapToGrid w:val="0"/>
                      <w:color w:val="auto"/>
                      <w:kern w:val="0"/>
                      <w:szCs w:val="21"/>
                      <w:lang w:val="en-US" w:eastAsia="zh-CN"/>
                    </w:rPr>
                    <w:t>电热水器</w:t>
                  </w:r>
                </w:p>
              </w:tc>
            </w:tr>
            <w:tr w14:paraId="78D1A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268" w:type="pct"/>
                  <w:vMerge w:val="continue"/>
                  <w:noWrap w:val="0"/>
                  <w:vAlign w:val="center"/>
                </w:tcPr>
                <w:p w14:paraId="18827AC9">
                  <w:pPr>
                    <w:jc w:val="center"/>
                    <w:rPr>
                      <w:color w:val="auto"/>
                      <w:szCs w:val="21"/>
                    </w:rPr>
                  </w:pPr>
                </w:p>
              </w:tc>
              <w:tc>
                <w:tcPr>
                  <w:tcW w:w="439" w:type="pct"/>
                  <w:noWrap w:val="0"/>
                  <w:vAlign w:val="center"/>
                </w:tcPr>
                <w:p w14:paraId="320D37FB">
                  <w:pPr>
                    <w:adjustRightInd w:val="0"/>
                    <w:snapToGrid w:val="0"/>
                    <w:jc w:val="center"/>
                    <w:rPr>
                      <w:rFonts w:ascii="Times New Roman" w:hAnsi="Times New Roman" w:eastAsia="宋体" w:cs="Times New Roman"/>
                      <w:snapToGrid w:val="0"/>
                      <w:color w:val="auto"/>
                      <w:kern w:val="0"/>
                      <w:sz w:val="21"/>
                      <w:szCs w:val="21"/>
                      <w:lang w:val="en-US" w:eastAsia="zh-CN" w:bidi="ar-SA"/>
                    </w:rPr>
                  </w:pPr>
                  <w:r>
                    <w:rPr>
                      <w:snapToGrid w:val="0"/>
                      <w:color w:val="auto"/>
                      <w:kern w:val="0"/>
                      <w:szCs w:val="21"/>
                    </w:rPr>
                    <w:t>排水设施</w:t>
                  </w:r>
                </w:p>
              </w:tc>
              <w:tc>
                <w:tcPr>
                  <w:tcW w:w="4291" w:type="pct"/>
                  <w:noWrap w:val="0"/>
                  <w:vAlign w:val="center"/>
                </w:tcPr>
                <w:p w14:paraId="6F24D98D">
                  <w:pPr>
                    <w:adjustRightInd w:val="0"/>
                    <w:snapToGrid w:val="0"/>
                    <w:jc w:val="left"/>
                    <w:rPr>
                      <w:rFonts w:hint="eastAsia" w:ascii="Times New Roman" w:hAnsi="Times New Roman" w:eastAsia="宋体" w:cs="Times New Roman"/>
                      <w:snapToGrid w:val="0"/>
                      <w:color w:val="auto"/>
                      <w:kern w:val="0"/>
                      <w:sz w:val="21"/>
                      <w:szCs w:val="21"/>
                      <w:lang w:val="en-US" w:eastAsia="zh-CN" w:bidi="ar-SA"/>
                    </w:rPr>
                  </w:pPr>
                  <w:r>
                    <w:rPr>
                      <w:snapToGrid w:val="0"/>
                      <w:color w:val="auto"/>
                      <w:kern w:val="0"/>
                      <w:szCs w:val="21"/>
                    </w:rPr>
                    <w:t>雨水经雨水沟排入市政雨水管网；生活、医疗废水一起进入污水处理站处理，</w:t>
                  </w:r>
                  <w:r>
                    <w:rPr>
                      <w:color w:val="auto"/>
                      <w:szCs w:val="21"/>
                    </w:rPr>
                    <w:t>排入市政污水管网，废水经市政管网汇入</w:t>
                  </w:r>
                  <w:r>
                    <w:rPr>
                      <w:rFonts w:hint="eastAsia"/>
                      <w:color w:val="auto"/>
                      <w:szCs w:val="21"/>
                      <w:lang w:eastAsia="zh-CN"/>
                    </w:rPr>
                    <w:t>鸡冠石污水处理厂</w:t>
                  </w:r>
                  <w:r>
                    <w:rPr>
                      <w:color w:val="auto"/>
                      <w:szCs w:val="21"/>
                    </w:rPr>
                    <w:t>深度处理后排入</w:t>
                  </w:r>
                  <w:r>
                    <w:rPr>
                      <w:rFonts w:hint="eastAsia"/>
                      <w:color w:val="auto"/>
                      <w:szCs w:val="21"/>
                    </w:rPr>
                    <w:t>长江</w:t>
                  </w:r>
                  <w:r>
                    <w:rPr>
                      <w:color w:val="auto"/>
                      <w:szCs w:val="21"/>
                    </w:rPr>
                    <w:t>。</w:t>
                  </w:r>
                </w:p>
              </w:tc>
            </w:tr>
            <w:tr w14:paraId="5232B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8" w:type="pct"/>
                  <w:vMerge w:val="restart"/>
                  <w:noWrap w:val="0"/>
                  <w:vAlign w:val="center"/>
                </w:tcPr>
                <w:p w14:paraId="44B84CD4">
                  <w:pPr>
                    <w:jc w:val="center"/>
                    <w:rPr>
                      <w:color w:val="auto"/>
                      <w:szCs w:val="21"/>
                    </w:rPr>
                  </w:pPr>
                  <w:r>
                    <w:rPr>
                      <w:color w:val="auto"/>
                      <w:szCs w:val="21"/>
                    </w:rPr>
                    <w:t>环保工程</w:t>
                  </w:r>
                </w:p>
              </w:tc>
              <w:tc>
                <w:tcPr>
                  <w:tcW w:w="439" w:type="pct"/>
                  <w:noWrap w:val="0"/>
                  <w:vAlign w:val="center"/>
                </w:tcPr>
                <w:p w14:paraId="746DDB91">
                  <w:pPr>
                    <w:jc w:val="center"/>
                    <w:rPr>
                      <w:color w:val="auto"/>
                      <w:szCs w:val="21"/>
                    </w:rPr>
                  </w:pPr>
                  <w:r>
                    <w:rPr>
                      <w:color w:val="auto"/>
                      <w:szCs w:val="21"/>
                    </w:rPr>
                    <w:t>废水</w:t>
                  </w:r>
                </w:p>
              </w:tc>
              <w:tc>
                <w:tcPr>
                  <w:tcW w:w="4291" w:type="pct"/>
                  <w:noWrap w:val="0"/>
                  <w:vAlign w:val="center"/>
                </w:tcPr>
                <w:p w14:paraId="04B6530A">
                  <w:pPr>
                    <w:jc w:val="center"/>
                    <w:rPr>
                      <w:color w:val="auto"/>
                      <w:szCs w:val="21"/>
                    </w:rPr>
                  </w:pPr>
                  <w:r>
                    <w:rPr>
                      <w:color w:val="auto"/>
                      <w:szCs w:val="21"/>
                      <w:lang w:val="zh-CN"/>
                    </w:rPr>
                    <w:t>项目实行雨污分流，雨水经收集后直接排入市政雨水管网。项目污水</w:t>
                  </w:r>
                  <w:r>
                    <w:rPr>
                      <w:rFonts w:hint="eastAsia"/>
                      <w:color w:val="auto"/>
                      <w:szCs w:val="21"/>
                    </w:rPr>
                    <w:t>经污水处理</w:t>
                  </w:r>
                  <w:r>
                    <w:rPr>
                      <w:rFonts w:hint="eastAsia"/>
                      <w:color w:val="auto"/>
                      <w:szCs w:val="21"/>
                      <w:lang w:val="zh-CN"/>
                    </w:rPr>
                    <w:t>（</w:t>
                  </w:r>
                  <w:r>
                    <w:rPr>
                      <w:color w:val="auto"/>
                      <w:szCs w:val="21"/>
                      <w:lang w:val="zh-CN"/>
                    </w:rPr>
                    <w:t>日处理量</w:t>
                  </w:r>
                  <w:r>
                    <w:rPr>
                      <w:rFonts w:hint="eastAsia"/>
                      <w:color w:val="auto"/>
                      <w:szCs w:val="21"/>
                      <w:lang w:val="en-US" w:eastAsia="zh-CN"/>
                    </w:rPr>
                    <w:t>85</w:t>
                  </w:r>
                  <w:r>
                    <w:rPr>
                      <w:rFonts w:hint="eastAsia"/>
                      <w:color w:val="auto"/>
                      <w:szCs w:val="21"/>
                      <w:lang w:eastAsia="zh-CN"/>
                    </w:rPr>
                    <w:t>m</w:t>
                  </w:r>
                  <w:r>
                    <w:rPr>
                      <w:color w:val="auto"/>
                      <w:szCs w:val="21"/>
                      <w:vertAlign w:val="superscript"/>
                    </w:rPr>
                    <w:t>3</w:t>
                  </w:r>
                  <w:r>
                    <w:rPr>
                      <w:color w:val="auto"/>
                      <w:szCs w:val="21"/>
                    </w:rPr>
                    <w:t>/d</w:t>
                  </w:r>
                  <w:r>
                    <w:rPr>
                      <w:rFonts w:hint="eastAsia"/>
                      <w:color w:val="auto"/>
                      <w:szCs w:val="21"/>
                      <w:lang w:val="zh-CN"/>
                    </w:rPr>
                    <w:t>）</w:t>
                  </w:r>
                  <w:r>
                    <w:rPr>
                      <w:color w:val="auto"/>
                      <w:szCs w:val="21"/>
                      <w:lang w:val="zh-CN"/>
                    </w:rPr>
                    <w:t>，</w:t>
                  </w:r>
                  <w:r>
                    <w:rPr>
                      <w:color w:val="auto"/>
                      <w:szCs w:val="21"/>
                    </w:rPr>
                    <w:t>污水处理站工艺流程为“</w:t>
                  </w:r>
                  <w:r>
                    <w:rPr>
                      <w:rFonts w:hint="eastAsia"/>
                      <w:color w:val="auto"/>
                      <w:szCs w:val="21"/>
                      <w:lang w:val="en-US" w:eastAsia="zh-CN"/>
                    </w:rPr>
                    <w:t>调节池+厌氧水解+接触氧化+沉淀</w:t>
                  </w:r>
                  <w:r>
                    <w:rPr>
                      <w:rFonts w:hint="eastAsia"/>
                      <w:color w:val="auto"/>
                      <w:szCs w:val="21"/>
                      <w:lang w:eastAsia="zh-CN"/>
                    </w:rPr>
                    <w:t>+次氯酸钠消毒</w:t>
                  </w:r>
                  <w:r>
                    <w:rPr>
                      <w:color w:val="auto"/>
                      <w:szCs w:val="21"/>
                    </w:rPr>
                    <w:t>”，</w:t>
                  </w:r>
                  <w:r>
                    <w:rPr>
                      <w:color w:val="auto"/>
                      <w:szCs w:val="21"/>
                      <w:lang w:val="zh-CN"/>
                    </w:rPr>
                    <w:t>污水处理后接入市政污水管网后进入</w:t>
                  </w:r>
                  <w:r>
                    <w:rPr>
                      <w:rFonts w:hint="eastAsia"/>
                      <w:color w:val="auto"/>
                      <w:szCs w:val="21"/>
                      <w:lang w:val="zh-CN"/>
                    </w:rPr>
                    <w:t>鸡冠石污水处理厂</w:t>
                  </w:r>
                  <w:r>
                    <w:rPr>
                      <w:color w:val="auto"/>
                      <w:szCs w:val="21"/>
                    </w:rPr>
                    <w:t>深度处理达《城镇污水处理厂排放标准》（GB18918-2002）一级A标后排入</w:t>
                  </w:r>
                  <w:r>
                    <w:rPr>
                      <w:rFonts w:hint="eastAsia"/>
                      <w:color w:val="auto"/>
                      <w:szCs w:val="21"/>
                      <w:lang w:val="en-US" w:eastAsia="zh-CN"/>
                    </w:rPr>
                    <w:t>长江</w:t>
                  </w:r>
                  <w:r>
                    <w:rPr>
                      <w:color w:val="auto"/>
                      <w:szCs w:val="21"/>
                    </w:rPr>
                    <w:t>。</w:t>
                  </w:r>
                </w:p>
              </w:tc>
            </w:tr>
            <w:tr w14:paraId="2CA6E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68" w:type="pct"/>
                  <w:vMerge w:val="continue"/>
                  <w:noWrap w:val="0"/>
                  <w:vAlign w:val="center"/>
                </w:tcPr>
                <w:p w14:paraId="61FF926B">
                  <w:pPr>
                    <w:jc w:val="center"/>
                    <w:rPr>
                      <w:color w:val="auto"/>
                      <w:szCs w:val="21"/>
                    </w:rPr>
                  </w:pPr>
                </w:p>
              </w:tc>
              <w:tc>
                <w:tcPr>
                  <w:tcW w:w="439" w:type="pct"/>
                  <w:vMerge w:val="restart"/>
                  <w:noWrap w:val="0"/>
                  <w:vAlign w:val="center"/>
                </w:tcPr>
                <w:p w14:paraId="5F2A31D7">
                  <w:pPr>
                    <w:jc w:val="center"/>
                    <w:rPr>
                      <w:color w:val="auto"/>
                      <w:szCs w:val="21"/>
                    </w:rPr>
                  </w:pPr>
                  <w:r>
                    <w:rPr>
                      <w:color w:val="auto"/>
                      <w:szCs w:val="21"/>
                    </w:rPr>
                    <w:t>废气</w:t>
                  </w:r>
                </w:p>
              </w:tc>
              <w:tc>
                <w:tcPr>
                  <w:tcW w:w="4291" w:type="pct"/>
                  <w:noWrap w:val="0"/>
                  <w:vAlign w:val="center"/>
                </w:tcPr>
                <w:p w14:paraId="12E2492B">
                  <w:pPr>
                    <w:jc w:val="center"/>
                    <w:rPr>
                      <w:color w:val="auto"/>
                      <w:szCs w:val="21"/>
                    </w:rPr>
                  </w:pPr>
                  <w:r>
                    <w:rPr>
                      <w:color w:val="auto"/>
                      <w:szCs w:val="21"/>
                    </w:rPr>
                    <w:t>医疗废物暂存间设置排风装置</w:t>
                  </w:r>
                </w:p>
              </w:tc>
            </w:tr>
            <w:tr w14:paraId="2650B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68" w:type="pct"/>
                  <w:vMerge w:val="continue"/>
                  <w:noWrap w:val="0"/>
                  <w:vAlign w:val="center"/>
                </w:tcPr>
                <w:p w14:paraId="3974D628">
                  <w:pPr>
                    <w:jc w:val="center"/>
                    <w:rPr>
                      <w:color w:val="auto"/>
                      <w:szCs w:val="21"/>
                    </w:rPr>
                  </w:pPr>
                </w:p>
              </w:tc>
              <w:tc>
                <w:tcPr>
                  <w:tcW w:w="439" w:type="pct"/>
                  <w:vMerge w:val="continue"/>
                  <w:noWrap w:val="0"/>
                  <w:vAlign w:val="center"/>
                </w:tcPr>
                <w:p w14:paraId="49538189">
                  <w:pPr>
                    <w:jc w:val="center"/>
                    <w:rPr>
                      <w:color w:val="auto"/>
                      <w:szCs w:val="21"/>
                    </w:rPr>
                  </w:pPr>
                </w:p>
              </w:tc>
              <w:tc>
                <w:tcPr>
                  <w:tcW w:w="4291" w:type="pct"/>
                  <w:noWrap w:val="0"/>
                  <w:vAlign w:val="center"/>
                </w:tcPr>
                <w:p w14:paraId="0C35C79F">
                  <w:pPr>
                    <w:jc w:val="center"/>
                    <w:rPr>
                      <w:color w:val="auto"/>
                      <w:szCs w:val="21"/>
                    </w:rPr>
                  </w:pPr>
                  <w:r>
                    <w:rPr>
                      <w:rFonts w:hint="eastAsia"/>
                      <w:color w:val="auto"/>
                      <w:szCs w:val="21"/>
                    </w:rPr>
                    <w:t>污水处理站</w:t>
                  </w:r>
                  <w:r>
                    <w:rPr>
                      <w:color w:val="auto"/>
                      <w:szCs w:val="21"/>
                    </w:rPr>
                    <w:t>臭气</w:t>
                  </w:r>
                  <w:r>
                    <w:rPr>
                      <w:rFonts w:hint="eastAsia"/>
                      <w:color w:val="auto"/>
                      <w:szCs w:val="21"/>
                    </w:rPr>
                    <w:t>收集后经</w:t>
                  </w:r>
                  <w:r>
                    <w:rPr>
                      <w:color w:val="auto"/>
                      <w:szCs w:val="21"/>
                    </w:rPr>
                    <w:t>专用管道引</w:t>
                  </w:r>
                  <w:r>
                    <w:rPr>
                      <w:rFonts w:hint="eastAsia"/>
                      <w:color w:val="auto"/>
                      <w:szCs w:val="21"/>
                    </w:rPr>
                    <w:t>至绿化带</w:t>
                  </w:r>
                  <w:r>
                    <w:rPr>
                      <w:color w:val="auto"/>
                      <w:szCs w:val="21"/>
                    </w:rPr>
                    <w:t>排放</w:t>
                  </w:r>
                </w:p>
              </w:tc>
            </w:tr>
            <w:tr w14:paraId="0FB7E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68" w:type="pct"/>
                  <w:vMerge w:val="continue"/>
                  <w:noWrap w:val="0"/>
                  <w:vAlign w:val="center"/>
                </w:tcPr>
                <w:p w14:paraId="2B54BF0B">
                  <w:pPr>
                    <w:jc w:val="center"/>
                    <w:rPr>
                      <w:color w:val="auto"/>
                      <w:szCs w:val="21"/>
                    </w:rPr>
                  </w:pPr>
                </w:p>
              </w:tc>
              <w:tc>
                <w:tcPr>
                  <w:tcW w:w="439" w:type="pct"/>
                  <w:noWrap w:val="0"/>
                  <w:vAlign w:val="center"/>
                </w:tcPr>
                <w:p w14:paraId="048EEE92">
                  <w:pPr>
                    <w:jc w:val="center"/>
                    <w:rPr>
                      <w:color w:val="auto"/>
                      <w:szCs w:val="21"/>
                    </w:rPr>
                  </w:pPr>
                  <w:r>
                    <w:rPr>
                      <w:color w:val="auto"/>
                      <w:szCs w:val="21"/>
                    </w:rPr>
                    <w:t>噪声</w:t>
                  </w:r>
                </w:p>
              </w:tc>
              <w:tc>
                <w:tcPr>
                  <w:tcW w:w="4291" w:type="pct"/>
                  <w:noWrap w:val="0"/>
                  <w:vAlign w:val="center"/>
                </w:tcPr>
                <w:p w14:paraId="06F2D460">
                  <w:pPr>
                    <w:jc w:val="center"/>
                    <w:rPr>
                      <w:color w:val="auto"/>
                      <w:szCs w:val="21"/>
                    </w:rPr>
                  </w:pPr>
                  <w:r>
                    <w:rPr>
                      <w:color w:val="auto"/>
                      <w:szCs w:val="21"/>
                    </w:rPr>
                    <w:t>选用低噪声设备</w:t>
                  </w:r>
                  <w:r>
                    <w:rPr>
                      <w:rFonts w:hint="eastAsia"/>
                      <w:color w:val="auto"/>
                      <w:szCs w:val="21"/>
                      <w:lang w:eastAsia="zh-CN"/>
                    </w:rPr>
                    <w:t>，</w:t>
                  </w:r>
                  <w:r>
                    <w:rPr>
                      <w:color w:val="auto"/>
                      <w:szCs w:val="21"/>
                    </w:rPr>
                    <w:t>降低噪声对环境的影响</w:t>
                  </w:r>
                </w:p>
              </w:tc>
            </w:tr>
            <w:tr w14:paraId="02C18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268" w:type="pct"/>
                  <w:vMerge w:val="continue"/>
                  <w:noWrap w:val="0"/>
                  <w:vAlign w:val="center"/>
                </w:tcPr>
                <w:p w14:paraId="13C370F7">
                  <w:pPr>
                    <w:jc w:val="center"/>
                    <w:rPr>
                      <w:color w:val="auto"/>
                      <w:szCs w:val="21"/>
                    </w:rPr>
                  </w:pPr>
                </w:p>
              </w:tc>
              <w:tc>
                <w:tcPr>
                  <w:tcW w:w="439" w:type="pct"/>
                  <w:noWrap w:val="0"/>
                  <w:vAlign w:val="center"/>
                </w:tcPr>
                <w:p w14:paraId="7D80F12D">
                  <w:pPr>
                    <w:jc w:val="center"/>
                    <w:rPr>
                      <w:color w:val="auto"/>
                      <w:szCs w:val="21"/>
                    </w:rPr>
                  </w:pPr>
                  <w:r>
                    <w:rPr>
                      <w:color w:val="auto"/>
                      <w:szCs w:val="21"/>
                    </w:rPr>
                    <w:t>固体废物</w:t>
                  </w:r>
                </w:p>
              </w:tc>
              <w:tc>
                <w:tcPr>
                  <w:tcW w:w="4291" w:type="pct"/>
                  <w:noWrap w:val="0"/>
                  <w:vAlign w:val="center"/>
                </w:tcPr>
                <w:p w14:paraId="09A884AA">
                  <w:pPr>
                    <w:jc w:val="center"/>
                    <w:rPr>
                      <w:color w:val="auto"/>
                      <w:szCs w:val="21"/>
                    </w:rPr>
                  </w:pPr>
                  <w:r>
                    <w:rPr>
                      <w:color w:val="auto"/>
                    </w:rPr>
                    <w:t>各楼层设置垃圾桶，院区</w:t>
                  </w:r>
                  <w:r>
                    <w:rPr>
                      <w:rFonts w:hint="eastAsia"/>
                      <w:color w:val="auto"/>
                      <w:lang w:val="en-US" w:eastAsia="zh-CN"/>
                    </w:rPr>
                    <w:t>1</w:t>
                  </w:r>
                  <w:r>
                    <w:rPr>
                      <w:rFonts w:hint="eastAsia"/>
                      <w:color w:val="auto"/>
                    </w:rPr>
                    <w:t>F</w:t>
                  </w:r>
                  <w:r>
                    <w:rPr>
                      <w:color w:val="auto"/>
                    </w:rPr>
                    <w:t>设置医疗废物暂存间，</w:t>
                  </w:r>
                  <w:r>
                    <w:rPr>
                      <w:color w:val="auto"/>
                      <w:szCs w:val="21"/>
                    </w:rPr>
                    <w:t>建筑面积约</w:t>
                  </w:r>
                  <w:r>
                    <w:rPr>
                      <w:rFonts w:hint="eastAsia"/>
                      <w:color w:val="auto"/>
                      <w:szCs w:val="21"/>
                    </w:rPr>
                    <w:t>1</w:t>
                  </w:r>
                  <w:r>
                    <w:rPr>
                      <w:color w:val="auto"/>
                      <w:szCs w:val="21"/>
                    </w:rPr>
                    <w:t>0m</w:t>
                  </w:r>
                  <w:r>
                    <w:rPr>
                      <w:color w:val="auto"/>
                      <w:szCs w:val="21"/>
                      <w:vertAlign w:val="superscript"/>
                    </w:rPr>
                    <w:t>2</w:t>
                  </w:r>
                  <w:r>
                    <w:rPr>
                      <w:color w:val="auto"/>
                      <w:szCs w:val="21"/>
                    </w:rPr>
                    <w:t>，</w:t>
                  </w:r>
                  <w:r>
                    <w:rPr>
                      <w:rFonts w:hint="eastAsia"/>
                      <w:color w:val="auto"/>
                      <w:szCs w:val="21"/>
                    </w:rPr>
                    <w:t>分区暂存医疗废物、特殊废液、废活性炭</w:t>
                  </w:r>
                  <w:r>
                    <w:rPr>
                      <w:color w:val="auto"/>
                      <w:szCs w:val="21"/>
                    </w:rPr>
                    <w:t>。</w:t>
                  </w:r>
                </w:p>
              </w:tc>
            </w:tr>
          </w:tbl>
          <w:p w14:paraId="45FAAFB6">
            <w:pPr>
              <w:pStyle w:val="48"/>
              <w:spacing w:line="360" w:lineRule="auto"/>
              <w:ind w:firstLine="482" w:firstLineChars="200"/>
              <w:rPr>
                <w:b/>
                <w:bCs/>
                <w:color w:val="auto"/>
                <w:sz w:val="24"/>
              </w:rPr>
            </w:pPr>
            <w:r>
              <w:rPr>
                <w:b/>
                <w:bCs/>
                <w:color w:val="auto"/>
                <w:sz w:val="24"/>
              </w:rPr>
              <w:t>2）现有项目设备清单</w:t>
            </w:r>
          </w:p>
          <w:p w14:paraId="4412D5C5">
            <w:pPr>
              <w:pStyle w:val="18"/>
              <w:tabs>
                <w:tab w:val="right" w:pos="8641"/>
              </w:tabs>
              <w:spacing w:line="360" w:lineRule="auto"/>
              <w:ind w:right="11" w:firstLine="480" w:firstLineChars="200"/>
              <w:rPr>
                <w:color w:val="auto"/>
                <w:sz w:val="24"/>
                <w:szCs w:val="24"/>
              </w:rPr>
            </w:pPr>
            <w:r>
              <w:rPr>
                <w:color w:val="auto"/>
                <w:sz w:val="24"/>
              </w:rPr>
              <w:t>通过核查《产业结构调整指导目录（20</w:t>
            </w:r>
            <w:r>
              <w:rPr>
                <w:rFonts w:hint="eastAsia"/>
                <w:color w:val="auto"/>
                <w:sz w:val="24"/>
                <w:lang w:val="en-US" w:eastAsia="zh-CN"/>
              </w:rPr>
              <w:t>24</w:t>
            </w:r>
            <w:r>
              <w:rPr>
                <w:color w:val="auto"/>
                <w:sz w:val="24"/>
              </w:rPr>
              <w:t>年版）》可知，现有项目工艺、设备均不属于国家禁止或明令淘汰的设备，其主要生产设备详见</w:t>
            </w:r>
            <w:r>
              <w:rPr>
                <w:color w:val="auto"/>
                <w:sz w:val="24"/>
                <w:szCs w:val="24"/>
              </w:rPr>
              <w:t>表2-1</w:t>
            </w:r>
            <w:r>
              <w:rPr>
                <w:rFonts w:hint="eastAsia"/>
                <w:color w:val="auto"/>
                <w:sz w:val="24"/>
                <w:szCs w:val="24"/>
                <w:lang w:val="en-US" w:eastAsia="zh-CN"/>
              </w:rPr>
              <w:t>2</w:t>
            </w:r>
            <w:r>
              <w:rPr>
                <w:color w:val="auto"/>
                <w:sz w:val="24"/>
                <w:szCs w:val="24"/>
              </w:rPr>
              <w:t>。</w:t>
            </w:r>
          </w:p>
          <w:p w14:paraId="5A171FC1">
            <w:pPr>
              <w:adjustRightInd w:val="0"/>
              <w:snapToGrid w:val="0"/>
              <w:jc w:val="center"/>
              <w:rPr>
                <w:b/>
                <w:color w:val="auto"/>
                <w:sz w:val="24"/>
              </w:rPr>
            </w:pPr>
            <w:r>
              <w:rPr>
                <w:b/>
                <w:color w:val="auto"/>
                <w:sz w:val="24"/>
              </w:rPr>
              <w:t>表2-1</w:t>
            </w:r>
            <w:r>
              <w:rPr>
                <w:rFonts w:hint="eastAsia"/>
                <w:b/>
                <w:color w:val="auto"/>
                <w:sz w:val="24"/>
                <w:lang w:val="en-US" w:eastAsia="zh-CN"/>
              </w:rPr>
              <w:t>2</w:t>
            </w:r>
            <w:r>
              <w:rPr>
                <w:b/>
                <w:color w:val="auto"/>
                <w:sz w:val="24"/>
              </w:rPr>
              <w:t>现有项目主要生产设备一览表</w:t>
            </w:r>
          </w:p>
          <w:tbl>
            <w:tblPr>
              <w:tblStyle w:val="25"/>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35"/>
              <w:gridCol w:w="2326"/>
              <w:gridCol w:w="2521"/>
              <w:gridCol w:w="1266"/>
              <w:gridCol w:w="1205"/>
            </w:tblGrid>
            <w:tr w14:paraId="0D3AE4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326DF551">
                  <w:pPr>
                    <w:spacing w:before="55" w:line="222" w:lineRule="auto"/>
                    <w:ind w:left="115"/>
                    <w:rPr>
                      <w:rFonts w:ascii="宋体" w:hAnsi="宋体" w:cs="宋体"/>
                      <w:color w:val="auto"/>
                      <w:szCs w:val="21"/>
                    </w:rPr>
                  </w:pPr>
                  <w:r>
                    <w:rPr>
                      <w:rFonts w:ascii="宋体" w:hAnsi="宋体" w:cs="宋体"/>
                      <w:color w:val="auto"/>
                      <w:spacing w:val="-2"/>
                      <w:szCs w:val="21"/>
                    </w:rPr>
                    <w:t>序</w:t>
                  </w:r>
                  <w:r>
                    <w:rPr>
                      <w:rFonts w:ascii="宋体" w:hAnsi="宋体" w:cs="宋体"/>
                      <w:color w:val="auto"/>
                      <w:spacing w:val="-1"/>
                      <w:szCs w:val="21"/>
                    </w:rPr>
                    <w:t>号</w:t>
                  </w:r>
                </w:p>
              </w:tc>
              <w:tc>
                <w:tcPr>
                  <w:tcW w:w="2326" w:type="dxa"/>
                  <w:noWrap w:val="0"/>
                  <w:vAlign w:val="top"/>
                </w:tcPr>
                <w:p w14:paraId="4AABF5EB">
                  <w:pPr>
                    <w:spacing w:before="55" w:line="222" w:lineRule="auto"/>
                    <w:ind w:left="115"/>
                    <w:jc w:val="center"/>
                    <w:rPr>
                      <w:rFonts w:ascii="宋体" w:hAnsi="宋体" w:cs="宋体"/>
                      <w:color w:val="auto"/>
                      <w:szCs w:val="21"/>
                    </w:rPr>
                  </w:pPr>
                  <w:r>
                    <w:rPr>
                      <w:rFonts w:ascii="宋体" w:hAnsi="宋体" w:cs="宋体"/>
                      <w:color w:val="auto"/>
                      <w:spacing w:val="-3"/>
                      <w:szCs w:val="21"/>
                    </w:rPr>
                    <w:t>设</w:t>
                  </w:r>
                  <w:r>
                    <w:rPr>
                      <w:rFonts w:ascii="宋体" w:hAnsi="宋体" w:cs="宋体"/>
                      <w:color w:val="auto"/>
                      <w:spacing w:val="-2"/>
                      <w:szCs w:val="21"/>
                    </w:rPr>
                    <w:t>备名称</w:t>
                  </w:r>
                </w:p>
              </w:tc>
              <w:tc>
                <w:tcPr>
                  <w:tcW w:w="2521" w:type="dxa"/>
                  <w:noWrap w:val="0"/>
                  <w:vAlign w:val="top"/>
                </w:tcPr>
                <w:p w14:paraId="14C39C01">
                  <w:pPr>
                    <w:spacing w:before="55" w:line="221" w:lineRule="auto"/>
                    <w:ind w:left="112"/>
                    <w:jc w:val="center"/>
                    <w:rPr>
                      <w:rFonts w:ascii="宋体" w:hAnsi="宋体" w:cs="宋体"/>
                      <w:color w:val="auto"/>
                      <w:szCs w:val="21"/>
                    </w:rPr>
                  </w:pPr>
                  <w:r>
                    <w:rPr>
                      <w:rFonts w:ascii="宋体" w:hAnsi="宋体" w:cs="宋体"/>
                      <w:color w:val="auto"/>
                      <w:spacing w:val="-2"/>
                      <w:szCs w:val="21"/>
                    </w:rPr>
                    <w:t>规格</w:t>
                  </w:r>
                  <w:r>
                    <w:rPr>
                      <w:rFonts w:ascii="宋体" w:hAnsi="宋体" w:cs="宋体"/>
                      <w:color w:val="auto"/>
                      <w:spacing w:val="-1"/>
                      <w:szCs w:val="21"/>
                    </w:rPr>
                    <w:t>型号</w:t>
                  </w:r>
                </w:p>
              </w:tc>
              <w:tc>
                <w:tcPr>
                  <w:tcW w:w="1266" w:type="dxa"/>
                  <w:noWrap w:val="0"/>
                  <w:vAlign w:val="top"/>
                </w:tcPr>
                <w:p w14:paraId="5A62A110">
                  <w:pPr>
                    <w:spacing w:before="56" w:line="221" w:lineRule="auto"/>
                    <w:ind w:left="114"/>
                    <w:jc w:val="center"/>
                    <w:rPr>
                      <w:rFonts w:ascii="宋体" w:hAnsi="宋体" w:cs="宋体"/>
                      <w:color w:val="auto"/>
                      <w:szCs w:val="21"/>
                    </w:rPr>
                  </w:pPr>
                  <w:r>
                    <w:rPr>
                      <w:rFonts w:ascii="宋体" w:hAnsi="宋体" w:cs="宋体"/>
                      <w:color w:val="auto"/>
                      <w:spacing w:val="-2"/>
                      <w:szCs w:val="21"/>
                    </w:rPr>
                    <w:t>单位</w:t>
                  </w:r>
                </w:p>
              </w:tc>
              <w:tc>
                <w:tcPr>
                  <w:tcW w:w="1205" w:type="dxa"/>
                  <w:noWrap w:val="0"/>
                  <w:vAlign w:val="top"/>
                </w:tcPr>
                <w:p w14:paraId="1686543F">
                  <w:pPr>
                    <w:spacing w:before="55" w:line="221" w:lineRule="auto"/>
                    <w:ind w:left="114"/>
                    <w:jc w:val="center"/>
                    <w:rPr>
                      <w:rFonts w:ascii="宋体" w:hAnsi="宋体" w:cs="宋体"/>
                      <w:color w:val="auto"/>
                      <w:szCs w:val="21"/>
                    </w:rPr>
                  </w:pPr>
                  <w:r>
                    <w:rPr>
                      <w:rFonts w:ascii="宋体" w:hAnsi="宋体" w:cs="宋体"/>
                      <w:color w:val="auto"/>
                      <w:spacing w:val="-2"/>
                      <w:szCs w:val="21"/>
                    </w:rPr>
                    <w:t>数量</w:t>
                  </w:r>
                </w:p>
              </w:tc>
            </w:tr>
            <w:tr w14:paraId="35FBD1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11F11A0F">
                  <w:pPr>
                    <w:spacing w:before="87" w:line="187" w:lineRule="auto"/>
                    <w:jc w:val="center"/>
                    <w:rPr>
                      <w:rFonts w:eastAsia="Times New Roman"/>
                      <w:color w:val="auto"/>
                      <w:szCs w:val="21"/>
                    </w:rPr>
                  </w:pPr>
                  <w:r>
                    <w:rPr>
                      <w:rFonts w:eastAsia="Times New Roman"/>
                      <w:color w:val="auto"/>
                      <w:szCs w:val="21"/>
                    </w:rPr>
                    <w:t>1</w:t>
                  </w:r>
                </w:p>
              </w:tc>
              <w:tc>
                <w:tcPr>
                  <w:tcW w:w="2326" w:type="dxa"/>
                  <w:noWrap w:val="0"/>
                  <w:vAlign w:val="center"/>
                </w:tcPr>
                <w:p w14:paraId="0F1B027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四维彩超机</w:t>
                  </w:r>
                </w:p>
              </w:tc>
              <w:tc>
                <w:tcPr>
                  <w:tcW w:w="2521" w:type="dxa"/>
                  <w:noWrap w:val="0"/>
                  <w:vAlign w:val="center"/>
                </w:tcPr>
                <w:p w14:paraId="4D4CD58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GE730</w:t>
                  </w:r>
                </w:p>
              </w:tc>
              <w:tc>
                <w:tcPr>
                  <w:tcW w:w="1266" w:type="dxa"/>
                  <w:noWrap w:val="0"/>
                  <w:vAlign w:val="top"/>
                </w:tcPr>
                <w:p w14:paraId="508D413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2BF910D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3AE196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6D0975D9">
                  <w:pPr>
                    <w:spacing w:before="88" w:line="187" w:lineRule="auto"/>
                    <w:jc w:val="center"/>
                    <w:rPr>
                      <w:rFonts w:eastAsia="Times New Roman"/>
                      <w:color w:val="auto"/>
                      <w:szCs w:val="21"/>
                    </w:rPr>
                  </w:pPr>
                  <w:r>
                    <w:rPr>
                      <w:rFonts w:eastAsia="Times New Roman"/>
                      <w:color w:val="auto"/>
                      <w:szCs w:val="21"/>
                    </w:rPr>
                    <w:t>2</w:t>
                  </w:r>
                </w:p>
              </w:tc>
              <w:tc>
                <w:tcPr>
                  <w:tcW w:w="2326" w:type="dxa"/>
                  <w:noWrap w:val="0"/>
                  <w:vAlign w:val="center"/>
                </w:tcPr>
                <w:p w14:paraId="2EE7AE1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显微镜</w:t>
                  </w:r>
                </w:p>
              </w:tc>
              <w:tc>
                <w:tcPr>
                  <w:tcW w:w="2521" w:type="dxa"/>
                  <w:noWrap w:val="0"/>
                  <w:vAlign w:val="center"/>
                </w:tcPr>
                <w:p w14:paraId="5A0927D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BHA</w:t>
                  </w:r>
                </w:p>
              </w:tc>
              <w:tc>
                <w:tcPr>
                  <w:tcW w:w="1266" w:type="dxa"/>
                  <w:noWrap w:val="0"/>
                  <w:vAlign w:val="top"/>
                </w:tcPr>
                <w:p w14:paraId="2D9281B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2F426F68">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0D59B8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1BA7CDA9">
                  <w:pPr>
                    <w:spacing w:before="90" w:line="187" w:lineRule="auto"/>
                    <w:jc w:val="center"/>
                    <w:rPr>
                      <w:rFonts w:eastAsia="Times New Roman"/>
                      <w:color w:val="auto"/>
                      <w:szCs w:val="21"/>
                    </w:rPr>
                  </w:pPr>
                  <w:r>
                    <w:rPr>
                      <w:rFonts w:eastAsia="Times New Roman"/>
                      <w:color w:val="auto"/>
                      <w:szCs w:val="21"/>
                    </w:rPr>
                    <w:t>3</w:t>
                  </w:r>
                </w:p>
              </w:tc>
              <w:tc>
                <w:tcPr>
                  <w:tcW w:w="2326" w:type="dxa"/>
                  <w:noWrap w:val="0"/>
                  <w:vAlign w:val="center"/>
                </w:tcPr>
                <w:p w14:paraId="58D3BD5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血凝仪</w:t>
                  </w:r>
                </w:p>
              </w:tc>
              <w:tc>
                <w:tcPr>
                  <w:tcW w:w="2521" w:type="dxa"/>
                  <w:noWrap w:val="0"/>
                  <w:vAlign w:val="center"/>
                </w:tcPr>
                <w:p w14:paraId="25F4719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TECO</w:t>
                  </w:r>
                </w:p>
              </w:tc>
              <w:tc>
                <w:tcPr>
                  <w:tcW w:w="1266" w:type="dxa"/>
                  <w:noWrap w:val="0"/>
                  <w:vAlign w:val="top"/>
                </w:tcPr>
                <w:p w14:paraId="468B56E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973B55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5D2EA6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6" w:hRule="atLeast"/>
                <w:jc w:val="center"/>
              </w:trPr>
              <w:tc>
                <w:tcPr>
                  <w:tcW w:w="535" w:type="dxa"/>
                  <w:noWrap w:val="0"/>
                  <w:vAlign w:val="top"/>
                </w:tcPr>
                <w:p w14:paraId="5F95196A">
                  <w:pPr>
                    <w:spacing w:before="88" w:line="187" w:lineRule="auto"/>
                    <w:jc w:val="center"/>
                    <w:rPr>
                      <w:rFonts w:eastAsia="Times New Roman"/>
                      <w:color w:val="auto"/>
                      <w:szCs w:val="21"/>
                    </w:rPr>
                  </w:pPr>
                  <w:r>
                    <w:rPr>
                      <w:rFonts w:eastAsia="Times New Roman"/>
                      <w:color w:val="auto"/>
                      <w:szCs w:val="21"/>
                    </w:rPr>
                    <w:t>4</w:t>
                  </w:r>
                </w:p>
              </w:tc>
              <w:tc>
                <w:tcPr>
                  <w:tcW w:w="2326" w:type="dxa"/>
                  <w:noWrap w:val="0"/>
                  <w:vAlign w:val="center"/>
                </w:tcPr>
                <w:p w14:paraId="7BEF0C9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黑白B超</w:t>
                  </w:r>
                </w:p>
              </w:tc>
              <w:tc>
                <w:tcPr>
                  <w:tcW w:w="2521" w:type="dxa"/>
                  <w:noWrap w:val="0"/>
                  <w:vAlign w:val="center"/>
                </w:tcPr>
                <w:p w14:paraId="692C5C5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HY-3100</w:t>
                  </w:r>
                </w:p>
              </w:tc>
              <w:tc>
                <w:tcPr>
                  <w:tcW w:w="1266" w:type="dxa"/>
                  <w:noWrap w:val="0"/>
                  <w:vAlign w:val="top"/>
                </w:tcPr>
                <w:p w14:paraId="72B40E4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060353B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7C08D2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5ED8287F">
                  <w:pPr>
                    <w:spacing w:before="91" w:line="184" w:lineRule="auto"/>
                    <w:jc w:val="center"/>
                    <w:rPr>
                      <w:rFonts w:eastAsia="Times New Roman"/>
                      <w:color w:val="auto"/>
                      <w:szCs w:val="21"/>
                    </w:rPr>
                  </w:pPr>
                  <w:r>
                    <w:rPr>
                      <w:rFonts w:eastAsia="Times New Roman"/>
                      <w:color w:val="auto"/>
                      <w:szCs w:val="21"/>
                    </w:rPr>
                    <w:t>5</w:t>
                  </w:r>
                </w:p>
              </w:tc>
              <w:tc>
                <w:tcPr>
                  <w:tcW w:w="2326" w:type="dxa"/>
                  <w:noWrap w:val="0"/>
                  <w:vAlign w:val="center"/>
                </w:tcPr>
                <w:p w14:paraId="7932461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腹腔镜</w:t>
                  </w:r>
                </w:p>
              </w:tc>
              <w:tc>
                <w:tcPr>
                  <w:tcW w:w="2521" w:type="dxa"/>
                  <w:noWrap w:val="0"/>
                  <w:vAlign w:val="center"/>
                </w:tcPr>
                <w:p w14:paraId="5DA464C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ECHO1-D</w:t>
                  </w:r>
                </w:p>
              </w:tc>
              <w:tc>
                <w:tcPr>
                  <w:tcW w:w="1266" w:type="dxa"/>
                  <w:noWrap w:val="0"/>
                  <w:vAlign w:val="top"/>
                </w:tcPr>
                <w:p w14:paraId="1D9A0538">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00A1BB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2AA3CE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20AFB4A0">
                  <w:pPr>
                    <w:spacing w:before="88" w:line="187" w:lineRule="auto"/>
                    <w:jc w:val="center"/>
                    <w:rPr>
                      <w:rFonts w:eastAsia="Times New Roman"/>
                      <w:color w:val="auto"/>
                      <w:szCs w:val="21"/>
                    </w:rPr>
                  </w:pPr>
                  <w:r>
                    <w:rPr>
                      <w:rFonts w:eastAsia="Times New Roman"/>
                      <w:color w:val="auto"/>
                      <w:szCs w:val="21"/>
                    </w:rPr>
                    <w:t>6</w:t>
                  </w:r>
                </w:p>
              </w:tc>
              <w:tc>
                <w:tcPr>
                  <w:tcW w:w="2326" w:type="dxa"/>
                  <w:noWrap w:val="0"/>
                  <w:vAlign w:val="center"/>
                </w:tcPr>
                <w:p w14:paraId="4E75941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宫腔镜</w:t>
                  </w:r>
                </w:p>
              </w:tc>
              <w:tc>
                <w:tcPr>
                  <w:tcW w:w="2521" w:type="dxa"/>
                  <w:noWrap w:val="0"/>
                  <w:vAlign w:val="center"/>
                </w:tcPr>
                <w:p w14:paraId="15022F1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JRJ-III</w:t>
                  </w:r>
                </w:p>
              </w:tc>
              <w:tc>
                <w:tcPr>
                  <w:tcW w:w="1266" w:type="dxa"/>
                  <w:noWrap w:val="0"/>
                  <w:vAlign w:val="top"/>
                </w:tcPr>
                <w:p w14:paraId="3631CD3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764A619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66C38F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4B51F688">
                  <w:pPr>
                    <w:spacing w:before="90" w:line="184" w:lineRule="auto"/>
                    <w:jc w:val="center"/>
                    <w:rPr>
                      <w:rFonts w:eastAsia="Times New Roman"/>
                      <w:color w:val="auto"/>
                      <w:szCs w:val="21"/>
                    </w:rPr>
                  </w:pPr>
                  <w:r>
                    <w:rPr>
                      <w:rFonts w:eastAsia="Times New Roman"/>
                      <w:color w:val="auto"/>
                      <w:szCs w:val="21"/>
                    </w:rPr>
                    <w:t>7</w:t>
                  </w:r>
                </w:p>
              </w:tc>
              <w:tc>
                <w:tcPr>
                  <w:tcW w:w="2326" w:type="dxa"/>
                  <w:noWrap w:val="0"/>
                  <w:vAlign w:val="center"/>
                </w:tcPr>
                <w:p w14:paraId="6F0F1E29">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多参数监护仪</w:t>
                  </w:r>
                </w:p>
              </w:tc>
              <w:tc>
                <w:tcPr>
                  <w:tcW w:w="2521" w:type="dxa"/>
                  <w:noWrap w:val="0"/>
                  <w:vAlign w:val="center"/>
                </w:tcPr>
                <w:p w14:paraId="29403F7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ZDIZD</w:t>
                  </w:r>
                </w:p>
              </w:tc>
              <w:tc>
                <w:tcPr>
                  <w:tcW w:w="1266" w:type="dxa"/>
                  <w:noWrap w:val="0"/>
                  <w:vAlign w:val="top"/>
                </w:tcPr>
                <w:p w14:paraId="10A1AFC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BFF5889">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4</w:t>
                  </w:r>
                </w:p>
              </w:tc>
            </w:tr>
            <w:tr w14:paraId="2824B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0B20303D">
                  <w:pPr>
                    <w:spacing w:before="87" w:line="187" w:lineRule="auto"/>
                    <w:jc w:val="center"/>
                    <w:rPr>
                      <w:rFonts w:eastAsia="Times New Roman"/>
                      <w:color w:val="auto"/>
                      <w:szCs w:val="21"/>
                    </w:rPr>
                  </w:pPr>
                  <w:r>
                    <w:rPr>
                      <w:rFonts w:eastAsia="Times New Roman"/>
                      <w:color w:val="auto"/>
                      <w:szCs w:val="21"/>
                    </w:rPr>
                    <w:t>8</w:t>
                  </w:r>
                </w:p>
              </w:tc>
              <w:tc>
                <w:tcPr>
                  <w:tcW w:w="2326" w:type="dxa"/>
                  <w:noWrap w:val="0"/>
                  <w:vAlign w:val="center"/>
                </w:tcPr>
                <w:p w14:paraId="5E75DA2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X射线</w:t>
                  </w:r>
                  <w:r>
                    <w:rPr>
                      <w:rFonts w:hint="default" w:ascii="Times New Roman" w:hAnsi="Times New Roman" w:eastAsia="Times New Roman" w:cs="Times New Roman"/>
                      <w:color w:val="auto"/>
                      <w:szCs w:val="21"/>
                    </w:rPr>
                    <w:t>机</w:t>
                  </w:r>
                </w:p>
              </w:tc>
              <w:tc>
                <w:tcPr>
                  <w:tcW w:w="2521" w:type="dxa"/>
                  <w:noWrap w:val="0"/>
                  <w:vAlign w:val="center"/>
                </w:tcPr>
                <w:p w14:paraId="1D9A521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lang w:val="en-US" w:eastAsia="zh-CN"/>
                    </w:rPr>
                    <w:t>Ⅲ</w:t>
                  </w:r>
                  <w:r>
                    <w:rPr>
                      <w:rFonts w:hint="eastAsia" w:eastAsia="Times New Roman" w:cs="Times New Roman"/>
                      <w:color w:val="auto"/>
                      <w:szCs w:val="21"/>
                      <w:lang w:val="en-US" w:eastAsia="zh-CN"/>
                    </w:rPr>
                    <w:t>类射线</w:t>
                  </w:r>
                </w:p>
              </w:tc>
              <w:tc>
                <w:tcPr>
                  <w:tcW w:w="1266" w:type="dxa"/>
                  <w:noWrap w:val="0"/>
                  <w:vAlign w:val="top"/>
                </w:tcPr>
                <w:p w14:paraId="6DA8E8A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28142CD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0329C2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473D2209">
                  <w:pPr>
                    <w:spacing w:before="90" w:line="187" w:lineRule="auto"/>
                    <w:jc w:val="center"/>
                    <w:rPr>
                      <w:rFonts w:eastAsia="Times New Roman"/>
                      <w:color w:val="auto"/>
                      <w:szCs w:val="21"/>
                    </w:rPr>
                  </w:pPr>
                  <w:r>
                    <w:rPr>
                      <w:rFonts w:eastAsia="Times New Roman"/>
                      <w:color w:val="auto"/>
                      <w:szCs w:val="21"/>
                    </w:rPr>
                    <w:t>9</w:t>
                  </w:r>
                </w:p>
              </w:tc>
              <w:tc>
                <w:tcPr>
                  <w:tcW w:w="2326" w:type="dxa"/>
                  <w:noWrap w:val="0"/>
                  <w:vAlign w:val="center"/>
                </w:tcPr>
                <w:p w14:paraId="5C2505CA">
                  <w:pPr>
                    <w:spacing w:before="59" w:line="220" w:lineRule="auto"/>
                    <w:ind w:left="111" w:leftChars="0"/>
                    <w:jc w:val="center"/>
                    <w:rPr>
                      <w:rFonts w:hint="eastAsia" w:ascii="Times New Roman" w:hAnsi="Times New Roman" w:eastAsia="宋体" w:cs="Times New Roman"/>
                      <w:color w:val="auto"/>
                      <w:kern w:val="2"/>
                      <w:sz w:val="21"/>
                      <w:szCs w:val="24"/>
                      <w:lang w:val="en-US" w:eastAsia="zh-CN" w:bidi="ar-SA"/>
                    </w:rPr>
                  </w:pPr>
                  <w:r>
                    <w:rPr>
                      <w:rFonts w:eastAsia="Times New Roman"/>
                      <w:color w:val="auto"/>
                      <w:szCs w:val="21"/>
                    </w:rPr>
                    <w:t>CT</w:t>
                  </w:r>
                  <w:r>
                    <w:rPr>
                      <w:rFonts w:ascii="宋体" w:hAnsi="宋体" w:cs="宋体"/>
                      <w:color w:val="auto"/>
                      <w:szCs w:val="21"/>
                    </w:rPr>
                    <w:t>机</w:t>
                  </w:r>
                </w:p>
              </w:tc>
              <w:tc>
                <w:tcPr>
                  <w:tcW w:w="2521" w:type="dxa"/>
                  <w:noWrap w:val="0"/>
                  <w:vAlign w:val="center"/>
                </w:tcPr>
                <w:p w14:paraId="2F23482F">
                  <w:pPr>
                    <w:spacing w:before="58" w:line="221" w:lineRule="auto"/>
                    <w:ind w:left="112" w:lef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pacing w:val="-2"/>
                      <w:szCs w:val="21"/>
                      <w:lang w:val="en-US" w:eastAsia="zh-CN"/>
                    </w:rPr>
                    <w:t>UCT510型</w:t>
                  </w:r>
                </w:p>
              </w:tc>
              <w:tc>
                <w:tcPr>
                  <w:tcW w:w="1266" w:type="dxa"/>
                  <w:noWrap w:val="0"/>
                  <w:vAlign w:val="top"/>
                </w:tcPr>
                <w:p w14:paraId="4ED858A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1AB4A57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274693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67661D6F">
                  <w:pPr>
                    <w:spacing w:before="88" w:line="187" w:lineRule="auto"/>
                    <w:ind w:left="132"/>
                    <w:rPr>
                      <w:rFonts w:eastAsia="Times New Roman"/>
                      <w:color w:val="auto"/>
                      <w:szCs w:val="21"/>
                    </w:rPr>
                  </w:pPr>
                  <w:r>
                    <w:rPr>
                      <w:rFonts w:eastAsia="Times New Roman"/>
                      <w:color w:val="auto"/>
                      <w:spacing w:val="-6"/>
                      <w:szCs w:val="21"/>
                    </w:rPr>
                    <w:t>10</w:t>
                  </w:r>
                </w:p>
              </w:tc>
              <w:tc>
                <w:tcPr>
                  <w:tcW w:w="2326" w:type="dxa"/>
                  <w:noWrap w:val="0"/>
                  <w:vAlign w:val="center"/>
                </w:tcPr>
                <w:p w14:paraId="349D4C80">
                  <w:pPr>
                    <w:spacing w:before="56" w:line="220" w:lineRule="auto"/>
                    <w:ind w:left="107" w:leftChars="0"/>
                    <w:jc w:val="center"/>
                    <w:rPr>
                      <w:rFonts w:hint="eastAsia" w:ascii="Times New Roman" w:hAnsi="Times New Roman" w:eastAsia="宋体" w:cs="Times New Roman"/>
                      <w:color w:val="auto"/>
                      <w:kern w:val="2"/>
                      <w:sz w:val="21"/>
                      <w:szCs w:val="24"/>
                      <w:lang w:val="en-US" w:eastAsia="zh-CN" w:bidi="ar-SA"/>
                    </w:rPr>
                  </w:pPr>
                  <w:r>
                    <w:rPr>
                      <w:rFonts w:eastAsia="Times New Roman"/>
                      <w:color w:val="auto"/>
                      <w:szCs w:val="21"/>
                    </w:rPr>
                    <w:t>DR</w:t>
                  </w:r>
                  <w:r>
                    <w:rPr>
                      <w:rFonts w:ascii="宋体" w:hAnsi="宋体" w:cs="宋体"/>
                      <w:color w:val="auto"/>
                      <w:spacing w:val="2"/>
                      <w:szCs w:val="21"/>
                    </w:rPr>
                    <w:t>机</w:t>
                  </w:r>
                </w:p>
              </w:tc>
              <w:tc>
                <w:tcPr>
                  <w:tcW w:w="2521" w:type="dxa"/>
                  <w:noWrap w:val="0"/>
                  <w:vAlign w:val="center"/>
                </w:tcPr>
                <w:p w14:paraId="28E68CFE">
                  <w:pPr>
                    <w:spacing w:before="56" w:line="221" w:lineRule="auto"/>
                    <w:ind w:left="112" w:lef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pacing w:val="-2"/>
                      <w:szCs w:val="21"/>
                      <w:lang w:val="en-US" w:eastAsia="zh-CN"/>
                    </w:rPr>
                    <w:t>DR80U型</w:t>
                  </w:r>
                </w:p>
              </w:tc>
              <w:tc>
                <w:tcPr>
                  <w:tcW w:w="1266" w:type="dxa"/>
                  <w:noWrap w:val="0"/>
                  <w:vAlign w:val="top"/>
                </w:tcPr>
                <w:p w14:paraId="67C6CEE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3DDDF42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248DBE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6DBC5332">
                  <w:pPr>
                    <w:spacing w:before="89" w:line="187" w:lineRule="auto"/>
                    <w:ind w:left="132"/>
                    <w:rPr>
                      <w:rFonts w:eastAsia="Times New Roman"/>
                      <w:color w:val="auto"/>
                      <w:szCs w:val="21"/>
                    </w:rPr>
                  </w:pPr>
                  <w:r>
                    <w:rPr>
                      <w:rFonts w:eastAsia="Times New Roman"/>
                      <w:color w:val="auto"/>
                      <w:spacing w:val="-9"/>
                      <w:szCs w:val="21"/>
                    </w:rPr>
                    <w:t>1</w:t>
                  </w:r>
                  <w:r>
                    <w:rPr>
                      <w:rFonts w:eastAsia="Times New Roman"/>
                      <w:color w:val="auto"/>
                      <w:spacing w:val="-7"/>
                      <w:szCs w:val="21"/>
                    </w:rPr>
                    <w:t>1</w:t>
                  </w:r>
                </w:p>
              </w:tc>
              <w:tc>
                <w:tcPr>
                  <w:tcW w:w="2326" w:type="dxa"/>
                  <w:noWrap w:val="0"/>
                  <w:vAlign w:val="center"/>
                </w:tcPr>
                <w:p w14:paraId="06AB00F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婴儿培养箱</w:t>
                  </w:r>
                </w:p>
              </w:tc>
              <w:tc>
                <w:tcPr>
                  <w:tcW w:w="2521" w:type="dxa"/>
                  <w:noWrap w:val="0"/>
                  <w:vAlign w:val="center"/>
                </w:tcPr>
                <w:p w14:paraId="72B37BB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YP-100B</w:t>
                  </w:r>
                </w:p>
              </w:tc>
              <w:tc>
                <w:tcPr>
                  <w:tcW w:w="1266" w:type="dxa"/>
                  <w:noWrap w:val="0"/>
                  <w:vAlign w:val="top"/>
                </w:tcPr>
                <w:p w14:paraId="5637AC5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274DF07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1C7935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716E1733">
                  <w:pPr>
                    <w:spacing w:before="89" w:line="187" w:lineRule="auto"/>
                    <w:ind w:left="132"/>
                    <w:rPr>
                      <w:rFonts w:eastAsia="Times New Roman"/>
                      <w:color w:val="auto"/>
                      <w:szCs w:val="21"/>
                    </w:rPr>
                  </w:pPr>
                  <w:r>
                    <w:rPr>
                      <w:rFonts w:eastAsia="Times New Roman"/>
                      <w:color w:val="auto"/>
                      <w:spacing w:val="-6"/>
                      <w:szCs w:val="21"/>
                    </w:rPr>
                    <w:t>12</w:t>
                  </w:r>
                </w:p>
              </w:tc>
              <w:tc>
                <w:tcPr>
                  <w:tcW w:w="2326" w:type="dxa"/>
                  <w:noWrap w:val="0"/>
                  <w:vAlign w:val="center"/>
                </w:tcPr>
                <w:p w14:paraId="735EAF21">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婴儿辐射保暖台</w:t>
                  </w:r>
                </w:p>
              </w:tc>
              <w:tc>
                <w:tcPr>
                  <w:tcW w:w="2521" w:type="dxa"/>
                  <w:noWrap w:val="0"/>
                  <w:vAlign w:val="center"/>
                </w:tcPr>
                <w:p w14:paraId="449CE79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HKN-90</w:t>
                  </w:r>
                </w:p>
              </w:tc>
              <w:tc>
                <w:tcPr>
                  <w:tcW w:w="1266" w:type="dxa"/>
                  <w:noWrap w:val="0"/>
                  <w:vAlign w:val="top"/>
                </w:tcPr>
                <w:p w14:paraId="236F2C2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39364C4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0141E5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2D79381D">
                  <w:pPr>
                    <w:spacing w:before="89" w:line="187" w:lineRule="auto"/>
                    <w:ind w:left="132"/>
                    <w:rPr>
                      <w:rFonts w:eastAsia="Times New Roman"/>
                      <w:color w:val="auto"/>
                      <w:szCs w:val="21"/>
                    </w:rPr>
                  </w:pPr>
                  <w:r>
                    <w:rPr>
                      <w:rFonts w:eastAsia="Times New Roman"/>
                      <w:color w:val="auto"/>
                      <w:spacing w:val="-6"/>
                      <w:szCs w:val="21"/>
                    </w:rPr>
                    <w:t>13</w:t>
                  </w:r>
                </w:p>
              </w:tc>
              <w:tc>
                <w:tcPr>
                  <w:tcW w:w="2326" w:type="dxa"/>
                  <w:noWrap w:val="0"/>
                  <w:vAlign w:val="center"/>
                </w:tcPr>
                <w:p w14:paraId="484BA9B1">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多参数监护仪</w:t>
                  </w:r>
                </w:p>
              </w:tc>
              <w:tc>
                <w:tcPr>
                  <w:tcW w:w="2521" w:type="dxa"/>
                  <w:noWrap w:val="0"/>
                  <w:vAlign w:val="center"/>
                </w:tcPr>
                <w:p w14:paraId="2A4AED9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PC-500B</w:t>
                  </w:r>
                </w:p>
              </w:tc>
              <w:tc>
                <w:tcPr>
                  <w:tcW w:w="1266" w:type="dxa"/>
                  <w:noWrap w:val="0"/>
                  <w:vAlign w:val="top"/>
                </w:tcPr>
                <w:p w14:paraId="77B69B88">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4829BD8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4</w:t>
                  </w:r>
                </w:p>
              </w:tc>
            </w:tr>
            <w:tr w14:paraId="7E5530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209000FD">
                  <w:pPr>
                    <w:spacing w:before="89" w:line="187" w:lineRule="auto"/>
                    <w:ind w:left="132"/>
                    <w:rPr>
                      <w:rFonts w:eastAsia="Times New Roman"/>
                      <w:color w:val="auto"/>
                      <w:szCs w:val="21"/>
                    </w:rPr>
                  </w:pPr>
                  <w:r>
                    <w:rPr>
                      <w:rFonts w:eastAsia="Times New Roman"/>
                      <w:color w:val="auto"/>
                      <w:spacing w:val="-6"/>
                      <w:szCs w:val="21"/>
                    </w:rPr>
                    <w:t>14</w:t>
                  </w:r>
                </w:p>
              </w:tc>
              <w:tc>
                <w:tcPr>
                  <w:tcW w:w="2326" w:type="dxa"/>
                  <w:noWrap w:val="0"/>
                  <w:vAlign w:val="center"/>
                </w:tcPr>
                <w:p w14:paraId="3820549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B超超声诊断仪</w:t>
                  </w:r>
                </w:p>
              </w:tc>
              <w:tc>
                <w:tcPr>
                  <w:tcW w:w="2521" w:type="dxa"/>
                  <w:noWrap w:val="0"/>
                  <w:vAlign w:val="center"/>
                </w:tcPr>
                <w:p w14:paraId="75B9BE8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LOGZQD50</w:t>
                  </w:r>
                </w:p>
              </w:tc>
              <w:tc>
                <w:tcPr>
                  <w:tcW w:w="1266" w:type="dxa"/>
                  <w:noWrap w:val="0"/>
                  <w:vAlign w:val="top"/>
                </w:tcPr>
                <w:p w14:paraId="60E95A5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4A81297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7AA12A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1302178D">
                  <w:pPr>
                    <w:spacing w:before="92" w:line="187" w:lineRule="auto"/>
                    <w:ind w:left="132"/>
                    <w:rPr>
                      <w:rFonts w:eastAsia="Times New Roman"/>
                      <w:color w:val="auto"/>
                      <w:szCs w:val="21"/>
                    </w:rPr>
                  </w:pPr>
                  <w:r>
                    <w:rPr>
                      <w:rFonts w:eastAsia="Times New Roman"/>
                      <w:color w:val="auto"/>
                      <w:spacing w:val="-6"/>
                      <w:szCs w:val="21"/>
                    </w:rPr>
                    <w:t>15</w:t>
                  </w:r>
                </w:p>
              </w:tc>
              <w:tc>
                <w:tcPr>
                  <w:tcW w:w="2326" w:type="dxa"/>
                  <w:noWrap w:val="0"/>
                  <w:vAlign w:val="center"/>
                </w:tcPr>
                <w:p w14:paraId="661060A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全自动血细胞分析</w:t>
                  </w:r>
                </w:p>
              </w:tc>
              <w:tc>
                <w:tcPr>
                  <w:tcW w:w="2521" w:type="dxa"/>
                  <w:noWrap w:val="0"/>
                  <w:vAlign w:val="center"/>
                </w:tcPr>
                <w:p w14:paraId="60380EF8">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RT-7200</w:t>
                  </w:r>
                </w:p>
              </w:tc>
              <w:tc>
                <w:tcPr>
                  <w:tcW w:w="1266" w:type="dxa"/>
                  <w:noWrap w:val="0"/>
                  <w:vAlign w:val="top"/>
                </w:tcPr>
                <w:p w14:paraId="0D8C9E0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45D61FF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4C4159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3479F18B">
                  <w:pPr>
                    <w:spacing w:before="90" w:line="187" w:lineRule="auto"/>
                    <w:ind w:left="132"/>
                    <w:rPr>
                      <w:rFonts w:eastAsia="Times New Roman"/>
                      <w:color w:val="auto"/>
                      <w:szCs w:val="21"/>
                    </w:rPr>
                  </w:pPr>
                  <w:r>
                    <w:rPr>
                      <w:rFonts w:eastAsia="Times New Roman"/>
                      <w:color w:val="auto"/>
                      <w:spacing w:val="-6"/>
                      <w:szCs w:val="21"/>
                    </w:rPr>
                    <w:t>16</w:t>
                  </w:r>
                </w:p>
              </w:tc>
              <w:tc>
                <w:tcPr>
                  <w:tcW w:w="2326" w:type="dxa"/>
                  <w:noWrap w:val="0"/>
                  <w:vAlign w:val="center"/>
                </w:tcPr>
                <w:p w14:paraId="52FF57F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半自动生化仪</w:t>
                  </w:r>
                </w:p>
              </w:tc>
              <w:tc>
                <w:tcPr>
                  <w:tcW w:w="2521" w:type="dxa"/>
                  <w:noWrap w:val="0"/>
                  <w:vAlign w:val="center"/>
                </w:tcPr>
                <w:p w14:paraId="2B552DC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CA-958D</w:t>
                  </w:r>
                </w:p>
              </w:tc>
              <w:tc>
                <w:tcPr>
                  <w:tcW w:w="1266" w:type="dxa"/>
                  <w:noWrap w:val="0"/>
                  <w:vAlign w:val="top"/>
                </w:tcPr>
                <w:p w14:paraId="405D0AF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67DB5FD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48CB86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1CC91802">
                  <w:pPr>
                    <w:spacing w:before="89" w:line="187" w:lineRule="auto"/>
                    <w:ind w:left="132"/>
                    <w:rPr>
                      <w:rFonts w:eastAsia="Times New Roman"/>
                      <w:color w:val="auto"/>
                      <w:szCs w:val="21"/>
                    </w:rPr>
                  </w:pPr>
                  <w:r>
                    <w:rPr>
                      <w:rFonts w:eastAsia="Times New Roman"/>
                      <w:color w:val="auto"/>
                      <w:spacing w:val="-6"/>
                      <w:szCs w:val="21"/>
                    </w:rPr>
                    <w:t>17</w:t>
                  </w:r>
                </w:p>
              </w:tc>
              <w:tc>
                <w:tcPr>
                  <w:tcW w:w="2326" w:type="dxa"/>
                  <w:noWrap w:val="0"/>
                  <w:vAlign w:val="center"/>
                </w:tcPr>
                <w:p w14:paraId="719C0A0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液基</w:t>
                  </w:r>
                  <w:r>
                    <w:rPr>
                      <w:rFonts w:hint="eastAsia" w:eastAsia="宋体" w:cs="Times New Roman"/>
                      <w:color w:val="auto"/>
                      <w:szCs w:val="21"/>
                      <w:lang w:eastAsia="zh-CN"/>
                    </w:rPr>
                    <w:t>薄层</w:t>
                  </w:r>
                  <w:r>
                    <w:rPr>
                      <w:rFonts w:hint="default" w:ascii="Times New Roman" w:hAnsi="Times New Roman" w:eastAsia="Times New Roman" w:cs="Times New Roman"/>
                      <w:color w:val="auto"/>
                      <w:szCs w:val="21"/>
                    </w:rPr>
                    <w:t>细胞制片机</w:t>
                  </w:r>
                </w:p>
              </w:tc>
              <w:tc>
                <w:tcPr>
                  <w:tcW w:w="2521" w:type="dxa"/>
                  <w:noWrap w:val="0"/>
                  <w:vAlign w:val="center"/>
                </w:tcPr>
                <w:p w14:paraId="465E32D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MCT-2000</w:t>
                  </w:r>
                </w:p>
              </w:tc>
              <w:tc>
                <w:tcPr>
                  <w:tcW w:w="1266" w:type="dxa"/>
                  <w:noWrap w:val="0"/>
                  <w:vAlign w:val="top"/>
                </w:tcPr>
                <w:p w14:paraId="1F2390D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7B0881F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6A769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6F3F3698">
                  <w:pPr>
                    <w:spacing w:before="90" w:line="187" w:lineRule="auto"/>
                    <w:ind w:left="132"/>
                    <w:rPr>
                      <w:rFonts w:eastAsia="Times New Roman"/>
                      <w:color w:val="auto"/>
                      <w:szCs w:val="21"/>
                    </w:rPr>
                  </w:pPr>
                  <w:r>
                    <w:rPr>
                      <w:rFonts w:eastAsia="Times New Roman"/>
                      <w:color w:val="auto"/>
                      <w:spacing w:val="-6"/>
                      <w:szCs w:val="21"/>
                    </w:rPr>
                    <w:t>18</w:t>
                  </w:r>
                </w:p>
              </w:tc>
              <w:tc>
                <w:tcPr>
                  <w:tcW w:w="2326" w:type="dxa"/>
                  <w:noWrap w:val="0"/>
                  <w:vAlign w:val="center"/>
                </w:tcPr>
                <w:p w14:paraId="62A53CA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超声多普勒胎儿监护仪</w:t>
                  </w:r>
                </w:p>
              </w:tc>
              <w:tc>
                <w:tcPr>
                  <w:tcW w:w="2521" w:type="dxa"/>
                  <w:noWrap w:val="0"/>
                  <w:vAlign w:val="center"/>
                </w:tcPr>
                <w:p w14:paraId="0A01C679">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CADEIYCE</w:t>
                  </w:r>
                </w:p>
              </w:tc>
              <w:tc>
                <w:tcPr>
                  <w:tcW w:w="1266" w:type="dxa"/>
                  <w:noWrap w:val="0"/>
                  <w:vAlign w:val="top"/>
                </w:tcPr>
                <w:p w14:paraId="58A7DBC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796B721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6CE3E4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407B054A">
                  <w:pPr>
                    <w:spacing w:before="91" w:line="187" w:lineRule="auto"/>
                    <w:ind w:left="132"/>
                    <w:rPr>
                      <w:rFonts w:eastAsia="Times New Roman"/>
                      <w:color w:val="auto"/>
                      <w:szCs w:val="21"/>
                    </w:rPr>
                  </w:pPr>
                  <w:r>
                    <w:rPr>
                      <w:rFonts w:eastAsia="Times New Roman"/>
                      <w:color w:val="auto"/>
                      <w:spacing w:val="-6"/>
                      <w:szCs w:val="21"/>
                    </w:rPr>
                    <w:t>19</w:t>
                  </w:r>
                </w:p>
              </w:tc>
              <w:tc>
                <w:tcPr>
                  <w:tcW w:w="2326" w:type="dxa"/>
                  <w:noWrap w:val="0"/>
                  <w:vAlign w:val="center"/>
                </w:tcPr>
                <w:p w14:paraId="68A7CAB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不孕症诊断治疗仪</w:t>
                  </w:r>
                </w:p>
              </w:tc>
              <w:tc>
                <w:tcPr>
                  <w:tcW w:w="2521" w:type="dxa"/>
                  <w:noWrap w:val="0"/>
                  <w:vAlign w:val="center"/>
                </w:tcPr>
                <w:p w14:paraId="5E983EF0">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ZLF-B</w:t>
                  </w:r>
                </w:p>
              </w:tc>
              <w:tc>
                <w:tcPr>
                  <w:tcW w:w="1266" w:type="dxa"/>
                  <w:noWrap w:val="0"/>
                  <w:vAlign w:val="top"/>
                </w:tcPr>
                <w:p w14:paraId="0EAC961F">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86A75E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3D3AE2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jc w:val="center"/>
              </w:trPr>
              <w:tc>
                <w:tcPr>
                  <w:tcW w:w="535" w:type="dxa"/>
                  <w:noWrap w:val="0"/>
                  <w:vAlign w:val="top"/>
                </w:tcPr>
                <w:p w14:paraId="48CBEA0E">
                  <w:pPr>
                    <w:spacing w:before="91" w:line="187" w:lineRule="auto"/>
                    <w:ind w:left="112"/>
                    <w:rPr>
                      <w:rFonts w:eastAsia="Times New Roman"/>
                      <w:color w:val="auto"/>
                      <w:szCs w:val="21"/>
                    </w:rPr>
                  </w:pPr>
                  <w:r>
                    <w:rPr>
                      <w:rFonts w:eastAsia="Times New Roman"/>
                      <w:color w:val="auto"/>
                      <w:spacing w:val="-1"/>
                      <w:szCs w:val="21"/>
                    </w:rPr>
                    <w:t>20</w:t>
                  </w:r>
                </w:p>
              </w:tc>
              <w:tc>
                <w:tcPr>
                  <w:tcW w:w="2326" w:type="dxa"/>
                  <w:noWrap w:val="0"/>
                  <w:vAlign w:val="center"/>
                </w:tcPr>
                <w:p w14:paraId="54D4037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微波多功能治疗机</w:t>
                  </w:r>
                </w:p>
              </w:tc>
              <w:tc>
                <w:tcPr>
                  <w:tcW w:w="2521" w:type="dxa"/>
                  <w:noWrap w:val="0"/>
                  <w:vAlign w:val="center"/>
                </w:tcPr>
                <w:p w14:paraId="3751931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ZW-1001F</w:t>
                  </w:r>
                </w:p>
              </w:tc>
              <w:tc>
                <w:tcPr>
                  <w:tcW w:w="1266" w:type="dxa"/>
                  <w:noWrap w:val="0"/>
                  <w:vAlign w:val="top"/>
                </w:tcPr>
                <w:p w14:paraId="51F0528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48EA8961">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0059CB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jc w:val="center"/>
              </w:trPr>
              <w:tc>
                <w:tcPr>
                  <w:tcW w:w="535" w:type="dxa"/>
                  <w:noWrap w:val="0"/>
                  <w:vAlign w:val="top"/>
                </w:tcPr>
                <w:p w14:paraId="32C070C1">
                  <w:pPr>
                    <w:spacing w:before="93" w:line="187" w:lineRule="auto"/>
                    <w:ind w:left="112"/>
                    <w:rPr>
                      <w:rFonts w:eastAsia="Times New Roman"/>
                      <w:color w:val="auto"/>
                      <w:szCs w:val="21"/>
                    </w:rPr>
                  </w:pPr>
                  <w:r>
                    <w:rPr>
                      <w:rFonts w:eastAsia="Times New Roman"/>
                      <w:color w:val="auto"/>
                      <w:spacing w:val="-1"/>
                      <w:szCs w:val="21"/>
                    </w:rPr>
                    <w:t>21</w:t>
                  </w:r>
                </w:p>
              </w:tc>
              <w:tc>
                <w:tcPr>
                  <w:tcW w:w="2326" w:type="dxa"/>
                  <w:noWrap w:val="0"/>
                  <w:vAlign w:val="center"/>
                </w:tcPr>
                <w:p w14:paraId="114EE44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综合治疗仪</w:t>
                  </w:r>
                </w:p>
              </w:tc>
              <w:tc>
                <w:tcPr>
                  <w:tcW w:w="2521" w:type="dxa"/>
                  <w:noWrap w:val="0"/>
                  <w:vAlign w:val="center"/>
                </w:tcPr>
                <w:p w14:paraId="3EF0CA29">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HBC-2000</w:t>
                  </w:r>
                </w:p>
              </w:tc>
              <w:tc>
                <w:tcPr>
                  <w:tcW w:w="1266" w:type="dxa"/>
                  <w:noWrap w:val="0"/>
                  <w:vAlign w:val="top"/>
                </w:tcPr>
                <w:p w14:paraId="0AE2BEC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728E1E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7687B9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6" w:hRule="atLeast"/>
                <w:jc w:val="center"/>
              </w:trPr>
              <w:tc>
                <w:tcPr>
                  <w:tcW w:w="535" w:type="dxa"/>
                  <w:noWrap w:val="0"/>
                  <w:vAlign w:val="top"/>
                </w:tcPr>
                <w:p w14:paraId="23F0CBF4">
                  <w:pPr>
                    <w:spacing w:before="91" w:line="187" w:lineRule="auto"/>
                    <w:ind w:left="112"/>
                    <w:rPr>
                      <w:rFonts w:eastAsia="Times New Roman"/>
                      <w:color w:val="auto"/>
                      <w:szCs w:val="21"/>
                    </w:rPr>
                  </w:pPr>
                  <w:r>
                    <w:rPr>
                      <w:rFonts w:eastAsia="Times New Roman"/>
                      <w:color w:val="auto"/>
                      <w:spacing w:val="-1"/>
                      <w:szCs w:val="21"/>
                    </w:rPr>
                    <w:t>22</w:t>
                  </w:r>
                </w:p>
              </w:tc>
              <w:tc>
                <w:tcPr>
                  <w:tcW w:w="2326" w:type="dxa"/>
                  <w:noWrap w:val="0"/>
                  <w:vAlign w:val="center"/>
                </w:tcPr>
                <w:p w14:paraId="1074DBE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手术无影灯</w:t>
                  </w:r>
                </w:p>
              </w:tc>
              <w:tc>
                <w:tcPr>
                  <w:tcW w:w="2521" w:type="dxa"/>
                  <w:noWrap w:val="0"/>
                  <w:vAlign w:val="center"/>
                </w:tcPr>
                <w:p w14:paraId="13A1E14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KSIZL</w:t>
                  </w:r>
                </w:p>
              </w:tc>
              <w:tc>
                <w:tcPr>
                  <w:tcW w:w="1266" w:type="dxa"/>
                  <w:noWrap w:val="0"/>
                  <w:vAlign w:val="top"/>
                </w:tcPr>
                <w:p w14:paraId="55A84155">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7D5ACD4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3ECBB2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3F37F99B">
                  <w:pPr>
                    <w:spacing w:before="91" w:line="187" w:lineRule="auto"/>
                    <w:ind w:left="112"/>
                    <w:rPr>
                      <w:rFonts w:eastAsia="Times New Roman"/>
                      <w:color w:val="auto"/>
                      <w:szCs w:val="21"/>
                    </w:rPr>
                  </w:pPr>
                  <w:r>
                    <w:rPr>
                      <w:rFonts w:eastAsia="Times New Roman"/>
                      <w:color w:val="auto"/>
                      <w:spacing w:val="-1"/>
                      <w:szCs w:val="21"/>
                    </w:rPr>
                    <w:t>23</w:t>
                  </w:r>
                </w:p>
              </w:tc>
              <w:tc>
                <w:tcPr>
                  <w:tcW w:w="2326" w:type="dxa"/>
                  <w:noWrap w:val="0"/>
                  <w:vAlign w:val="center"/>
                </w:tcPr>
                <w:p w14:paraId="3F7288E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麻醉机</w:t>
                  </w:r>
                </w:p>
              </w:tc>
              <w:tc>
                <w:tcPr>
                  <w:tcW w:w="2521" w:type="dxa"/>
                  <w:noWrap w:val="0"/>
                  <w:vAlign w:val="center"/>
                </w:tcPr>
                <w:p w14:paraId="26518E3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RE902-C</w:t>
                  </w:r>
                </w:p>
              </w:tc>
              <w:tc>
                <w:tcPr>
                  <w:tcW w:w="1266" w:type="dxa"/>
                  <w:noWrap w:val="0"/>
                  <w:vAlign w:val="top"/>
                </w:tcPr>
                <w:p w14:paraId="10D1697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26FCECC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77B108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jc w:val="center"/>
              </w:trPr>
              <w:tc>
                <w:tcPr>
                  <w:tcW w:w="535" w:type="dxa"/>
                  <w:noWrap w:val="0"/>
                  <w:vAlign w:val="top"/>
                </w:tcPr>
                <w:p w14:paraId="784CDC78">
                  <w:pPr>
                    <w:spacing w:before="92" w:line="187" w:lineRule="auto"/>
                    <w:ind w:left="112"/>
                    <w:rPr>
                      <w:rFonts w:eastAsia="Times New Roman"/>
                      <w:color w:val="auto"/>
                      <w:szCs w:val="21"/>
                    </w:rPr>
                  </w:pPr>
                  <w:r>
                    <w:rPr>
                      <w:rFonts w:eastAsia="Times New Roman"/>
                      <w:color w:val="auto"/>
                      <w:spacing w:val="-1"/>
                      <w:szCs w:val="21"/>
                    </w:rPr>
                    <w:t>24</w:t>
                  </w:r>
                </w:p>
              </w:tc>
              <w:tc>
                <w:tcPr>
                  <w:tcW w:w="2326" w:type="dxa"/>
                  <w:noWrap w:val="0"/>
                  <w:vAlign w:val="center"/>
                </w:tcPr>
                <w:p w14:paraId="4FE0D6E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立式灭菌器</w:t>
                  </w:r>
                </w:p>
              </w:tc>
              <w:tc>
                <w:tcPr>
                  <w:tcW w:w="2521" w:type="dxa"/>
                  <w:noWrap w:val="0"/>
                  <w:vAlign w:val="center"/>
                </w:tcPr>
                <w:p w14:paraId="11B69301">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R06006</w:t>
                  </w:r>
                </w:p>
              </w:tc>
              <w:tc>
                <w:tcPr>
                  <w:tcW w:w="1266" w:type="dxa"/>
                  <w:noWrap w:val="0"/>
                  <w:vAlign w:val="top"/>
                </w:tcPr>
                <w:p w14:paraId="209C702D">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6674414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1FF82E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27634DFB">
                  <w:pPr>
                    <w:spacing w:before="92" w:line="187" w:lineRule="auto"/>
                    <w:ind w:left="112"/>
                    <w:rPr>
                      <w:rFonts w:eastAsia="Times New Roman"/>
                      <w:color w:val="auto"/>
                      <w:szCs w:val="21"/>
                    </w:rPr>
                  </w:pPr>
                  <w:r>
                    <w:rPr>
                      <w:rFonts w:eastAsia="Times New Roman"/>
                      <w:color w:val="auto"/>
                      <w:spacing w:val="-1"/>
                      <w:szCs w:val="21"/>
                    </w:rPr>
                    <w:t>25</w:t>
                  </w:r>
                </w:p>
              </w:tc>
              <w:tc>
                <w:tcPr>
                  <w:tcW w:w="2326" w:type="dxa"/>
                  <w:noWrap w:val="0"/>
                  <w:vAlign w:val="center"/>
                </w:tcPr>
                <w:p w14:paraId="1B7A427B">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数字化心电图</w:t>
                  </w:r>
                </w:p>
              </w:tc>
              <w:tc>
                <w:tcPr>
                  <w:tcW w:w="2521" w:type="dxa"/>
                  <w:noWrap w:val="0"/>
                  <w:vAlign w:val="center"/>
                </w:tcPr>
                <w:p w14:paraId="32EB1E8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ECG-2212B</w:t>
                  </w:r>
                </w:p>
              </w:tc>
              <w:tc>
                <w:tcPr>
                  <w:tcW w:w="1266" w:type="dxa"/>
                  <w:noWrap w:val="0"/>
                  <w:vAlign w:val="top"/>
                </w:tcPr>
                <w:p w14:paraId="11D216B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6909A5CA">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3B257D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5CB60CB5">
                  <w:pPr>
                    <w:spacing w:before="88" w:line="187" w:lineRule="auto"/>
                    <w:ind w:left="112"/>
                    <w:rPr>
                      <w:rFonts w:eastAsia="Times New Roman"/>
                      <w:color w:val="auto"/>
                      <w:spacing w:val="-1"/>
                      <w:szCs w:val="21"/>
                    </w:rPr>
                  </w:pPr>
                  <w:r>
                    <w:rPr>
                      <w:rFonts w:eastAsia="Times New Roman"/>
                      <w:color w:val="auto"/>
                      <w:spacing w:val="-1"/>
                      <w:szCs w:val="21"/>
                    </w:rPr>
                    <w:t>26</w:t>
                  </w:r>
                </w:p>
              </w:tc>
              <w:tc>
                <w:tcPr>
                  <w:tcW w:w="2326" w:type="dxa"/>
                  <w:noWrap w:val="0"/>
                  <w:vAlign w:val="center"/>
                </w:tcPr>
                <w:p w14:paraId="701D6C6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立式压力蒸汽灭菌器</w:t>
                  </w:r>
                </w:p>
              </w:tc>
              <w:tc>
                <w:tcPr>
                  <w:tcW w:w="2521" w:type="dxa"/>
                  <w:noWrap w:val="0"/>
                  <w:vAlign w:val="center"/>
                </w:tcPr>
                <w:p w14:paraId="7D6A67B1">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R11089</w:t>
                  </w:r>
                </w:p>
              </w:tc>
              <w:tc>
                <w:tcPr>
                  <w:tcW w:w="1266" w:type="dxa"/>
                  <w:noWrap w:val="0"/>
                  <w:vAlign w:val="top"/>
                </w:tcPr>
                <w:p w14:paraId="166C119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0A49EDE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2</w:t>
                  </w:r>
                </w:p>
              </w:tc>
            </w:tr>
            <w:tr w14:paraId="7FF83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749C7339">
                  <w:pPr>
                    <w:spacing w:before="87" w:line="187" w:lineRule="auto"/>
                    <w:ind w:left="112"/>
                    <w:rPr>
                      <w:rFonts w:eastAsia="Times New Roman"/>
                      <w:color w:val="auto"/>
                      <w:spacing w:val="-1"/>
                      <w:szCs w:val="21"/>
                    </w:rPr>
                  </w:pPr>
                  <w:r>
                    <w:rPr>
                      <w:rFonts w:eastAsia="Times New Roman"/>
                      <w:color w:val="auto"/>
                      <w:spacing w:val="-1"/>
                      <w:szCs w:val="21"/>
                    </w:rPr>
                    <w:t>27</w:t>
                  </w:r>
                </w:p>
              </w:tc>
              <w:tc>
                <w:tcPr>
                  <w:tcW w:w="2326" w:type="dxa"/>
                  <w:noWrap w:val="0"/>
                  <w:vAlign w:val="center"/>
                </w:tcPr>
                <w:p w14:paraId="7769CC23">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冷光手术无影灯</w:t>
                  </w:r>
                </w:p>
              </w:tc>
              <w:tc>
                <w:tcPr>
                  <w:tcW w:w="2521" w:type="dxa"/>
                  <w:noWrap w:val="0"/>
                  <w:vAlign w:val="center"/>
                </w:tcPr>
                <w:p w14:paraId="46D9BF44">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IF6201620</w:t>
                  </w:r>
                </w:p>
              </w:tc>
              <w:tc>
                <w:tcPr>
                  <w:tcW w:w="1266" w:type="dxa"/>
                  <w:noWrap w:val="0"/>
                  <w:vAlign w:val="top"/>
                </w:tcPr>
                <w:p w14:paraId="42523FDC">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77707A32">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r w14:paraId="168956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535" w:type="dxa"/>
                  <w:noWrap w:val="0"/>
                  <w:vAlign w:val="top"/>
                </w:tcPr>
                <w:p w14:paraId="4F954803">
                  <w:pPr>
                    <w:spacing w:before="90" w:line="187" w:lineRule="auto"/>
                    <w:ind w:left="112"/>
                    <w:rPr>
                      <w:rFonts w:eastAsia="Times New Roman"/>
                      <w:color w:val="auto"/>
                      <w:spacing w:val="-1"/>
                      <w:szCs w:val="21"/>
                    </w:rPr>
                  </w:pPr>
                  <w:r>
                    <w:rPr>
                      <w:rFonts w:eastAsia="Times New Roman"/>
                      <w:color w:val="auto"/>
                      <w:spacing w:val="-1"/>
                      <w:szCs w:val="21"/>
                    </w:rPr>
                    <w:t>28</w:t>
                  </w:r>
                </w:p>
              </w:tc>
              <w:tc>
                <w:tcPr>
                  <w:tcW w:w="2326" w:type="dxa"/>
                  <w:noWrap w:val="0"/>
                  <w:vAlign w:val="center"/>
                </w:tcPr>
                <w:p w14:paraId="127DAD27">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经颅多普勒血流分析仪</w:t>
                  </w:r>
                </w:p>
              </w:tc>
              <w:tc>
                <w:tcPr>
                  <w:tcW w:w="2521" w:type="dxa"/>
                  <w:noWrap w:val="0"/>
                  <w:vAlign w:val="center"/>
                </w:tcPr>
                <w:p w14:paraId="3443638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RAC-050</w:t>
                  </w:r>
                </w:p>
              </w:tc>
              <w:tc>
                <w:tcPr>
                  <w:tcW w:w="1266" w:type="dxa"/>
                  <w:noWrap w:val="0"/>
                  <w:vAlign w:val="top"/>
                </w:tcPr>
                <w:p w14:paraId="473182F6">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台</w:t>
                  </w:r>
                </w:p>
              </w:tc>
              <w:tc>
                <w:tcPr>
                  <w:tcW w:w="1205" w:type="dxa"/>
                  <w:noWrap w:val="0"/>
                  <w:vAlign w:val="center"/>
                </w:tcPr>
                <w:p w14:paraId="5ACFED5E">
                  <w:pPr>
                    <w:spacing w:before="59" w:line="220" w:lineRule="auto"/>
                    <w:ind w:left="111" w:leftChars="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Cs w:val="21"/>
                    </w:rPr>
                    <w:t>1</w:t>
                  </w:r>
                </w:p>
              </w:tc>
            </w:tr>
          </w:tbl>
          <w:p w14:paraId="1789CF89">
            <w:pPr>
              <w:pStyle w:val="21"/>
              <w:rPr>
                <w:b/>
                <w:color w:val="auto"/>
                <w:sz w:val="24"/>
              </w:rPr>
            </w:pPr>
          </w:p>
          <w:p w14:paraId="22A48860">
            <w:pPr>
              <w:pStyle w:val="48"/>
              <w:spacing w:line="360" w:lineRule="auto"/>
              <w:ind w:firstLine="482" w:firstLineChars="200"/>
              <w:rPr>
                <w:b/>
                <w:bCs/>
                <w:color w:val="auto"/>
                <w:sz w:val="24"/>
              </w:rPr>
            </w:pPr>
            <w:r>
              <w:rPr>
                <w:b/>
                <w:bCs/>
                <w:color w:val="auto"/>
                <w:sz w:val="24"/>
              </w:rPr>
              <w:t>3）现有项目劳动定员及工作制度</w:t>
            </w:r>
          </w:p>
          <w:p w14:paraId="20814A3B">
            <w:pPr>
              <w:spacing w:line="360" w:lineRule="auto"/>
              <w:ind w:firstLine="480" w:firstLineChars="200"/>
              <w:rPr>
                <w:b/>
                <w:bCs/>
                <w:color w:val="auto"/>
                <w:sz w:val="24"/>
              </w:rPr>
            </w:pPr>
            <w:r>
              <w:rPr>
                <w:color w:val="auto"/>
                <w:sz w:val="24"/>
              </w:rPr>
              <w:t>劳动定员：现有项目劳动定员约</w:t>
            </w:r>
            <w:r>
              <w:rPr>
                <w:rFonts w:hint="eastAsia"/>
                <w:color w:val="auto"/>
                <w:sz w:val="24"/>
                <w:lang w:val="en-US" w:eastAsia="zh-CN"/>
              </w:rPr>
              <w:t>7</w:t>
            </w:r>
            <w:r>
              <w:rPr>
                <w:color w:val="auto"/>
                <w:sz w:val="24"/>
              </w:rPr>
              <w:t>0人，工作制度：管理人员和后勤人员实行一班制，医护人员实行三班轮换制，年工作365天。</w:t>
            </w:r>
          </w:p>
          <w:p w14:paraId="1E829E0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color w:val="auto"/>
                <w:sz w:val="24"/>
              </w:rPr>
            </w:pPr>
            <w:r>
              <w:rPr>
                <w:rFonts w:hint="eastAsia"/>
                <w:b/>
                <w:bCs/>
                <w:color w:val="auto"/>
                <w:sz w:val="24"/>
                <w:lang w:val="en-US" w:eastAsia="zh-CN"/>
              </w:rPr>
              <w:t>4</w:t>
            </w:r>
            <w:r>
              <w:rPr>
                <w:b/>
                <w:bCs/>
                <w:color w:val="auto"/>
                <w:sz w:val="24"/>
              </w:rPr>
              <w:t>）</w:t>
            </w:r>
            <w:r>
              <w:rPr>
                <w:rFonts w:hint="eastAsia"/>
                <w:b/>
                <w:bCs/>
                <w:color w:val="auto"/>
                <w:sz w:val="24"/>
                <w:lang w:val="en-US" w:eastAsia="zh-CN"/>
              </w:rPr>
              <w:t>现有</w:t>
            </w:r>
            <w:r>
              <w:rPr>
                <w:b/>
                <w:bCs/>
                <w:color w:val="auto"/>
                <w:sz w:val="24"/>
              </w:rPr>
              <w:t>项目</w:t>
            </w:r>
            <w:r>
              <w:rPr>
                <w:b/>
                <w:color w:val="auto"/>
                <w:sz w:val="24"/>
              </w:rPr>
              <w:t>原辅材料用量及理化性质分析</w:t>
            </w:r>
          </w:p>
          <w:p w14:paraId="10A4D3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eastAsia"/>
                <w:color w:val="auto"/>
                <w:sz w:val="24"/>
                <w:lang w:val="en-US" w:eastAsia="zh-CN"/>
              </w:rPr>
              <w:t>现有</w:t>
            </w:r>
            <w:r>
              <w:rPr>
                <w:color w:val="auto"/>
                <w:sz w:val="24"/>
              </w:rPr>
              <w:t>项目原辅材料主要为病床、办公室、治疗室等消毒所用的消毒剂，病人治疗所用药品、医疗器械。主要原辅材料及能源名称及年消耗数量见表2-</w:t>
            </w:r>
            <w:r>
              <w:rPr>
                <w:rFonts w:hint="eastAsia"/>
                <w:color w:val="auto"/>
                <w:sz w:val="24"/>
                <w:lang w:val="en-US" w:eastAsia="zh-CN"/>
              </w:rPr>
              <w:t>13</w:t>
            </w:r>
            <w:r>
              <w:rPr>
                <w:color w:val="auto"/>
                <w:sz w:val="24"/>
              </w:rPr>
              <w:t>。</w:t>
            </w:r>
          </w:p>
          <w:p w14:paraId="54BDA2CA">
            <w:pPr>
              <w:adjustRightInd w:val="0"/>
              <w:snapToGrid w:val="0"/>
              <w:spacing w:before="120" w:beforeLines="50"/>
              <w:jc w:val="center"/>
              <w:rPr>
                <w:b/>
                <w:bCs/>
                <w:color w:val="auto"/>
                <w:sz w:val="24"/>
              </w:rPr>
            </w:pPr>
            <w:r>
              <w:rPr>
                <w:b/>
                <w:bCs/>
                <w:color w:val="auto"/>
                <w:sz w:val="24"/>
              </w:rPr>
              <w:t>表2-</w:t>
            </w:r>
            <w:r>
              <w:rPr>
                <w:rFonts w:hint="eastAsia"/>
                <w:b/>
                <w:bCs/>
                <w:color w:val="auto"/>
                <w:sz w:val="24"/>
                <w:lang w:val="en-US" w:eastAsia="zh-CN"/>
              </w:rPr>
              <w:t>13</w:t>
            </w:r>
            <w:r>
              <w:rPr>
                <w:b/>
                <w:bCs/>
                <w:color w:val="auto"/>
                <w:sz w:val="24"/>
              </w:rPr>
              <w:t>现有项目主要原辅材料消耗情况表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3590"/>
              <w:gridCol w:w="1349"/>
              <w:gridCol w:w="2726"/>
            </w:tblGrid>
            <w:tr w14:paraId="51AE7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noWrap w:val="0"/>
                  <w:vAlign w:val="center"/>
                </w:tcPr>
                <w:p w14:paraId="77AEE121">
                  <w:pPr>
                    <w:jc w:val="center"/>
                    <w:rPr>
                      <w:b/>
                      <w:color w:val="auto"/>
                      <w:szCs w:val="21"/>
                    </w:rPr>
                  </w:pPr>
                  <w:r>
                    <w:rPr>
                      <w:b/>
                      <w:color w:val="auto"/>
                      <w:szCs w:val="21"/>
                    </w:rPr>
                    <w:t>类别</w:t>
                  </w:r>
                </w:p>
              </w:tc>
              <w:tc>
                <w:tcPr>
                  <w:tcW w:w="2007" w:type="pct"/>
                  <w:noWrap w:val="0"/>
                  <w:vAlign w:val="center"/>
                </w:tcPr>
                <w:p w14:paraId="4759A9BF">
                  <w:pPr>
                    <w:jc w:val="center"/>
                    <w:rPr>
                      <w:b/>
                      <w:color w:val="auto"/>
                      <w:szCs w:val="21"/>
                    </w:rPr>
                  </w:pPr>
                  <w:r>
                    <w:rPr>
                      <w:b/>
                      <w:color w:val="auto"/>
                      <w:szCs w:val="21"/>
                    </w:rPr>
                    <w:t>名称</w:t>
                  </w:r>
                </w:p>
              </w:tc>
              <w:tc>
                <w:tcPr>
                  <w:tcW w:w="754" w:type="pct"/>
                  <w:noWrap w:val="0"/>
                  <w:vAlign w:val="center"/>
                </w:tcPr>
                <w:p w14:paraId="3B0AFE55">
                  <w:pPr>
                    <w:jc w:val="center"/>
                    <w:rPr>
                      <w:b/>
                      <w:color w:val="auto"/>
                      <w:szCs w:val="21"/>
                    </w:rPr>
                  </w:pPr>
                  <w:r>
                    <w:rPr>
                      <w:b/>
                      <w:color w:val="auto"/>
                      <w:szCs w:val="21"/>
                    </w:rPr>
                    <w:t>年用量</w:t>
                  </w:r>
                </w:p>
              </w:tc>
              <w:tc>
                <w:tcPr>
                  <w:tcW w:w="1524" w:type="pct"/>
                  <w:noWrap w:val="0"/>
                  <w:vAlign w:val="top"/>
                </w:tcPr>
                <w:p w14:paraId="16735BC5">
                  <w:pPr>
                    <w:jc w:val="center"/>
                    <w:rPr>
                      <w:b/>
                      <w:color w:val="auto"/>
                      <w:szCs w:val="21"/>
                    </w:rPr>
                  </w:pPr>
                  <w:r>
                    <w:rPr>
                      <w:b/>
                      <w:color w:val="auto"/>
                      <w:szCs w:val="21"/>
                    </w:rPr>
                    <w:t>备注</w:t>
                  </w:r>
                </w:p>
              </w:tc>
            </w:tr>
            <w:tr w14:paraId="42F89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25862E06">
                  <w:pPr>
                    <w:jc w:val="center"/>
                    <w:rPr>
                      <w:color w:val="auto"/>
                      <w:szCs w:val="21"/>
                    </w:rPr>
                  </w:pPr>
                  <w:r>
                    <w:rPr>
                      <w:color w:val="auto"/>
                      <w:szCs w:val="21"/>
                    </w:rPr>
                    <w:t>药品</w:t>
                  </w:r>
                </w:p>
              </w:tc>
              <w:tc>
                <w:tcPr>
                  <w:tcW w:w="2007" w:type="pct"/>
                  <w:noWrap w:val="0"/>
                  <w:vAlign w:val="center"/>
                </w:tcPr>
                <w:p w14:paraId="24D3027F">
                  <w:pPr>
                    <w:jc w:val="center"/>
                    <w:rPr>
                      <w:color w:val="auto"/>
                      <w:szCs w:val="21"/>
                    </w:rPr>
                  </w:pPr>
                  <w:r>
                    <w:rPr>
                      <w:color w:val="auto"/>
                      <w:szCs w:val="21"/>
                    </w:rPr>
                    <w:t>针剂药品</w:t>
                  </w:r>
                </w:p>
              </w:tc>
              <w:tc>
                <w:tcPr>
                  <w:tcW w:w="754" w:type="pct"/>
                  <w:noWrap w:val="0"/>
                  <w:vAlign w:val="center"/>
                </w:tcPr>
                <w:p w14:paraId="50A0BECF">
                  <w:pPr>
                    <w:jc w:val="center"/>
                    <w:rPr>
                      <w:color w:val="auto"/>
                      <w:szCs w:val="21"/>
                    </w:rPr>
                  </w:pPr>
                  <w:r>
                    <w:rPr>
                      <w:color w:val="auto"/>
                      <w:szCs w:val="21"/>
                    </w:rPr>
                    <w:t>若干</w:t>
                  </w:r>
                </w:p>
              </w:tc>
              <w:tc>
                <w:tcPr>
                  <w:tcW w:w="1524" w:type="pct"/>
                  <w:noWrap w:val="0"/>
                  <w:vAlign w:val="top"/>
                </w:tcPr>
                <w:p w14:paraId="234F26CF">
                  <w:pPr>
                    <w:jc w:val="center"/>
                    <w:rPr>
                      <w:color w:val="auto"/>
                      <w:szCs w:val="21"/>
                    </w:rPr>
                  </w:pPr>
                  <w:r>
                    <w:rPr>
                      <w:color w:val="auto"/>
                      <w:szCs w:val="21"/>
                    </w:rPr>
                    <w:t>国产</w:t>
                  </w:r>
                </w:p>
              </w:tc>
            </w:tr>
            <w:tr w14:paraId="3E3F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61557239">
                  <w:pPr>
                    <w:jc w:val="center"/>
                    <w:rPr>
                      <w:color w:val="auto"/>
                      <w:szCs w:val="21"/>
                    </w:rPr>
                  </w:pPr>
                </w:p>
              </w:tc>
              <w:tc>
                <w:tcPr>
                  <w:tcW w:w="2007" w:type="pct"/>
                  <w:noWrap w:val="0"/>
                  <w:vAlign w:val="center"/>
                </w:tcPr>
                <w:p w14:paraId="05ED4BE7">
                  <w:pPr>
                    <w:jc w:val="center"/>
                    <w:rPr>
                      <w:color w:val="auto"/>
                      <w:szCs w:val="21"/>
                    </w:rPr>
                  </w:pPr>
                  <w:r>
                    <w:rPr>
                      <w:color w:val="auto"/>
                      <w:szCs w:val="21"/>
                    </w:rPr>
                    <w:t>中药</w:t>
                  </w:r>
                </w:p>
              </w:tc>
              <w:tc>
                <w:tcPr>
                  <w:tcW w:w="754" w:type="pct"/>
                  <w:noWrap w:val="0"/>
                  <w:vAlign w:val="center"/>
                </w:tcPr>
                <w:p w14:paraId="6F5B6E95">
                  <w:pPr>
                    <w:jc w:val="center"/>
                    <w:rPr>
                      <w:color w:val="auto"/>
                      <w:szCs w:val="21"/>
                    </w:rPr>
                  </w:pPr>
                  <w:r>
                    <w:rPr>
                      <w:color w:val="auto"/>
                      <w:szCs w:val="21"/>
                    </w:rPr>
                    <w:t>若干</w:t>
                  </w:r>
                </w:p>
              </w:tc>
              <w:tc>
                <w:tcPr>
                  <w:tcW w:w="1524" w:type="pct"/>
                  <w:noWrap w:val="0"/>
                  <w:vAlign w:val="top"/>
                </w:tcPr>
                <w:p w14:paraId="7E4F678F">
                  <w:pPr>
                    <w:jc w:val="center"/>
                    <w:rPr>
                      <w:color w:val="auto"/>
                      <w:szCs w:val="21"/>
                    </w:rPr>
                  </w:pPr>
                  <w:r>
                    <w:rPr>
                      <w:color w:val="auto"/>
                      <w:szCs w:val="21"/>
                    </w:rPr>
                    <w:t>国产</w:t>
                  </w:r>
                </w:p>
              </w:tc>
            </w:tr>
            <w:tr w14:paraId="04CDF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D89AD5B">
                  <w:pPr>
                    <w:jc w:val="center"/>
                    <w:rPr>
                      <w:color w:val="auto"/>
                      <w:szCs w:val="21"/>
                    </w:rPr>
                  </w:pPr>
                </w:p>
              </w:tc>
              <w:tc>
                <w:tcPr>
                  <w:tcW w:w="2007" w:type="pct"/>
                  <w:noWrap w:val="0"/>
                  <w:vAlign w:val="center"/>
                </w:tcPr>
                <w:p w14:paraId="33ED3CBF">
                  <w:pPr>
                    <w:jc w:val="center"/>
                    <w:rPr>
                      <w:color w:val="auto"/>
                      <w:szCs w:val="21"/>
                    </w:rPr>
                  </w:pPr>
                  <w:r>
                    <w:rPr>
                      <w:color w:val="auto"/>
                      <w:szCs w:val="21"/>
                    </w:rPr>
                    <w:t>西药</w:t>
                  </w:r>
                </w:p>
              </w:tc>
              <w:tc>
                <w:tcPr>
                  <w:tcW w:w="754" w:type="pct"/>
                  <w:noWrap w:val="0"/>
                  <w:vAlign w:val="center"/>
                </w:tcPr>
                <w:p w14:paraId="034D7B9C">
                  <w:pPr>
                    <w:jc w:val="center"/>
                    <w:rPr>
                      <w:color w:val="auto"/>
                      <w:szCs w:val="21"/>
                    </w:rPr>
                  </w:pPr>
                  <w:r>
                    <w:rPr>
                      <w:color w:val="auto"/>
                      <w:szCs w:val="21"/>
                    </w:rPr>
                    <w:t>若干</w:t>
                  </w:r>
                </w:p>
              </w:tc>
              <w:tc>
                <w:tcPr>
                  <w:tcW w:w="1524" w:type="pct"/>
                  <w:noWrap w:val="0"/>
                  <w:vAlign w:val="top"/>
                </w:tcPr>
                <w:p w14:paraId="7988E8BD">
                  <w:pPr>
                    <w:jc w:val="center"/>
                    <w:rPr>
                      <w:color w:val="auto"/>
                      <w:szCs w:val="21"/>
                    </w:rPr>
                  </w:pPr>
                  <w:r>
                    <w:rPr>
                      <w:color w:val="auto"/>
                      <w:szCs w:val="21"/>
                    </w:rPr>
                    <w:t>国产</w:t>
                  </w:r>
                </w:p>
              </w:tc>
            </w:tr>
            <w:tr w14:paraId="301C2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5B527C2F">
                  <w:pPr>
                    <w:jc w:val="center"/>
                    <w:rPr>
                      <w:color w:val="auto"/>
                      <w:szCs w:val="21"/>
                    </w:rPr>
                  </w:pPr>
                  <w:r>
                    <w:rPr>
                      <w:color w:val="auto"/>
                      <w:szCs w:val="21"/>
                    </w:rPr>
                    <w:t>医疗器械</w:t>
                  </w:r>
                </w:p>
              </w:tc>
              <w:tc>
                <w:tcPr>
                  <w:tcW w:w="2007" w:type="pct"/>
                  <w:noWrap w:val="0"/>
                  <w:vAlign w:val="center"/>
                </w:tcPr>
                <w:p w14:paraId="0B612BB6">
                  <w:pPr>
                    <w:jc w:val="center"/>
                    <w:rPr>
                      <w:color w:val="auto"/>
                      <w:szCs w:val="21"/>
                    </w:rPr>
                  </w:pPr>
                  <w:r>
                    <w:rPr>
                      <w:color w:val="auto"/>
                      <w:szCs w:val="21"/>
                    </w:rPr>
                    <w:t>一次性空针、输液管</w:t>
                  </w:r>
                </w:p>
              </w:tc>
              <w:tc>
                <w:tcPr>
                  <w:tcW w:w="754" w:type="pct"/>
                  <w:noWrap w:val="0"/>
                  <w:vAlign w:val="center"/>
                </w:tcPr>
                <w:p w14:paraId="33A75501">
                  <w:pPr>
                    <w:jc w:val="center"/>
                    <w:rPr>
                      <w:color w:val="auto"/>
                      <w:szCs w:val="21"/>
                    </w:rPr>
                  </w:pPr>
                  <w:r>
                    <w:rPr>
                      <w:color w:val="auto"/>
                      <w:szCs w:val="21"/>
                    </w:rPr>
                    <w:t>若干</w:t>
                  </w:r>
                </w:p>
              </w:tc>
              <w:tc>
                <w:tcPr>
                  <w:tcW w:w="1524" w:type="pct"/>
                  <w:noWrap w:val="0"/>
                  <w:vAlign w:val="top"/>
                </w:tcPr>
                <w:p w14:paraId="35C84BC6">
                  <w:pPr>
                    <w:jc w:val="center"/>
                    <w:rPr>
                      <w:color w:val="auto"/>
                      <w:szCs w:val="21"/>
                    </w:rPr>
                  </w:pPr>
                  <w:r>
                    <w:rPr>
                      <w:color w:val="auto"/>
                      <w:szCs w:val="21"/>
                    </w:rPr>
                    <w:t>国产</w:t>
                  </w:r>
                </w:p>
              </w:tc>
            </w:tr>
            <w:tr w14:paraId="0027C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57A1ECD1">
                  <w:pPr>
                    <w:jc w:val="center"/>
                    <w:rPr>
                      <w:color w:val="auto"/>
                      <w:szCs w:val="21"/>
                    </w:rPr>
                  </w:pPr>
                </w:p>
              </w:tc>
              <w:tc>
                <w:tcPr>
                  <w:tcW w:w="2007" w:type="pct"/>
                  <w:noWrap w:val="0"/>
                  <w:vAlign w:val="center"/>
                </w:tcPr>
                <w:p w14:paraId="5510A001">
                  <w:pPr>
                    <w:jc w:val="center"/>
                    <w:rPr>
                      <w:color w:val="auto"/>
                      <w:szCs w:val="21"/>
                    </w:rPr>
                  </w:pPr>
                  <w:r>
                    <w:rPr>
                      <w:color w:val="auto"/>
                      <w:szCs w:val="21"/>
                    </w:rPr>
                    <w:t>一次性手套</w:t>
                  </w:r>
                </w:p>
              </w:tc>
              <w:tc>
                <w:tcPr>
                  <w:tcW w:w="754" w:type="pct"/>
                  <w:noWrap w:val="0"/>
                  <w:vAlign w:val="center"/>
                </w:tcPr>
                <w:p w14:paraId="495BB24E">
                  <w:pPr>
                    <w:jc w:val="center"/>
                    <w:rPr>
                      <w:color w:val="auto"/>
                      <w:szCs w:val="21"/>
                    </w:rPr>
                  </w:pPr>
                  <w:r>
                    <w:rPr>
                      <w:color w:val="auto"/>
                      <w:szCs w:val="21"/>
                    </w:rPr>
                    <w:t>若干</w:t>
                  </w:r>
                </w:p>
              </w:tc>
              <w:tc>
                <w:tcPr>
                  <w:tcW w:w="1524" w:type="pct"/>
                  <w:noWrap w:val="0"/>
                  <w:vAlign w:val="top"/>
                </w:tcPr>
                <w:p w14:paraId="2E5E9F14">
                  <w:pPr>
                    <w:jc w:val="center"/>
                    <w:rPr>
                      <w:color w:val="auto"/>
                      <w:szCs w:val="21"/>
                    </w:rPr>
                  </w:pPr>
                  <w:r>
                    <w:rPr>
                      <w:color w:val="auto"/>
                      <w:szCs w:val="21"/>
                    </w:rPr>
                    <w:t>国产</w:t>
                  </w:r>
                </w:p>
              </w:tc>
            </w:tr>
            <w:tr w14:paraId="17872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9DBEF85">
                  <w:pPr>
                    <w:jc w:val="center"/>
                    <w:rPr>
                      <w:color w:val="auto"/>
                      <w:szCs w:val="21"/>
                    </w:rPr>
                  </w:pPr>
                </w:p>
              </w:tc>
              <w:tc>
                <w:tcPr>
                  <w:tcW w:w="2007" w:type="pct"/>
                  <w:noWrap w:val="0"/>
                  <w:vAlign w:val="center"/>
                </w:tcPr>
                <w:p w14:paraId="4A996306">
                  <w:pPr>
                    <w:jc w:val="center"/>
                    <w:rPr>
                      <w:color w:val="auto"/>
                      <w:szCs w:val="21"/>
                    </w:rPr>
                  </w:pPr>
                  <w:r>
                    <w:rPr>
                      <w:color w:val="auto"/>
                      <w:szCs w:val="21"/>
                    </w:rPr>
                    <w:t>一次性中单、小单</w:t>
                  </w:r>
                </w:p>
              </w:tc>
              <w:tc>
                <w:tcPr>
                  <w:tcW w:w="754" w:type="pct"/>
                  <w:noWrap w:val="0"/>
                  <w:vAlign w:val="center"/>
                </w:tcPr>
                <w:p w14:paraId="12F478D6">
                  <w:pPr>
                    <w:jc w:val="center"/>
                    <w:rPr>
                      <w:color w:val="auto"/>
                      <w:szCs w:val="21"/>
                    </w:rPr>
                  </w:pPr>
                  <w:r>
                    <w:rPr>
                      <w:color w:val="auto"/>
                      <w:szCs w:val="21"/>
                    </w:rPr>
                    <w:t>若干</w:t>
                  </w:r>
                </w:p>
              </w:tc>
              <w:tc>
                <w:tcPr>
                  <w:tcW w:w="1524" w:type="pct"/>
                  <w:noWrap w:val="0"/>
                  <w:vAlign w:val="top"/>
                </w:tcPr>
                <w:p w14:paraId="061B6A70">
                  <w:pPr>
                    <w:jc w:val="center"/>
                    <w:rPr>
                      <w:color w:val="auto"/>
                      <w:szCs w:val="21"/>
                    </w:rPr>
                  </w:pPr>
                  <w:r>
                    <w:rPr>
                      <w:color w:val="auto"/>
                      <w:szCs w:val="21"/>
                    </w:rPr>
                    <w:t>国产</w:t>
                  </w:r>
                </w:p>
              </w:tc>
            </w:tr>
            <w:tr w14:paraId="5EE6F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6BD3844D">
                  <w:pPr>
                    <w:jc w:val="center"/>
                    <w:rPr>
                      <w:color w:val="auto"/>
                      <w:szCs w:val="21"/>
                    </w:rPr>
                  </w:pPr>
                </w:p>
              </w:tc>
              <w:tc>
                <w:tcPr>
                  <w:tcW w:w="2007" w:type="pct"/>
                  <w:noWrap w:val="0"/>
                  <w:vAlign w:val="center"/>
                </w:tcPr>
                <w:p w14:paraId="550847CB">
                  <w:pPr>
                    <w:jc w:val="center"/>
                    <w:rPr>
                      <w:color w:val="auto"/>
                      <w:szCs w:val="21"/>
                    </w:rPr>
                  </w:pPr>
                  <w:r>
                    <w:rPr>
                      <w:color w:val="auto"/>
                      <w:szCs w:val="21"/>
                    </w:rPr>
                    <w:t>一次性尿袋、尿管</w:t>
                  </w:r>
                </w:p>
              </w:tc>
              <w:tc>
                <w:tcPr>
                  <w:tcW w:w="754" w:type="pct"/>
                  <w:noWrap w:val="0"/>
                  <w:vAlign w:val="center"/>
                </w:tcPr>
                <w:p w14:paraId="5F40411F">
                  <w:pPr>
                    <w:jc w:val="center"/>
                    <w:rPr>
                      <w:color w:val="auto"/>
                      <w:szCs w:val="21"/>
                    </w:rPr>
                  </w:pPr>
                  <w:r>
                    <w:rPr>
                      <w:color w:val="auto"/>
                      <w:szCs w:val="21"/>
                    </w:rPr>
                    <w:t>若干</w:t>
                  </w:r>
                </w:p>
              </w:tc>
              <w:tc>
                <w:tcPr>
                  <w:tcW w:w="1524" w:type="pct"/>
                  <w:noWrap w:val="0"/>
                  <w:vAlign w:val="top"/>
                </w:tcPr>
                <w:p w14:paraId="7467D73F">
                  <w:pPr>
                    <w:jc w:val="center"/>
                    <w:rPr>
                      <w:color w:val="auto"/>
                      <w:szCs w:val="21"/>
                    </w:rPr>
                  </w:pPr>
                  <w:r>
                    <w:rPr>
                      <w:color w:val="auto"/>
                      <w:szCs w:val="21"/>
                    </w:rPr>
                    <w:t>国产</w:t>
                  </w:r>
                </w:p>
              </w:tc>
            </w:tr>
            <w:tr w14:paraId="4480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6E9E3755">
                  <w:pPr>
                    <w:jc w:val="center"/>
                    <w:rPr>
                      <w:color w:val="auto"/>
                      <w:szCs w:val="21"/>
                    </w:rPr>
                  </w:pPr>
                </w:p>
              </w:tc>
              <w:tc>
                <w:tcPr>
                  <w:tcW w:w="2007" w:type="pct"/>
                  <w:noWrap w:val="0"/>
                  <w:vAlign w:val="center"/>
                </w:tcPr>
                <w:p w14:paraId="730C5EC6">
                  <w:pPr>
                    <w:jc w:val="center"/>
                    <w:rPr>
                      <w:color w:val="auto"/>
                      <w:szCs w:val="21"/>
                    </w:rPr>
                  </w:pPr>
                  <w:r>
                    <w:rPr>
                      <w:color w:val="auto"/>
                      <w:szCs w:val="21"/>
                    </w:rPr>
                    <w:t>消毒棉球</w:t>
                  </w:r>
                </w:p>
              </w:tc>
              <w:tc>
                <w:tcPr>
                  <w:tcW w:w="754" w:type="pct"/>
                  <w:noWrap w:val="0"/>
                  <w:vAlign w:val="center"/>
                </w:tcPr>
                <w:p w14:paraId="572A8331">
                  <w:pPr>
                    <w:jc w:val="center"/>
                    <w:rPr>
                      <w:color w:val="auto"/>
                      <w:szCs w:val="21"/>
                    </w:rPr>
                  </w:pPr>
                  <w:r>
                    <w:rPr>
                      <w:color w:val="auto"/>
                      <w:szCs w:val="21"/>
                    </w:rPr>
                    <w:t>若干</w:t>
                  </w:r>
                </w:p>
              </w:tc>
              <w:tc>
                <w:tcPr>
                  <w:tcW w:w="1524" w:type="pct"/>
                  <w:noWrap w:val="0"/>
                  <w:vAlign w:val="top"/>
                </w:tcPr>
                <w:p w14:paraId="1E6C14B3">
                  <w:pPr>
                    <w:jc w:val="center"/>
                    <w:rPr>
                      <w:color w:val="auto"/>
                      <w:szCs w:val="21"/>
                    </w:rPr>
                  </w:pPr>
                  <w:r>
                    <w:rPr>
                      <w:color w:val="auto"/>
                      <w:szCs w:val="21"/>
                    </w:rPr>
                    <w:t>国产</w:t>
                  </w:r>
                </w:p>
              </w:tc>
            </w:tr>
            <w:tr w14:paraId="3A95F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restart"/>
                  <w:noWrap w:val="0"/>
                  <w:vAlign w:val="center"/>
                </w:tcPr>
                <w:p w14:paraId="01A15853">
                  <w:pPr>
                    <w:jc w:val="center"/>
                    <w:rPr>
                      <w:color w:val="auto"/>
                      <w:szCs w:val="21"/>
                    </w:rPr>
                  </w:pPr>
                  <w:r>
                    <w:rPr>
                      <w:color w:val="auto"/>
                      <w:szCs w:val="21"/>
                    </w:rPr>
                    <w:t>消毒剂</w:t>
                  </w:r>
                </w:p>
              </w:tc>
              <w:tc>
                <w:tcPr>
                  <w:tcW w:w="2007" w:type="pct"/>
                  <w:noWrap w:val="0"/>
                  <w:vAlign w:val="center"/>
                </w:tcPr>
                <w:p w14:paraId="660151CB">
                  <w:pPr>
                    <w:adjustRightInd w:val="0"/>
                    <w:snapToGrid w:val="0"/>
                    <w:jc w:val="center"/>
                    <w:rPr>
                      <w:color w:val="auto"/>
                      <w:szCs w:val="21"/>
                    </w:rPr>
                  </w:pPr>
                  <w:r>
                    <w:rPr>
                      <w:color w:val="auto"/>
                      <w:szCs w:val="21"/>
                    </w:rPr>
                    <w:t>乙醇（酒精）</w:t>
                  </w:r>
                </w:p>
              </w:tc>
              <w:tc>
                <w:tcPr>
                  <w:tcW w:w="754" w:type="pct"/>
                  <w:noWrap w:val="0"/>
                  <w:vAlign w:val="center"/>
                </w:tcPr>
                <w:p w14:paraId="685F195F">
                  <w:pPr>
                    <w:adjustRightInd w:val="0"/>
                    <w:snapToGrid w:val="0"/>
                    <w:jc w:val="center"/>
                    <w:rPr>
                      <w:color w:val="auto"/>
                      <w:szCs w:val="21"/>
                    </w:rPr>
                  </w:pPr>
                  <w:r>
                    <w:rPr>
                      <w:rFonts w:hint="eastAsia"/>
                      <w:color w:val="auto"/>
                      <w:szCs w:val="21"/>
                    </w:rPr>
                    <w:t>0.5</w:t>
                  </w:r>
                  <w:r>
                    <w:rPr>
                      <w:color w:val="auto"/>
                      <w:szCs w:val="21"/>
                    </w:rPr>
                    <w:t>t</w:t>
                  </w:r>
                </w:p>
              </w:tc>
              <w:tc>
                <w:tcPr>
                  <w:tcW w:w="1524" w:type="pct"/>
                  <w:noWrap w:val="0"/>
                  <w:vAlign w:val="center"/>
                </w:tcPr>
                <w:p w14:paraId="70228D6A">
                  <w:pPr>
                    <w:adjustRightInd w:val="0"/>
                    <w:snapToGrid w:val="0"/>
                    <w:jc w:val="center"/>
                    <w:rPr>
                      <w:color w:val="auto"/>
                      <w:szCs w:val="21"/>
                    </w:rPr>
                  </w:pPr>
                  <w:r>
                    <w:rPr>
                      <w:color w:val="auto"/>
                      <w:szCs w:val="21"/>
                    </w:rPr>
                    <w:t>最大存储0.2t，用于治疗消毒</w:t>
                  </w:r>
                </w:p>
              </w:tc>
            </w:tr>
            <w:tr w14:paraId="78216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5967B94">
                  <w:pPr>
                    <w:jc w:val="center"/>
                    <w:rPr>
                      <w:color w:val="auto"/>
                      <w:szCs w:val="21"/>
                    </w:rPr>
                  </w:pPr>
                </w:p>
              </w:tc>
              <w:tc>
                <w:tcPr>
                  <w:tcW w:w="2007" w:type="pct"/>
                  <w:noWrap w:val="0"/>
                  <w:vAlign w:val="center"/>
                </w:tcPr>
                <w:p w14:paraId="3EA105F8">
                  <w:pPr>
                    <w:adjustRightInd w:val="0"/>
                    <w:snapToGrid w:val="0"/>
                    <w:jc w:val="center"/>
                    <w:rPr>
                      <w:color w:val="auto"/>
                      <w:szCs w:val="21"/>
                    </w:rPr>
                  </w:pPr>
                  <w:r>
                    <w:rPr>
                      <w:color w:val="auto"/>
                      <w:szCs w:val="21"/>
                    </w:rPr>
                    <w:t>双氧水（H</w:t>
                  </w:r>
                  <w:r>
                    <w:rPr>
                      <w:color w:val="auto"/>
                      <w:szCs w:val="21"/>
                      <w:vertAlign w:val="subscript"/>
                    </w:rPr>
                    <w:t>2</w:t>
                  </w:r>
                  <w:r>
                    <w:rPr>
                      <w:color w:val="auto"/>
                      <w:szCs w:val="21"/>
                    </w:rPr>
                    <w:t>O</w:t>
                  </w:r>
                  <w:r>
                    <w:rPr>
                      <w:color w:val="auto"/>
                      <w:szCs w:val="21"/>
                      <w:vertAlign w:val="subscript"/>
                    </w:rPr>
                    <w:t>2</w:t>
                  </w:r>
                  <w:r>
                    <w:rPr>
                      <w:color w:val="auto"/>
                      <w:szCs w:val="21"/>
                    </w:rPr>
                    <w:t>）</w:t>
                  </w:r>
                </w:p>
              </w:tc>
              <w:tc>
                <w:tcPr>
                  <w:tcW w:w="754" w:type="pct"/>
                  <w:noWrap w:val="0"/>
                  <w:vAlign w:val="center"/>
                </w:tcPr>
                <w:p w14:paraId="3006E9FB">
                  <w:pPr>
                    <w:adjustRightInd w:val="0"/>
                    <w:snapToGrid w:val="0"/>
                    <w:jc w:val="center"/>
                    <w:rPr>
                      <w:color w:val="auto"/>
                      <w:szCs w:val="21"/>
                    </w:rPr>
                  </w:pPr>
                  <w:r>
                    <w:rPr>
                      <w:color w:val="auto"/>
                      <w:szCs w:val="21"/>
                    </w:rPr>
                    <w:t>0.</w:t>
                  </w:r>
                  <w:r>
                    <w:rPr>
                      <w:rFonts w:hint="eastAsia"/>
                      <w:color w:val="auto"/>
                      <w:szCs w:val="21"/>
                    </w:rPr>
                    <w:t>2</w:t>
                  </w:r>
                  <w:r>
                    <w:rPr>
                      <w:color w:val="auto"/>
                      <w:szCs w:val="21"/>
                    </w:rPr>
                    <w:t>t</w:t>
                  </w:r>
                </w:p>
              </w:tc>
              <w:tc>
                <w:tcPr>
                  <w:tcW w:w="1524" w:type="pct"/>
                  <w:noWrap w:val="0"/>
                  <w:vAlign w:val="center"/>
                </w:tcPr>
                <w:p w14:paraId="696F4177">
                  <w:pPr>
                    <w:adjustRightInd w:val="0"/>
                    <w:snapToGrid w:val="0"/>
                    <w:jc w:val="center"/>
                    <w:rPr>
                      <w:color w:val="auto"/>
                      <w:szCs w:val="21"/>
                    </w:rPr>
                  </w:pPr>
                  <w:r>
                    <w:rPr>
                      <w:color w:val="auto"/>
                      <w:szCs w:val="21"/>
                    </w:rPr>
                    <w:t>最大存储0.1t，用于治疗消毒</w:t>
                  </w:r>
                </w:p>
              </w:tc>
            </w:tr>
            <w:tr w14:paraId="4C6CD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274D9FB5">
                  <w:pPr>
                    <w:jc w:val="center"/>
                    <w:rPr>
                      <w:color w:val="auto"/>
                      <w:szCs w:val="21"/>
                    </w:rPr>
                  </w:pPr>
                </w:p>
              </w:tc>
              <w:tc>
                <w:tcPr>
                  <w:tcW w:w="2007" w:type="pct"/>
                  <w:noWrap w:val="0"/>
                  <w:vAlign w:val="center"/>
                </w:tcPr>
                <w:p w14:paraId="32BFD243">
                  <w:pPr>
                    <w:adjustRightInd w:val="0"/>
                    <w:snapToGrid w:val="0"/>
                    <w:jc w:val="center"/>
                    <w:rPr>
                      <w:color w:val="auto"/>
                      <w:szCs w:val="21"/>
                    </w:rPr>
                  </w:pPr>
                  <w:r>
                    <w:rPr>
                      <w:color w:val="auto"/>
                      <w:szCs w:val="21"/>
                    </w:rPr>
                    <w:t>碘伏</w:t>
                  </w:r>
                </w:p>
              </w:tc>
              <w:tc>
                <w:tcPr>
                  <w:tcW w:w="754" w:type="pct"/>
                  <w:noWrap w:val="0"/>
                  <w:vAlign w:val="center"/>
                </w:tcPr>
                <w:p w14:paraId="12545B02">
                  <w:pPr>
                    <w:adjustRightInd w:val="0"/>
                    <w:snapToGrid w:val="0"/>
                    <w:jc w:val="center"/>
                    <w:rPr>
                      <w:color w:val="auto"/>
                      <w:szCs w:val="21"/>
                    </w:rPr>
                  </w:pPr>
                  <w:r>
                    <w:rPr>
                      <w:color w:val="auto"/>
                      <w:szCs w:val="21"/>
                    </w:rPr>
                    <w:t>0.</w:t>
                  </w:r>
                  <w:r>
                    <w:rPr>
                      <w:rFonts w:hint="eastAsia"/>
                      <w:color w:val="auto"/>
                      <w:szCs w:val="21"/>
                    </w:rPr>
                    <w:t>2</w:t>
                  </w:r>
                  <w:r>
                    <w:rPr>
                      <w:color w:val="auto"/>
                      <w:szCs w:val="21"/>
                    </w:rPr>
                    <w:t>t</w:t>
                  </w:r>
                </w:p>
              </w:tc>
              <w:tc>
                <w:tcPr>
                  <w:tcW w:w="1524" w:type="pct"/>
                  <w:noWrap w:val="0"/>
                  <w:vAlign w:val="center"/>
                </w:tcPr>
                <w:p w14:paraId="4673824C">
                  <w:pPr>
                    <w:adjustRightInd w:val="0"/>
                    <w:snapToGrid w:val="0"/>
                    <w:jc w:val="center"/>
                    <w:rPr>
                      <w:color w:val="auto"/>
                      <w:szCs w:val="21"/>
                    </w:rPr>
                  </w:pPr>
                  <w:r>
                    <w:rPr>
                      <w:color w:val="auto"/>
                      <w:szCs w:val="21"/>
                    </w:rPr>
                    <w:t>最大存储0.1t，用于治疗消毒</w:t>
                  </w:r>
                </w:p>
              </w:tc>
            </w:tr>
            <w:tr w14:paraId="00186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C209AF9">
                  <w:pPr>
                    <w:jc w:val="center"/>
                    <w:rPr>
                      <w:b/>
                      <w:color w:val="auto"/>
                      <w:szCs w:val="21"/>
                    </w:rPr>
                  </w:pPr>
                </w:p>
              </w:tc>
              <w:tc>
                <w:tcPr>
                  <w:tcW w:w="2007" w:type="pct"/>
                  <w:noWrap w:val="0"/>
                  <w:vAlign w:val="center"/>
                </w:tcPr>
                <w:p w14:paraId="59EE17BB">
                  <w:pPr>
                    <w:adjustRightInd w:val="0"/>
                    <w:snapToGrid w:val="0"/>
                    <w:jc w:val="center"/>
                    <w:rPr>
                      <w:color w:val="auto"/>
                      <w:szCs w:val="21"/>
                    </w:rPr>
                  </w:pPr>
                  <w:r>
                    <w:rPr>
                      <w:color w:val="auto"/>
                      <w:szCs w:val="21"/>
                    </w:rPr>
                    <w:t>84消毒液（主要成分为次氯酸钠）</w:t>
                  </w:r>
                </w:p>
              </w:tc>
              <w:tc>
                <w:tcPr>
                  <w:tcW w:w="754" w:type="pct"/>
                  <w:noWrap w:val="0"/>
                  <w:vAlign w:val="center"/>
                </w:tcPr>
                <w:p w14:paraId="48764A72">
                  <w:pPr>
                    <w:adjustRightInd w:val="0"/>
                    <w:snapToGrid w:val="0"/>
                    <w:jc w:val="center"/>
                    <w:rPr>
                      <w:color w:val="auto"/>
                      <w:szCs w:val="21"/>
                    </w:rPr>
                  </w:pPr>
                  <w:r>
                    <w:rPr>
                      <w:rFonts w:hint="eastAsia"/>
                      <w:color w:val="auto"/>
                      <w:szCs w:val="21"/>
                    </w:rPr>
                    <w:t>0.5</w:t>
                  </w:r>
                  <w:r>
                    <w:rPr>
                      <w:color w:val="auto"/>
                      <w:szCs w:val="21"/>
                    </w:rPr>
                    <w:t>t</w:t>
                  </w:r>
                </w:p>
              </w:tc>
              <w:tc>
                <w:tcPr>
                  <w:tcW w:w="1524" w:type="pct"/>
                  <w:noWrap w:val="0"/>
                  <w:vAlign w:val="center"/>
                </w:tcPr>
                <w:p w14:paraId="153D4ACB">
                  <w:pPr>
                    <w:adjustRightInd w:val="0"/>
                    <w:snapToGrid w:val="0"/>
                    <w:jc w:val="center"/>
                    <w:rPr>
                      <w:color w:val="auto"/>
                      <w:szCs w:val="21"/>
                    </w:rPr>
                  </w:pPr>
                  <w:r>
                    <w:rPr>
                      <w:color w:val="auto"/>
                      <w:szCs w:val="21"/>
                    </w:rPr>
                    <w:t>最大存储0.2t，国产，用于病房、科室消毒</w:t>
                  </w:r>
                </w:p>
              </w:tc>
            </w:tr>
            <w:tr w14:paraId="2755A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6652D03">
                  <w:pPr>
                    <w:jc w:val="center"/>
                    <w:rPr>
                      <w:color w:val="auto"/>
                      <w:szCs w:val="21"/>
                    </w:rPr>
                  </w:pPr>
                </w:p>
              </w:tc>
              <w:tc>
                <w:tcPr>
                  <w:tcW w:w="2007" w:type="pct"/>
                  <w:noWrap w:val="0"/>
                  <w:vAlign w:val="center"/>
                </w:tcPr>
                <w:p w14:paraId="247C6DBB">
                  <w:pPr>
                    <w:jc w:val="center"/>
                    <w:rPr>
                      <w:color w:val="auto"/>
                      <w:kern w:val="0"/>
                      <w:szCs w:val="21"/>
                    </w:rPr>
                  </w:pPr>
                  <w:r>
                    <w:rPr>
                      <w:color w:val="auto"/>
                      <w:kern w:val="0"/>
                      <w:szCs w:val="21"/>
                    </w:rPr>
                    <w:t>次氯酸</w:t>
                  </w:r>
                  <w:r>
                    <w:rPr>
                      <w:color w:val="auto"/>
                      <w:szCs w:val="21"/>
                    </w:rPr>
                    <w:t>钠</w:t>
                  </w:r>
                </w:p>
              </w:tc>
              <w:tc>
                <w:tcPr>
                  <w:tcW w:w="754" w:type="pct"/>
                  <w:noWrap w:val="0"/>
                  <w:vAlign w:val="center"/>
                </w:tcPr>
                <w:p w14:paraId="0DB3975E">
                  <w:pPr>
                    <w:jc w:val="center"/>
                    <w:rPr>
                      <w:color w:val="auto"/>
                      <w:szCs w:val="21"/>
                    </w:rPr>
                  </w:pPr>
                  <w:r>
                    <w:rPr>
                      <w:color w:val="auto"/>
                      <w:szCs w:val="21"/>
                    </w:rPr>
                    <w:t>0.4t</w:t>
                  </w:r>
                </w:p>
              </w:tc>
              <w:tc>
                <w:tcPr>
                  <w:tcW w:w="1524" w:type="pct"/>
                  <w:noWrap w:val="0"/>
                  <w:vAlign w:val="top"/>
                </w:tcPr>
                <w:p w14:paraId="52C783DE">
                  <w:pPr>
                    <w:jc w:val="center"/>
                    <w:rPr>
                      <w:color w:val="auto"/>
                      <w:szCs w:val="21"/>
                    </w:rPr>
                  </w:pPr>
                  <w:r>
                    <w:rPr>
                      <w:color w:val="auto"/>
                      <w:szCs w:val="21"/>
                    </w:rPr>
                    <w:t>最大储存</w:t>
                  </w:r>
                  <w:r>
                    <w:rPr>
                      <w:rFonts w:hint="eastAsia"/>
                      <w:color w:val="auto"/>
                      <w:szCs w:val="21"/>
                    </w:rPr>
                    <w:t>0.1</w:t>
                  </w:r>
                  <w:r>
                    <w:rPr>
                      <w:color w:val="auto"/>
                      <w:szCs w:val="21"/>
                    </w:rPr>
                    <w:t>t</w:t>
                  </w:r>
                </w:p>
              </w:tc>
            </w:tr>
            <w:tr w14:paraId="35A86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4A572946">
                  <w:pPr>
                    <w:jc w:val="center"/>
                    <w:rPr>
                      <w:color w:val="auto"/>
                      <w:szCs w:val="21"/>
                    </w:rPr>
                  </w:pPr>
                </w:p>
              </w:tc>
              <w:tc>
                <w:tcPr>
                  <w:tcW w:w="2007" w:type="pct"/>
                  <w:noWrap w:val="0"/>
                  <w:vAlign w:val="center"/>
                </w:tcPr>
                <w:p w14:paraId="2710A0A3">
                  <w:pPr>
                    <w:jc w:val="center"/>
                    <w:rPr>
                      <w:color w:val="auto"/>
                      <w:kern w:val="0"/>
                      <w:sz w:val="21"/>
                      <w:szCs w:val="21"/>
                      <w:lang w:val="en-US" w:eastAsia="zh-CN" w:bidi="ar-SA"/>
                    </w:rPr>
                  </w:pPr>
                  <w:r>
                    <w:rPr>
                      <w:rFonts w:hint="default"/>
                      <w:color w:val="auto"/>
                      <w:kern w:val="0"/>
                      <w:szCs w:val="21"/>
                      <w:lang w:val="en-US" w:eastAsia="zh-CN"/>
                    </w:rPr>
                    <w:t>PAM</w:t>
                  </w:r>
                </w:p>
              </w:tc>
              <w:tc>
                <w:tcPr>
                  <w:tcW w:w="754" w:type="pct"/>
                  <w:noWrap w:val="0"/>
                  <w:vAlign w:val="center"/>
                </w:tcPr>
                <w:p w14:paraId="0EFE5297">
                  <w:pPr>
                    <w:jc w:val="center"/>
                    <w:rPr>
                      <w:rFonts w:hint="default" w:eastAsia="宋体"/>
                      <w:color w:val="auto"/>
                      <w:kern w:val="2"/>
                      <w:sz w:val="21"/>
                      <w:szCs w:val="21"/>
                      <w:lang w:val="en-US" w:eastAsia="zh-CN" w:bidi="ar-SA"/>
                    </w:rPr>
                  </w:pPr>
                  <w:r>
                    <w:rPr>
                      <w:rFonts w:hint="eastAsia"/>
                      <w:color w:val="auto"/>
                      <w:szCs w:val="21"/>
                      <w:lang w:val="en-US" w:eastAsia="zh-CN"/>
                    </w:rPr>
                    <w:t>0.4</w:t>
                  </w:r>
                  <w:r>
                    <w:rPr>
                      <w:color w:val="auto"/>
                      <w:szCs w:val="21"/>
                    </w:rPr>
                    <w:t>t</w:t>
                  </w:r>
                </w:p>
              </w:tc>
              <w:tc>
                <w:tcPr>
                  <w:tcW w:w="1524" w:type="pct"/>
                  <w:noWrap w:val="0"/>
                  <w:vAlign w:val="top"/>
                </w:tcPr>
                <w:p w14:paraId="5B8E6C3B">
                  <w:pPr>
                    <w:jc w:val="center"/>
                    <w:rPr>
                      <w:color w:val="auto"/>
                      <w:szCs w:val="21"/>
                    </w:rPr>
                  </w:pPr>
                  <w:r>
                    <w:rPr>
                      <w:color w:val="auto"/>
                      <w:szCs w:val="21"/>
                    </w:rPr>
                    <w:t>最大存储0.2t</w:t>
                  </w:r>
                  <w:r>
                    <w:rPr>
                      <w:rFonts w:hint="eastAsia"/>
                      <w:color w:val="auto"/>
                      <w:szCs w:val="21"/>
                      <w:lang w:eastAsia="zh-CN"/>
                    </w:rPr>
                    <w:t>，</w:t>
                  </w:r>
                  <w:r>
                    <w:rPr>
                      <w:rFonts w:hint="eastAsia"/>
                      <w:color w:val="auto"/>
                      <w:szCs w:val="21"/>
                      <w:lang w:val="en-US" w:eastAsia="zh-CN"/>
                    </w:rPr>
                    <w:t>用于吸附污水中的悬浮颗粒</w:t>
                  </w:r>
                </w:p>
              </w:tc>
            </w:tr>
            <w:tr w14:paraId="562D6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vMerge w:val="continue"/>
                  <w:noWrap w:val="0"/>
                  <w:vAlign w:val="center"/>
                </w:tcPr>
                <w:p w14:paraId="02EA6F42">
                  <w:pPr>
                    <w:jc w:val="center"/>
                    <w:rPr>
                      <w:color w:val="auto"/>
                      <w:szCs w:val="21"/>
                    </w:rPr>
                  </w:pPr>
                </w:p>
              </w:tc>
              <w:tc>
                <w:tcPr>
                  <w:tcW w:w="2007" w:type="pct"/>
                  <w:noWrap w:val="0"/>
                  <w:vAlign w:val="center"/>
                </w:tcPr>
                <w:p w14:paraId="6FC98F52">
                  <w:pPr>
                    <w:jc w:val="center"/>
                    <w:rPr>
                      <w:rFonts w:hint="eastAsia" w:eastAsia="宋体"/>
                      <w:color w:val="auto"/>
                      <w:kern w:val="0"/>
                      <w:szCs w:val="21"/>
                      <w:lang w:val="en-US" w:eastAsia="zh-CN"/>
                    </w:rPr>
                  </w:pPr>
                  <w:r>
                    <w:rPr>
                      <w:rFonts w:hint="eastAsia"/>
                      <w:color w:val="auto"/>
                      <w:kern w:val="0"/>
                      <w:szCs w:val="21"/>
                      <w:lang w:val="en-US" w:eastAsia="zh-CN"/>
                    </w:rPr>
                    <w:t>生石灰</w:t>
                  </w:r>
                </w:p>
              </w:tc>
              <w:tc>
                <w:tcPr>
                  <w:tcW w:w="754" w:type="pct"/>
                  <w:noWrap w:val="0"/>
                  <w:vAlign w:val="center"/>
                </w:tcPr>
                <w:p w14:paraId="56A6C2B9">
                  <w:pPr>
                    <w:jc w:val="center"/>
                    <w:rPr>
                      <w:rFonts w:hint="default" w:eastAsia="宋体"/>
                      <w:color w:val="auto"/>
                      <w:szCs w:val="21"/>
                      <w:lang w:val="en-US" w:eastAsia="zh-CN"/>
                    </w:rPr>
                  </w:pPr>
                  <w:r>
                    <w:rPr>
                      <w:rFonts w:hint="eastAsia"/>
                      <w:color w:val="auto"/>
                      <w:szCs w:val="21"/>
                      <w:lang w:val="en-US" w:eastAsia="zh-CN"/>
                    </w:rPr>
                    <w:t>0.2</w:t>
                  </w:r>
                  <w:r>
                    <w:rPr>
                      <w:color w:val="auto"/>
                      <w:szCs w:val="21"/>
                    </w:rPr>
                    <w:t>t</w:t>
                  </w:r>
                </w:p>
              </w:tc>
              <w:tc>
                <w:tcPr>
                  <w:tcW w:w="1524" w:type="pct"/>
                  <w:noWrap w:val="0"/>
                  <w:vAlign w:val="top"/>
                </w:tcPr>
                <w:p w14:paraId="2F350F7B">
                  <w:pPr>
                    <w:jc w:val="center"/>
                    <w:rPr>
                      <w:color w:val="auto"/>
                      <w:szCs w:val="21"/>
                    </w:rPr>
                  </w:pPr>
                  <w:r>
                    <w:rPr>
                      <w:color w:val="auto"/>
                      <w:szCs w:val="21"/>
                    </w:rPr>
                    <w:t>最大储存</w:t>
                  </w:r>
                  <w:r>
                    <w:rPr>
                      <w:rFonts w:hint="eastAsia"/>
                      <w:color w:val="auto"/>
                      <w:szCs w:val="21"/>
                    </w:rPr>
                    <w:t>0.</w:t>
                  </w:r>
                  <w:r>
                    <w:rPr>
                      <w:rFonts w:hint="eastAsia"/>
                      <w:color w:val="auto"/>
                      <w:szCs w:val="21"/>
                      <w:lang w:val="en-US" w:eastAsia="zh-CN"/>
                    </w:rPr>
                    <w:t>2</w:t>
                  </w:r>
                  <w:r>
                    <w:rPr>
                      <w:color w:val="auto"/>
                      <w:szCs w:val="21"/>
                    </w:rPr>
                    <w:t>t</w:t>
                  </w:r>
                </w:p>
              </w:tc>
            </w:tr>
            <w:tr w14:paraId="6059A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13" w:type="pct"/>
                  <w:noWrap w:val="0"/>
                  <w:vAlign w:val="center"/>
                </w:tcPr>
                <w:p w14:paraId="78BF6B8F">
                  <w:pPr>
                    <w:ind w:firstLine="210" w:firstLineChars="100"/>
                    <w:rPr>
                      <w:color w:val="auto"/>
                      <w:szCs w:val="21"/>
                    </w:rPr>
                  </w:pPr>
                  <w:r>
                    <w:rPr>
                      <w:color w:val="auto"/>
                      <w:szCs w:val="21"/>
                    </w:rPr>
                    <w:t>氧气</w:t>
                  </w:r>
                </w:p>
              </w:tc>
              <w:tc>
                <w:tcPr>
                  <w:tcW w:w="2007" w:type="pct"/>
                  <w:noWrap w:val="0"/>
                  <w:vAlign w:val="center"/>
                </w:tcPr>
                <w:p w14:paraId="4359B6DE">
                  <w:pPr>
                    <w:jc w:val="center"/>
                    <w:rPr>
                      <w:color w:val="auto"/>
                      <w:szCs w:val="21"/>
                    </w:rPr>
                  </w:pPr>
                  <w:r>
                    <w:rPr>
                      <w:rFonts w:hint="eastAsia"/>
                      <w:color w:val="auto"/>
                      <w:szCs w:val="21"/>
                    </w:rPr>
                    <w:t>钢瓶氧气</w:t>
                  </w:r>
                </w:p>
              </w:tc>
              <w:tc>
                <w:tcPr>
                  <w:tcW w:w="754" w:type="pct"/>
                  <w:noWrap w:val="0"/>
                  <w:vAlign w:val="center"/>
                </w:tcPr>
                <w:p w14:paraId="57022379">
                  <w:pPr>
                    <w:jc w:val="center"/>
                    <w:rPr>
                      <w:color w:val="auto"/>
                      <w:szCs w:val="21"/>
                    </w:rPr>
                  </w:pPr>
                  <w:r>
                    <w:rPr>
                      <w:color w:val="auto"/>
                      <w:szCs w:val="21"/>
                    </w:rPr>
                    <w:t>30m</w:t>
                  </w:r>
                  <w:r>
                    <w:rPr>
                      <w:color w:val="auto"/>
                      <w:szCs w:val="21"/>
                      <w:vertAlign w:val="superscript"/>
                    </w:rPr>
                    <w:t>3</w:t>
                  </w:r>
                </w:p>
              </w:tc>
              <w:tc>
                <w:tcPr>
                  <w:tcW w:w="1524" w:type="pct"/>
                  <w:noWrap w:val="0"/>
                  <w:vAlign w:val="center"/>
                </w:tcPr>
                <w:p w14:paraId="7E5F1B08">
                  <w:pPr>
                    <w:jc w:val="center"/>
                    <w:rPr>
                      <w:color w:val="auto"/>
                      <w:szCs w:val="21"/>
                    </w:rPr>
                  </w:pPr>
                  <w:r>
                    <w:rPr>
                      <w:color w:val="auto"/>
                      <w:szCs w:val="21"/>
                    </w:rPr>
                    <w:t>供氧站</w:t>
                  </w:r>
                  <w:r>
                    <w:rPr>
                      <w:rFonts w:hint="eastAsia"/>
                      <w:color w:val="auto"/>
                      <w:szCs w:val="21"/>
                    </w:rPr>
                    <w:t>，钢瓶氧气（每瓶80L）</w:t>
                  </w:r>
                </w:p>
              </w:tc>
            </w:tr>
          </w:tbl>
          <w:p w14:paraId="07051391">
            <w:pPr>
              <w:pStyle w:val="31"/>
              <w:jc w:val="both"/>
              <w:textAlignment w:val="auto"/>
              <w:rPr>
                <w:rFonts w:hint="eastAsia" w:ascii="Times New Roman" w:eastAsia="宋体" w:cs="Times New Roman"/>
                <w:b/>
                <w:color w:val="auto"/>
                <w:szCs w:val="21"/>
              </w:rPr>
            </w:pPr>
          </w:p>
          <w:p w14:paraId="77B61FC4">
            <w:pPr>
              <w:pStyle w:val="31"/>
              <w:jc w:val="both"/>
              <w:textAlignment w:val="auto"/>
              <w:rPr>
                <w:rFonts w:ascii="Times New Roman" w:eastAsia="宋体" w:cs="Times New Roman"/>
                <w:b/>
                <w:bCs/>
                <w:color w:val="auto"/>
              </w:rPr>
            </w:pPr>
            <w:r>
              <w:rPr>
                <w:rFonts w:hint="eastAsia" w:ascii="Times New Roman" w:eastAsia="宋体" w:cs="Times New Roman"/>
                <w:b/>
                <w:color w:val="auto"/>
                <w:szCs w:val="21"/>
              </w:rPr>
              <w:t>2.14</w:t>
            </w:r>
            <w:r>
              <w:rPr>
                <w:rFonts w:ascii="Times New Roman" w:eastAsia="宋体" w:cs="Times New Roman"/>
                <w:b/>
                <w:bCs/>
                <w:color w:val="auto"/>
              </w:rPr>
              <w:t>现有工程环保措施及污染物排放统计</w:t>
            </w:r>
          </w:p>
          <w:p w14:paraId="1BA260DF">
            <w:pPr>
              <w:adjustRightInd w:val="0"/>
              <w:snapToGrid w:val="0"/>
              <w:spacing w:line="360" w:lineRule="auto"/>
              <w:ind w:firstLine="480" w:firstLineChars="200"/>
              <w:rPr>
                <w:color w:val="auto"/>
                <w:sz w:val="24"/>
              </w:rPr>
            </w:pPr>
            <w:r>
              <w:rPr>
                <w:color w:val="auto"/>
                <w:sz w:val="24"/>
              </w:rPr>
              <w:t>本次评价原有项目建设内容</w:t>
            </w:r>
            <w:r>
              <w:rPr>
                <w:rFonts w:hint="eastAsia"/>
                <w:color w:val="auto"/>
                <w:sz w:val="24"/>
                <w:lang w:eastAsia="zh-CN"/>
              </w:rPr>
              <w:t>、</w:t>
            </w:r>
            <w:r>
              <w:rPr>
                <w:color w:val="auto"/>
                <w:sz w:val="24"/>
              </w:rPr>
              <w:t>产排污情况、“三本账”核算根据《</w:t>
            </w:r>
            <w:r>
              <w:rPr>
                <w:rFonts w:hint="eastAsia"/>
                <w:color w:val="auto"/>
                <w:sz w:val="24"/>
                <w:lang w:eastAsia="zh-CN"/>
              </w:rPr>
              <w:t>重庆同心医院</w:t>
            </w:r>
            <w:r>
              <w:rPr>
                <w:rFonts w:hint="eastAsia"/>
                <w:color w:val="auto"/>
                <w:sz w:val="24"/>
              </w:rPr>
              <w:t>项目环境影响报告</w:t>
            </w:r>
            <w:r>
              <w:rPr>
                <w:rFonts w:hint="eastAsia"/>
                <w:color w:val="auto"/>
                <w:sz w:val="24"/>
                <w:lang w:val="en-US" w:eastAsia="zh-CN"/>
              </w:rPr>
              <w:t>书</w:t>
            </w:r>
            <w:r>
              <w:rPr>
                <w:color w:val="auto"/>
                <w:sz w:val="24"/>
              </w:rPr>
              <w:t>》、《重庆市建设项目环境影响评价批准书》（</w:t>
            </w:r>
            <w:r>
              <w:rPr>
                <w:color w:val="auto"/>
                <w:kern w:val="0"/>
                <w:sz w:val="24"/>
                <w:lang w:bidi="ar"/>
              </w:rPr>
              <w:t>渝（九）环准</w:t>
            </w:r>
            <w:r>
              <w:rPr>
                <w:rFonts w:hint="eastAsia"/>
                <w:color w:val="auto"/>
                <w:kern w:val="0"/>
                <w:sz w:val="24"/>
                <w:lang w:eastAsia="zh-CN" w:bidi="ar"/>
              </w:rPr>
              <w:t>〔</w:t>
            </w:r>
            <w:r>
              <w:rPr>
                <w:color w:val="auto"/>
                <w:kern w:val="0"/>
                <w:sz w:val="24"/>
                <w:lang w:bidi="ar"/>
              </w:rPr>
              <w:t>201</w:t>
            </w:r>
            <w:r>
              <w:rPr>
                <w:rFonts w:hint="eastAsia"/>
                <w:color w:val="auto"/>
                <w:kern w:val="0"/>
                <w:sz w:val="24"/>
                <w:lang w:val="en-US" w:eastAsia="zh-CN" w:bidi="ar"/>
              </w:rPr>
              <w:t>4</w:t>
            </w:r>
            <w:r>
              <w:rPr>
                <w:rFonts w:hint="eastAsia"/>
                <w:color w:val="auto"/>
                <w:kern w:val="0"/>
                <w:sz w:val="24"/>
                <w:lang w:eastAsia="zh-CN" w:bidi="ar"/>
              </w:rPr>
              <w:t>〕</w:t>
            </w:r>
            <w:r>
              <w:rPr>
                <w:rFonts w:hint="eastAsia"/>
                <w:color w:val="auto"/>
                <w:kern w:val="0"/>
                <w:sz w:val="24"/>
                <w:lang w:val="en-US" w:eastAsia="zh-CN" w:bidi="ar"/>
              </w:rPr>
              <w:t>73</w:t>
            </w:r>
            <w:r>
              <w:rPr>
                <w:color w:val="auto"/>
                <w:kern w:val="0"/>
                <w:sz w:val="24"/>
                <w:lang w:bidi="ar"/>
              </w:rPr>
              <w:t>号</w:t>
            </w:r>
            <w:r>
              <w:rPr>
                <w:color w:val="auto"/>
                <w:sz w:val="24"/>
              </w:rPr>
              <w:t>、并结合</w:t>
            </w:r>
            <w:r>
              <w:rPr>
                <w:rFonts w:hint="eastAsia"/>
                <w:color w:val="auto"/>
                <w:sz w:val="24"/>
              </w:rPr>
              <w:t>院区</w:t>
            </w:r>
            <w:r>
              <w:rPr>
                <w:color w:val="auto"/>
                <w:sz w:val="24"/>
              </w:rPr>
              <w:t>实际建设内容、验收情况进行统计。</w:t>
            </w:r>
          </w:p>
          <w:p w14:paraId="29B0DEE9">
            <w:pPr>
              <w:pStyle w:val="7"/>
              <w:snapToGrid w:val="0"/>
              <w:spacing w:line="360" w:lineRule="auto"/>
              <w:ind w:left="0" w:firstLine="482" w:firstLineChars="200"/>
              <w:rPr>
                <w:color w:val="auto"/>
                <w:szCs w:val="24"/>
              </w:rPr>
            </w:pPr>
            <w:r>
              <w:rPr>
                <w:b/>
                <w:color w:val="auto"/>
                <w:szCs w:val="24"/>
              </w:rPr>
              <w:t>1）废气：</w:t>
            </w:r>
          </w:p>
          <w:p w14:paraId="3DC3ABAA">
            <w:pPr>
              <w:pStyle w:val="48"/>
              <w:adjustRightInd w:val="0"/>
              <w:snapToGrid w:val="0"/>
              <w:spacing w:line="360" w:lineRule="auto"/>
              <w:ind w:firstLine="461"/>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废水处理站臭气</w:t>
            </w:r>
          </w:p>
          <w:p w14:paraId="07FA1229">
            <w:pPr>
              <w:pStyle w:val="48"/>
              <w:adjustRightInd w:val="0"/>
              <w:snapToGrid w:val="0"/>
              <w:spacing w:line="360" w:lineRule="auto"/>
              <w:ind w:firstLine="461"/>
              <w:rPr>
                <w:rFonts w:hint="eastAsia"/>
                <w:color w:val="auto"/>
                <w:sz w:val="24"/>
                <w:lang w:val="en-US" w:eastAsia="zh-CN"/>
              </w:rPr>
            </w:pPr>
            <w:r>
              <w:rPr>
                <w:rFonts w:hint="eastAsia"/>
                <w:color w:val="auto"/>
                <w:sz w:val="24"/>
                <w:lang w:val="en-US" w:eastAsia="zh-CN"/>
              </w:rPr>
              <w:t>污水处理站臭气收集后经专用管道引至绿化带排放，未进行消毒吸附处理。</w:t>
            </w:r>
          </w:p>
          <w:tbl>
            <w:tblPr>
              <w:tblStyle w:val="26"/>
              <w:tblW w:w="3470" w:type="dxa"/>
              <w:tblInd w:w="21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0"/>
            </w:tblGrid>
            <w:tr w14:paraId="6F822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0" w:type="dxa"/>
                </w:tcPr>
                <w:p w14:paraId="63F8F3F8">
                  <w:pPr>
                    <w:pStyle w:val="48"/>
                    <w:adjustRightInd w:val="0"/>
                    <w:snapToGrid w:val="0"/>
                    <w:spacing w:line="360" w:lineRule="auto"/>
                    <w:jc w:val="center"/>
                    <w:rPr>
                      <w:color w:val="auto"/>
                      <w:vertAlign w:val="baseline"/>
                    </w:rPr>
                  </w:pPr>
                  <w:r>
                    <w:rPr>
                      <w:color w:val="auto"/>
                    </w:rPr>
                    <w:drawing>
                      <wp:inline distT="0" distB="0" distL="114300" distR="114300">
                        <wp:extent cx="1962785" cy="2195195"/>
                        <wp:effectExtent l="0" t="0" r="18415" b="1460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15"/>
                                <a:stretch>
                                  <a:fillRect/>
                                </a:stretch>
                              </pic:blipFill>
                              <pic:spPr>
                                <a:xfrm>
                                  <a:off x="0" y="0"/>
                                  <a:ext cx="1962785" cy="2195195"/>
                                </a:xfrm>
                                <a:prstGeom prst="rect">
                                  <a:avLst/>
                                </a:prstGeom>
                                <a:noFill/>
                                <a:ln>
                                  <a:noFill/>
                                </a:ln>
                              </pic:spPr>
                            </pic:pic>
                          </a:graphicData>
                        </a:graphic>
                      </wp:inline>
                    </w:drawing>
                  </w:r>
                </w:p>
              </w:tc>
            </w:tr>
            <w:tr w14:paraId="654F3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3470" w:type="dxa"/>
                </w:tcPr>
                <w:p w14:paraId="680E19F1">
                  <w:pPr>
                    <w:pStyle w:val="48"/>
                    <w:adjustRightInd w:val="0"/>
                    <w:snapToGrid w:val="0"/>
                    <w:spacing w:line="360" w:lineRule="auto"/>
                    <w:jc w:val="center"/>
                    <w:rPr>
                      <w:color w:val="auto"/>
                      <w:vertAlign w:val="baseline"/>
                    </w:rPr>
                  </w:pPr>
                  <w:r>
                    <w:rPr>
                      <w:rFonts w:hint="eastAsia"/>
                      <w:color w:val="auto"/>
                      <w:sz w:val="21"/>
                      <w:szCs w:val="21"/>
                      <w:lang w:val="en-US" w:eastAsia="zh-CN"/>
                    </w:rPr>
                    <w:t>经专用管道引至绿化带排放</w:t>
                  </w:r>
                </w:p>
              </w:tc>
            </w:tr>
          </w:tbl>
          <w:p w14:paraId="7A7AB0BA">
            <w:pPr>
              <w:pStyle w:val="48"/>
              <w:adjustRightInd w:val="0"/>
              <w:snapToGrid w:val="0"/>
              <w:spacing w:line="360" w:lineRule="auto"/>
              <w:ind w:firstLine="461"/>
              <w:rPr>
                <w:rFonts w:hint="default"/>
                <w:color w:val="auto"/>
                <w:sz w:val="24"/>
                <w:lang w:val="en-US" w:eastAsia="zh-CN"/>
              </w:rPr>
            </w:pPr>
            <w:r>
              <w:rPr>
                <w:rFonts w:hint="eastAsia"/>
                <w:color w:val="auto"/>
                <w:sz w:val="24"/>
                <w:lang w:val="en-US" w:eastAsia="zh-CN"/>
              </w:rPr>
              <w:t>根据重庆同心医院例行监测（渝朕环检字</w:t>
            </w:r>
            <w:r>
              <w:rPr>
                <w:rFonts w:hint="eastAsia"/>
                <w:color w:val="auto"/>
                <w:sz w:val="24"/>
                <w:lang w:eastAsia="zh-CN"/>
              </w:rPr>
              <w:t>〔</w:t>
            </w:r>
            <w:r>
              <w:rPr>
                <w:color w:val="auto"/>
                <w:sz w:val="24"/>
              </w:rPr>
              <w:t>20</w:t>
            </w:r>
            <w:r>
              <w:rPr>
                <w:rFonts w:hint="eastAsia"/>
                <w:color w:val="auto"/>
                <w:sz w:val="24"/>
                <w:lang w:val="en-US" w:eastAsia="zh-CN"/>
              </w:rPr>
              <w:t>24</w:t>
            </w:r>
            <w:r>
              <w:rPr>
                <w:rFonts w:hint="eastAsia"/>
                <w:color w:val="auto"/>
                <w:sz w:val="24"/>
                <w:lang w:eastAsia="zh-CN"/>
              </w:rPr>
              <w:t>〕</w:t>
            </w:r>
            <w:r>
              <w:rPr>
                <w:rFonts w:hint="eastAsia"/>
                <w:color w:val="auto"/>
                <w:sz w:val="24"/>
                <w:lang w:val="en-US" w:eastAsia="zh-CN"/>
              </w:rPr>
              <w:t>W0028-16号），可知，项目污水处理站无组织废气氨、硫化氢、甲烷、氯气和臭气均满足《医疗机构水污染物排放标准》（GB18466-2005）表3中标准限值。详见表2-14。</w:t>
            </w:r>
          </w:p>
          <w:p w14:paraId="075A9A03">
            <w:pPr>
              <w:pStyle w:val="67"/>
              <w:bidi w:val="0"/>
              <w:rPr>
                <w:rFonts w:hint="default" w:ascii="Times New Roman" w:hAnsi="Times New Roman" w:eastAsia="宋体" w:cs="Times New Roman"/>
                <w:b/>
                <w:color w:val="auto"/>
                <w:kern w:val="2"/>
                <w:sz w:val="21"/>
                <w:szCs w:val="21"/>
                <w:lang w:val="en-US" w:eastAsia="zh-CN" w:bidi="ar-SA"/>
              </w:rPr>
            </w:pPr>
            <w:r>
              <w:rPr>
                <w:rFonts w:ascii="Times New Roman" w:hAnsi="Times New Roman" w:eastAsia="宋体" w:cs="Times New Roman"/>
                <w:b/>
                <w:color w:val="auto"/>
                <w:kern w:val="2"/>
                <w:sz w:val="21"/>
                <w:szCs w:val="21"/>
                <w:lang w:val="en-US" w:eastAsia="zh-CN" w:bidi="ar-SA"/>
              </w:rPr>
              <w:t>表</w:t>
            </w:r>
            <w:r>
              <w:rPr>
                <w:rFonts w:hint="eastAsia" w:ascii="Times New Roman" w:hAnsi="Times New Roman" w:eastAsia="宋体" w:cs="Times New Roman"/>
                <w:b/>
                <w:color w:val="auto"/>
                <w:kern w:val="2"/>
                <w:sz w:val="21"/>
                <w:szCs w:val="21"/>
                <w:lang w:val="en-US" w:eastAsia="zh-CN" w:bidi="ar-SA"/>
              </w:rPr>
              <w:t>2-1</w:t>
            </w:r>
            <w:r>
              <w:rPr>
                <w:rFonts w:hint="eastAsia" w:cs="Times New Roman"/>
                <w:b/>
                <w:color w:val="auto"/>
                <w:kern w:val="2"/>
                <w:sz w:val="21"/>
                <w:szCs w:val="21"/>
                <w:lang w:val="en-US" w:eastAsia="zh-CN" w:bidi="ar-SA"/>
              </w:rPr>
              <w:t>4</w:t>
            </w:r>
            <w:r>
              <w:rPr>
                <w:rFonts w:hint="eastAsia" w:ascii="Times New Roman" w:hAnsi="Times New Roman" w:eastAsia="宋体" w:cs="Times New Roman"/>
                <w:b/>
                <w:color w:val="auto"/>
                <w:kern w:val="2"/>
                <w:sz w:val="21"/>
                <w:szCs w:val="21"/>
                <w:lang w:val="en-US" w:eastAsia="zh-CN" w:bidi="ar-SA"/>
              </w:rPr>
              <w:t xml:space="preserve"> 污水处理站废气监测</w:t>
            </w:r>
            <w:r>
              <w:rPr>
                <w:rFonts w:hint="eastAsia" w:cs="Times New Roman"/>
                <w:b/>
                <w:color w:val="auto"/>
                <w:kern w:val="2"/>
                <w:sz w:val="21"/>
                <w:szCs w:val="21"/>
                <w:lang w:val="en-US" w:eastAsia="zh-CN" w:bidi="ar-SA"/>
              </w:rPr>
              <w:t>一览表</w:t>
            </w:r>
          </w:p>
          <w:tbl>
            <w:tblPr>
              <w:tblStyle w:val="26"/>
              <w:tblW w:w="89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692"/>
              <w:gridCol w:w="958"/>
              <w:gridCol w:w="1005"/>
              <w:gridCol w:w="1035"/>
              <w:gridCol w:w="1065"/>
              <w:gridCol w:w="1245"/>
              <w:gridCol w:w="1185"/>
              <w:gridCol w:w="1080"/>
            </w:tblGrid>
            <w:tr w14:paraId="7C2E5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dxa"/>
                  <w:vMerge w:val="restart"/>
                  <w:noWrap w:val="0"/>
                  <w:vAlign w:val="center"/>
                </w:tcPr>
                <w:p w14:paraId="54A2A599">
                  <w:pPr>
                    <w:pStyle w:val="76"/>
                    <w:bidi w:val="0"/>
                    <w:jc w:val="center"/>
                    <w:rPr>
                      <w:rFonts w:hint="eastAsia"/>
                      <w:color w:val="auto"/>
                      <w:sz w:val="21"/>
                      <w:szCs w:val="20"/>
                      <w:lang w:eastAsia="zh-CN"/>
                    </w:rPr>
                  </w:pPr>
                  <w:r>
                    <w:rPr>
                      <w:rFonts w:hint="eastAsia"/>
                      <w:color w:val="auto"/>
                      <w:sz w:val="21"/>
                      <w:szCs w:val="20"/>
                      <w:lang w:eastAsia="zh-CN"/>
                    </w:rPr>
                    <w:t>检测时间</w:t>
                  </w:r>
                </w:p>
              </w:tc>
              <w:tc>
                <w:tcPr>
                  <w:tcW w:w="692" w:type="dxa"/>
                  <w:vMerge w:val="restart"/>
                  <w:noWrap w:val="0"/>
                  <w:vAlign w:val="center"/>
                </w:tcPr>
                <w:p w14:paraId="7D99A2B1">
                  <w:pPr>
                    <w:pStyle w:val="76"/>
                    <w:bidi w:val="0"/>
                    <w:jc w:val="center"/>
                    <w:rPr>
                      <w:rFonts w:hint="eastAsia"/>
                      <w:color w:val="auto"/>
                      <w:sz w:val="21"/>
                      <w:szCs w:val="20"/>
                      <w:lang w:eastAsia="zh-CN"/>
                    </w:rPr>
                  </w:pPr>
                  <w:r>
                    <w:rPr>
                      <w:rFonts w:hint="eastAsia"/>
                      <w:color w:val="auto"/>
                      <w:sz w:val="21"/>
                      <w:szCs w:val="20"/>
                      <w:lang w:eastAsia="zh-CN"/>
                    </w:rPr>
                    <w:t>检测点位</w:t>
                  </w:r>
                </w:p>
              </w:tc>
              <w:tc>
                <w:tcPr>
                  <w:tcW w:w="958" w:type="dxa"/>
                  <w:vMerge w:val="restart"/>
                  <w:noWrap w:val="0"/>
                  <w:vAlign w:val="center"/>
                </w:tcPr>
                <w:p w14:paraId="2232EFA3">
                  <w:pPr>
                    <w:pStyle w:val="76"/>
                    <w:bidi w:val="0"/>
                    <w:jc w:val="center"/>
                    <w:rPr>
                      <w:rFonts w:hint="eastAsia"/>
                      <w:color w:val="auto"/>
                      <w:sz w:val="21"/>
                      <w:szCs w:val="20"/>
                      <w:lang w:eastAsia="zh-CN"/>
                    </w:rPr>
                  </w:pPr>
                  <w:r>
                    <w:rPr>
                      <w:rFonts w:hint="eastAsia"/>
                      <w:color w:val="auto"/>
                      <w:sz w:val="21"/>
                      <w:szCs w:val="20"/>
                      <w:lang w:eastAsia="zh-CN"/>
                    </w:rPr>
                    <w:t>检测项目</w:t>
                  </w:r>
                </w:p>
              </w:tc>
              <w:tc>
                <w:tcPr>
                  <w:tcW w:w="1005" w:type="dxa"/>
                  <w:vMerge w:val="restart"/>
                  <w:noWrap w:val="0"/>
                  <w:vAlign w:val="center"/>
                </w:tcPr>
                <w:p w14:paraId="4401126E">
                  <w:pPr>
                    <w:pStyle w:val="76"/>
                    <w:bidi w:val="0"/>
                    <w:jc w:val="center"/>
                    <w:rPr>
                      <w:rFonts w:hint="eastAsia"/>
                      <w:color w:val="auto"/>
                      <w:sz w:val="21"/>
                      <w:szCs w:val="20"/>
                      <w:lang w:eastAsia="zh-CN"/>
                    </w:rPr>
                  </w:pPr>
                  <w:r>
                    <w:rPr>
                      <w:rFonts w:hint="eastAsia"/>
                      <w:color w:val="auto"/>
                      <w:sz w:val="21"/>
                      <w:szCs w:val="20"/>
                      <w:lang w:eastAsia="zh-CN"/>
                    </w:rPr>
                    <w:t>单位</w:t>
                  </w:r>
                </w:p>
              </w:tc>
              <w:tc>
                <w:tcPr>
                  <w:tcW w:w="4530" w:type="dxa"/>
                  <w:gridSpan w:val="4"/>
                  <w:noWrap w:val="0"/>
                  <w:vAlign w:val="center"/>
                </w:tcPr>
                <w:p w14:paraId="2D3D2A07">
                  <w:pPr>
                    <w:pStyle w:val="76"/>
                    <w:bidi w:val="0"/>
                    <w:jc w:val="center"/>
                    <w:rPr>
                      <w:rFonts w:hint="eastAsia"/>
                      <w:color w:val="auto"/>
                      <w:sz w:val="21"/>
                      <w:szCs w:val="20"/>
                      <w:lang w:eastAsia="zh-CN"/>
                    </w:rPr>
                  </w:pPr>
                  <w:r>
                    <w:rPr>
                      <w:rFonts w:hint="eastAsia"/>
                      <w:color w:val="auto"/>
                      <w:sz w:val="21"/>
                      <w:szCs w:val="20"/>
                      <w:lang w:eastAsia="zh-CN"/>
                    </w:rPr>
                    <w:t>检测频次</w:t>
                  </w:r>
                </w:p>
              </w:tc>
              <w:tc>
                <w:tcPr>
                  <w:tcW w:w="1080" w:type="dxa"/>
                  <w:noWrap w:val="0"/>
                  <w:vAlign w:val="center"/>
                </w:tcPr>
                <w:p w14:paraId="063F5073">
                  <w:pPr>
                    <w:pStyle w:val="76"/>
                    <w:bidi w:val="0"/>
                    <w:jc w:val="center"/>
                    <w:rPr>
                      <w:rFonts w:hint="eastAsia"/>
                      <w:color w:val="auto"/>
                      <w:sz w:val="21"/>
                      <w:szCs w:val="20"/>
                      <w:lang w:eastAsia="zh-CN"/>
                    </w:rPr>
                  </w:pPr>
                </w:p>
              </w:tc>
            </w:tr>
            <w:tr w14:paraId="7B9F5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6" w:type="dxa"/>
                  <w:vMerge w:val="continue"/>
                  <w:noWrap w:val="0"/>
                  <w:vAlign w:val="center"/>
                </w:tcPr>
                <w:p w14:paraId="325967E4">
                  <w:pPr>
                    <w:pStyle w:val="76"/>
                    <w:bidi w:val="0"/>
                    <w:jc w:val="center"/>
                    <w:rPr>
                      <w:rFonts w:hint="eastAsia"/>
                      <w:color w:val="auto"/>
                      <w:sz w:val="21"/>
                      <w:szCs w:val="20"/>
                      <w:lang w:eastAsia="zh-CN"/>
                    </w:rPr>
                  </w:pPr>
                </w:p>
              </w:tc>
              <w:tc>
                <w:tcPr>
                  <w:tcW w:w="692" w:type="dxa"/>
                  <w:vMerge w:val="continue"/>
                  <w:noWrap w:val="0"/>
                  <w:vAlign w:val="center"/>
                </w:tcPr>
                <w:p w14:paraId="16308851">
                  <w:pPr>
                    <w:pStyle w:val="76"/>
                    <w:bidi w:val="0"/>
                    <w:jc w:val="center"/>
                    <w:rPr>
                      <w:rFonts w:hint="eastAsia"/>
                      <w:color w:val="auto"/>
                      <w:sz w:val="21"/>
                      <w:szCs w:val="20"/>
                      <w:lang w:eastAsia="zh-CN"/>
                    </w:rPr>
                  </w:pPr>
                </w:p>
              </w:tc>
              <w:tc>
                <w:tcPr>
                  <w:tcW w:w="958" w:type="dxa"/>
                  <w:vMerge w:val="continue"/>
                  <w:noWrap w:val="0"/>
                  <w:vAlign w:val="center"/>
                </w:tcPr>
                <w:p w14:paraId="72CF4A1A">
                  <w:pPr>
                    <w:pStyle w:val="76"/>
                    <w:bidi w:val="0"/>
                    <w:jc w:val="center"/>
                    <w:rPr>
                      <w:rFonts w:hint="eastAsia"/>
                      <w:color w:val="auto"/>
                      <w:sz w:val="21"/>
                      <w:szCs w:val="20"/>
                      <w:lang w:eastAsia="zh-CN"/>
                    </w:rPr>
                  </w:pPr>
                </w:p>
              </w:tc>
              <w:tc>
                <w:tcPr>
                  <w:tcW w:w="1005" w:type="dxa"/>
                  <w:vMerge w:val="continue"/>
                  <w:noWrap w:val="0"/>
                  <w:vAlign w:val="center"/>
                </w:tcPr>
                <w:p w14:paraId="4344B423">
                  <w:pPr>
                    <w:pStyle w:val="76"/>
                    <w:bidi w:val="0"/>
                    <w:jc w:val="center"/>
                    <w:rPr>
                      <w:rFonts w:hint="eastAsia"/>
                      <w:color w:val="auto"/>
                      <w:sz w:val="21"/>
                      <w:szCs w:val="20"/>
                      <w:lang w:eastAsia="zh-CN"/>
                    </w:rPr>
                  </w:pPr>
                </w:p>
              </w:tc>
              <w:tc>
                <w:tcPr>
                  <w:tcW w:w="1035" w:type="dxa"/>
                  <w:noWrap w:val="0"/>
                  <w:vAlign w:val="center"/>
                </w:tcPr>
                <w:p w14:paraId="5DC26860">
                  <w:pPr>
                    <w:pStyle w:val="76"/>
                    <w:bidi w:val="0"/>
                    <w:jc w:val="center"/>
                    <w:rPr>
                      <w:rFonts w:hint="eastAsia"/>
                      <w:color w:val="auto"/>
                      <w:sz w:val="21"/>
                      <w:szCs w:val="20"/>
                      <w:lang w:eastAsia="zh-CN"/>
                    </w:rPr>
                  </w:pPr>
                  <w:r>
                    <w:rPr>
                      <w:rFonts w:hint="eastAsia"/>
                      <w:color w:val="auto"/>
                      <w:sz w:val="21"/>
                      <w:szCs w:val="20"/>
                      <w:lang w:eastAsia="zh-CN"/>
                    </w:rPr>
                    <w:t>第一次</w:t>
                  </w:r>
                </w:p>
              </w:tc>
              <w:tc>
                <w:tcPr>
                  <w:tcW w:w="1065" w:type="dxa"/>
                  <w:noWrap w:val="0"/>
                  <w:vAlign w:val="center"/>
                </w:tcPr>
                <w:p w14:paraId="28A87A0F">
                  <w:pPr>
                    <w:pStyle w:val="76"/>
                    <w:bidi w:val="0"/>
                    <w:jc w:val="center"/>
                    <w:rPr>
                      <w:rFonts w:hint="eastAsia"/>
                      <w:color w:val="auto"/>
                      <w:sz w:val="21"/>
                      <w:szCs w:val="20"/>
                      <w:lang w:eastAsia="zh-CN"/>
                    </w:rPr>
                  </w:pPr>
                  <w:r>
                    <w:rPr>
                      <w:rFonts w:hint="eastAsia"/>
                      <w:color w:val="auto"/>
                      <w:sz w:val="21"/>
                      <w:szCs w:val="20"/>
                      <w:lang w:eastAsia="zh-CN"/>
                    </w:rPr>
                    <w:t>第二次</w:t>
                  </w:r>
                </w:p>
              </w:tc>
              <w:tc>
                <w:tcPr>
                  <w:tcW w:w="1245" w:type="dxa"/>
                  <w:noWrap w:val="0"/>
                  <w:vAlign w:val="center"/>
                </w:tcPr>
                <w:p w14:paraId="3BA3A1E9">
                  <w:pPr>
                    <w:pStyle w:val="76"/>
                    <w:bidi w:val="0"/>
                    <w:jc w:val="center"/>
                    <w:rPr>
                      <w:rFonts w:hint="eastAsia"/>
                      <w:color w:val="auto"/>
                      <w:sz w:val="21"/>
                      <w:szCs w:val="20"/>
                      <w:lang w:eastAsia="zh-CN"/>
                    </w:rPr>
                  </w:pPr>
                  <w:r>
                    <w:rPr>
                      <w:rFonts w:hint="eastAsia"/>
                      <w:color w:val="auto"/>
                      <w:sz w:val="21"/>
                      <w:szCs w:val="20"/>
                      <w:lang w:eastAsia="zh-CN"/>
                    </w:rPr>
                    <w:t>第三次</w:t>
                  </w:r>
                </w:p>
              </w:tc>
              <w:tc>
                <w:tcPr>
                  <w:tcW w:w="1185" w:type="dxa"/>
                  <w:noWrap w:val="0"/>
                  <w:vAlign w:val="center"/>
                </w:tcPr>
                <w:p w14:paraId="771727D4">
                  <w:pPr>
                    <w:pStyle w:val="76"/>
                    <w:bidi w:val="0"/>
                    <w:jc w:val="center"/>
                    <w:rPr>
                      <w:rFonts w:hint="eastAsia"/>
                      <w:color w:val="auto"/>
                      <w:sz w:val="21"/>
                      <w:szCs w:val="20"/>
                      <w:lang w:eastAsia="zh-CN"/>
                    </w:rPr>
                  </w:pPr>
                  <w:r>
                    <w:rPr>
                      <w:rFonts w:hint="eastAsia"/>
                      <w:color w:val="auto"/>
                      <w:sz w:val="21"/>
                      <w:szCs w:val="20"/>
                      <w:lang w:eastAsia="zh-CN"/>
                    </w:rPr>
                    <w:t>第</w:t>
                  </w:r>
                  <w:r>
                    <w:rPr>
                      <w:rFonts w:hint="eastAsia"/>
                      <w:color w:val="auto"/>
                      <w:sz w:val="21"/>
                      <w:szCs w:val="20"/>
                      <w:lang w:val="en-US" w:eastAsia="zh-CN"/>
                    </w:rPr>
                    <w:t>四</w:t>
                  </w:r>
                  <w:r>
                    <w:rPr>
                      <w:rFonts w:hint="eastAsia"/>
                      <w:color w:val="auto"/>
                      <w:sz w:val="21"/>
                      <w:szCs w:val="20"/>
                      <w:lang w:eastAsia="zh-CN"/>
                    </w:rPr>
                    <w:t>次</w:t>
                  </w:r>
                </w:p>
              </w:tc>
              <w:tc>
                <w:tcPr>
                  <w:tcW w:w="1080" w:type="dxa"/>
                  <w:noWrap w:val="0"/>
                  <w:vAlign w:val="center"/>
                </w:tcPr>
                <w:p w14:paraId="4D03E51B">
                  <w:pPr>
                    <w:pStyle w:val="76"/>
                    <w:bidi w:val="0"/>
                    <w:jc w:val="center"/>
                    <w:rPr>
                      <w:rFonts w:hint="eastAsia"/>
                      <w:color w:val="auto"/>
                      <w:sz w:val="21"/>
                      <w:szCs w:val="20"/>
                      <w:lang w:eastAsia="zh-CN"/>
                    </w:rPr>
                  </w:pPr>
                  <w:r>
                    <w:rPr>
                      <w:rFonts w:hint="eastAsia"/>
                      <w:color w:val="auto"/>
                      <w:sz w:val="21"/>
                      <w:szCs w:val="20"/>
                      <w:lang w:eastAsia="zh-CN"/>
                    </w:rPr>
                    <w:t>标准</w:t>
                  </w:r>
                </w:p>
                <w:p w14:paraId="26BD15A8">
                  <w:pPr>
                    <w:pStyle w:val="76"/>
                    <w:bidi w:val="0"/>
                    <w:jc w:val="center"/>
                    <w:rPr>
                      <w:rFonts w:hint="eastAsia"/>
                      <w:color w:val="auto"/>
                      <w:sz w:val="21"/>
                      <w:szCs w:val="20"/>
                      <w:lang w:eastAsia="zh-CN"/>
                    </w:rPr>
                  </w:pPr>
                  <w:r>
                    <w:rPr>
                      <w:rFonts w:hint="eastAsia"/>
                      <w:color w:val="auto"/>
                      <w:sz w:val="21"/>
                      <w:szCs w:val="20"/>
                      <w:lang w:eastAsia="zh-CN"/>
                    </w:rPr>
                    <w:t>限值</w:t>
                  </w:r>
                </w:p>
              </w:tc>
            </w:tr>
            <w:tr w14:paraId="66333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686" w:type="dxa"/>
                  <w:vMerge w:val="restart"/>
                  <w:noWrap w:val="0"/>
                  <w:vAlign w:val="center"/>
                </w:tcPr>
                <w:p w14:paraId="70721911">
                  <w:pPr>
                    <w:pStyle w:val="76"/>
                    <w:bidi w:val="0"/>
                    <w:jc w:val="center"/>
                    <w:rPr>
                      <w:rFonts w:hint="default"/>
                      <w:color w:val="auto"/>
                      <w:sz w:val="21"/>
                      <w:szCs w:val="20"/>
                      <w:lang w:val="en-US" w:eastAsia="zh-CN"/>
                    </w:rPr>
                  </w:pPr>
                  <w:r>
                    <w:rPr>
                      <w:rFonts w:hint="eastAsia"/>
                      <w:color w:val="auto"/>
                      <w:sz w:val="21"/>
                      <w:szCs w:val="20"/>
                      <w:lang w:val="en-US" w:eastAsia="zh-CN"/>
                    </w:rPr>
                    <w:t>2024.05.17</w:t>
                  </w:r>
                </w:p>
              </w:tc>
              <w:tc>
                <w:tcPr>
                  <w:tcW w:w="692" w:type="dxa"/>
                  <w:vMerge w:val="restart"/>
                  <w:noWrap w:val="0"/>
                  <w:vAlign w:val="center"/>
                </w:tcPr>
                <w:p w14:paraId="2ABC2DB7">
                  <w:pPr>
                    <w:pStyle w:val="76"/>
                    <w:bidi w:val="0"/>
                    <w:jc w:val="center"/>
                    <w:rPr>
                      <w:rFonts w:hint="default"/>
                      <w:color w:val="auto"/>
                      <w:sz w:val="21"/>
                      <w:szCs w:val="20"/>
                      <w:lang w:val="en-US" w:eastAsia="zh-CN"/>
                    </w:rPr>
                  </w:pPr>
                  <w:r>
                    <w:rPr>
                      <w:rFonts w:hint="eastAsia"/>
                      <w:color w:val="auto"/>
                      <w:sz w:val="21"/>
                      <w:szCs w:val="20"/>
                      <w:lang w:val="en-US" w:eastAsia="zh-CN"/>
                    </w:rPr>
                    <w:t>污水处理站旁</w:t>
                  </w:r>
                </w:p>
              </w:tc>
              <w:tc>
                <w:tcPr>
                  <w:tcW w:w="958" w:type="dxa"/>
                  <w:noWrap w:val="0"/>
                  <w:vAlign w:val="center"/>
                </w:tcPr>
                <w:p w14:paraId="540D7475">
                  <w:pPr>
                    <w:pStyle w:val="76"/>
                    <w:bidi w:val="0"/>
                    <w:jc w:val="center"/>
                    <w:rPr>
                      <w:rFonts w:hint="default"/>
                      <w:color w:val="auto"/>
                      <w:sz w:val="21"/>
                      <w:szCs w:val="20"/>
                      <w:lang w:val="en-US" w:eastAsia="zh-CN"/>
                    </w:rPr>
                  </w:pPr>
                  <w:r>
                    <w:rPr>
                      <w:rFonts w:hint="eastAsia"/>
                      <w:color w:val="auto"/>
                      <w:sz w:val="21"/>
                      <w:szCs w:val="20"/>
                      <w:lang w:val="en-US" w:eastAsia="zh-CN"/>
                    </w:rPr>
                    <w:t>氨</w:t>
                  </w:r>
                </w:p>
              </w:tc>
              <w:tc>
                <w:tcPr>
                  <w:tcW w:w="1005" w:type="dxa"/>
                  <w:noWrap w:val="0"/>
                  <w:vAlign w:val="center"/>
                </w:tcPr>
                <w:p w14:paraId="4F39BBA0">
                  <w:pPr>
                    <w:pStyle w:val="76"/>
                    <w:bidi w:val="0"/>
                    <w:jc w:val="center"/>
                    <w:rPr>
                      <w:rFonts w:hint="default"/>
                      <w:color w:val="auto"/>
                      <w:sz w:val="21"/>
                      <w:szCs w:val="20"/>
                      <w:lang w:val="en-US" w:eastAsia="zh-CN"/>
                    </w:rPr>
                  </w:pPr>
                  <w:r>
                    <w:rPr>
                      <w:rFonts w:hint="eastAsia"/>
                      <w:color w:val="auto"/>
                      <w:sz w:val="21"/>
                      <w:szCs w:val="20"/>
                      <w:lang w:val="en-US" w:eastAsia="zh-CN"/>
                    </w:rPr>
                    <w:t>mg/m</w:t>
                  </w:r>
                  <w:r>
                    <w:rPr>
                      <w:rFonts w:hint="eastAsia"/>
                      <w:color w:val="auto"/>
                      <w:sz w:val="21"/>
                      <w:szCs w:val="20"/>
                      <w:vertAlign w:val="superscript"/>
                      <w:lang w:val="en-US" w:eastAsia="zh-CN"/>
                    </w:rPr>
                    <w:t>3</w:t>
                  </w:r>
                </w:p>
              </w:tc>
              <w:tc>
                <w:tcPr>
                  <w:tcW w:w="1035" w:type="dxa"/>
                  <w:noWrap w:val="0"/>
                  <w:vAlign w:val="center"/>
                </w:tcPr>
                <w:p w14:paraId="38C3A7CE">
                  <w:pPr>
                    <w:pStyle w:val="76"/>
                    <w:bidi w:val="0"/>
                    <w:jc w:val="center"/>
                    <w:rPr>
                      <w:rFonts w:hint="default" w:eastAsia="宋体"/>
                      <w:color w:val="auto"/>
                      <w:sz w:val="21"/>
                      <w:szCs w:val="20"/>
                      <w:lang w:val="en-US" w:eastAsia="zh-CN"/>
                    </w:rPr>
                  </w:pPr>
                  <w:r>
                    <w:rPr>
                      <w:rFonts w:hint="eastAsia"/>
                      <w:color w:val="auto"/>
                      <w:sz w:val="21"/>
                      <w:szCs w:val="20"/>
                      <w:lang w:val="en-US" w:eastAsia="zh-CN"/>
                    </w:rPr>
                    <w:t>0.07</w:t>
                  </w:r>
                </w:p>
              </w:tc>
              <w:tc>
                <w:tcPr>
                  <w:tcW w:w="1065" w:type="dxa"/>
                  <w:noWrap w:val="0"/>
                  <w:vAlign w:val="center"/>
                </w:tcPr>
                <w:p w14:paraId="6ADE6106">
                  <w:pPr>
                    <w:pStyle w:val="76"/>
                    <w:bidi w:val="0"/>
                    <w:jc w:val="center"/>
                    <w:rPr>
                      <w:rFonts w:hint="default" w:eastAsia="宋体"/>
                      <w:color w:val="auto"/>
                      <w:sz w:val="21"/>
                      <w:szCs w:val="20"/>
                      <w:lang w:val="en-US" w:eastAsia="zh-CN"/>
                    </w:rPr>
                  </w:pPr>
                  <w:r>
                    <w:rPr>
                      <w:rFonts w:hint="eastAsia"/>
                      <w:color w:val="auto"/>
                      <w:sz w:val="21"/>
                      <w:szCs w:val="20"/>
                      <w:lang w:val="en-US" w:eastAsia="zh-CN"/>
                    </w:rPr>
                    <w:t>0.13</w:t>
                  </w:r>
                </w:p>
              </w:tc>
              <w:tc>
                <w:tcPr>
                  <w:tcW w:w="1245" w:type="dxa"/>
                  <w:noWrap w:val="0"/>
                  <w:vAlign w:val="center"/>
                </w:tcPr>
                <w:p w14:paraId="7E30CD00">
                  <w:pPr>
                    <w:pStyle w:val="76"/>
                    <w:bidi w:val="0"/>
                    <w:jc w:val="center"/>
                    <w:rPr>
                      <w:rFonts w:hint="default" w:eastAsia="宋体"/>
                      <w:color w:val="auto"/>
                      <w:sz w:val="21"/>
                      <w:szCs w:val="20"/>
                      <w:lang w:val="en-US" w:eastAsia="zh-CN"/>
                    </w:rPr>
                  </w:pPr>
                  <w:r>
                    <w:rPr>
                      <w:rFonts w:hint="eastAsia"/>
                      <w:color w:val="auto"/>
                      <w:sz w:val="21"/>
                      <w:szCs w:val="20"/>
                      <w:lang w:val="en-US" w:eastAsia="zh-CN"/>
                    </w:rPr>
                    <w:t>0.10</w:t>
                  </w:r>
                </w:p>
              </w:tc>
              <w:tc>
                <w:tcPr>
                  <w:tcW w:w="1185" w:type="dxa"/>
                  <w:noWrap w:val="0"/>
                  <w:vAlign w:val="center"/>
                </w:tcPr>
                <w:p w14:paraId="19BD4935">
                  <w:pPr>
                    <w:pStyle w:val="76"/>
                    <w:bidi w:val="0"/>
                    <w:jc w:val="center"/>
                    <w:rPr>
                      <w:rFonts w:hint="default" w:eastAsia="宋体"/>
                      <w:color w:val="auto"/>
                      <w:sz w:val="21"/>
                      <w:szCs w:val="20"/>
                      <w:lang w:val="en-US" w:eastAsia="zh-CN"/>
                    </w:rPr>
                  </w:pPr>
                  <w:r>
                    <w:rPr>
                      <w:rFonts w:hint="eastAsia" w:eastAsia="宋体"/>
                      <w:color w:val="auto"/>
                      <w:sz w:val="21"/>
                      <w:szCs w:val="20"/>
                      <w:lang w:val="en-US" w:eastAsia="zh-CN"/>
                    </w:rPr>
                    <w:t>0.06</w:t>
                  </w:r>
                </w:p>
              </w:tc>
              <w:tc>
                <w:tcPr>
                  <w:tcW w:w="1080" w:type="dxa"/>
                  <w:noWrap w:val="0"/>
                  <w:vAlign w:val="center"/>
                </w:tcPr>
                <w:p w14:paraId="3693BABF">
                  <w:pPr>
                    <w:pStyle w:val="76"/>
                    <w:bidi w:val="0"/>
                    <w:jc w:val="center"/>
                    <w:rPr>
                      <w:rFonts w:hint="default" w:eastAsia="宋体"/>
                      <w:color w:val="auto"/>
                      <w:sz w:val="21"/>
                      <w:szCs w:val="20"/>
                      <w:lang w:val="en-US" w:eastAsia="zh-CN"/>
                    </w:rPr>
                  </w:pPr>
                  <w:r>
                    <w:rPr>
                      <w:rFonts w:hint="eastAsia" w:eastAsia="宋体"/>
                      <w:color w:val="auto"/>
                      <w:sz w:val="21"/>
                      <w:szCs w:val="20"/>
                      <w:lang w:val="en-US" w:eastAsia="zh-CN"/>
                    </w:rPr>
                    <w:t>1.0</w:t>
                  </w:r>
                </w:p>
              </w:tc>
            </w:tr>
            <w:tr w14:paraId="3EEA2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686" w:type="dxa"/>
                  <w:vMerge w:val="continue"/>
                  <w:noWrap w:val="0"/>
                  <w:vAlign w:val="center"/>
                </w:tcPr>
                <w:p w14:paraId="1D477E65">
                  <w:pPr>
                    <w:pStyle w:val="76"/>
                    <w:bidi w:val="0"/>
                    <w:jc w:val="center"/>
                    <w:rPr>
                      <w:rFonts w:hint="eastAsia"/>
                      <w:color w:val="auto"/>
                      <w:sz w:val="21"/>
                      <w:szCs w:val="20"/>
                      <w:lang w:val="en-US" w:eastAsia="zh-CN"/>
                    </w:rPr>
                  </w:pPr>
                </w:p>
              </w:tc>
              <w:tc>
                <w:tcPr>
                  <w:tcW w:w="692" w:type="dxa"/>
                  <w:vMerge w:val="continue"/>
                  <w:noWrap w:val="0"/>
                  <w:vAlign w:val="center"/>
                </w:tcPr>
                <w:p w14:paraId="4D5E19CC">
                  <w:pPr>
                    <w:pStyle w:val="76"/>
                    <w:bidi w:val="0"/>
                    <w:jc w:val="center"/>
                    <w:rPr>
                      <w:rFonts w:hint="eastAsia"/>
                      <w:color w:val="auto"/>
                      <w:sz w:val="21"/>
                      <w:szCs w:val="20"/>
                      <w:lang w:val="en-US" w:eastAsia="zh-CN"/>
                    </w:rPr>
                  </w:pPr>
                </w:p>
              </w:tc>
              <w:tc>
                <w:tcPr>
                  <w:tcW w:w="958" w:type="dxa"/>
                  <w:noWrap w:val="0"/>
                  <w:vAlign w:val="center"/>
                </w:tcPr>
                <w:p w14:paraId="70CB2D75">
                  <w:pPr>
                    <w:pStyle w:val="76"/>
                    <w:bidi w:val="0"/>
                    <w:ind w:firstLine="0" w:firstLineChars="0"/>
                    <w:jc w:val="center"/>
                    <w:rPr>
                      <w:rFonts w:hint="eastAsia"/>
                      <w:color w:val="auto"/>
                      <w:kern w:val="2"/>
                      <w:sz w:val="21"/>
                      <w:szCs w:val="20"/>
                      <w:lang w:val="en-US" w:eastAsia="zh-CN" w:bidi="ar-SA"/>
                    </w:rPr>
                  </w:pPr>
                  <w:r>
                    <w:rPr>
                      <w:rFonts w:hint="eastAsia"/>
                      <w:color w:val="auto"/>
                      <w:sz w:val="21"/>
                      <w:szCs w:val="20"/>
                      <w:lang w:val="en-US" w:eastAsia="zh-CN"/>
                    </w:rPr>
                    <w:t>硫化氢</w:t>
                  </w:r>
                </w:p>
              </w:tc>
              <w:tc>
                <w:tcPr>
                  <w:tcW w:w="1005" w:type="dxa"/>
                  <w:noWrap w:val="0"/>
                  <w:vAlign w:val="center"/>
                </w:tcPr>
                <w:p w14:paraId="078C57A2">
                  <w:pPr>
                    <w:pStyle w:val="76"/>
                    <w:bidi w:val="0"/>
                    <w:ind w:firstLine="0" w:firstLineChars="0"/>
                    <w:jc w:val="center"/>
                    <w:rPr>
                      <w:rFonts w:hint="default"/>
                      <w:color w:val="auto"/>
                      <w:kern w:val="2"/>
                      <w:sz w:val="21"/>
                      <w:szCs w:val="20"/>
                      <w:lang w:val="en-US" w:eastAsia="zh-CN" w:bidi="ar-SA"/>
                    </w:rPr>
                  </w:pPr>
                  <w:r>
                    <w:rPr>
                      <w:rFonts w:hint="eastAsia"/>
                      <w:color w:val="auto"/>
                      <w:sz w:val="21"/>
                      <w:szCs w:val="20"/>
                      <w:lang w:val="en-US" w:eastAsia="zh-CN"/>
                    </w:rPr>
                    <w:t>mg/m</w:t>
                  </w:r>
                  <w:r>
                    <w:rPr>
                      <w:rFonts w:hint="eastAsia"/>
                      <w:color w:val="auto"/>
                      <w:sz w:val="21"/>
                      <w:szCs w:val="20"/>
                      <w:vertAlign w:val="superscript"/>
                      <w:lang w:val="en-US" w:eastAsia="zh-CN"/>
                    </w:rPr>
                    <w:t>3</w:t>
                  </w:r>
                </w:p>
              </w:tc>
              <w:tc>
                <w:tcPr>
                  <w:tcW w:w="1035" w:type="dxa"/>
                  <w:noWrap w:val="0"/>
                  <w:vAlign w:val="center"/>
                </w:tcPr>
                <w:p w14:paraId="265996BA">
                  <w:pPr>
                    <w:pStyle w:val="76"/>
                    <w:bidi w:val="0"/>
                    <w:ind w:firstLine="0" w:firstLineChars="0"/>
                    <w:jc w:val="center"/>
                    <w:rPr>
                      <w:rFonts w:hint="default" w:eastAsia="宋体"/>
                      <w:color w:val="auto"/>
                      <w:kern w:val="2"/>
                      <w:sz w:val="21"/>
                      <w:szCs w:val="20"/>
                      <w:lang w:val="en-US" w:eastAsia="zh-CN" w:bidi="ar-SA"/>
                    </w:rPr>
                  </w:pPr>
                  <w:r>
                    <w:rPr>
                      <w:rFonts w:hint="eastAsia"/>
                      <w:color w:val="auto"/>
                      <w:sz w:val="21"/>
                      <w:szCs w:val="20"/>
                      <w:lang w:val="en-US" w:eastAsia="zh-CN"/>
                    </w:rPr>
                    <w:t>0.0025</w:t>
                  </w:r>
                </w:p>
              </w:tc>
              <w:tc>
                <w:tcPr>
                  <w:tcW w:w="1065" w:type="dxa"/>
                  <w:noWrap w:val="0"/>
                  <w:vAlign w:val="center"/>
                </w:tcPr>
                <w:p w14:paraId="4BB4ECAE">
                  <w:pPr>
                    <w:pStyle w:val="76"/>
                    <w:bidi w:val="0"/>
                    <w:ind w:firstLine="0" w:firstLineChars="0"/>
                    <w:jc w:val="center"/>
                    <w:rPr>
                      <w:rFonts w:hint="default" w:eastAsia="宋体"/>
                      <w:color w:val="auto"/>
                      <w:kern w:val="2"/>
                      <w:sz w:val="21"/>
                      <w:szCs w:val="20"/>
                      <w:lang w:val="en-US" w:eastAsia="zh-CN" w:bidi="ar-SA"/>
                    </w:rPr>
                  </w:pPr>
                  <w:r>
                    <w:rPr>
                      <w:rFonts w:hint="eastAsia"/>
                      <w:color w:val="auto"/>
                      <w:sz w:val="21"/>
                      <w:szCs w:val="20"/>
                      <w:lang w:val="en-US" w:eastAsia="zh-CN"/>
                    </w:rPr>
                    <w:t>0.0036</w:t>
                  </w:r>
                </w:p>
              </w:tc>
              <w:tc>
                <w:tcPr>
                  <w:tcW w:w="1245" w:type="dxa"/>
                  <w:noWrap w:val="0"/>
                  <w:vAlign w:val="center"/>
                </w:tcPr>
                <w:p w14:paraId="6BB04ABF">
                  <w:pPr>
                    <w:pStyle w:val="76"/>
                    <w:bidi w:val="0"/>
                    <w:ind w:firstLine="0" w:firstLineChars="0"/>
                    <w:jc w:val="center"/>
                    <w:rPr>
                      <w:rFonts w:hint="default" w:eastAsia="宋体"/>
                      <w:color w:val="auto"/>
                      <w:kern w:val="2"/>
                      <w:sz w:val="21"/>
                      <w:szCs w:val="20"/>
                      <w:lang w:val="en-US" w:eastAsia="zh-CN" w:bidi="ar-SA"/>
                    </w:rPr>
                  </w:pPr>
                  <w:r>
                    <w:rPr>
                      <w:rFonts w:hint="eastAsia"/>
                      <w:color w:val="auto"/>
                      <w:sz w:val="21"/>
                      <w:szCs w:val="20"/>
                      <w:lang w:val="en-US" w:eastAsia="zh-CN"/>
                    </w:rPr>
                    <w:t>0.00572</w:t>
                  </w:r>
                </w:p>
              </w:tc>
              <w:tc>
                <w:tcPr>
                  <w:tcW w:w="1185" w:type="dxa"/>
                  <w:noWrap w:val="0"/>
                  <w:vAlign w:val="center"/>
                </w:tcPr>
                <w:p w14:paraId="738F7D8F">
                  <w:pPr>
                    <w:pStyle w:val="76"/>
                    <w:bidi w:val="0"/>
                    <w:ind w:firstLine="0" w:firstLineChars="0"/>
                    <w:jc w:val="center"/>
                    <w:rPr>
                      <w:rFonts w:hint="default" w:eastAsia="宋体"/>
                      <w:color w:val="auto"/>
                      <w:kern w:val="2"/>
                      <w:sz w:val="21"/>
                      <w:szCs w:val="20"/>
                      <w:lang w:val="en-US" w:eastAsia="zh-CN" w:bidi="ar-SA"/>
                    </w:rPr>
                  </w:pPr>
                  <w:r>
                    <w:rPr>
                      <w:rFonts w:hint="eastAsia"/>
                      <w:color w:val="auto"/>
                      <w:sz w:val="21"/>
                      <w:szCs w:val="20"/>
                      <w:lang w:val="en-US" w:eastAsia="zh-CN"/>
                    </w:rPr>
                    <w:t>0.00418</w:t>
                  </w:r>
                </w:p>
              </w:tc>
              <w:tc>
                <w:tcPr>
                  <w:tcW w:w="1080" w:type="dxa"/>
                  <w:noWrap w:val="0"/>
                  <w:vAlign w:val="center"/>
                </w:tcPr>
                <w:p w14:paraId="61A35E59">
                  <w:pPr>
                    <w:pStyle w:val="76"/>
                    <w:bidi w:val="0"/>
                    <w:ind w:firstLine="0" w:firstLineChars="0"/>
                    <w:jc w:val="center"/>
                    <w:rPr>
                      <w:rFonts w:hint="default" w:eastAsia="宋体"/>
                      <w:color w:val="auto"/>
                      <w:kern w:val="2"/>
                      <w:sz w:val="21"/>
                      <w:szCs w:val="20"/>
                      <w:lang w:val="en-US" w:eastAsia="zh-CN" w:bidi="ar-SA"/>
                    </w:rPr>
                  </w:pPr>
                  <w:r>
                    <w:rPr>
                      <w:rFonts w:hint="eastAsia"/>
                      <w:color w:val="auto"/>
                      <w:sz w:val="21"/>
                      <w:szCs w:val="20"/>
                      <w:lang w:val="en-US" w:eastAsia="zh-CN"/>
                    </w:rPr>
                    <w:t>0.03</w:t>
                  </w:r>
                </w:p>
              </w:tc>
            </w:tr>
            <w:tr w14:paraId="4E0ED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686" w:type="dxa"/>
                  <w:vMerge w:val="continue"/>
                  <w:noWrap w:val="0"/>
                  <w:vAlign w:val="center"/>
                </w:tcPr>
                <w:p w14:paraId="779213D6">
                  <w:pPr>
                    <w:pStyle w:val="76"/>
                    <w:bidi w:val="0"/>
                    <w:jc w:val="center"/>
                    <w:rPr>
                      <w:rFonts w:hint="eastAsia"/>
                      <w:color w:val="auto"/>
                      <w:sz w:val="21"/>
                      <w:szCs w:val="20"/>
                      <w:lang w:val="en-US" w:eastAsia="zh-CN"/>
                    </w:rPr>
                  </w:pPr>
                </w:p>
              </w:tc>
              <w:tc>
                <w:tcPr>
                  <w:tcW w:w="692" w:type="dxa"/>
                  <w:vMerge w:val="continue"/>
                  <w:noWrap w:val="0"/>
                  <w:vAlign w:val="center"/>
                </w:tcPr>
                <w:p w14:paraId="3C89D5B8">
                  <w:pPr>
                    <w:pStyle w:val="76"/>
                    <w:bidi w:val="0"/>
                    <w:jc w:val="center"/>
                    <w:rPr>
                      <w:rFonts w:hint="eastAsia"/>
                      <w:color w:val="auto"/>
                      <w:sz w:val="21"/>
                      <w:szCs w:val="20"/>
                      <w:lang w:val="en-US" w:eastAsia="zh-CN"/>
                    </w:rPr>
                  </w:pPr>
                </w:p>
              </w:tc>
              <w:tc>
                <w:tcPr>
                  <w:tcW w:w="958" w:type="dxa"/>
                  <w:noWrap w:val="0"/>
                  <w:vAlign w:val="center"/>
                </w:tcPr>
                <w:p w14:paraId="16C64CB3">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甲烷</w:t>
                  </w:r>
                </w:p>
              </w:tc>
              <w:tc>
                <w:tcPr>
                  <w:tcW w:w="1005" w:type="dxa"/>
                  <w:noWrap w:val="0"/>
                  <w:vAlign w:val="center"/>
                </w:tcPr>
                <w:p w14:paraId="20E60EF0">
                  <w:pPr>
                    <w:pStyle w:val="76"/>
                    <w:bidi w:val="0"/>
                    <w:ind w:firstLine="0" w:firstLineChars="0"/>
                    <w:jc w:val="center"/>
                    <w:rPr>
                      <w:rFonts w:hint="default"/>
                      <w:color w:val="auto"/>
                      <w:sz w:val="21"/>
                      <w:szCs w:val="20"/>
                      <w:lang w:val="en-US" w:eastAsia="zh-CN"/>
                    </w:rPr>
                  </w:pPr>
                  <w:r>
                    <w:rPr>
                      <w:rFonts w:hint="eastAsia" w:ascii="Times New Roman" w:hAnsi="Times New Roman" w:eastAsia="宋体" w:cs="Times New Roman"/>
                      <w:color w:val="auto"/>
                      <w:szCs w:val="21"/>
                      <w:lang w:val="en-US" w:eastAsia="zh-CN"/>
                    </w:rPr>
                    <w:t>%</w:t>
                  </w:r>
                </w:p>
              </w:tc>
              <w:tc>
                <w:tcPr>
                  <w:tcW w:w="1035" w:type="dxa"/>
                  <w:noWrap w:val="0"/>
                  <w:vAlign w:val="center"/>
                </w:tcPr>
                <w:p w14:paraId="2265C496">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0.00029</w:t>
                  </w:r>
                </w:p>
              </w:tc>
              <w:tc>
                <w:tcPr>
                  <w:tcW w:w="1065" w:type="dxa"/>
                  <w:noWrap w:val="0"/>
                  <w:vAlign w:val="center"/>
                </w:tcPr>
                <w:p w14:paraId="6BDAF168">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0.00046</w:t>
                  </w:r>
                </w:p>
              </w:tc>
              <w:tc>
                <w:tcPr>
                  <w:tcW w:w="1245" w:type="dxa"/>
                  <w:noWrap w:val="0"/>
                  <w:vAlign w:val="center"/>
                </w:tcPr>
                <w:p w14:paraId="62801866">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0.00028</w:t>
                  </w:r>
                </w:p>
              </w:tc>
              <w:tc>
                <w:tcPr>
                  <w:tcW w:w="1185" w:type="dxa"/>
                  <w:noWrap w:val="0"/>
                  <w:vAlign w:val="center"/>
                </w:tcPr>
                <w:p w14:paraId="0C75D67F">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0.00033</w:t>
                  </w:r>
                </w:p>
              </w:tc>
              <w:tc>
                <w:tcPr>
                  <w:tcW w:w="1080" w:type="dxa"/>
                  <w:noWrap w:val="0"/>
                  <w:vAlign w:val="center"/>
                </w:tcPr>
                <w:p w14:paraId="061D5834">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1</w:t>
                  </w:r>
                </w:p>
              </w:tc>
            </w:tr>
            <w:tr w14:paraId="039B5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686" w:type="dxa"/>
                  <w:vMerge w:val="continue"/>
                  <w:noWrap w:val="0"/>
                  <w:vAlign w:val="center"/>
                </w:tcPr>
                <w:p w14:paraId="26A6C798">
                  <w:pPr>
                    <w:pStyle w:val="76"/>
                    <w:bidi w:val="0"/>
                    <w:jc w:val="center"/>
                    <w:rPr>
                      <w:rFonts w:hint="eastAsia"/>
                      <w:color w:val="auto"/>
                      <w:sz w:val="21"/>
                      <w:szCs w:val="20"/>
                      <w:lang w:val="en-US" w:eastAsia="zh-CN"/>
                    </w:rPr>
                  </w:pPr>
                </w:p>
              </w:tc>
              <w:tc>
                <w:tcPr>
                  <w:tcW w:w="692" w:type="dxa"/>
                  <w:vMerge w:val="continue"/>
                  <w:noWrap w:val="0"/>
                  <w:vAlign w:val="center"/>
                </w:tcPr>
                <w:p w14:paraId="7DA2280D">
                  <w:pPr>
                    <w:pStyle w:val="76"/>
                    <w:bidi w:val="0"/>
                    <w:jc w:val="center"/>
                    <w:rPr>
                      <w:rFonts w:hint="eastAsia"/>
                      <w:color w:val="auto"/>
                      <w:sz w:val="21"/>
                      <w:szCs w:val="20"/>
                      <w:lang w:val="en-US" w:eastAsia="zh-CN"/>
                    </w:rPr>
                  </w:pPr>
                </w:p>
              </w:tc>
              <w:tc>
                <w:tcPr>
                  <w:tcW w:w="958" w:type="dxa"/>
                  <w:noWrap w:val="0"/>
                  <w:vAlign w:val="center"/>
                </w:tcPr>
                <w:p w14:paraId="7DBA48D9">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臭气浓度</w:t>
                  </w:r>
                </w:p>
              </w:tc>
              <w:tc>
                <w:tcPr>
                  <w:tcW w:w="1005" w:type="dxa"/>
                  <w:noWrap w:val="0"/>
                  <w:vAlign w:val="center"/>
                </w:tcPr>
                <w:p w14:paraId="3002820E">
                  <w:pPr>
                    <w:pStyle w:val="76"/>
                    <w:bidi w:val="0"/>
                    <w:ind w:firstLine="0" w:firstLineChars="0"/>
                    <w:jc w:val="center"/>
                    <w:rPr>
                      <w:rFonts w:hint="eastAsia"/>
                      <w:color w:val="auto"/>
                      <w:sz w:val="21"/>
                      <w:szCs w:val="20"/>
                      <w:lang w:val="en-US" w:eastAsia="zh-CN"/>
                    </w:rPr>
                  </w:pPr>
                  <w:r>
                    <w:rPr>
                      <w:rFonts w:hint="eastAsia"/>
                      <w:color w:val="auto"/>
                      <w:sz w:val="21"/>
                      <w:szCs w:val="20"/>
                      <w:lang w:val="en-US" w:eastAsia="zh-CN"/>
                    </w:rPr>
                    <w:t>无量纲</w:t>
                  </w:r>
                </w:p>
              </w:tc>
              <w:tc>
                <w:tcPr>
                  <w:tcW w:w="1035" w:type="dxa"/>
                  <w:noWrap w:val="0"/>
                  <w:vAlign w:val="center"/>
                </w:tcPr>
                <w:p w14:paraId="4ACEA2F2">
                  <w:pPr>
                    <w:pStyle w:val="76"/>
                    <w:bidi w:val="0"/>
                    <w:ind w:firstLine="0" w:firstLineChars="0"/>
                    <w:jc w:val="center"/>
                    <w:rPr>
                      <w:rFonts w:hint="default"/>
                      <w:color w:val="auto"/>
                      <w:sz w:val="21"/>
                      <w:szCs w:val="20"/>
                      <w:lang w:val="en-US" w:eastAsia="zh-CN"/>
                    </w:rPr>
                  </w:pPr>
                  <w:r>
                    <w:rPr>
                      <w:rFonts w:hint="default" w:ascii="Times New Roman" w:hAnsi="Times New Roman" w:cs="Times New Roman"/>
                      <w:color w:val="auto"/>
                      <w:sz w:val="21"/>
                      <w:szCs w:val="20"/>
                      <w:lang w:val="en-US" w:eastAsia="zh-CN"/>
                    </w:rPr>
                    <w:t>&lt;</w:t>
                  </w:r>
                  <w:r>
                    <w:rPr>
                      <w:rFonts w:hint="eastAsia"/>
                      <w:color w:val="auto"/>
                      <w:sz w:val="21"/>
                      <w:szCs w:val="20"/>
                      <w:lang w:val="en-US" w:eastAsia="zh-CN"/>
                    </w:rPr>
                    <w:t>10</w:t>
                  </w:r>
                </w:p>
              </w:tc>
              <w:tc>
                <w:tcPr>
                  <w:tcW w:w="1065" w:type="dxa"/>
                  <w:noWrap w:val="0"/>
                  <w:vAlign w:val="center"/>
                </w:tcPr>
                <w:p w14:paraId="349F687C">
                  <w:pPr>
                    <w:bidi w:val="0"/>
                    <w:ind w:firstLine="0" w:firstLineChars="0"/>
                    <w:jc w:val="center"/>
                    <w:rPr>
                      <w:rFonts w:hint="default"/>
                      <w:color w:val="auto"/>
                      <w:sz w:val="21"/>
                      <w:szCs w:val="20"/>
                      <w:lang w:val="en-US" w:eastAsia="zh-CN"/>
                    </w:rPr>
                  </w:pPr>
                  <w:r>
                    <w:rPr>
                      <w:rFonts w:hint="default" w:ascii="Times New Roman" w:hAnsi="Times New Roman" w:cs="Times New Roman"/>
                      <w:color w:val="auto"/>
                      <w:sz w:val="21"/>
                      <w:szCs w:val="20"/>
                      <w:lang w:val="en-US" w:eastAsia="zh-CN"/>
                    </w:rPr>
                    <w:t>&lt;</w:t>
                  </w:r>
                  <w:r>
                    <w:rPr>
                      <w:rFonts w:hint="eastAsia"/>
                      <w:color w:val="auto"/>
                      <w:sz w:val="21"/>
                      <w:szCs w:val="20"/>
                      <w:lang w:val="en-US" w:eastAsia="zh-CN"/>
                    </w:rPr>
                    <w:t>10</w:t>
                  </w:r>
                </w:p>
              </w:tc>
              <w:tc>
                <w:tcPr>
                  <w:tcW w:w="1245" w:type="dxa"/>
                  <w:noWrap w:val="0"/>
                  <w:vAlign w:val="center"/>
                </w:tcPr>
                <w:p w14:paraId="43F0285F">
                  <w:pPr>
                    <w:bidi w:val="0"/>
                    <w:ind w:firstLine="0" w:firstLineChars="0"/>
                    <w:jc w:val="center"/>
                    <w:rPr>
                      <w:rFonts w:hint="default"/>
                      <w:color w:val="auto"/>
                      <w:sz w:val="21"/>
                      <w:szCs w:val="20"/>
                      <w:lang w:val="en-US" w:eastAsia="zh-CN"/>
                    </w:rPr>
                  </w:pPr>
                  <w:r>
                    <w:rPr>
                      <w:rFonts w:hint="default" w:ascii="Times New Roman" w:hAnsi="Times New Roman" w:cs="Times New Roman"/>
                      <w:color w:val="auto"/>
                      <w:sz w:val="21"/>
                      <w:szCs w:val="20"/>
                      <w:lang w:val="en-US" w:eastAsia="zh-CN"/>
                    </w:rPr>
                    <w:t>&lt;</w:t>
                  </w:r>
                  <w:r>
                    <w:rPr>
                      <w:rFonts w:hint="eastAsia"/>
                      <w:color w:val="auto"/>
                      <w:sz w:val="21"/>
                      <w:szCs w:val="20"/>
                      <w:lang w:val="en-US" w:eastAsia="zh-CN"/>
                    </w:rPr>
                    <w:t>10</w:t>
                  </w:r>
                </w:p>
              </w:tc>
              <w:tc>
                <w:tcPr>
                  <w:tcW w:w="1185" w:type="dxa"/>
                  <w:noWrap w:val="0"/>
                  <w:vAlign w:val="center"/>
                </w:tcPr>
                <w:p w14:paraId="02443F04">
                  <w:pPr>
                    <w:bidi w:val="0"/>
                    <w:ind w:firstLine="0" w:firstLineChars="0"/>
                    <w:jc w:val="center"/>
                    <w:rPr>
                      <w:rFonts w:hint="default"/>
                      <w:color w:val="auto"/>
                      <w:sz w:val="21"/>
                      <w:szCs w:val="20"/>
                      <w:lang w:val="en-US" w:eastAsia="zh-CN"/>
                    </w:rPr>
                  </w:pPr>
                  <w:r>
                    <w:rPr>
                      <w:rFonts w:hint="default" w:ascii="Times New Roman" w:hAnsi="Times New Roman" w:cs="Times New Roman"/>
                      <w:color w:val="auto"/>
                      <w:sz w:val="21"/>
                      <w:szCs w:val="20"/>
                      <w:lang w:val="en-US" w:eastAsia="zh-CN"/>
                    </w:rPr>
                    <w:t>&lt;</w:t>
                  </w:r>
                  <w:r>
                    <w:rPr>
                      <w:rFonts w:hint="eastAsia"/>
                      <w:color w:val="auto"/>
                      <w:sz w:val="21"/>
                      <w:szCs w:val="20"/>
                      <w:lang w:val="en-US" w:eastAsia="zh-CN"/>
                    </w:rPr>
                    <w:t>10</w:t>
                  </w:r>
                </w:p>
              </w:tc>
              <w:tc>
                <w:tcPr>
                  <w:tcW w:w="1080" w:type="dxa"/>
                  <w:noWrap w:val="0"/>
                  <w:vAlign w:val="center"/>
                </w:tcPr>
                <w:p w14:paraId="6A48EE03">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10</w:t>
                  </w:r>
                </w:p>
              </w:tc>
            </w:tr>
            <w:tr w14:paraId="60A04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686" w:type="dxa"/>
                  <w:vMerge w:val="continue"/>
                  <w:noWrap w:val="0"/>
                  <w:vAlign w:val="center"/>
                </w:tcPr>
                <w:p w14:paraId="1498D925">
                  <w:pPr>
                    <w:pStyle w:val="76"/>
                    <w:bidi w:val="0"/>
                    <w:jc w:val="center"/>
                    <w:rPr>
                      <w:rFonts w:hint="eastAsia"/>
                      <w:color w:val="auto"/>
                      <w:sz w:val="21"/>
                      <w:szCs w:val="20"/>
                      <w:lang w:val="en-US" w:eastAsia="zh-CN"/>
                    </w:rPr>
                  </w:pPr>
                </w:p>
              </w:tc>
              <w:tc>
                <w:tcPr>
                  <w:tcW w:w="692" w:type="dxa"/>
                  <w:vMerge w:val="continue"/>
                  <w:noWrap w:val="0"/>
                  <w:vAlign w:val="center"/>
                </w:tcPr>
                <w:p w14:paraId="16078DF8">
                  <w:pPr>
                    <w:pStyle w:val="76"/>
                    <w:bidi w:val="0"/>
                    <w:jc w:val="center"/>
                    <w:rPr>
                      <w:rFonts w:hint="eastAsia"/>
                      <w:color w:val="auto"/>
                      <w:sz w:val="21"/>
                      <w:szCs w:val="20"/>
                      <w:lang w:val="en-US" w:eastAsia="zh-CN"/>
                    </w:rPr>
                  </w:pPr>
                </w:p>
              </w:tc>
              <w:tc>
                <w:tcPr>
                  <w:tcW w:w="958" w:type="dxa"/>
                  <w:noWrap w:val="0"/>
                  <w:vAlign w:val="center"/>
                </w:tcPr>
                <w:p w14:paraId="6D04905E">
                  <w:pPr>
                    <w:pStyle w:val="76"/>
                    <w:bidi w:val="0"/>
                    <w:ind w:firstLine="0" w:firstLineChars="0"/>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氯气</w:t>
                  </w:r>
                </w:p>
              </w:tc>
              <w:tc>
                <w:tcPr>
                  <w:tcW w:w="1005" w:type="dxa"/>
                  <w:noWrap w:val="0"/>
                  <w:vAlign w:val="center"/>
                </w:tcPr>
                <w:p w14:paraId="12721FD7">
                  <w:pPr>
                    <w:pStyle w:val="76"/>
                    <w:bidi w:val="0"/>
                    <w:ind w:firstLine="0" w:firstLineChars="0"/>
                    <w:jc w:val="center"/>
                    <w:rPr>
                      <w:rFonts w:hint="eastAsia"/>
                      <w:color w:val="auto"/>
                      <w:sz w:val="21"/>
                      <w:szCs w:val="20"/>
                      <w:lang w:val="en-US" w:eastAsia="zh-CN"/>
                    </w:rPr>
                  </w:pPr>
                  <w:r>
                    <w:rPr>
                      <w:rFonts w:hint="eastAsia"/>
                      <w:color w:val="auto"/>
                      <w:sz w:val="21"/>
                      <w:szCs w:val="20"/>
                      <w:lang w:val="en-US" w:eastAsia="zh-CN"/>
                    </w:rPr>
                    <w:t>mg/m</w:t>
                  </w:r>
                  <w:r>
                    <w:rPr>
                      <w:rFonts w:hint="eastAsia"/>
                      <w:color w:val="auto"/>
                      <w:sz w:val="21"/>
                      <w:szCs w:val="20"/>
                      <w:vertAlign w:val="superscript"/>
                      <w:lang w:val="en-US" w:eastAsia="zh-CN"/>
                    </w:rPr>
                    <w:t>3</w:t>
                  </w:r>
                </w:p>
              </w:tc>
              <w:tc>
                <w:tcPr>
                  <w:tcW w:w="1035" w:type="dxa"/>
                  <w:noWrap w:val="0"/>
                  <w:vAlign w:val="center"/>
                </w:tcPr>
                <w:p w14:paraId="0FBC2E80">
                  <w:pPr>
                    <w:pStyle w:val="76"/>
                    <w:bidi w:val="0"/>
                    <w:ind w:firstLine="0" w:firstLineChars="0"/>
                    <w:jc w:val="center"/>
                    <w:rPr>
                      <w:rFonts w:hint="default" w:ascii="Times New Roman" w:hAnsi="Times New Roman" w:cs="Times New Roman"/>
                      <w:color w:val="auto"/>
                      <w:sz w:val="21"/>
                      <w:szCs w:val="20"/>
                      <w:lang w:val="en-US" w:eastAsia="zh-CN"/>
                    </w:rPr>
                  </w:pPr>
                  <w:r>
                    <w:rPr>
                      <w:rFonts w:hint="eastAsia" w:cs="Times New Roman"/>
                      <w:color w:val="auto"/>
                      <w:sz w:val="21"/>
                      <w:szCs w:val="20"/>
                      <w:lang w:val="en-US" w:eastAsia="zh-CN"/>
                    </w:rPr>
                    <w:t>0.08</w:t>
                  </w:r>
                </w:p>
              </w:tc>
              <w:tc>
                <w:tcPr>
                  <w:tcW w:w="1065" w:type="dxa"/>
                  <w:noWrap w:val="0"/>
                  <w:vAlign w:val="center"/>
                </w:tcPr>
                <w:p w14:paraId="319E7426">
                  <w:pPr>
                    <w:bidi w:val="0"/>
                    <w:ind w:firstLine="0" w:firstLineChars="0"/>
                    <w:jc w:val="center"/>
                    <w:rPr>
                      <w:rFonts w:hint="default" w:ascii="Times New Roman" w:hAnsi="Times New Roman" w:cs="Times New Roman"/>
                      <w:color w:val="auto"/>
                      <w:sz w:val="21"/>
                      <w:szCs w:val="20"/>
                      <w:lang w:val="en-US" w:eastAsia="zh-CN"/>
                    </w:rPr>
                  </w:pPr>
                  <w:r>
                    <w:rPr>
                      <w:rFonts w:hint="eastAsia" w:cs="Times New Roman"/>
                      <w:color w:val="auto"/>
                      <w:sz w:val="21"/>
                      <w:szCs w:val="20"/>
                      <w:lang w:val="en-US" w:eastAsia="zh-CN"/>
                    </w:rPr>
                    <w:t>0.07</w:t>
                  </w:r>
                </w:p>
              </w:tc>
              <w:tc>
                <w:tcPr>
                  <w:tcW w:w="1245" w:type="dxa"/>
                  <w:noWrap w:val="0"/>
                  <w:vAlign w:val="center"/>
                </w:tcPr>
                <w:p w14:paraId="4EB59160">
                  <w:pPr>
                    <w:bidi w:val="0"/>
                    <w:ind w:firstLine="0" w:firstLineChars="0"/>
                    <w:jc w:val="center"/>
                    <w:rPr>
                      <w:rFonts w:hint="default" w:ascii="Times New Roman" w:hAnsi="Times New Roman" w:cs="Times New Roman"/>
                      <w:color w:val="auto"/>
                      <w:sz w:val="21"/>
                      <w:szCs w:val="20"/>
                      <w:lang w:val="en-US" w:eastAsia="zh-CN"/>
                    </w:rPr>
                  </w:pPr>
                  <w:r>
                    <w:rPr>
                      <w:rFonts w:hint="eastAsia" w:cs="Times New Roman"/>
                      <w:color w:val="auto"/>
                      <w:sz w:val="21"/>
                      <w:szCs w:val="20"/>
                      <w:lang w:val="en-US" w:eastAsia="zh-CN"/>
                    </w:rPr>
                    <w:t>0.06</w:t>
                  </w:r>
                </w:p>
              </w:tc>
              <w:tc>
                <w:tcPr>
                  <w:tcW w:w="1185" w:type="dxa"/>
                  <w:noWrap w:val="0"/>
                  <w:vAlign w:val="center"/>
                </w:tcPr>
                <w:p w14:paraId="28A4769E">
                  <w:pPr>
                    <w:bidi w:val="0"/>
                    <w:ind w:firstLine="0" w:firstLineChars="0"/>
                    <w:jc w:val="center"/>
                    <w:rPr>
                      <w:rFonts w:hint="default" w:ascii="Times New Roman" w:hAnsi="Times New Roman" w:cs="Times New Roman"/>
                      <w:color w:val="auto"/>
                      <w:sz w:val="21"/>
                      <w:szCs w:val="20"/>
                      <w:lang w:val="en-US" w:eastAsia="zh-CN"/>
                    </w:rPr>
                  </w:pPr>
                  <w:r>
                    <w:rPr>
                      <w:rFonts w:hint="eastAsia" w:cs="Times New Roman"/>
                      <w:color w:val="auto"/>
                      <w:sz w:val="21"/>
                      <w:szCs w:val="20"/>
                      <w:lang w:val="en-US" w:eastAsia="zh-CN"/>
                    </w:rPr>
                    <w:t>0.08</w:t>
                  </w:r>
                </w:p>
              </w:tc>
              <w:tc>
                <w:tcPr>
                  <w:tcW w:w="1080" w:type="dxa"/>
                  <w:noWrap w:val="0"/>
                  <w:vAlign w:val="center"/>
                </w:tcPr>
                <w:p w14:paraId="37A7A5BA">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0.1</w:t>
                  </w:r>
                </w:p>
              </w:tc>
            </w:tr>
          </w:tbl>
          <w:p w14:paraId="239C1A81">
            <w:pPr>
              <w:pStyle w:val="48"/>
              <w:adjustRightInd w:val="0"/>
              <w:snapToGrid w:val="0"/>
              <w:spacing w:line="360" w:lineRule="auto"/>
              <w:ind w:firstLine="461"/>
              <w:rPr>
                <w:color w:val="auto"/>
                <w:sz w:val="24"/>
              </w:rPr>
            </w:pPr>
            <w:r>
              <w:rPr>
                <w:color w:val="auto"/>
                <w:sz w:val="24"/>
              </w:rPr>
              <w:t>②各科室异味</w:t>
            </w:r>
          </w:p>
          <w:p w14:paraId="46DB1BED">
            <w:pPr>
              <w:pStyle w:val="48"/>
              <w:adjustRightInd w:val="0"/>
              <w:snapToGrid w:val="0"/>
              <w:spacing w:line="360" w:lineRule="auto"/>
              <w:ind w:firstLine="461"/>
              <w:rPr>
                <w:color w:val="auto"/>
                <w:sz w:val="24"/>
              </w:rPr>
            </w:pPr>
            <w:r>
              <w:rPr>
                <w:color w:val="auto"/>
                <w:sz w:val="24"/>
              </w:rPr>
              <w:t>各科室</w:t>
            </w:r>
            <w:r>
              <w:rPr>
                <w:rFonts w:hint="eastAsia"/>
                <w:color w:val="auto"/>
                <w:sz w:val="24"/>
                <w:lang w:eastAsia="zh-CN"/>
              </w:rPr>
              <w:t>采用</w:t>
            </w:r>
            <w:r>
              <w:rPr>
                <w:color w:val="auto"/>
                <w:sz w:val="24"/>
              </w:rPr>
              <w:t>84消毒液、空气消毒机等进行消毒，经通风系统自然排放，满足相关环保要求。</w:t>
            </w:r>
          </w:p>
          <w:p w14:paraId="580A6B86">
            <w:pPr>
              <w:pStyle w:val="48"/>
              <w:adjustRightInd w:val="0"/>
              <w:snapToGrid w:val="0"/>
              <w:spacing w:line="360" w:lineRule="auto"/>
              <w:ind w:firstLine="461"/>
              <w:rPr>
                <w:color w:val="auto"/>
                <w:sz w:val="24"/>
              </w:rPr>
            </w:pPr>
            <w:r>
              <w:rPr>
                <w:color w:val="auto"/>
                <w:sz w:val="24"/>
              </w:rPr>
              <w:t>③医疗废物暂存间臭气</w:t>
            </w:r>
          </w:p>
          <w:p w14:paraId="7438D185">
            <w:pPr>
              <w:pStyle w:val="48"/>
              <w:adjustRightInd w:val="0"/>
              <w:snapToGrid w:val="0"/>
              <w:spacing w:line="360" w:lineRule="auto"/>
              <w:ind w:firstLine="461"/>
              <w:rPr>
                <w:color w:val="auto"/>
                <w:sz w:val="24"/>
              </w:rPr>
            </w:pPr>
            <w:r>
              <w:rPr>
                <w:color w:val="auto"/>
                <w:sz w:val="24"/>
              </w:rPr>
              <w:t>医疗废物暂存间臭气</w:t>
            </w:r>
            <w:r>
              <w:rPr>
                <w:rFonts w:hint="eastAsia"/>
                <w:color w:val="auto"/>
                <w:sz w:val="24"/>
                <w:lang w:val="en-US" w:eastAsia="zh-CN"/>
              </w:rPr>
              <w:t>设置换气扇和空调设备进行通风换气保持恒定温度，产生的臭气对周围环境影响不大。</w:t>
            </w:r>
          </w:p>
          <w:p w14:paraId="46397DC6">
            <w:pPr>
              <w:pStyle w:val="48"/>
              <w:spacing w:line="360" w:lineRule="auto"/>
              <w:ind w:left="461"/>
              <w:rPr>
                <w:b/>
                <w:bCs/>
                <w:color w:val="auto"/>
                <w:sz w:val="24"/>
              </w:rPr>
            </w:pPr>
            <w:r>
              <w:rPr>
                <w:b/>
                <w:bCs/>
                <w:color w:val="auto"/>
                <w:sz w:val="24"/>
              </w:rPr>
              <w:t>2）废水</w:t>
            </w:r>
          </w:p>
          <w:p w14:paraId="4C7EFBCC">
            <w:pPr>
              <w:pStyle w:val="48"/>
              <w:spacing w:line="360" w:lineRule="auto"/>
              <w:ind w:firstLine="480" w:firstLineChars="200"/>
              <w:rPr>
                <w:rFonts w:hint="default"/>
                <w:snapToGrid w:val="0"/>
                <w:color w:val="auto"/>
                <w:kern w:val="0"/>
                <w:sz w:val="24"/>
                <w:lang w:val="en-US" w:eastAsia="zh-CN"/>
              </w:rPr>
            </w:pPr>
            <w:r>
              <w:rPr>
                <w:rFonts w:hint="eastAsia"/>
                <w:color w:val="auto"/>
                <w:sz w:val="24"/>
                <w:lang w:val="en-US" w:eastAsia="zh-CN"/>
              </w:rPr>
              <w:t>现有项目</w:t>
            </w:r>
            <w:r>
              <w:rPr>
                <w:color w:val="auto"/>
                <w:sz w:val="24"/>
              </w:rPr>
              <w:t>采取雨污分流，</w:t>
            </w:r>
            <w:r>
              <w:rPr>
                <w:snapToGrid w:val="0"/>
                <w:color w:val="auto"/>
                <w:kern w:val="0"/>
                <w:sz w:val="24"/>
              </w:rPr>
              <w:t>雨水经雨水沟排入市政雨水管网；</w:t>
            </w:r>
            <w:r>
              <w:rPr>
                <w:rFonts w:hint="eastAsia"/>
                <w:color w:val="auto"/>
                <w:sz w:val="24"/>
                <w:lang w:val="en-US" w:eastAsia="zh-CN"/>
              </w:rPr>
              <w:t>项目产生的废水主要为医疗废水、生活污水等。口腔科不涉及使用银汞合金材料，采用新型光固化复合树脂，故无含银、含汞废水产生。医学影像科配备的各类电离辐射设备均采用数字化成像技术进行成像，故无洗印污水产生。医学影像科、手术中心在诊疗过程中均不适用放射性同位素，故无放射性污水产生。医院检验室污水（废液）单独收集委托</w:t>
            </w:r>
            <w:r>
              <w:rPr>
                <w:rFonts w:hint="eastAsia"/>
                <w:color w:val="auto"/>
                <w:kern w:val="0"/>
                <w:sz w:val="24"/>
                <w:lang w:val="en-US" w:eastAsia="zh-CN"/>
              </w:rPr>
              <w:t>重庆云青环保科技有限公司</w:t>
            </w:r>
            <w:r>
              <w:rPr>
                <w:rFonts w:hint="eastAsia"/>
                <w:color w:val="auto"/>
                <w:sz w:val="24"/>
                <w:lang w:val="en-US" w:eastAsia="zh-CN"/>
              </w:rPr>
              <w:t>处理。</w:t>
            </w:r>
            <w:r>
              <w:rPr>
                <w:color w:val="auto"/>
                <w:sz w:val="24"/>
              </w:rPr>
              <w:t>根据《建筑给水排水设计规范》（GB50015-2003，2009 年修订）、《综合医院建筑设计规范》（GB51039-2014）、《关于印发重庆市城市生活用水定额（2017年修订版）的通知》（渝水</w:t>
            </w:r>
            <w:r>
              <w:rPr>
                <w:rFonts w:hint="eastAsia"/>
                <w:color w:val="auto"/>
                <w:sz w:val="24"/>
                <w:lang w:eastAsia="zh-CN"/>
              </w:rPr>
              <w:t>〔</w:t>
            </w:r>
            <w:r>
              <w:rPr>
                <w:color w:val="auto"/>
                <w:sz w:val="24"/>
              </w:rPr>
              <w:t>2018</w:t>
            </w:r>
            <w:r>
              <w:rPr>
                <w:rFonts w:hint="eastAsia"/>
                <w:color w:val="auto"/>
                <w:sz w:val="24"/>
                <w:lang w:eastAsia="zh-CN"/>
              </w:rPr>
              <w:t>〕</w:t>
            </w:r>
            <w:r>
              <w:rPr>
                <w:color w:val="auto"/>
                <w:sz w:val="24"/>
              </w:rPr>
              <w:t>66 号）及</w:t>
            </w:r>
            <w:r>
              <w:rPr>
                <w:rFonts w:hint="eastAsia"/>
                <w:snapToGrid w:val="0"/>
                <w:color w:val="auto"/>
                <w:kern w:val="0"/>
                <w:sz w:val="24"/>
                <w:lang w:val="en-US" w:eastAsia="zh-CN"/>
              </w:rPr>
              <w:t>医院近几月实际用水情况，住院用水定额取250L/人.d，对现有用水、排水进行估算，现有项目用水、排水一览表2-15。</w:t>
            </w:r>
          </w:p>
          <w:p w14:paraId="720749BE">
            <w:pPr>
              <w:tabs>
                <w:tab w:val="left" w:leader="middleDot" w:pos="7740"/>
              </w:tabs>
              <w:snapToGrid w:val="0"/>
              <w:jc w:val="center"/>
              <w:rPr>
                <w:b/>
                <w:color w:val="auto"/>
              </w:rPr>
            </w:pPr>
            <w:r>
              <w:rPr>
                <w:b/>
                <w:color w:val="auto"/>
              </w:rPr>
              <w:t>表</w:t>
            </w:r>
            <w:r>
              <w:rPr>
                <w:rFonts w:hint="eastAsia"/>
                <w:b/>
                <w:color w:val="auto"/>
              </w:rPr>
              <w:t>2-</w:t>
            </w:r>
            <w:r>
              <w:rPr>
                <w:rFonts w:hint="eastAsia"/>
                <w:b/>
                <w:color w:val="auto"/>
                <w:lang w:val="en-US" w:eastAsia="zh-CN"/>
              </w:rPr>
              <w:t>15</w:t>
            </w:r>
            <w:r>
              <w:rPr>
                <w:b/>
                <w:color w:val="auto"/>
              </w:rPr>
              <w:t xml:space="preserve">  </w:t>
            </w:r>
            <w:r>
              <w:rPr>
                <w:rFonts w:hint="eastAsia"/>
                <w:b/>
                <w:color w:val="auto"/>
                <w:lang w:val="en-US" w:eastAsia="zh-CN"/>
              </w:rPr>
              <w:t>现有</w:t>
            </w:r>
            <w:r>
              <w:rPr>
                <w:b/>
                <w:color w:val="auto"/>
              </w:rPr>
              <w:t>项目用水、排水核算表    单位：m</w:t>
            </w:r>
            <w:r>
              <w:rPr>
                <w:b/>
                <w:color w:val="auto"/>
                <w:vertAlign w:val="superscript"/>
              </w:rPr>
              <w:t>3</w:t>
            </w:r>
            <w:r>
              <w:rPr>
                <w:b/>
                <w:color w:val="auto"/>
              </w:rPr>
              <w:t>/d</w:t>
            </w:r>
          </w:p>
          <w:tbl>
            <w:tblPr>
              <w:tblStyle w:val="25"/>
              <w:tblW w:w="79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383"/>
              <w:gridCol w:w="1303"/>
              <w:gridCol w:w="935"/>
              <w:gridCol w:w="1017"/>
              <w:gridCol w:w="851"/>
              <w:gridCol w:w="1018"/>
            </w:tblGrid>
            <w:tr w14:paraId="62791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22C6BC55">
                  <w:pPr>
                    <w:tabs>
                      <w:tab w:val="left" w:leader="middleDot" w:pos="7740"/>
                    </w:tabs>
                    <w:snapToGrid w:val="0"/>
                    <w:jc w:val="center"/>
                    <w:rPr>
                      <w:color w:val="auto"/>
                      <w:szCs w:val="21"/>
                    </w:rPr>
                  </w:pPr>
                  <w:r>
                    <w:rPr>
                      <w:color w:val="auto"/>
                      <w:szCs w:val="21"/>
                    </w:rPr>
                    <w:t>名称</w:t>
                  </w:r>
                </w:p>
              </w:tc>
              <w:tc>
                <w:tcPr>
                  <w:tcW w:w="1383" w:type="dxa"/>
                  <w:noWrap w:val="0"/>
                  <w:vAlign w:val="center"/>
                </w:tcPr>
                <w:p w14:paraId="35511247">
                  <w:pPr>
                    <w:tabs>
                      <w:tab w:val="left" w:leader="middleDot" w:pos="7740"/>
                    </w:tabs>
                    <w:snapToGrid w:val="0"/>
                    <w:jc w:val="center"/>
                    <w:rPr>
                      <w:color w:val="auto"/>
                      <w:szCs w:val="21"/>
                    </w:rPr>
                  </w:pPr>
                  <w:r>
                    <w:rPr>
                      <w:color w:val="auto"/>
                      <w:szCs w:val="21"/>
                    </w:rPr>
                    <w:t>日用水定额</w:t>
                  </w:r>
                </w:p>
              </w:tc>
              <w:tc>
                <w:tcPr>
                  <w:tcW w:w="1303" w:type="dxa"/>
                  <w:noWrap w:val="0"/>
                  <w:vAlign w:val="center"/>
                </w:tcPr>
                <w:p w14:paraId="42B8C820">
                  <w:pPr>
                    <w:tabs>
                      <w:tab w:val="left" w:leader="middleDot" w:pos="7740"/>
                    </w:tabs>
                    <w:snapToGrid w:val="0"/>
                    <w:jc w:val="center"/>
                    <w:rPr>
                      <w:color w:val="auto"/>
                      <w:szCs w:val="21"/>
                    </w:rPr>
                  </w:pPr>
                  <w:r>
                    <w:rPr>
                      <w:color w:val="auto"/>
                      <w:szCs w:val="21"/>
                    </w:rPr>
                    <w:t>用水单位</w:t>
                  </w:r>
                </w:p>
              </w:tc>
              <w:tc>
                <w:tcPr>
                  <w:tcW w:w="935" w:type="dxa"/>
                  <w:noWrap w:val="0"/>
                  <w:vAlign w:val="top"/>
                </w:tcPr>
                <w:p w14:paraId="6F87A880">
                  <w:pPr>
                    <w:tabs>
                      <w:tab w:val="left" w:leader="middleDot" w:pos="7740"/>
                    </w:tabs>
                    <w:snapToGrid w:val="0"/>
                    <w:jc w:val="center"/>
                    <w:rPr>
                      <w:color w:val="auto"/>
                      <w:szCs w:val="21"/>
                    </w:rPr>
                  </w:pPr>
                  <w:r>
                    <w:rPr>
                      <w:color w:val="auto"/>
                      <w:szCs w:val="21"/>
                    </w:rPr>
                    <w:t>日用水量m</w:t>
                  </w:r>
                  <w:r>
                    <w:rPr>
                      <w:color w:val="auto"/>
                      <w:szCs w:val="21"/>
                      <w:vertAlign w:val="superscript"/>
                    </w:rPr>
                    <w:t>3</w:t>
                  </w:r>
                  <w:r>
                    <w:rPr>
                      <w:color w:val="auto"/>
                      <w:szCs w:val="21"/>
                    </w:rPr>
                    <w:t>/d</w:t>
                  </w:r>
                </w:p>
              </w:tc>
              <w:tc>
                <w:tcPr>
                  <w:tcW w:w="1017" w:type="dxa"/>
                  <w:noWrap w:val="0"/>
                  <w:vAlign w:val="top"/>
                </w:tcPr>
                <w:p w14:paraId="37D35D41">
                  <w:pPr>
                    <w:tabs>
                      <w:tab w:val="left" w:leader="middleDot" w:pos="7740"/>
                    </w:tabs>
                    <w:snapToGrid w:val="0"/>
                    <w:jc w:val="center"/>
                    <w:rPr>
                      <w:color w:val="auto"/>
                      <w:szCs w:val="21"/>
                    </w:rPr>
                  </w:pPr>
                  <w:r>
                    <w:rPr>
                      <w:color w:val="auto"/>
                      <w:szCs w:val="21"/>
                    </w:rPr>
                    <w:t>年用水量m</w:t>
                  </w:r>
                  <w:r>
                    <w:rPr>
                      <w:color w:val="auto"/>
                      <w:szCs w:val="21"/>
                      <w:vertAlign w:val="superscript"/>
                    </w:rPr>
                    <w:t>3</w:t>
                  </w:r>
                  <w:r>
                    <w:rPr>
                      <w:color w:val="auto"/>
                      <w:szCs w:val="21"/>
                    </w:rPr>
                    <w:t>/a</w:t>
                  </w:r>
                </w:p>
              </w:tc>
              <w:tc>
                <w:tcPr>
                  <w:tcW w:w="851" w:type="dxa"/>
                  <w:noWrap w:val="0"/>
                  <w:vAlign w:val="top"/>
                </w:tcPr>
                <w:p w14:paraId="351A29CB">
                  <w:pPr>
                    <w:tabs>
                      <w:tab w:val="left" w:leader="middleDot" w:pos="7740"/>
                    </w:tabs>
                    <w:snapToGrid w:val="0"/>
                    <w:jc w:val="center"/>
                    <w:rPr>
                      <w:color w:val="auto"/>
                      <w:szCs w:val="21"/>
                    </w:rPr>
                  </w:pPr>
                  <w:r>
                    <w:rPr>
                      <w:color w:val="auto"/>
                      <w:szCs w:val="21"/>
                    </w:rPr>
                    <w:t>日排水量m</w:t>
                  </w:r>
                  <w:r>
                    <w:rPr>
                      <w:color w:val="auto"/>
                      <w:szCs w:val="21"/>
                      <w:vertAlign w:val="superscript"/>
                    </w:rPr>
                    <w:t>3</w:t>
                  </w:r>
                  <w:r>
                    <w:rPr>
                      <w:color w:val="auto"/>
                      <w:szCs w:val="21"/>
                    </w:rPr>
                    <w:t>/d</w:t>
                  </w:r>
                </w:p>
              </w:tc>
              <w:tc>
                <w:tcPr>
                  <w:tcW w:w="1018" w:type="dxa"/>
                  <w:noWrap w:val="0"/>
                  <w:vAlign w:val="top"/>
                </w:tcPr>
                <w:p w14:paraId="25756E3A">
                  <w:pPr>
                    <w:tabs>
                      <w:tab w:val="left" w:leader="middleDot" w:pos="7740"/>
                    </w:tabs>
                    <w:snapToGrid w:val="0"/>
                    <w:jc w:val="center"/>
                    <w:rPr>
                      <w:color w:val="auto"/>
                      <w:szCs w:val="21"/>
                    </w:rPr>
                  </w:pPr>
                  <w:r>
                    <w:rPr>
                      <w:color w:val="auto"/>
                      <w:szCs w:val="21"/>
                    </w:rPr>
                    <w:t>年排水量m</w:t>
                  </w:r>
                  <w:r>
                    <w:rPr>
                      <w:color w:val="auto"/>
                      <w:szCs w:val="21"/>
                      <w:vertAlign w:val="superscript"/>
                    </w:rPr>
                    <w:t>3</w:t>
                  </w:r>
                  <w:r>
                    <w:rPr>
                      <w:color w:val="auto"/>
                      <w:szCs w:val="21"/>
                    </w:rPr>
                    <w:t>/a</w:t>
                  </w:r>
                </w:p>
              </w:tc>
            </w:tr>
            <w:tr w14:paraId="63302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center"/>
                </w:tcPr>
                <w:p w14:paraId="201256CC">
                  <w:pPr>
                    <w:tabs>
                      <w:tab w:val="left" w:leader="middleDot" w:pos="7740"/>
                    </w:tabs>
                    <w:snapToGrid w:val="0"/>
                    <w:jc w:val="center"/>
                    <w:rPr>
                      <w:color w:val="auto"/>
                      <w:szCs w:val="21"/>
                    </w:rPr>
                  </w:pPr>
                  <w:r>
                    <w:rPr>
                      <w:color w:val="auto"/>
                      <w:szCs w:val="21"/>
                    </w:rPr>
                    <w:t>住院病人</w:t>
                  </w:r>
                </w:p>
              </w:tc>
              <w:tc>
                <w:tcPr>
                  <w:tcW w:w="1383" w:type="dxa"/>
                  <w:noWrap w:val="0"/>
                  <w:vAlign w:val="top"/>
                </w:tcPr>
                <w:p w14:paraId="41FA99F9">
                  <w:pPr>
                    <w:tabs>
                      <w:tab w:val="left" w:leader="middleDot" w:pos="7740"/>
                    </w:tabs>
                    <w:snapToGrid w:val="0"/>
                    <w:rPr>
                      <w:color w:val="auto"/>
                      <w:szCs w:val="21"/>
                    </w:rPr>
                  </w:pPr>
                  <w:r>
                    <w:rPr>
                      <w:rFonts w:hint="eastAsia"/>
                      <w:color w:val="auto"/>
                      <w:szCs w:val="21"/>
                      <w:lang w:val="en-US" w:eastAsia="zh-CN"/>
                    </w:rPr>
                    <w:t>250</w:t>
                  </w:r>
                  <w:r>
                    <w:rPr>
                      <w:color w:val="auto"/>
                      <w:szCs w:val="21"/>
                    </w:rPr>
                    <w:t>L/人·床（含陪护）</w:t>
                  </w:r>
                </w:p>
              </w:tc>
              <w:tc>
                <w:tcPr>
                  <w:tcW w:w="1303" w:type="dxa"/>
                  <w:noWrap w:val="0"/>
                  <w:vAlign w:val="center"/>
                </w:tcPr>
                <w:p w14:paraId="277F1DC4">
                  <w:pPr>
                    <w:tabs>
                      <w:tab w:val="left" w:leader="middleDot" w:pos="7740"/>
                    </w:tabs>
                    <w:snapToGrid w:val="0"/>
                    <w:jc w:val="center"/>
                    <w:rPr>
                      <w:color w:val="auto"/>
                      <w:szCs w:val="21"/>
                    </w:rPr>
                  </w:pPr>
                  <w:r>
                    <w:rPr>
                      <w:rFonts w:hint="eastAsia"/>
                      <w:color w:val="auto"/>
                      <w:szCs w:val="21"/>
                      <w:lang w:val="en-US" w:eastAsia="zh-CN"/>
                    </w:rPr>
                    <w:t>90</w:t>
                  </w:r>
                  <w:r>
                    <w:rPr>
                      <w:color w:val="auto"/>
                      <w:szCs w:val="21"/>
                    </w:rPr>
                    <w:t>床</w:t>
                  </w:r>
                </w:p>
              </w:tc>
              <w:tc>
                <w:tcPr>
                  <w:tcW w:w="935" w:type="dxa"/>
                  <w:noWrap w:val="0"/>
                  <w:vAlign w:val="center"/>
                </w:tcPr>
                <w:p w14:paraId="531AD755">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22.5</w:t>
                  </w:r>
                </w:p>
              </w:tc>
              <w:tc>
                <w:tcPr>
                  <w:tcW w:w="1017" w:type="dxa"/>
                  <w:noWrap w:val="0"/>
                  <w:vAlign w:val="center"/>
                </w:tcPr>
                <w:p w14:paraId="0DDDAB3F">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8212.5</w:t>
                  </w:r>
                </w:p>
              </w:tc>
              <w:tc>
                <w:tcPr>
                  <w:tcW w:w="851" w:type="dxa"/>
                  <w:noWrap w:val="0"/>
                  <w:vAlign w:val="center"/>
                </w:tcPr>
                <w:p w14:paraId="2089C3D4">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20.3</w:t>
                  </w:r>
                </w:p>
              </w:tc>
              <w:tc>
                <w:tcPr>
                  <w:tcW w:w="1018" w:type="dxa"/>
                  <w:noWrap w:val="0"/>
                  <w:vAlign w:val="center"/>
                </w:tcPr>
                <w:p w14:paraId="4570AC37">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7391.3</w:t>
                  </w:r>
                </w:p>
              </w:tc>
            </w:tr>
            <w:tr w14:paraId="50E3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7A32E9D4">
                  <w:pPr>
                    <w:tabs>
                      <w:tab w:val="left" w:leader="middleDot" w:pos="7740"/>
                    </w:tabs>
                    <w:snapToGrid w:val="0"/>
                    <w:jc w:val="center"/>
                    <w:rPr>
                      <w:color w:val="auto"/>
                      <w:szCs w:val="21"/>
                    </w:rPr>
                  </w:pPr>
                  <w:r>
                    <w:rPr>
                      <w:color w:val="auto"/>
                      <w:szCs w:val="21"/>
                    </w:rPr>
                    <w:t>门诊病人</w:t>
                  </w:r>
                </w:p>
              </w:tc>
              <w:tc>
                <w:tcPr>
                  <w:tcW w:w="1383" w:type="dxa"/>
                  <w:noWrap w:val="0"/>
                  <w:vAlign w:val="top"/>
                </w:tcPr>
                <w:p w14:paraId="56A7EF30">
                  <w:pPr>
                    <w:tabs>
                      <w:tab w:val="left" w:leader="middleDot" w:pos="7740"/>
                    </w:tabs>
                    <w:snapToGrid w:val="0"/>
                    <w:jc w:val="center"/>
                    <w:rPr>
                      <w:color w:val="auto"/>
                      <w:szCs w:val="21"/>
                    </w:rPr>
                  </w:pPr>
                  <w:r>
                    <w:rPr>
                      <w:color w:val="auto"/>
                      <w:szCs w:val="21"/>
                    </w:rPr>
                    <w:t>15L/人</w:t>
                  </w:r>
                </w:p>
              </w:tc>
              <w:tc>
                <w:tcPr>
                  <w:tcW w:w="1303" w:type="dxa"/>
                  <w:noWrap w:val="0"/>
                  <w:vAlign w:val="top"/>
                </w:tcPr>
                <w:p w14:paraId="23C6C798">
                  <w:pPr>
                    <w:tabs>
                      <w:tab w:val="left" w:leader="middleDot" w:pos="7740"/>
                    </w:tabs>
                    <w:snapToGrid w:val="0"/>
                    <w:jc w:val="center"/>
                    <w:rPr>
                      <w:rFonts w:hint="eastAsia"/>
                      <w:color w:val="auto"/>
                      <w:szCs w:val="21"/>
                    </w:rPr>
                  </w:pPr>
                  <w:r>
                    <w:rPr>
                      <w:rFonts w:hint="eastAsia"/>
                      <w:color w:val="auto"/>
                      <w:szCs w:val="21"/>
                      <w:lang w:val="en-US" w:eastAsia="zh-CN"/>
                    </w:rPr>
                    <w:t>2</w:t>
                  </w:r>
                  <w:r>
                    <w:rPr>
                      <w:color w:val="auto"/>
                      <w:szCs w:val="21"/>
                    </w:rPr>
                    <w:t>00人</w:t>
                  </w:r>
                </w:p>
              </w:tc>
              <w:tc>
                <w:tcPr>
                  <w:tcW w:w="935" w:type="dxa"/>
                  <w:noWrap w:val="0"/>
                  <w:vAlign w:val="top"/>
                </w:tcPr>
                <w:p w14:paraId="797A27BE">
                  <w:pPr>
                    <w:tabs>
                      <w:tab w:val="left" w:leader="middleDot" w:pos="7740"/>
                    </w:tabs>
                    <w:snapToGrid w:val="0"/>
                    <w:jc w:val="center"/>
                    <w:rPr>
                      <w:rFonts w:hint="eastAsia" w:eastAsia="宋体"/>
                      <w:color w:val="auto"/>
                      <w:szCs w:val="21"/>
                      <w:lang w:eastAsia="zh-CN"/>
                    </w:rPr>
                  </w:pPr>
                  <w:r>
                    <w:rPr>
                      <w:rFonts w:hint="eastAsia"/>
                      <w:color w:val="auto"/>
                      <w:szCs w:val="21"/>
                      <w:lang w:val="en-US" w:eastAsia="zh-CN"/>
                    </w:rPr>
                    <w:t>3</w:t>
                  </w:r>
                </w:p>
              </w:tc>
              <w:tc>
                <w:tcPr>
                  <w:tcW w:w="1017" w:type="dxa"/>
                  <w:noWrap w:val="0"/>
                  <w:vAlign w:val="center"/>
                </w:tcPr>
                <w:p w14:paraId="1D784C81">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1095</w:t>
                  </w:r>
                </w:p>
              </w:tc>
              <w:tc>
                <w:tcPr>
                  <w:tcW w:w="851" w:type="dxa"/>
                  <w:noWrap w:val="0"/>
                  <w:vAlign w:val="center"/>
                </w:tcPr>
                <w:p w14:paraId="56C54A38">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2.7</w:t>
                  </w:r>
                </w:p>
              </w:tc>
              <w:tc>
                <w:tcPr>
                  <w:tcW w:w="1018" w:type="dxa"/>
                  <w:noWrap w:val="0"/>
                  <w:vAlign w:val="center"/>
                </w:tcPr>
                <w:p w14:paraId="37F368AD">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985.5</w:t>
                  </w:r>
                </w:p>
              </w:tc>
            </w:tr>
            <w:tr w14:paraId="61D4D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0EF54A1D">
                  <w:pPr>
                    <w:tabs>
                      <w:tab w:val="left" w:leader="middleDot" w:pos="7740"/>
                    </w:tabs>
                    <w:snapToGrid w:val="0"/>
                    <w:jc w:val="center"/>
                    <w:rPr>
                      <w:color w:val="auto"/>
                      <w:szCs w:val="21"/>
                    </w:rPr>
                  </w:pPr>
                  <w:r>
                    <w:rPr>
                      <w:color w:val="auto"/>
                      <w:szCs w:val="21"/>
                    </w:rPr>
                    <w:t>托老院</w:t>
                  </w:r>
                </w:p>
              </w:tc>
              <w:tc>
                <w:tcPr>
                  <w:tcW w:w="1383" w:type="dxa"/>
                  <w:noWrap w:val="0"/>
                  <w:vAlign w:val="top"/>
                </w:tcPr>
                <w:p w14:paraId="023C7981">
                  <w:pPr>
                    <w:tabs>
                      <w:tab w:val="left" w:leader="middleDot" w:pos="7740"/>
                    </w:tabs>
                    <w:snapToGrid w:val="0"/>
                    <w:jc w:val="center"/>
                    <w:rPr>
                      <w:color w:val="auto"/>
                      <w:szCs w:val="21"/>
                    </w:rPr>
                  </w:pPr>
                  <w:r>
                    <w:rPr>
                      <w:rFonts w:hint="eastAsia"/>
                      <w:color w:val="auto"/>
                      <w:szCs w:val="21"/>
                      <w:lang w:val="en-US" w:eastAsia="zh-CN"/>
                    </w:rPr>
                    <w:t>100</w:t>
                  </w:r>
                  <w:r>
                    <w:rPr>
                      <w:color w:val="auto"/>
                      <w:szCs w:val="21"/>
                    </w:rPr>
                    <w:t>L/人·床</w:t>
                  </w:r>
                </w:p>
              </w:tc>
              <w:tc>
                <w:tcPr>
                  <w:tcW w:w="1303" w:type="dxa"/>
                  <w:noWrap w:val="0"/>
                  <w:vAlign w:val="top"/>
                </w:tcPr>
                <w:p w14:paraId="0B79AD2E">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120</w:t>
                  </w:r>
                  <w:r>
                    <w:rPr>
                      <w:color w:val="auto"/>
                      <w:szCs w:val="21"/>
                    </w:rPr>
                    <w:t>床</w:t>
                  </w:r>
                </w:p>
              </w:tc>
              <w:tc>
                <w:tcPr>
                  <w:tcW w:w="935" w:type="dxa"/>
                  <w:noWrap w:val="0"/>
                  <w:vAlign w:val="top"/>
                </w:tcPr>
                <w:p w14:paraId="5DD20697">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12</w:t>
                  </w:r>
                </w:p>
              </w:tc>
              <w:tc>
                <w:tcPr>
                  <w:tcW w:w="1017" w:type="dxa"/>
                  <w:noWrap w:val="0"/>
                  <w:vAlign w:val="center"/>
                </w:tcPr>
                <w:p w14:paraId="18FCA885">
                  <w:pPr>
                    <w:keepNext w:val="0"/>
                    <w:keepLines w:val="0"/>
                    <w:widowControl/>
                    <w:suppressLineNumbers w:val="0"/>
                    <w:jc w:val="center"/>
                    <w:textAlignment w:val="center"/>
                    <w:rPr>
                      <w:rFonts w:hint="eastAsia"/>
                      <w:color w:val="auto"/>
                      <w:szCs w:val="21"/>
                      <w:lang w:val="en-US" w:eastAsia="zh-CN"/>
                    </w:rPr>
                  </w:pPr>
                  <w:r>
                    <w:rPr>
                      <w:rFonts w:hint="eastAsia"/>
                      <w:color w:val="auto"/>
                      <w:szCs w:val="21"/>
                      <w:lang w:val="en-US" w:eastAsia="zh-CN"/>
                    </w:rPr>
                    <w:t>4380</w:t>
                  </w:r>
                </w:p>
              </w:tc>
              <w:tc>
                <w:tcPr>
                  <w:tcW w:w="851" w:type="dxa"/>
                  <w:noWrap w:val="0"/>
                  <w:vAlign w:val="center"/>
                </w:tcPr>
                <w:p w14:paraId="1F37B0A2">
                  <w:pPr>
                    <w:tabs>
                      <w:tab w:val="left" w:leader="middleDot" w:pos="7740"/>
                    </w:tabs>
                    <w:snapToGrid w:val="0"/>
                    <w:jc w:val="center"/>
                    <w:rPr>
                      <w:rFonts w:hint="eastAsia"/>
                      <w:color w:val="auto"/>
                      <w:szCs w:val="21"/>
                      <w:lang w:val="en-US" w:eastAsia="zh-CN"/>
                    </w:rPr>
                  </w:pPr>
                  <w:r>
                    <w:rPr>
                      <w:rFonts w:hint="eastAsia"/>
                      <w:color w:val="auto"/>
                      <w:szCs w:val="21"/>
                      <w:lang w:val="en-US" w:eastAsia="zh-CN"/>
                    </w:rPr>
                    <w:t>10.8</w:t>
                  </w:r>
                </w:p>
              </w:tc>
              <w:tc>
                <w:tcPr>
                  <w:tcW w:w="1018" w:type="dxa"/>
                  <w:noWrap w:val="0"/>
                  <w:vAlign w:val="center"/>
                </w:tcPr>
                <w:p w14:paraId="5118832A">
                  <w:pPr>
                    <w:tabs>
                      <w:tab w:val="left" w:leader="middleDot" w:pos="7740"/>
                    </w:tabs>
                    <w:snapToGrid w:val="0"/>
                    <w:jc w:val="center"/>
                    <w:rPr>
                      <w:rFonts w:hint="eastAsia"/>
                      <w:color w:val="auto"/>
                      <w:szCs w:val="21"/>
                      <w:lang w:val="en-US" w:eastAsia="zh-CN"/>
                    </w:rPr>
                  </w:pPr>
                  <w:r>
                    <w:rPr>
                      <w:rFonts w:hint="eastAsia"/>
                      <w:color w:val="auto"/>
                      <w:szCs w:val="21"/>
                      <w:lang w:val="en-US" w:eastAsia="zh-CN"/>
                    </w:rPr>
                    <w:t>3942</w:t>
                  </w:r>
                </w:p>
              </w:tc>
            </w:tr>
            <w:tr w14:paraId="58921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406485AC">
                  <w:pPr>
                    <w:tabs>
                      <w:tab w:val="left" w:leader="middleDot" w:pos="7740"/>
                    </w:tabs>
                    <w:snapToGrid w:val="0"/>
                    <w:jc w:val="center"/>
                    <w:rPr>
                      <w:color w:val="auto"/>
                      <w:szCs w:val="21"/>
                    </w:rPr>
                  </w:pPr>
                  <w:r>
                    <w:rPr>
                      <w:color w:val="auto"/>
                      <w:szCs w:val="21"/>
                    </w:rPr>
                    <w:t>清洁用水</w:t>
                  </w:r>
                </w:p>
              </w:tc>
              <w:tc>
                <w:tcPr>
                  <w:tcW w:w="1383" w:type="dxa"/>
                  <w:noWrap w:val="0"/>
                  <w:vAlign w:val="top"/>
                </w:tcPr>
                <w:p w14:paraId="5C65CAAB">
                  <w:pPr>
                    <w:tabs>
                      <w:tab w:val="left" w:leader="middleDot" w:pos="7740"/>
                    </w:tabs>
                    <w:snapToGrid w:val="0"/>
                    <w:jc w:val="center"/>
                    <w:rPr>
                      <w:color w:val="auto"/>
                      <w:szCs w:val="21"/>
                    </w:rPr>
                  </w:pPr>
                  <w:r>
                    <w:rPr>
                      <w:color w:val="auto"/>
                      <w:szCs w:val="21"/>
                    </w:rPr>
                    <w:t>0.5L/m</w:t>
                  </w:r>
                  <w:r>
                    <w:rPr>
                      <w:color w:val="auto"/>
                      <w:szCs w:val="21"/>
                      <w:vertAlign w:val="superscript"/>
                    </w:rPr>
                    <w:t>2</w:t>
                  </w:r>
                  <w:r>
                    <w:rPr>
                      <w:color w:val="auto"/>
                      <w:szCs w:val="21"/>
                    </w:rPr>
                    <w:t>·次</w:t>
                  </w:r>
                </w:p>
              </w:tc>
              <w:tc>
                <w:tcPr>
                  <w:tcW w:w="1303" w:type="dxa"/>
                  <w:noWrap w:val="0"/>
                  <w:vAlign w:val="top"/>
                </w:tcPr>
                <w:p w14:paraId="35659308">
                  <w:pPr>
                    <w:tabs>
                      <w:tab w:val="left" w:leader="middleDot" w:pos="7740"/>
                    </w:tabs>
                    <w:snapToGrid w:val="0"/>
                    <w:jc w:val="center"/>
                    <w:rPr>
                      <w:color w:val="auto"/>
                      <w:szCs w:val="21"/>
                    </w:rPr>
                  </w:pPr>
                  <w:r>
                    <w:rPr>
                      <w:rFonts w:hint="eastAsia"/>
                      <w:color w:val="auto"/>
                      <w:szCs w:val="21"/>
                      <w:lang w:val="en-US" w:eastAsia="zh-CN"/>
                    </w:rPr>
                    <w:t>40</w:t>
                  </w:r>
                  <w:r>
                    <w:rPr>
                      <w:rFonts w:hint="eastAsia"/>
                      <w:color w:val="auto"/>
                      <w:szCs w:val="21"/>
                    </w:rPr>
                    <w:t>00</w:t>
                  </w:r>
                  <w:r>
                    <w:rPr>
                      <w:color w:val="auto"/>
                      <w:szCs w:val="21"/>
                    </w:rPr>
                    <w:t>m</w:t>
                  </w:r>
                  <w:r>
                    <w:rPr>
                      <w:color w:val="auto"/>
                      <w:szCs w:val="21"/>
                      <w:vertAlign w:val="superscript"/>
                    </w:rPr>
                    <w:t>2</w:t>
                  </w:r>
                </w:p>
              </w:tc>
              <w:tc>
                <w:tcPr>
                  <w:tcW w:w="935" w:type="dxa"/>
                  <w:noWrap w:val="0"/>
                  <w:vAlign w:val="top"/>
                </w:tcPr>
                <w:p w14:paraId="758EE32B">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2</w:t>
                  </w:r>
                </w:p>
              </w:tc>
              <w:tc>
                <w:tcPr>
                  <w:tcW w:w="1017" w:type="dxa"/>
                  <w:noWrap w:val="0"/>
                  <w:vAlign w:val="center"/>
                </w:tcPr>
                <w:p w14:paraId="6D3B2AD3">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730</w:t>
                  </w:r>
                </w:p>
              </w:tc>
              <w:tc>
                <w:tcPr>
                  <w:tcW w:w="851" w:type="dxa"/>
                  <w:noWrap w:val="0"/>
                  <w:vAlign w:val="center"/>
                </w:tcPr>
                <w:p w14:paraId="17695E12">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1.8</w:t>
                  </w:r>
                </w:p>
              </w:tc>
              <w:tc>
                <w:tcPr>
                  <w:tcW w:w="1018" w:type="dxa"/>
                  <w:noWrap w:val="0"/>
                  <w:vAlign w:val="center"/>
                </w:tcPr>
                <w:p w14:paraId="48AFC06D">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657</w:t>
                  </w:r>
                </w:p>
              </w:tc>
            </w:tr>
            <w:tr w14:paraId="4D13D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4D6B3D34">
                  <w:pPr>
                    <w:tabs>
                      <w:tab w:val="left" w:leader="middleDot" w:pos="7740"/>
                    </w:tabs>
                    <w:snapToGrid w:val="0"/>
                    <w:jc w:val="center"/>
                    <w:rPr>
                      <w:color w:val="auto"/>
                      <w:szCs w:val="21"/>
                    </w:rPr>
                  </w:pPr>
                  <w:r>
                    <w:rPr>
                      <w:color w:val="auto"/>
                      <w:szCs w:val="21"/>
                    </w:rPr>
                    <w:t>医务人员</w:t>
                  </w:r>
                </w:p>
              </w:tc>
              <w:tc>
                <w:tcPr>
                  <w:tcW w:w="1383" w:type="dxa"/>
                  <w:noWrap w:val="0"/>
                  <w:vAlign w:val="top"/>
                </w:tcPr>
                <w:p w14:paraId="2D410969">
                  <w:pPr>
                    <w:tabs>
                      <w:tab w:val="left" w:leader="middleDot" w:pos="7740"/>
                    </w:tabs>
                    <w:snapToGrid w:val="0"/>
                    <w:jc w:val="center"/>
                    <w:rPr>
                      <w:color w:val="auto"/>
                      <w:szCs w:val="21"/>
                    </w:rPr>
                  </w:pPr>
                  <w:r>
                    <w:rPr>
                      <w:color w:val="auto"/>
                      <w:szCs w:val="21"/>
                    </w:rPr>
                    <w:t>150L/d·人·班</w:t>
                  </w:r>
                </w:p>
              </w:tc>
              <w:tc>
                <w:tcPr>
                  <w:tcW w:w="1303" w:type="dxa"/>
                  <w:noWrap w:val="0"/>
                  <w:vAlign w:val="top"/>
                </w:tcPr>
                <w:p w14:paraId="74B1027A">
                  <w:pPr>
                    <w:tabs>
                      <w:tab w:val="left" w:leader="middleDot" w:pos="7740"/>
                    </w:tabs>
                    <w:snapToGrid w:val="0"/>
                    <w:jc w:val="center"/>
                    <w:rPr>
                      <w:color w:val="auto"/>
                      <w:szCs w:val="21"/>
                    </w:rPr>
                  </w:pPr>
                  <w:r>
                    <w:rPr>
                      <w:rFonts w:hint="eastAsia"/>
                      <w:color w:val="auto"/>
                      <w:szCs w:val="21"/>
                      <w:lang w:val="en-US" w:eastAsia="zh-CN"/>
                    </w:rPr>
                    <w:t>70</w:t>
                  </w:r>
                  <w:r>
                    <w:rPr>
                      <w:color w:val="auto"/>
                      <w:szCs w:val="21"/>
                    </w:rPr>
                    <w:t>人</w:t>
                  </w:r>
                </w:p>
              </w:tc>
              <w:tc>
                <w:tcPr>
                  <w:tcW w:w="935" w:type="dxa"/>
                  <w:noWrap w:val="0"/>
                  <w:vAlign w:val="top"/>
                </w:tcPr>
                <w:p w14:paraId="1D2C4865">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10.5</w:t>
                  </w:r>
                </w:p>
              </w:tc>
              <w:tc>
                <w:tcPr>
                  <w:tcW w:w="1017" w:type="dxa"/>
                  <w:noWrap w:val="0"/>
                  <w:vAlign w:val="center"/>
                </w:tcPr>
                <w:p w14:paraId="76D93950">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3832.5</w:t>
                  </w:r>
                </w:p>
              </w:tc>
              <w:tc>
                <w:tcPr>
                  <w:tcW w:w="851" w:type="dxa"/>
                  <w:noWrap w:val="0"/>
                  <w:vAlign w:val="center"/>
                </w:tcPr>
                <w:p w14:paraId="60B661D5">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9.5</w:t>
                  </w:r>
                </w:p>
              </w:tc>
              <w:tc>
                <w:tcPr>
                  <w:tcW w:w="1018" w:type="dxa"/>
                  <w:noWrap w:val="0"/>
                  <w:vAlign w:val="center"/>
                </w:tcPr>
                <w:p w14:paraId="1BA9C615">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3449.3</w:t>
                  </w:r>
                </w:p>
              </w:tc>
            </w:tr>
            <w:tr w14:paraId="76610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6" w:type="dxa"/>
                  <w:noWrap w:val="0"/>
                  <w:vAlign w:val="top"/>
                </w:tcPr>
                <w:p w14:paraId="08D3681C">
                  <w:pPr>
                    <w:tabs>
                      <w:tab w:val="left" w:leader="middleDot" w:pos="7740"/>
                    </w:tabs>
                    <w:snapToGrid w:val="0"/>
                    <w:jc w:val="center"/>
                    <w:rPr>
                      <w:color w:val="auto"/>
                      <w:szCs w:val="21"/>
                    </w:rPr>
                  </w:pPr>
                  <w:r>
                    <w:rPr>
                      <w:color w:val="auto"/>
                      <w:szCs w:val="21"/>
                    </w:rPr>
                    <w:t>洗衣房</w:t>
                  </w:r>
                </w:p>
              </w:tc>
              <w:tc>
                <w:tcPr>
                  <w:tcW w:w="1383" w:type="dxa"/>
                  <w:noWrap w:val="0"/>
                  <w:vAlign w:val="top"/>
                </w:tcPr>
                <w:p w14:paraId="0E06C4AB">
                  <w:pPr>
                    <w:tabs>
                      <w:tab w:val="left" w:leader="middleDot" w:pos="7740"/>
                    </w:tabs>
                    <w:snapToGrid w:val="0"/>
                    <w:jc w:val="center"/>
                    <w:rPr>
                      <w:color w:val="auto"/>
                      <w:szCs w:val="21"/>
                    </w:rPr>
                  </w:pPr>
                  <w:r>
                    <w:rPr>
                      <w:color w:val="auto"/>
                      <w:szCs w:val="21"/>
                    </w:rPr>
                    <w:t>60 L/kg</w:t>
                  </w:r>
                </w:p>
              </w:tc>
              <w:tc>
                <w:tcPr>
                  <w:tcW w:w="1303" w:type="dxa"/>
                  <w:noWrap w:val="0"/>
                  <w:vAlign w:val="top"/>
                </w:tcPr>
                <w:p w14:paraId="0896ED40">
                  <w:pPr>
                    <w:tabs>
                      <w:tab w:val="left" w:leader="middleDot" w:pos="7740"/>
                    </w:tabs>
                    <w:snapToGrid w:val="0"/>
                    <w:jc w:val="center"/>
                    <w:rPr>
                      <w:color w:val="auto"/>
                      <w:szCs w:val="21"/>
                    </w:rPr>
                  </w:pPr>
                  <w:r>
                    <w:rPr>
                      <w:rFonts w:hint="eastAsia"/>
                      <w:color w:val="auto"/>
                      <w:szCs w:val="21"/>
                      <w:lang w:val="en-US" w:eastAsia="zh-CN"/>
                    </w:rPr>
                    <w:t>315</w:t>
                  </w:r>
                  <w:r>
                    <w:rPr>
                      <w:color w:val="auto"/>
                      <w:szCs w:val="21"/>
                    </w:rPr>
                    <w:t>kg</w:t>
                  </w:r>
                  <w:r>
                    <w:rPr>
                      <w:bCs/>
                      <w:color w:val="auto"/>
                      <w:kern w:val="0"/>
                      <w:sz w:val="18"/>
                      <w:szCs w:val="18"/>
                    </w:rPr>
                    <w:t>①</w:t>
                  </w:r>
                </w:p>
              </w:tc>
              <w:tc>
                <w:tcPr>
                  <w:tcW w:w="935" w:type="dxa"/>
                  <w:noWrap w:val="0"/>
                  <w:vAlign w:val="top"/>
                </w:tcPr>
                <w:p w14:paraId="2E439873">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18.9</w:t>
                  </w:r>
                </w:p>
              </w:tc>
              <w:tc>
                <w:tcPr>
                  <w:tcW w:w="1017" w:type="dxa"/>
                  <w:noWrap w:val="0"/>
                  <w:vAlign w:val="center"/>
                </w:tcPr>
                <w:p w14:paraId="47DD3044">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6898.5</w:t>
                  </w:r>
                </w:p>
              </w:tc>
              <w:tc>
                <w:tcPr>
                  <w:tcW w:w="851" w:type="dxa"/>
                  <w:noWrap w:val="0"/>
                  <w:vAlign w:val="center"/>
                </w:tcPr>
                <w:p w14:paraId="18FABEE7">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17.0</w:t>
                  </w:r>
                </w:p>
              </w:tc>
              <w:tc>
                <w:tcPr>
                  <w:tcW w:w="1018" w:type="dxa"/>
                  <w:noWrap w:val="0"/>
                  <w:vAlign w:val="center"/>
                </w:tcPr>
                <w:p w14:paraId="218D17E5">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6208.7</w:t>
                  </w:r>
                </w:p>
              </w:tc>
            </w:tr>
            <w:tr w14:paraId="6BD99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12" w:type="dxa"/>
                  <w:gridSpan w:val="3"/>
                  <w:noWrap w:val="0"/>
                  <w:vAlign w:val="top"/>
                </w:tcPr>
                <w:p w14:paraId="2487BC73">
                  <w:pPr>
                    <w:tabs>
                      <w:tab w:val="left" w:leader="middleDot" w:pos="7740"/>
                    </w:tabs>
                    <w:snapToGrid w:val="0"/>
                    <w:jc w:val="center"/>
                    <w:rPr>
                      <w:color w:val="auto"/>
                      <w:szCs w:val="21"/>
                    </w:rPr>
                  </w:pPr>
                  <w:r>
                    <w:rPr>
                      <w:color w:val="auto"/>
                      <w:szCs w:val="21"/>
                    </w:rPr>
                    <w:t>合计</w:t>
                  </w:r>
                </w:p>
              </w:tc>
              <w:tc>
                <w:tcPr>
                  <w:tcW w:w="935" w:type="dxa"/>
                  <w:noWrap w:val="0"/>
                  <w:vAlign w:val="center"/>
                </w:tcPr>
                <w:p w14:paraId="74CC1966">
                  <w:pPr>
                    <w:tabs>
                      <w:tab w:val="left" w:leader="middleDot" w:pos="7740"/>
                    </w:tabs>
                    <w:snapToGrid w:val="0"/>
                    <w:jc w:val="center"/>
                    <w:rPr>
                      <w:rFonts w:hint="default" w:eastAsia="宋体"/>
                      <w:color w:val="auto"/>
                      <w:szCs w:val="21"/>
                      <w:lang w:val="en-US" w:eastAsia="zh-CN"/>
                    </w:rPr>
                  </w:pPr>
                  <w:r>
                    <w:rPr>
                      <w:rFonts w:hint="eastAsia"/>
                      <w:color w:val="auto"/>
                      <w:szCs w:val="21"/>
                      <w:lang w:val="en-US" w:eastAsia="zh-CN"/>
                    </w:rPr>
                    <w:t>68.9</w:t>
                  </w:r>
                </w:p>
              </w:tc>
              <w:tc>
                <w:tcPr>
                  <w:tcW w:w="1017" w:type="dxa"/>
                  <w:noWrap w:val="0"/>
                  <w:vAlign w:val="center"/>
                </w:tcPr>
                <w:p w14:paraId="5CCDF9CE">
                  <w:pPr>
                    <w:keepNext w:val="0"/>
                    <w:keepLines w:val="0"/>
                    <w:widowControl/>
                    <w:suppressLineNumbers w:val="0"/>
                    <w:jc w:val="center"/>
                    <w:textAlignment w:val="center"/>
                    <w:rPr>
                      <w:rFonts w:hint="default"/>
                      <w:color w:val="auto"/>
                      <w:szCs w:val="21"/>
                      <w:lang w:val="en-US" w:eastAsia="zh-CN"/>
                    </w:rPr>
                  </w:pPr>
                  <w:r>
                    <w:rPr>
                      <w:rFonts w:hint="eastAsia"/>
                      <w:color w:val="auto"/>
                      <w:szCs w:val="21"/>
                      <w:lang w:val="en-US" w:eastAsia="zh-CN"/>
                    </w:rPr>
                    <w:t>25148.5</w:t>
                  </w:r>
                </w:p>
              </w:tc>
              <w:tc>
                <w:tcPr>
                  <w:tcW w:w="851" w:type="dxa"/>
                  <w:noWrap w:val="0"/>
                  <w:vAlign w:val="center"/>
                </w:tcPr>
                <w:p w14:paraId="75E26732">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62.1</w:t>
                  </w:r>
                </w:p>
              </w:tc>
              <w:tc>
                <w:tcPr>
                  <w:tcW w:w="1018" w:type="dxa"/>
                  <w:noWrap w:val="0"/>
                  <w:vAlign w:val="center"/>
                </w:tcPr>
                <w:p w14:paraId="01E9A489">
                  <w:pPr>
                    <w:tabs>
                      <w:tab w:val="left" w:leader="middleDot" w:pos="7740"/>
                    </w:tabs>
                    <w:snapToGrid w:val="0"/>
                    <w:jc w:val="center"/>
                    <w:rPr>
                      <w:rFonts w:hint="default"/>
                      <w:color w:val="auto"/>
                      <w:szCs w:val="21"/>
                      <w:lang w:val="en-US" w:eastAsia="zh-CN"/>
                    </w:rPr>
                  </w:pPr>
                  <w:r>
                    <w:rPr>
                      <w:rFonts w:hint="eastAsia"/>
                      <w:color w:val="auto"/>
                      <w:szCs w:val="21"/>
                      <w:lang w:val="en-US" w:eastAsia="zh-CN"/>
                    </w:rPr>
                    <w:t>22633.8</w:t>
                  </w:r>
                </w:p>
              </w:tc>
            </w:tr>
          </w:tbl>
          <w:p w14:paraId="006F058C">
            <w:pPr>
              <w:pStyle w:val="48"/>
              <w:spacing w:line="360" w:lineRule="auto"/>
              <w:ind w:firstLine="360" w:firstLineChars="200"/>
              <w:rPr>
                <w:snapToGrid w:val="0"/>
                <w:color w:val="auto"/>
                <w:kern w:val="0"/>
                <w:sz w:val="24"/>
              </w:rPr>
            </w:pPr>
            <w:r>
              <w:rPr>
                <w:rFonts w:hint="eastAsia"/>
                <w:bCs/>
                <w:color w:val="auto"/>
                <w:kern w:val="0"/>
                <w:sz w:val="18"/>
                <w:szCs w:val="18"/>
              </w:rPr>
              <w:t>注：</w:t>
            </w:r>
            <w:r>
              <w:rPr>
                <w:bCs/>
                <w:color w:val="auto"/>
                <w:kern w:val="0"/>
                <w:sz w:val="18"/>
                <w:szCs w:val="18"/>
              </w:rPr>
              <w:t>①医院病服、病床被套清洗按照产生</w:t>
            </w:r>
            <w:r>
              <w:rPr>
                <w:rFonts w:hint="eastAsia"/>
                <w:bCs/>
                <w:color w:val="auto"/>
                <w:kern w:val="0"/>
                <w:sz w:val="18"/>
                <w:szCs w:val="18"/>
              </w:rPr>
              <w:t>1</w:t>
            </w:r>
            <w:r>
              <w:rPr>
                <w:bCs/>
                <w:color w:val="auto"/>
                <w:kern w:val="0"/>
                <w:sz w:val="18"/>
                <w:szCs w:val="18"/>
              </w:rPr>
              <w:t>.</w:t>
            </w:r>
            <w:r>
              <w:rPr>
                <w:rFonts w:hint="eastAsia"/>
                <w:bCs/>
                <w:color w:val="auto"/>
                <w:kern w:val="0"/>
                <w:sz w:val="18"/>
                <w:szCs w:val="18"/>
              </w:rPr>
              <w:t>5</w:t>
            </w:r>
            <w:r>
              <w:rPr>
                <w:bCs/>
                <w:color w:val="auto"/>
                <w:kern w:val="0"/>
                <w:sz w:val="18"/>
                <w:szCs w:val="18"/>
              </w:rPr>
              <w:t>kg干衣</w:t>
            </w:r>
            <w:r>
              <w:rPr>
                <w:rFonts w:hint="eastAsia"/>
                <w:bCs/>
                <w:color w:val="auto"/>
                <w:kern w:val="0"/>
                <w:sz w:val="18"/>
                <w:szCs w:val="18"/>
              </w:rPr>
              <w:t>及污物计。</w:t>
            </w:r>
          </w:p>
          <w:p w14:paraId="19D26D57">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eastAsia="宋体" w:cs="Times New Roman"/>
                <w:color w:val="auto"/>
              </w:rPr>
            </w:pPr>
            <w:r>
              <w:rPr>
                <w:rFonts w:hint="eastAsia" w:ascii="Times New Roman" w:eastAsia="宋体" w:cs="Times New Roman"/>
                <w:color w:val="auto"/>
                <w:lang w:val="en-US" w:eastAsia="zh-CN"/>
              </w:rPr>
              <w:t>生活、医疗废水一起进入污水处理站（处理能力85m</w:t>
            </w:r>
            <w:r>
              <w:rPr>
                <w:rFonts w:hint="eastAsia" w:ascii="Times New Roman" w:eastAsia="宋体" w:cs="Times New Roman"/>
                <w:color w:val="auto"/>
                <w:vertAlign w:val="superscript"/>
                <w:lang w:val="en-US" w:eastAsia="zh-CN"/>
              </w:rPr>
              <w:t>3</w:t>
            </w:r>
            <w:r>
              <w:rPr>
                <w:rFonts w:hint="eastAsia" w:ascii="Times New Roman" w:eastAsia="宋体" w:cs="Times New Roman"/>
                <w:color w:val="auto"/>
                <w:lang w:val="en-US" w:eastAsia="zh-CN"/>
              </w:rPr>
              <w:t>/d）处理达《医疗机构水污染物排放标准》（GB18466-2005）表2综合医疗机构和其他医疗机构水污染物排放限值中的预处理标准后，排入市政污水管网，经市政管网汇入鸡冠石污水处理厂深度处理达《城镇污水处理厂排放标准》（GB18918-2002）一级A标后排入长江。项目现有废水处理工艺采用“调节池+厌氧水解+接触氧化+沉淀+次氯酸钠消毒”。现有污水处理站未配套建设应急事故池。</w:t>
            </w:r>
          </w:p>
          <w:tbl>
            <w:tblPr>
              <w:tblStyle w:val="26"/>
              <w:tblW w:w="8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4"/>
              <w:gridCol w:w="4064"/>
            </w:tblGrid>
            <w:tr w14:paraId="372E8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4" w:type="dxa"/>
                </w:tcPr>
                <w:p w14:paraId="43A566A7">
                  <w:pPr>
                    <w:pStyle w:val="48"/>
                    <w:adjustRightInd w:val="0"/>
                    <w:snapToGrid w:val="0"/>
                    <w:spacing w:line="360" w:lineRule="auto"/>
                    <w:jc w:val="center"/>
                    <w:rPr>
                      <w:color w:val="auto"/>
                      <w:vertAlign w:val="baseline"/>
                    </w:rPr>
                  </w:pPr>
                  <w:r>
                    <w:rPr>
                      <w:color w:val="auto"/>
                    </w:rPr>
                    <w:drawing>
                      <wp:inline distT="0" distB="0" distL="114300" distR="114300">
                        <wp:extent cx="2437765" cy="2131695"/>
                        <wp:effectExtent l="0" t="0" r="635" b="190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6"/>
                                <a:stretch>
                                  <a:fillRect/>
                                </a:stretch>
                              </pic:blipFill>
                              <pic:spPr>
                                <a:xfrm>
                                  <a:off x="0" y="0"/>
                                  <a:ext cx="2437765" cy="2131695"/>
                                </a:xfrm>
                                <a:prstGeom prst="rect">
                                  <a:avLst/>
                                </a:prstGeom>
                                <a:noFill/>
                                <a:ln>
                                  <a:noFill/>
                                </a:ln>
                              </pic:spPr>
                            </pic:pic>
                          </a:graphicData>
                        </a:graphic>
                      </wp:inline>
                    </w:drawing>
                  </w:r>
                </w:p>
              </w:tc>
              <w:tc>
                <w:tcPr>
                  <w:tcW w:w="4064" w:type="dxa"/>
                </w:tcPr>
                <w:p w14:paraId="2887D0AC">
                  <w:pPr>
                    <w:pStyle w:val="48"/>
                    <w:adjustRightInd w:val="0"/>
                    <w:snapToGrid w:val="0"/>
                    <w:spacing w:line="360" w:lineRule="auto"/>
                    <w:jc w:val="center"/>
                    <w:rPr>
                      <w:color w:val="auto"/>
                    </w:rPr>
                  </w:pPr>
                  <w:r>
                    <w:rPr>
                      <w:color w:val="auto"/>
                    </w:rPr>
                    <w:drawing>
                      <wp:inline distT="0" distB="0" distL="114300" distR="114300">
                        <wp:extent cx="2440940" cy="2120900"/>
                        <wp:effectExtent l="0" t="0" r="16510" b="1270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17"/>
                                <a:stretch>
                                  <a:fillRect/>
                                </a:stretch>
                              </pic:blipFill>
                              <pic:spPr>
                                <a:xfrm>
                                  <a:off x="0" y="0"/>
                                  <a:ext cx="2440940" cy="2120900"/>
                                </a:xfrm>
                                <a:prstGeom prst="rect">
                                  <a:avLst/>
                                </a:prstGeom>
                                <a:noFill/>
                                <a:ln>
                                  <a:noFill/>
                                </a:ln>
                              </pic:spPr>
                            </pic:pic>
                          </a:graphicData>
                        </a:graphic>
                      </wp:inline>
                    </w:drawing>
                  </w:r>
                </w:p>
              </w:tc>
            </w:tr>
            <w:tr w14:paraId="33336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128" w:type="dxa"/>
                  <w:gridSpan w:val="2"/>
                </w:tcPr>
                <w:p w14:paraId="7A28FDC8">
                  <w:pPr>
                    <w:pStyle w:val="48"/>
                    <w:adjustRightInd w:val="0"/>
                    <w:snapToGrid w:val="0"/>
                    <w:spacing w:line="240" w:lineRule="auto"/>
                    <w:jc w:val="center"/>
                    <w:rPr>
                      <w:rFonts w:hint="eastAsia"/>
                      <w:color w:val="auto"/>
                      <w:sz w:val="21"/>
                      <w:szCs w:val="21"/>
                      <w:lang w:val="en-US" w:eastAsia="zh-CN"/>
                    </w:rPr>
                  </w:pPr>
                  <w:r>
                    <w:rPr>
                      <w:rFonts w:hint="eastAsia" w:ascii="Times New Roman" w:eastAsia="宋体" w:cs="Times New Roman"/>
                      <w:color w:val="auto"/>
                      <w:lang w:val="en-US" w:eastAsia="zh-CN"/>
                    </w:rPr>
                    <w:t>污水处理站</w:t>
                  </w:r>
                </w:p>
              </w:tc>
            </w:tr>
          </w:tbl>
          <w:p w14:paraId="04E5A44A">
            <w:pPr>
              <w:pStyle w:val="48"/>
              <w:spacing w:line="360" w:lineRule="auto"/>
              <w:ind w:firstLine="480" w:firstLineChars="200"/>
              <w:rPr>
                <w:rFonts w:hint="eastAsia"/>
                <w:snapToGrid w:val="0"/>
                <w:color w:val="auto"/>
                <w:kern w:val="0"/>
                <w:sz w:val="24"/>
                <w:szCs w:val="24"/>
                <w:lang w:val="en-US" w:eastAsia="zh-CN"/>
              </w:rPr>
            </w:pPr>
            <w:r>
              <w:rPr>
                <w:rFonts w:hint="eastAsia"/>
                <w:color w:val="auto"/>
                <w:sz w:val="24"/>
                <w:lang w:val="en-US" w:eastAsia="zh-CN"/>
              </w:rPr>
              <w:t>根据重庆同心医院废水排放口例行监测数据及自行测量记录，</w:t>
            </w:r>
            <w:r>
              <w:rPr>
                <w:rFonts w:hint="eastAsia"/>
                <w:snapToGrid w:val="0"/>
                <w:color w:val="auto"/>
                <w:kern w:val="0"/>
                <w:sz w:val="24"/>
                <w:szCs w:val="24"/>
                <w:lang w:val="en-US" w:eastAsia="zh-CN"/>
              </w:rPr>
              <w:t>项目污水处理检测结果见表2-16。</w:t>
            </w:r>
          </w:p>
          <w:p w14:paraId="56053DDE">
            <w:pPr>
              <w:pStyle w:val="67"/>
              <w:bidi w:val="0"/>
              <w:rPr>
                <w:rFonts w:hint="default" w:ascii="Times New Roman" w:hAnsi="Times New Roman" w:eastAsia="宋体" w:cs="Times New Roman"/>
                <w:b/>
                <w:color w:val="auto"/>
                <w:kern w:val="2"/>
                <w:sz w:val="21"/>
                <w:szCs w:val="21"/>
                <w:lang w:val="en-US" w:eastAsia="zh-CN" w:bidi="ar-SA"/>
              </w:rPr>
            </w:pPr>
            <w:r>
              <w:rPr>
                <w:rFonts w:ascii="Times New Roman" w:hAnsi="Times New Roman" w:eastAsia="宋体" w:cs="Times New Roman"/>
                <w:b/>
                <w:color w:val="auto"/>
                <w:kern w:val="2"/>
                <w:sz w:val="21"/>
                <w:szCs w:val="21"/>
                <w:lang w:val="en-US" w:eastAsia="zh-CN" w:bidi="ar-SA"/>
              </w:rPr>
              <w:t>表</w:t>
            </w:r>
            <w:r>
              <w:rPr>
                <w:rFonts w:hint="eastAsia" w:ascii="Times New Roman" w:hAnsi="Times New Roman" w:eastAsia="宋体" w:cs="Times New Roman"/>
                <w:b/>
                <w:color w:val="auto"/>
                <w:kern w:val="2"/>
                <w:sz w:val="21"/>
                <w:szCs w:val="21"/>
                <w:lang w:val="en-US" w:eastAsia="zh-CN" w:bidi="ar-SA"/>
              </w:rPr>
              <w:t>2-1</w:t>
            </w:r>
            <w:r>
              <w:rPr>
                <w:rFonts w:hint="eastAsia" w:cs="Times New Roman"/>
                <w:b/>
                <w:color w:val="auto"/>
                <w:kern w:val="2"/>
                <w:sz w:val="21"/>
                <w:szCs w:val="21"/>
                <w:lang w:val="en-US" w:eastAsia="zh-CN" w:bidi="ar-SA"/>
              </w:rPr>
              <w:t>6</w:t>
            </w:r>
            <w:r>
              <w:rPr>
                <w:rFonts w:hint="eastAsia" w:ascii="Times New Roman" w:hAnsi="Times New Roman" w:eastAsia="宋体" w:cs="Times New Roman"/>
                <w:b/>
                <w:color w:val="auto"/>
                <w:kern w:val="2"/>
                <w:sz w:val="21"/>
                <w:szCs w:val="21"/>
                <w:lang w:val="en-US" w:eastAsia="zh-CN" w:bidi="ar-SA"/>
              </w:rPr>
              <w:t xml:space="preserve"> 废水</w:t>
            </w:r>
            <w:r>
              <w:rPr>
                <w:rFonts w:hint="eastAsia" w:cs="Times New Roman"/>
                <w:b/>
                <w:color w:val="auto"/>
                <w:kern w:val="2"/>
                <w:sz w:val="21"/>
                <w:szCs w:val="21"/>
                <w:lang w:val="en-US" w:eastAsia="zh-CN" w:bidi="ar-SA"/>
              </w:rPr>
              <w:t>排放监测一览表</w:t>
            </w:r>
          </w:p>
          <w:tbl>
            <w:tblPr>
              <w:tblStyle w:val="26"/>
              <w:tblW w:w="88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765"/>
              <w:gridCol w:w="1425"/>
              <w:gridCol w:w="915"/>
              <w:gridCol w:w="930"/>
              <w:gridCol w:w="885"/>
              <w:gridCol w:w="900"/>
              <w:gridCol w:w="979"/>
              <w:gridCol w:w="777"/>
            </w:tblGrid>
            <w:tr w14:paraId="46C0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restart"/>
                  <w:noWrap w:val="0"/>
                  <w:vAlign w:val="center"/>
                </w:tcPr>
                <w:p w14:paraId="26267822">
                  <w:pPr>
                    <w:pStyle w:val="76"/>
                    <w:bidi w:val="0"/>
                    <w:jc w:val="center"/>
                    <w:rPr>
                      <w:rFonts w:hint="eastAsia"/>
                      <w:color w:val="auto"/>
                      <w:sz w:val="21"/>
                      <w:szCs w:val="20"/>
                      <w:lang w:eastAsia="zh-CN"/>
                    </w:rPr>
                  </w:pPr>
                  <w:r>
                    <w:rPr>
                      <w:rFonts w:hint="eastAsia"/>
                      <w:color w:val="auto"/>
                      <w:sz w:val="21"/>
                      <w:szCs w:val="20"/>
                      <w:lang w:eastAsia="zh-CN"/>
                    </w:rPr>
                    <w:t>检测时间</w:t>
                  </w:r>
                </w:p>
              </w:tc>
              <w:tc>
                <w:tcPr>
                  <w:tcW w:w="765" w:type="dxa"/>
                  <w:vMerge w:val="restart"/>
                  <w:noWrap w:val="0"/>
                  <w:vAlign w:val="center"/>
                </w:tcPr>
                <w:p w14:paraId="64099186">
                  <w:pPr>
                    <w:pStyle w:val="76"/>
                    <w:bidi w:val="0"/>
                    <w:jc w:val="center"/>
                    <w:rPr>
                      <w:rFonts w:hint="eastAsia"/>
                      <w:color w:val="auto"/>
                      <w:sz w:val="21"/>
                      <w:szCs w:val="20"/>
                      <w:lang w:eastAsia="zh-CN"/>
                    </w:rPr>
                  </w:pPr>
                  <w:r>
                    <w:rPr>
                      <w:rFonts w:hint="eastAsia"/>
                      <w:color w:val="auto"/>
                      <w:sz w:val="21"/>
                      <w:szCs w:val="20"/>
                      <w:lang w:eastAsia="zh-CN"/>
                    </w:rPr>
                    <w:t>检测点位</w:t>
                  </w:r>
                </w:p>
              </w:tc>
              <w:tc>
                <w:tcPr>
                  <w:tcW w:w="1425" w:type="dxa"/>
                  <w:vMerge w:val="restart"/>
                  <w:noWrap w:val="0"/>
                  <w:vAlign w:val="center"/>
                </w:tcPr>
                <w:p w14:paraId="793F121D">
                  <w:pPr>
                    <w:pStyle w:val="76"/>
                    <w:bidi w:val="0"/>
                    <w:jc w:val="center"/>
                    <w:rPr>
                      <w:rFonts w:hint="eastAsia"/>
                      <w:color w:val="auto"/>
                      <w:sz w:val="21"/>
                      <w:szCs w:val="20"/>
                      <w:lang w:eastAsia="zh-CN"/>
                    </w:rPr>
                  </w:pPr>
                  <w:r>
                    <w:rPr>
                      <w:rFonts w:hint="eastAsia"/>
                      <w:color w:val="auto"/>
                      <w:sz w:val="21"/>
                      <w:szCs w:val="20"/>
                      <w:lang w:eastAsia="zh-CN"/>
                    </w:rPr>
                    <w:t>检测项目</w:t>
                  </w:r>
                </w:p>
              </w:tc>
              <w:tc>
                <w:tcPr>
                  <w:tcW w:w="915" w:type="dxa"/>
                  <w:vMerge w:val="restart"/>
                  <w:noWrap w:val="0"/>
                  <w:vAlign w:val="center"/>
                </w:tcPr>
                <w:p w14:paraId="1AFE3769">
                  <w:pPr>
                    <w:pStyle w:val="76"/>
                    <w:bidi w:val="0"/>
                    <w:jc w:val="center"/>
                    <w:rPr>
                      <w:rFonts w:hint="eastAsia"/>
                      <w:color w:val="auto"/>
                      <w:sz w:val="21"/>
                      <w:szCs w:val="20"/>
                      <w:lang w:eastAsia="zh-CN"/>
                    </w:rPr>
                  </w:pPr>
                  <w:r>
                    <w:rPr>
                      <w:rFonts w:hint="eastAsia"/>
                      <w:color w:val="auto"/>
                      <w:sz w:val="21"/>
                      <w:szCs w:val="20"/>
                      <w:lang w:eastAsia="zh-CN"/>
                    </w:rPr>
                    <w:t>单位</w:t>
                  </w:r>
                </w:p>
              </w:tc>
              <w:tc>
                <w:tcPr>
                  <w:tcW w:w="2715" w:type="dxa"/>
                  <w:gridSpan w:val="3"/>
                  <w:noWrap w:val="0"/>
                  <w:vAlign w:val="center"/>
                </w:tcPr>
                <w:p w14:paraId="373CF3BE">
                  <w:pPr>
                    <w:pStyle w:val="76"/>
                    <w:bidi w:val="0"/>
                    <w:jc w:val="center"/>
                    <w:rPr>
                      <w:rFonts w:hint="eastAsia"/>
                      <w:color w:val="auto"/>
                      <w:sz w:val="21"/>
                      <w:szCs w:val="20"/>
                      <w:lang w:eastAsia="zh-CN"/>
                    </w:rPr>
                  </w:pPr>
                  <w:r>
                    <w:rPr>
                      <w:rFonts w:hint="eastAsia"/>
                      <w:color w:val="auto"/>
                      <w:sz w:val="21"/>
                      <w:szCs w:val="20"/>
                      <w:lang w:eastAsia="zh-CN"/>
                    </w:rPr>
                    <w:t>检测频次</w:t>
                  </w:r>
                </w:p>
              </w:tc>
              <w:tc>
                <w:tcPr>
                  <w:tcW w:w="979" w:type="dxa"/>
                  <w:vMerge w:val="restart"/>
                  <w:noWrap w:val="0"/>
                  <w:vAlign w:val="center"/>
                </w:tcPr>
                <w:p w14:paraId="19095D9F">
                  <w:pPr>
                    <w:pStyle w:val="76"/>
                    <w:bidi w:val="0"/>
                    <w:jc w:val="center"/>
                    <w:rPr>
                      <w:rFonts w:hint="eastAsia"/>
                      <w:color w:val="auto"/>
                      <w:sz w:val="21"/>
                      <w:szCs w:val="20"/>
                      <w:lang w:eastAsia="zh-CN"/>
                    </w:rPr>
                  </w:pPr>
                  <w:r>
                    <w:rPr>
                      <w:rFonts w:hint="eastAsia"/>
                      <w:color w:val="auto"/>
                      <w:sz w:val="21"/>
                      <w:szCs w:val="20"/>
                      <w:lang w:eastAsia="zh-CN"/>
                    </w:rPr>
                    <w:t>平均值</w:t>
                  </w:r>
                </w:p>
              </w:tc>
              <w:tc>
                <w:tcPr>
                  <w:tcW w:w="777" w:type="dxa"/>
                  <w:vMerge w:val="restart"/>
                  <w:noWrap w:val="0"/>
                  <w:vAlign w:val="center"/>
                </w:tcPr>
                <w:p w14:paraId="59BBB957">
                  <w:pPr>
                    <w:pStyle w:val="76"/>
                    <w:bidi w:val="0"/>
                    <w:jc w:val="center"/>
                    <w:rPr>
                      <w:rFonts w:hint="eastAsia"/>
                      <w:color w:val="auto"/>
                      <w:sz w:val="21"/>
                      <w:szCs w:val="20"/>
                      <w:lang w:eastAsia="zh-CN"/>
                    </w:rPr>
                  </w:pPr>
                  <w:r>
                    <w:rPr>
                      <w:rFonts w:hint="eastAsia"/>
                      <w:color w:val="auto"/>
                      <w:sz w:val="21"/>
                      <w:szCs w:val="20"/>
                      <w:lang w:eastAsia="zh-CN"/>
                    </w:rPr>
                    <w:t>标准</w:t>
                  </w:r>
                </w:p>
                <w:p w14:paraId="56D55F49">
                  <w:pPr>
                    <w:pStyle w:val="76"/>
                    <w:bidi w:val="0"/>
                    <w:jc w:val="center"/>
                    <w:rPr>
                      <w:rFonts w:hint="eastAsia"/>
                      <w:color w:val="auto"/>
                      <w:sz w:val="21"/>
                      <w:szCs w:val="20"/>
                      <w:lang w:eastAsia="zh-CN"/>
                    </w:rPr>
                  </w:pPr>
                  <w:r>
                    <w:rPr>
                      <w:rFonts w:hint="eastAsia"/>
                      <w:color w:val="auto"/>
                      <w:sz w:val="21"/>
                      <w:szCs w:val="20"/>
                      <w:lang w:eastAsia="zh-CN"/>
                    </w:rPr>
                    <w:t>限值</w:t>
                  </w:r>
                </w:p>
              </w:tc>
            </w:tr>
            <w:tr w14:paraId="38C9B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3E846CCB">
                  <w:pPr>
                    <w:pStyle w:val="76"/>
                    <w:bidi w:val="0"/>
                    <w:jc w:val="center"/>
                    <w:rPr>
                      <w:rFonts w:hint="eastAsia"/>
                      <w:color w:val="auto"/>
                      <w:sz w:val="21"/>
                      <w:szCs w:val="20"/>
                      <w:lang w:eastAsia="zh-CN"/>
                    </w:rPr>
                  </w:pPr>
                </w:p>
              </w:tc>
              <w:tc>
                <w:tcPr>
                  <w:tcW w:w="765" w:type="dxa"/>
                  <w:vMerge w:val="continue"/>
                  <w:noWrap w:val="0"/>
                  <w:vAlign w:val="center"/>
                </w:tcPr>
                <w:p w14:paraId="7B29A628">
                  <w:pPr>
                    <w:pStyle w:val="76"/>
                    <w:bidi w:val="0"/>
                    <w:jc w:val="center"/>
                    <w:rPr>
                      <w:rFonts w:hint="eastAsia"/>
                      <w:color w:val="auto"/>
                      <w:sz w:val="21"/>
                      <w:szCs w:val="20"/>
                      <w:lang w:eastAsia="zh-CN"/>
                    </w:rPr>
                  </w:pPr>
                </w:p>
              </w:tc>
              <w:tc>
                <w:tcPr>
                  <w:tcW w:w="1425" w:type="dxa"/>
                  <w:vMerge w:val="continue"/>
                  <w:noWrap w:val="0"/>
                  <w:vAlign w:val="center"/>
                </w:tcPr>
                <w:p w14:paraId="225283F5">
                  <w:pPr>
                    <w:pStyle w:val="76"/>
                    <w:bidi w:val="0"/>
                    <w:jc w:val="center"/>
                    <w:rPr>
                      <w:rFonts w:hint="eastAsia"/>
                      <w:color w:val="auto"/>
                      <w:sz w:val="21"/>
                      <w:szCs w:val="20"/>
                      <w:lang w:eastAsia="zh-CN"/>
                    </w:rPr>
                  </w:pPr>
                </w:p>
              </w:tc>
              <w:tc>
                <w:tcPr>
                  <w:tcW w:w="915" w:type="dxa"/>
                  <w:vMerge w:val="continue"/>
                  <w:noWrap w:val="0"/>
                  <w:vAlign w:val="center"/>
                </w:tcPr>
                <w:p w14:paraId="38C1BB2E">
                  <w:pPr>
                    <w:pStyle w:val="76"/>
                    <w:bidi w:val="0"/>
                    <w:jc w:val="center"/>
                    <w:rPr>
                      <w:rFonts w:hint="eastAsia"/>
                      <w:color w:val="auto"/>
                      <w:sz w:val="21"/>
                      <w:szCs w:val="20"/>
                      <w:lang w:eastAsia="zh-CN"/>
                    </w:rPr>
                  </w:pPr>
                </w:p>
              </w:tc>
              <w:tc>
                <w:tcPr>
                  <w:tcW w:w="930" w:type="dxa"/>
                  <w:noWrap w:val="0"/>
                  <w:vAlign w:val="center"/>
                </w:tcPr>
                <w:p w14:paraId="5A921B64">
                  <w:pPr>
                    <w:pStyle w:val="76"/>
                    <w:bidi w:val="0"/>
                    <w:jc w:val="center"/>
                    <w:rPr>
                      <w:rFonts w:hint="eastAsia"/>
                      <w:color w:val="auto"/>
                      <w:sz w:val="21"/>
                      <w:szCs w:val="20"/>
                      <w:lang w:eastAsia="zh-CN"/>
                    </w:rPr>
                  </w:pPr>
                  <w:r>
                    <w:rPr>
                      <w:rFonts w:hint="eastAsia"/>
                      <w:color w:val="auto"/>
                      <w:sz w:val="21"/>
                      <w:szCs w:val="20"/>
                      <w:lang w:eastAsia="zh-CN"/>
                    </w:rPr>
                    <w:t>第一次</w:t>
                  </w:r>
                </w:p>
              </w:tc>
              <w:tc>
                <w:tcPr>
                  <w:tcW w:w="885" w:type="dxa"/>
                  <w:noWrap w:val="0"/>
                  <w:vAlign w:val="center"/>
                </w:tcPr>
                <w:p w14:paraId="785AD397">
                  <w:pPr>
                    <w:pStyle w:val="76"/>
                    <w:bidi w:val="0"/>
                    <w:jc w:val="center"/>
                    <w:rPr>
                      <w:rFonts w:hint="eastAsia"/>
                      <w:color w:val="auto"/>
                      <w:sz w:val="21"/>
                      <w:szCs w:val="20"/>
                      <w:lang w:eastAsia="zh-CN"/>
                    </w:rPr>
                  </w:pPr>
                  <w:r>
                    <w:rPr>
                      <w:rFonts w:hint="eastAsia"/>
                      <w:color w:val="auto"/>
                      <w:sz w:val="21"/>
                      <w:szCs w:val="20"/>
                      <w:lang w:eastAsia="zh-CN"/>
                    </w:rPr>
                    <w:t>第二次</w:t>
                  </w:r>
                </w:p>
              </w:tc>
              <w:tc>
                <w:tcPr>
                  <w:tcW w:w="900" w:type="dxa"/>
                  <w:noWrap w:val="0"/>
                  <w:vAlign w:val="center"/>
                </w:tcPr>
                <w:p w14:paraId="043EEF62">
                  <w:pPr>
                    <w:pStyle w:val="76"/>
                    <w:bidi w:val="0"/>
                    <w:jc w:val="center"/>
                    <w:rPr>
                      <w:rFonts w:hint="eastAsia"/>
                      <w:color w:val="auto"/>
                      <w:sz w:val="21"/>
                      <w:szCs w:val="20"/>
                      <w:lang w:eastAsia="zh-CN"/>
                    </w:rPr>
                  </w:pPr>
                  <w:r>
                    <w:rPr>
                      <w:rFonts w:hint="eastAsia"/>
                      <w:color w:val="auto"/>
                      <w:sz w:val="21"/>
                      <w:szCs w:val="20"/>
                      <w:lang w:eastAsia="zh-CN"/>
                    </w:rPr>
                    <w:t>第三次</w:t>
                  </w:r>
                </w:p>
              </w:tc>
              <w:tc>
                <w:tcPr>
                  <w:tcW w:w="979" w:type="dxa"/>
                  <w:vMerge w:val="continue"/>
                  <w:noWrap w:val="0"/>
                  <w:vAlign w:val="center"/>
                </w:tcPr>
                <w:p w14:paraId="33EC6624">
                  <w:pPr>
                    <w:pStyle w:val="76"/>
                    <w:bidi w:val="0"/>
                    <w:jc w:val="center"/>
                    <w:rPr>
                      <w:rFonts w:hint="eastAsia"/>
                      <w:color w:val="auto"/>
                      <w:sz w:val="21"/>
                      <w:szCs w:val="20"/>
                      <w:lang w:eastAsia="zh-CN"/>
                    </w:rPr>
                  </w:pPr>
                </w:p>
              </w:tc>
              <w:tc>
                <w:tcPr>
                  <w:tcW w:w="777" w:type="dxa"/>
                  <w:vMerge w:val="continue"/>
                  <w:noWrap w:val="0"/>
                  <w:vAlign w:val="center"/>
                </w:tcPr>
                <w:p w14:paraId="76A114C2">
                  <w:pPr>
                    <w:pStyle w:val="76"/>
                    <w:bidi w:val="0"/>
                    <w:jc w:val="center"/>
                    <w:rPr>
                      <w:rFonts w:hint="eastAsia"/>
                      <w:color w:val="auto"/>
                      <w:sz w:val="21"/>
                      <w:szCs w:val="20"/>
                      <w:lang w:eastAsia="zh-CN"/>
                    </w:rPr>
                  </w:pPr>
                </w:p>
              </w:tc>
            </w:tr>
            <w:tr w14:paraId="0960A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86" w:type="dxa"/>
                  <w:vMerge w:val="restart"/>
                  <w:noWrap w:val="0"/>
                  <w:vAlign w:val="center"/>
                </w:tcPr>
                <w:p w14:paraId="0D1BCD1A">
                  <w:pPr>
                    <w:pStyle w:val="76"/>
                    <w:bidi w:val="0"/>
                    <w:jc w:val="center"/>
                    <w:rPr>
                      <w:rFonts w:hint="default"/>
                      <w:color w:val="auto"/>
                      <w:sz w:val="21"/>
                      <w:szCs w:val="20"/>
                      <w:lang w:val="en-US" w:eastAsia="zh-CN"/>
                    </w:rPr>
                  </w:pPr>
                  <w:r>
                    <w:rPr>
                      <w:rFonts w:hint="eastAsia"/>
                      <w:color w:val="auto"/>
                      <w:sz w:val="21"/>
                      <w:szCs w:val="20"/>
                      <w:lang w:val="en-US" w:eastAsia="zh-CN"/>
                    </w:rPr>
                    <w:t>2024.05.13</w:t>
                  </w:r>
                </w:p>
              </w:tc>
              <w:tc>
                <w:tcPr>
                  <w:tcW w:w="765" w:type="dxa"/>
                  <w:vMerge w:val="restart"/>
                  <w:noWrap w:val="0"/>
                  <w:vAlign w:val="center"/>
                </w:tcPr>
                <w:p w14:paraId="55203437">
                  <w:pPr>
                    <w:pStyle w:val="76"/>
                    <w:bidi w:val="0"/>
                    <w:jc w:val="center"/>
                    <w:rPr>
                      <w:rFonts w:hint="default"/>
                      <w:color w:val="auto"/>
                      <w:sz w:val="21"/>
                      <w:szCs w:val="20"/>
                      <w:lang w:val="en-US" w:eastAsia="zh-CN"/>
                    </w:rPr>
                  </w:pPr>
                  <w:r>
                    <w:rPr>
                      <w:rFonts w:hint="eastAsia"/>
                      <w:color w:val="auto"/>
                      <w:sz w:val="21"/>
                      <w:szCs w:val="20"/>
                      <w:lang w:val="en-US" w:eastAsia="zh-CN"/>
                    </w:rPr>
                    <w:t>废水总排口</w:t>
                  </w:r>
                </w:p>
              </w:tc>
              <w:tc>
                <w:tcPr>
                  <w:tcW w:w="1425" w:type="dxa"/>
                  <w:noWrap w:val="0"/>
                  <w:vAlign w:val="center"/>
                </w:tcPr>
                <w:p w14:paraId="0F5CD939">
                  <w:pPr>
                    <w:pStyle w:val="76"/>
                    <w:bidi w:val="0"/>
                    <w:ind w:firstLine="0" w:firstLineChars="0"/>
                    <w:jc w:val="center"/>
                    <w:rPr>
                      <w:rFonts w:hint="eastAsia"/>
                      <w:color w:val="auto"/>
                      <w:kern w:val="2"/>
                      <w:sz w:val="21"/>
                      <w:szCs w:val="20"/>
                      <w:lang w:val="en-US" w:eastAsia="zh-CN" w:bidi="ar-SA"/>
                    </w:rPr>
                  </w:pPr>
                  <w:r>
                    <w:rPr>
                      <w:rFonts w:hint="eastAsia"/>
                      <w:color w:val="auto"/>
                      <w:sz w:val="21"/>
                      <w:szCs w:val="20"/>
                      <w:lang w:eastAsia="zh-CN"/>
                    </w:rPr>
                    <w:t>化学需氧量</w:t>
                  </w:r>
                </w:p>
              </w:tc>
              <w:tc>
                <w:tcPr>
                  <w:tcW w:w="915" w:type="dxa"/>
                  <w:noWrap w:val="0"/>
                  <w:vAlign w:val="center"/>
                </w:tcPr>
                <w:p w14:paraId="332EB135">
                  <w:pPr>
                    <w:pStyle w:val="76"/>
                    <w:bidi w:val="0"/>
                    <w:ind w:firstLine="0" w:firstLineChars="0"/>
                    <w:jc w:val="center"/>
                    <w:rPr>
                      <w:rFonts w:hint="eastAsia"/>
                      <w:color w:val="auto"/>
                      <w:kern w:val="2"/>
                      <w:sz w:val="21"/>
                      <w:szCs w:val="20"/>
                      <w:lang w:val="en-US" w:eastAsia="zh-CN" w:bidi="ar-SA"/>
                    </w:rPr>
                  </w:pPr>
                  <w:r>
                    <w:rPr>
                      <w:rFonts w:hint="eastAsia"/>
                      <w:color w:val="auto"/>
                      <w:sz w:val="21"/>
                      <w:szCs w:val="20"/>
                      <w:lang w:val="en-US" w:eastAsia="zh-CN"/>
                    </w:rPr>
                    <w:t>mg/L</w:t>
                  </w:r>
                </w:p>
              </w:tc>
              <w:tc>
                <w:tcPr>
                  <w:tcW w:w="930" w:type="dxa"/>
                  <w:noWrap w:val="0"/>
                  <w:vAlign w:val="center"/>
                </w:tcPr>
                <w:p w14:paraId="5FAF5652">
                  <w:pPr>
                    <w:bidi w:val="0"/>
                    <w:jc w:val="center"/>
                    <w:rPr>
                      <w:rFonts w:hint="default" w:eastAsia="宋体"/>
                      <w:color w:val="auto"/>
                      <w:sz w:val="21"/>
                      <w:szCs w:val="20"/>
                      <w:lang w:val="en-US" w:eastAsia="zh-CN"/>
                    </w:rPr>
                  </w:pPr>
                  <w:r>
                    <w:rPr>
                      <w:rFonts w:hint="eastAsia"/>
                      <w:color w:val="auto"/>
                      <w:sz w:val="21"/>
                      <w:szCs w:val="20"/>
                      <w:lang w:val="en-US" w:eastAsia="zh-CN"/>
                    </w:rPr>
                    <w:t>/</w:t>
                  </w:r>
                </w:p>
              </w:tc>
              <w:tc>
                <w:tcPr>
                  <w:tcW w:w="885" w:type="dxa"/>
                  <w:noWrap w:val="0"/>
                  <w:vAlign w:val="center"/>
                </w:tcPr>
                <w:p w14:paraId="4B3C3B40">
                  <w:pPr>
                    <w:bidi w:val="0"/>
                    <w:jc w:val="center"/>
                    <w:rPr>
                      <w:rFonts w:hint="default" w:eastAsia="宋体"/>
                      <w:color w:val="auto"/>
                      <w:sz w:val="21"/>
                      <w:szCs w:val="20"/>
                      <w:lang w:val="en-US" w:eastAsia="zh-CN"/>
                    </w:rPr>
                  </w:pPr>
                  <w:r>
                    <w:rPr>
                      <w:rFonts w:hint="eastAsia"/>
                      <w:color w:val="auto"/>
                      <w:sz w:val="21"/>
                      <w:szCs w:val="20"/>
                      <w:lang w:val="en-US" w:eastAsia="zh-CN"/>
                    </w:rPr>
                    <w:t>/</w:t>
                  </w:r>
                </w:p>
              </w:tc>
              <w:tc>
                <w:tcPr>
                  <w:tcW w:w="900" w:type="dxa"/>
                  <w:noWrap w:val="0"/>
                  <w:vAlign w:val="center"/>
                </w:tcPr>
                <w:p w14:paraId="7839D7CC">
                  <w:pPr>
                    <w:bidi w:val="0"/>
                    <w:jc w:val="center"/>
                    <w:rPr>
                      <w:rFonts w:hint="default" w:eastAsia="宋体"/>
                      <w:color w:val="auto"/>
                      <w:sz w:val="21"/>
                      <w:szCs w:val="20"/>
                      <w:lang w:val="en-US" w:eastAsia="zh-CN"/>
                    </w:rPr>
                  </w:pPr>
                  <w:r>
                    <w:rPr>
                      <w:rFonts w:hint="eastAsia"/>
                      <w:color w:val="auto"/>
                      <w:sz w:val="21"/>
                      <w:szCs w:val="20"/>
                      <w:lang w:val="en-US" w:eastAsia="zh-CN"/>
                    </w:rPr>
                    <w:t>/</w:t>
                  </w:r>
                </w:p>
              </w:tc>
              <w:tc>
                <w:tcPr>
                  <w:tcW w:w="979" w:type="dxa"/>
                  <w:noWrap w:val="0"/>
                  <w:vAlign w:val="center"/>
                </w:tcPr>
                <w:p w14:paraId="778FE923">
                  <w:pPr>
                    <w:pStyle w:val="76"/>
                    <w:bidi w:val="0"/>
                    <w:ind w:firstLine="0" w:firstLineChars="0"/>
                    <w:jc w:val="center"/>
                    <w:rPr>
                      <w:rFonts w:hint="default"/>
                      <w:color w:val="auto"/>
                      <w:kern w:val="2"/>
                      <w:sz w:val="21"/>
                      <w:szCs w:val="20"/>
                      <w:lang w:val="en-US" w:eastAsia="zh-CN" w:bidi="ar-SA"/>
                    </w:rPr>
                  </w:pPr>
                  <w:r>
                    <w:rPr>
                      <w:rFonts w:hint="eastAsia"/>
                      <w:color w:val="auto"/>
                      <w:sz w:val="21"/>
                      <w:szCs w:val="20"/>
                      <w:lang w:val="en-US" w:eastAsia="zh-CN"/>
                    </w:rPr>
                    <w:t>33</w:t>
                  </w:r>
                </w:p>
              </w:tc>
              <w:tc>
                <w:tcPr>
                  <w:tcW w:w="777" w:type="dxa"/>
                  <w:noWrap w:val="0"/>
                  <w:vAlign w:val="center"/>
                </w:tcPr>
                <w:p w14:paraId="52AF642A">
                  <w:pPr>
                    <w:pStyle w:val="76"/>
                    <w:bidi w:val="0"/>
                    <w:ind w:firstLine="0" w:firstLineChars="0"/>
                    <w:jc w:val="center"/>
                    <w:rPr>
                      <w:rFonts w:hint="eastAsia" w:eastAsia="宋体"/>
                      <w:color w:val="auto"/>
                      <w:kern w:val="2"/>
                      <w:sz w:val="21"/>
                      <w:szCs w:val="20"/>
                      <w:lang w:val="en-US" w:eastAsia="zh-CN" w:bidi="ar-SA"/>
                    </w:rPr>
                  </w:pPr>
                  <w:r>
                    <w:rPr>
                      <w:rFonts w:hint="eastAsia"/>
                      <w:color w:val="auto"/>
                      <w:sz w:val="21"/>
                      <w:szCs w:val="20"/>
                      <w:lang w:val="en-US" w:eastAsia="zh-CN"/>
                    </w:rPr>
                    <w:t>250</w:t>
                  </w:r>
                </w:p>
              </w:tc>
            </w:tr>
            <w:tr w14:paraId="2C040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286" w:type="dxa"/>
                  <w:vMerge w:val="continue"/>
                  <w:noWrap w:val="0"/>
                  <w:vAlign w:val="center"/>
                </w:tcPr>
                <w:p w14:paraId="177B9E9D">
                  <w:pPr>
                    <w:pStyle w:val="76"/>
                    <w:bidi w:val="0"/>
                    <w:jc w:val="center"/>
                    <w:rPr>
                      <w:rFonts w:hint="eastAsia"/>
                      <w:color w:val="auto"/>
                      <w:sz w:val="21"/>
                      <w:szCs w:val="20"/>
                      <w:lang w:val="en-US" w:eastAsia="zh-CN"/>
                    </w:rPr>
                  </w:pPr>
                </w:p>
              </w:tc>
              <w:tc>
                <w:tcPr>
                  <w:tcW w:w="765" w:type="dxa"/>
                  <w:vMerge w:val="continue"/>
                  <w:noWrap w:val="0"/>
                  <w:vAlign w:val="center"/>
                </w:tcPr>
                <w:p w14:paraId="07E29782">
                  <w:pPr>
                    <w:pStyle w:val="76"/>
                    <w:bidi w:val="0"/>
                    <w:jc w:val="center"/>
                    <w:rPr>
                      <w:rFonts w:hint="eastAsia"/>
                      <w:color w:val="auto"/>
                      <w:sz w:val="21"/>
                      <w:szCs w:val="20"/>
                      <w:lang w:val="en-US" w:eastAsia="zh-CN"/>
                    </w:rPr>
                  </w:pPr>
                </w:p>
              </w:tc>
              <w:tc>
                <w:tcPr>
                  <w:tcW w:w="1425" w:type="dxa"/>
                  <w:noWrap w:val="0"/>
                  <w:vAlign w:val="center"/>
                </w:tcPr>
                <w:p w14:paraId="13AC6C1F">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eastAsia="zh-CN"/>
                    </w:rPr>
                    <w:t>悬浮物</w:t>
                  </w:r>
                </w:p>
              </w:tc>
              <w:tc>
                <w:tcPr>
                  <w:tcW w:w="915" w:type="dxa"/>
                  <w:noWrap w:val="0"/>
                  <w:vAlign w:val="center"/>
                </w:tcPr>
                <w:p w14:paraId="0CD12210">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noWrap w:val="0"/>
                  <w:vAlign w:val="center"/>
                </w:tcPr>
                <w:p w14:paraId="3A251B57">
                  <w:pPr>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885" w:type="dxa"/>
                  <w:noWrap w:val="0"/>
                  <w:vAlign w:val="center"/>
                </w:tcPr>
                <w:p w14:paraId="6DA02BB3">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00" w:type="dxa"/>
                  <w:noWrap w:val="0"/>
                  <w:vAlign w:val="center"/>
                </w:tcPr>
                <w:p w14:paraId="2A43B97A">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79" w:type="dxa"/>
                  <w:noWrap w:val="0"/>
                  <w:vAlign w:val="center"/>
                </w:tcPr>
                <w:p w14:paraId="7024B69A">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15</w:t>
                  </w:r>
                </w:p>
              </w:tc>
              <w:tc>
                <w:tcPr>
                  <w:tcW w:w="777" w:type="dxa"/>
                  <w:noWrap w:val="0"/>
                  <w:vAlign w:val="center"/>
                </w:tcPr>
                <w:p w14:paraId="0325420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60</w:t>
                  </w:r>
                </w:p>
              </w:tc>
            </w:tr>
            <w:tr w14:paraId="4CB4C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559A6C5F">
                  <w:pPr>
                    <w:pStyle w:val="76"/>
                    <w:bidi w:val="0"/>
                    <w:jc w:val="center"/>
                    <w:rPr>
                      <w:rFonts w:hint="eastAsia"/>
                      <w:color w:val="auto"/>
                      <w:sz w:val="21"/>
                      <w:szCs w:val="20"/>
                      <w:lang w:val="en-US" w:eastAsia="zh-CN"/>
                    </w:rPr>
                  </w:pPr>
                </w:p>
              </w:tc>
              <w:tc>
                <w:tcPr>
                  <w:tcW w:w="765" w:type="dxa"/>
                  <w:vMerge w:val="continue"/>
                  <w:noWrap w:val="0"/>
                  <w:vAlign w:val="center"/>
                </w:tcPr>
                <w:p w14:paraId="7C59F5CC">
                  <w:pPr>
                    <w:pStyle w:val="76"/>
                    <w:bidi w:val="0"/>
                    <w:jc w:val="center"/>
                    <w:rPr>
                      <w:rFonts w:hint="eastAsia"/>
                      <w:color w:val="auto"/>
                      <w:sz w:val="21"/>
                      <w:szCs w:val="20"/>
                      <w:lang w:val="en-US" w:eastAsia="zh-CN"/>
                    </w:rPr>
                  </w:pPr>
                </w:p>
              </w:tc>
              <w:tc>
                <w:tcPr>
                  <w:tcW w:w="1425" w:type="dxa"/>
                  <w:noWrap w:val="0"/>
                  <w:vAlign w:val="center"/>
                </w:tcPr>
                <w:p w14:paraId="3F071ED3">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eastAsia="zh-CN"/>
                    </w:rPr>
                    <w:t>粪大肠菌</w:t>
                  </w:r>
                  <w:r>
                    <w:rPr>
                      <w:rFonts w:hint="eastAsia"/>
                      <w:color w:val="auto"/>
                      <w:sz w:val="21"/>
                      <w:szCs w:val="20"/>
                      <w:lang w:val="en-US" w:eastAsia="zh-CN"/>
                    </w:rPr>
                    <w:t>群</w:t>
                  </w:r>
                </w:p>
              </w:tc>
              <w:tc>
                <w:tcPr>
                  <w:tcW w:w="915" w:type="dxa"/>
                  <w:noWrap w:val="0"/>
                  <w:vAlign w:val="center"/>
                </w:tcPr>
                <w:p w14:paraId="372680CE">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MPN/L</w:t>
                  </w:r>
                </w:p>
              </w:tc>
              <w:tc>
                <w:tcPr>
                  <w:tcW w:w="930" w:type="dxa"/>
                  <w:noWrap w:val="0"/>
                  <w:vAlign w:val="center"/>
                </w:tcPr>
                <w:p w14:paraId="7159F88D">
                  <w:pPr>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885" w:type="dxa"/>
                  <w:noWrap w:val="0"/>
                  <w:vAlign w:val="center"/>
                </w:tcPr>
                <w:p w14:paraId="6BDF101D">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00" w:type="dxa"/>
                  <w:noWrap w:val="0"/>
                  <w:vAlign w:val="center"/>
                </w:tcPr>
                <w:p w14:paraId="712891DD">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79" w:type="dxa"/>
                  <w:noWrap w:val="0"/>
                  <w:vAlign w:val="center"/>
                </w:tcPr>
                <w:p w14:paraId="73AB0A31">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90</w:t>
                  </w:r>
                </w:p>
              </w:tc>
              <w:tc>
                <w:tcPr>
                  <w:tcW w:w="777" w:type="dxa"/>
                  <w:noWrap w:val="0"/>
                  <w:vAlign w:val="center"/>
                </w:tcPr>
                <w:p w14:paraId="74D64777">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5000</w:t>
                  </w:r>
                </w:p>
              </w:tc>
            </w:tr>
            <w:tr w14:paraId="48DE1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restart"/>
                  <w:noWrap w:val="0"/>
                  <w:vAlign w:val="center"/>
                </w:tcPr>
                <w:p w14:paraId="0972D689">
                  <w:pPr>
                    <w:pStyle w:val="76"/>
                    <w:bidi w:val="0"/>
                    <w:jc w:val="center"/>
                    <w:rPr>
                      <w:rFonts w:hint="eastAsia"/>
                      <w:color w:val="auto"/>
                      <w:sz w:val="21"/>
                      <w:szCs w:val="20"/>
                      <w:lang w:val="en-US" w:eastAsia="zh-CN"/>
                    </w:rPr>
                  </w:pPr>
                  <w:r>
                    <w:rPr>
                      <w:rFonts w:hint="eastAsia"/>
                      <w:color w:val="auto"/>
                      <w:sz w:val="21"/>
                      <w:szCs w:val="20"/>
                      <w:lang w:val="en-US" w:eastAsia="zh-CN"/>
                    </w:rPr>
                    <w:t>2024.05.17</w:t>
                  </w:r>
                </w:p>
              </w:tc>
              <w:tc>
                <w:tcPr>
                  <w:tcW w:w="765" w:type="dxa"/>
                  <w:vMerge w:val="continue"/>
                  <w:noWrap w:val="0"/>
                  <w:vAlign w:val="center"/>
                </w:tcPr>
                <w:p w14:paraId="1FF2B0C6">
                  <w:pPr>
                    <w:pStyle w:val="76"/>
                    <w:bidi w:val="0"/>
                    <w:jc w:val="center"/>
                    <w:rPr>
                      <w:rFonts w:hint="eastAsia"/>
                      <w:color w:val="auto"/>
                      <w:sz w:val="21"/>
                      <w:szCs w:val="20"/>
                      <w:lang w:val="en-US" w:eastAsia="zh-CN"/>
                    </w:rPr>
                  </w:pPr>
                </w:p>
              </w:tc>
              <w:tc>
                <w:tcPr>
                  <w:tcW w:w="1425" w:type="dxa"/>
                  <w:shd w:val="clear" w:color="auto" w:fill="auto"/>
                  <w:noWrap w:val="0"/>
                  <w:vAlign w:val="center"/>
                </w:tcPr>
                <w:p w14:paraId="05BCF4A3">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pH</w:t>
                  </w:r>
                </w:p>
              </w:tc>
              <w:tc>
                <w:tcPr>
                  <w:tcW w:w="915" w:type="dxa"/>
                  <w:shd w:val="clear" w:color="auto" w:fill="auto"/>
                  <w:noWrap w:val="0"/>
                  <w:vAlign w:val="center"/>
                </w:tcPr>
                <w:p w14:paraId="2EAE0AAF">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无量纲</w:t>
                  </w:r>
                </w:p>
              </w:tc>
              <w:tc>
                <w:tcPr>
                  <w:tcW w:w="930" w:type="dxa"/>
                  <w:shd w:val="clear" w:color="auto" w:fill="auto"/>
                  <w:noWrap w:val="0"/>
                  <w:vAlign w:val="center"/>
                </w:tcPr>
                <w:p w14:paraId="38B2598E">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885" w:type="dxa"/>
                  <w:shd w:val="clear" w:color="auto" w:fill="auto"/>
                  <w:noWrap w:val="0"/>
                  <w:vAlign w:val="center"/>
                </w:tcPr>
                <w:p w14:paraId="77A92523">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00" w:type="dxa"/>
                  <w:shd w:val="clear" w:color="auto" w:fill="auto"/>
                  <w:noWrap w:val="0"/>
                  <w:vAlign w:val="center"/>
                </w:tcPr>
                <w:p w14:paraId="20699574">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79" w:type="dxa"/>
                  <w:shd w:val="clear" w:color="auto" w:fill="auto"/>
                  <w:noWrap w:val="0"/>
                  <w:vAlign w:val="center"/>
                </w:tcPr>
                <w:p w14:paraId="23F48AFF">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7</w:t>
                  </w:r>
                </w:p>
              </w:tc>
              <w:tc>
                <w:tcPr>
                  <w:tcW w:w="777" w:type="dxa"/>
                  <w:shd w:val="clear" w:color="auto" w:fill="auto"/>
                  <w:noWrap w:val="0"/>
                  <w:vAlign w:val="center"/>
                </w:tcPr>
                <w:p w14:paraId="4B0AE699">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6-9</w:t>
                  </w:r>
                </w:p>
              </w:tc>
            </w:tr>
            <w:tr w14:paraId="1586B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02577A36">
                  <w:pPr>
                    <w:pStyle w:val="76"/>
                    <w:bidi w:val="0"/>
                    <w:jc w:val="center"/>
                    <w:rPr>
                      <w:rFonts w:hint="eastAsia"/>
                      <w:color w:val="auto"/>
                      <w:sz w:val="21"/>
                      <w:szCs w:val="20"/>
                      <w:lang w:val="en-US" w:eastAsia="zh-CN"/>
                    </w:rPr>
                  </w:pPr>
                </w:p>
              </w:tc>
              <w:tc>
                <w:tcPr>
                  <w:tcW w:w="765" w:type="dxa"/>
                  <w:vMerge w:val="continue"/>
                  <w:noWrap w:val="0"/>
                  <w:vAlign w:val="center"/>
                </w:tcPr>
                <w:p w14:paraId="7950A154">
                  <w:pPr>
                    <w:pStyle w:val="76"/>
                    <w:bidi w:val="0"/>
                    <w:jc w:val="center"/>
                    <w:rPr>
                      <w:rFonts w:hint="eastAsia"/>
                      <w:color w:val="auto"/>
                      <w:sz w:val="21"/>
                      <w:szCs w:val="20"/>
                      <w:lang w:val="en-US" w:eastAsia="zh-CN"/>
                    </w:rPr>
                  </w:pPr>
                </w:p>
              </w:tc>
              <w:tc>
                <w:tcPr>
                  <w:tcW w:w="1425" w:type="dxa"/>
                  <w:shd w:val="clear" w:color="auto" w:fill="auto"/>
                  <w:noWrap w:val="0"/>
                  <w:vAlign w:val="center"/>
                </w:tcPr>
                <w:p w14:paraId="3A28895E">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总余氯</w:t>
                  </w:r>
                </w:p>
              </w:tc>
              <w:tc>
                <w:tcPr>
                  <w:tcW w:w="915" w:type="dxa"/>
                  <w:shd w:val="clear" w:color="auto" w:fill="auto"/>
                  <w:noWrap w:val="0"/>
                  <w:vAlign w:val="center"/>
                </w:tcPr>
                <w:p w14:paraId="601F9EE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50075CFD">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885" w:type="dxa"/>
                  <w:shd w:val="clear" w:color="auto" w:fill="auto"/>
                  <w:noWrap w:val="0"/>
                  <w:vAlign w:val="center"/>
                </w:tcPr>
                <w:p w14:paraId="4D91CA57">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00" w:type="dxa"/>
                  <w:shd w:val="clear" w:color="auto" w:fill="auto"/>
                  <w:noWrap w:val="0"/>
                  <w:vAlign w:val="center"/>
                </w:tcPr>
                <w:p w14:paraId="07BC6C3D">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979" w:type="dxa"/>
                  <w:shd w:val="clear" w:color="auto" w:fill="auto"/>
                  <w:noWrap w:val="0"/>
                  <w:vAlign w:val="center"/>
                </w:tcPr>
                <w:p w14:paraId="0815B5AB">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0.5</w:t>
                  </w:r>
                </w:p>
              </w:tc>
              <w:tc>
                <w:tcPr>
                  <w:tcW w:w="777" w:type="dxa"/>
                  <w:shd w:val="clear" w:color="auto" w:fill="auto"/>
                  <w:noWrap w:val="0"/>
                  <w:vAlign w:val="center"/>
                </w:tcPr>
                <w:p w14:paraId="6F2E7CF3">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w:t>
                  </w:r>
                </w:p>
              </w:tc>
            </w:tr>
            <w:tr w14:paraId="4A68B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4398E653">
                  <w:pPr>
                    <w:pStyle w:val="76"/>
                    <w:bidi w:val="0"/>
                    <w:jc w:val="center"/>
                    <w:rPr>
                      <w:rFonts w:hint="eastAsia"/>
                      <w:color w:val="auto"/>
                      <w:sz w:val="21"/>
                      <w:szCs w:val="20"/>
                      <w:lang w:val="en-US" w:eastAsia="zh-CN"/>
                    </w:rPr>
                  </w:pPr>
                </w:p>
              </w:tc>
              <w:tc>
                <w:tcPr>
                  <w:tcW w:w="765" w:type="dxa"/>
                  <w:vMerge w:val="continue"/>
                  <w:noWrap w:val="0"/>
                  <w:vAlign w:val="center"/>
                </w:tcPr>
                <w:p w14:paraId="5C12E62C">
                  <w:pPr>
                    <w:pStyle w:val="76"/>
                    <w:bidi w:val="0"/>
                    <w:jc w:val="center"/>
                    <w:rPr>
                      <w:rFonts w:hint="eastAsia"/>
                      <w:color w:val="auto"/>
                      <w:sz w:val="21"/>
                      <w:szCs w:val="20"/>
                      <w:lang w:val="en-US" w:eastAsia="zh-CN"/>
                    </w:rPr>
                  </w:pPr>
                </w:p>
              </w:tc>
              <w:tc>
                <w:tcPr>
                  <w:tcW w:w="1425" w:type="dxa"/>
                  <w:shd w:val="clear" w:color="auto" w:fill="auto"/>
                  <w:noWrap w:val="0"/>
                  <w:vAlign w:val="center"/>
                </w:tcPr>
                <w:p w14:paraId="3475E997">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BOD</w:t>
                  </w:r>
                  <w:r>
                    <w:rPr>
                      <w:rFonts w:hint="eastAsia"/>
                      <w:color w:val="auto"/>
                      <w:sz w:val="21"/>
                      <w:szCs w:val="20"/>
                      <w:vertAlign w:val="subscript"/>
                      <w:lang w:val="en-US" w:eastAsia="zh-CN"/>
                    </w:rPr>
                    <w:t>5</w:t>
                  </w:r>
                </w:p>
              </w:tc>
              <w:tc>
                <w:tcPr>
                  <w:tcW w:w="915" w:type="dxa"/>
                  <w:shd w:val="clear" w:color="auto" w:fill="auto"/>
                  <w:noWrap w:val="0"/>
                  <w:vAlign w:val="center"/>
                </w:tcPr>
                <w:p w14:paraId="0C5596E3">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25C785F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24.3</w:t>
                  </w:r>
                </w:p>
              </w:tc>
              <w:tc>
                <w:tcPr>
                  <w:tcW w:w="885" w:type="dxa"/>
                  <w:shd w:val="clear" w:color="auto" w:fill="auto"/>
                  <w:noWrap w:val="0"/>
                  <w:vAlign w:val="center"/>
                </w:tcPr>
                <w:p w14:paraId="1DB54B6C">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25.9</w:t>
                  </w:r>
                </w:p>
              </w:tc>
              <w:tc>
                <w:tcPr>
                  <w:tcW w:w="900" w:type="dxa"/>
                  <w:shd w:val="clear" w:color="auto" w:fill="auto"/>
                  <w:noWrap w:val="0"/>
                  <w:vAlign w:val="center"/>
                </w:tcPr>
                <w:p w14:paraId="15343E55">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22.4</w:t>
                  </w:r>
                </w:p>
              </w:tc>
              <w:tc>
                <w:tcPr>
                  <w:tcW w:w="979" w:type="dxa"/>
                  <w:shd w:val="clear" w:color="auto" w:fill="auto"/>
                  <w:noWrap w:val="0"/>
                  <w:vAlign w:val="center"/>
                </w:tcPr>
                <w:p w14:paraId="42842A9A">
                  <w:pPr>
                    <w:pStyle w:val="76"/>
                    <w:bidi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fldChar w:fldCharType="begin"/>
                  </w:r>
                  <w:r>
                    <w:rPr>
                      <w:rFonts w:hint="default" w:ascii="Times New Roman" w:hAnsi="Times New Roman" w:eastAsia="宋体" w:cs="Times New Roman"/>
                      <w:color w:val="auto"/>
                      <w:kern w:val="2"/>
                      <w:sz w:val="21"/>
                      <w:szCs w:val="20"/>
                      <w:lang w:val="en-US" w:eastAsia="zh-CN" w:bidi="ar-SA"/>
                    </w:rPr>
                    <w:instrText xml:space="preserve"> = average(D4:F4) \* MERGEFORMAT </w:instrText>
                  </w:r>
                  <w:r>
                    <w:rPr>
                      <w:rFonts w:hint="default" w:ascii="Times New Roman" w:hAnsi="Times New Roman" w:eastAsia="宋体" w:cs="Times New Roman"/>
                      <w:color w:val="auto"/>
                      <w:kern w:val="2"/>
                      <w:sz w:val="21"/>
                      <w:szCs w:val="20"/>
                      <w:lang w:val="en-US" w:eastAsia="zh-CN" w:bidi="ar-SA"/>
                    </w:rPr>
                    <w:fldChar w:fldCharType="separate"/>
                  </w:r>
                  <w:r>
                    <w:rPr>
                      <w:rFonts w:hint="default" w:ascii="Times New Roman" w:hAnsi="Times New Roman" w:eastAsia="宋体" w:cs="Times New Roman"/>
                      <w:color w:val="auto"/>
                      <w:kern w:val="2"/>
                      <w:sz w:val="21"/>
                      <w:szCs w:val="20"/>
                      <w:lang w:val="en-US" w:eastAsia="zh-CN" w:bidi="ar-SA"/>
                    </w:rPr>
                    <w:t>24.2</w:t>
                  </w:r>
                  <w:r>
                    <w:rPr>
                      <w:rFonts w:hint="default" w:ascii="Times New Roman" w:hAnsi="Times New Roman" w:eastAsia="宋体" w:cs="Times New Roman"/>
                      <w:color w:val="auto"/>
                      <w:kern w:val="2"/>
                      <w:sz w:val="21"/>
                      <w:szCs w:val="20"/>
                      <w:lang w:val="en-US" w:eastAsia="zh-CN" w:bidi="ar-SA"/>
                    </w:rPr>
                    <w:fldChar w:fldCharType="end"/>
                  </w:r>
                </w:p>
              </w:tc>
              <w:tc>
                <w:tcPr>
                  <w:tcW w:w="777" w:type="dxa"/>
                  <w:shd w:val="clear" w:color="auto" w:fill="auto"/>
                  <w:noWrap w:val="0"/>
                  <w:vAlign w:val="center"/>
                </w:tcPr>
                <w:p w14:paraId="55A88264">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100</w:t>
                  </w:r>
                </w:p>
              </w:tc>
            </w:tr>
            <w:tr w14:paraId="2CD7B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25B2791E">
                  <w:pPr>
                    <w:pStyle w:val="76"/>
                    <w:bidi w:val="0"/>
                    <w:jc w:val="center"/>
                    <w:rPr>
                      <w:rFonts w:hint="eastAsia"/>
                      <w:color w:val="auto"/>
                      <w:sz w:val="21"/>
                      <w:szCs w:val="20"/>
                      <w:lang w:val="en-US" w:eastAsia="zh-CN"/>
                    </w:rPr>
                  </w:pPr>
                </w:p>
              </w:tc>
              <w:tc>
                <w:tcPr>
                  <w:tcW w:w="765" w:type="dxa"/>
                  <w:vMerge w:val="continue"/>
                  <w:noWrap w:val="0"/>
                  <w:vAlign w:val="center"/>
                </w:tcPr>
                <w:p w14:paraId="4A9566C6">
                  <w:pPr>
                    <w:pStyle w:val="76"/>
                    <w:bidi w:val="0"/>
                    <w:jc w:val="center"/>
                    <w:rPr>
                      <w:rFonts w:hint="eastAsia"/>
                      <w:color w:val="auto"/>
                      <w:sz w:val="21"/>
                      <w:szCs w:val="20"/>
                      <w:lang w:val="en-US" w:eastAsia="zh-CN"/>
                    </w:rPr>
                  </w:pPr>
                </w:p>
              </w:tc>
              <w:tc>
                <w:tcPr>
                  <w:tcW w:w="1425" w:type="dxa"/>
                  <w:shd w:val="clear" w:color="auto" w:fill="auto"/>
                  <w:noWrap w:val="0"/>
                  <w:vAlign w:val="center"/>
                </w:tcPr>
                <w:p w14:paraId="0F8C840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w w:val="100"/>
                      <w:kern w:val="2"/>
                      <w:sz w:val="21"/>
                      <w:szCs w:val="21"/>
                      <w:lang w:val="en-US" w:eastAsia="zh-CN" w:bidi="ar-SA"/>
                    </w:rPr>
                  </w:pPr>
                  <w:r>
                    <w:rPr>
                      <w:rFonts w:hint="default" w:ascii="Times New Roman" w:hAnsi="Times New Roman" w:cs="Times New Roman"/>
                      <w:color w:val="auto"/>
                      <w:w w:val="100"/>
                      <w:szCs w:val="21"/>
                      <w:lang w:eastAsia="zh-CN"/>
                    </w:rPr>
                    <w:t>石油类</w:t>
                  </w:r>
                </w:p>
              </w:tc>
              <w:tc>
                <w:tcPr>
                  <w:tcW w:w="915" w:type="dxa"/>
                  <w:shd w:val="clear" w:color="auto" w:fill="auto"/>
                  <w:noWrap w:val="0"/>
                  <w:vAlign w:val="center"/>
                </w:tcPr>
                <w:p w14:paraId="39C268A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33CA9F99">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0.13</w:t>
                  </w:r>
                </w:p>
              </w:tc>
              <w:tc>
                <w:tcPr>
                  <w:tcW w:w="885" w:type="dxa"/>
                  <w:shd w:val="clear" w:color="auto" w:fill="auto"/>
                  <w:noWrap w:val="0"/>
                  <w:vAlign w:val="center"/>
                </w:tcPr>
                <w:p w14:paraId="6CB6F749">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0.11</w:t>
                  </w:r>
                </w:p>
              </w:tc>
              <w:tc>
                <w:tcPr>
                  <w:tcW w:w="900" w:type="dxa"/>
                  <w:shd w:val="clear" w:color="auto" w:fill="auto"/>
                  <w:noWrap w:val="0"/>
                  <w:vAlign w:val="center"/>
                </w:tcPr>
                <w:p w14:paraId="72F5656D">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0.12</w:t>
                  </w:r>
                </w:p>
              </w:tc>
              <w:tc>
                <w:tcPr>
                  <w:tcW w:w="979" w:type="dxa"/>
                  <w:shd w:val="clear" w:color="auto" w:fill="auto"/>
                  <w:noWrap w:val="0"/>
                  <w:vAlign w:val="center"/>
                </w:tcPr>
                <w:p w14:paraId="53EAC118">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0.12</w:t>
                  </w:r>
                </w:p>
              </w:tc>
              <w:tc>
                <w:tcPr>
                  <w:tcW w:w="777" w:type="dxa"/>
                  <w:shd w:val="clear" w:color="auto" w:fill="auto"/>
                  <w:noWrap w:val="0"/>
                  <w:vAlign w:val="center"/>
                </w:tcPr>
                <w:p w14:paraId="04E86CED">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20</w:t>
                  </w:r>
                </w:p>
              </w:tc>
            </w:tr>
            <w:tr w14:paraId="7016E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1BF46AF8">
                  <w:pPr>
                    <w:pStyle w:val="76"/>
                    <w:bidi w:val="0"/>
                    <w:jc w:val="center"/>
                    <w:rPr>
                      <w:rFonts w:hint="eastAsia"/>
                      <w:color w:val="auto"/>
                      <w:sz w:val="21"/>
                      <w:szCs w:val="20"/>
                      <w:lang w:val="en-US" w:eastAsia="zh-CN"/>
                    </w:rPr>
                  </w:pPr>
                </w:p>
              </w:tc>
              <w:tc>
                <w:tcPr>
                  <w:tcW w:w="765" w:type="dxa"/>
                  <w:vMerge w:val="continue"/>
                  <w:noWrap w:val="0"/>
                  <w:vAlign w:val="center"/>
                </w:tcPr>
                <w:p w14:paraId="2085CEF2">
                  <w:pPr>
                    <w:pStyle w:val="76"/>
                    <w:bidi w:val="0"/>
                    <w:jc w:val="center"/>
                    <w:rPr>
                      <w:rFonts w:hint="eastAsia"/>
                      <w:color w:val="auto"/>
                      <w:sz w:val="21"/>
                      <w:szCs w:val="20"/>
                      <w:lang w:val="en-US" w:eastAsia="zh-CN"/>
                    </w:rPr>
                  </w:pPr>
                </w:p>
              </w:tc>
              <w:tc>
                <w:tcPr>
                  <w:tcW w:w="1425" w:type="dxa"/>
                  <w:shd w:val="clear" w:color="auto" w:fill="auto"/>
                  <w:noWrap w:val="0"/>
                  <w:vAlign w:val="center"/>
                </w:tcPr>
                <w:p w14:paraId="72E635A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w w:val="100"/>
                      <w:kern w:val="2"/>
                      <w:sz w:val="21"/>
                      <w:szCs w:val="21"/>
                      <w:lang w:val="en-US" w:eastAsia="zh-CN" w:bidi="ar-SA"/>
                    </w:rPr>
                  </w:pPr>
                  <w:r>
                    <w:rPr>
                      <w:rFonts w:hint="default" w:ascii="Times New Roman" w:hAnsi="Times New Roman" w:cs="Times New Roman"/>
                      <w:color w:val="auto"/>
                      <w:w w:val="100"/>
                      <w:szCs w:val="21"/>
                      <w:lang w:eastAsia="zh-CN"/>
                    </w:rPr>
                    <w:t>动植物油</w:t>
                  </w:r>
                </w:p>
              </w:tc>
              <w:tc>
                <w:tcPr>
                  <w:tcW w:w="915" w:type="dxa"/>
                  <w:shd w:val="clear" w:color="auto" w:fill="auto"/>
                  <w:noWrap w:val="0"/>
                  <w:vAlign w:val="center"/>
                </w:tcPr>
                <w:p w14:paraId="6F2CB086">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537C4DD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0.08</w:t>
                  </w:r>
                </w:p>
              </w:tc>
              <w:tc>
                <w:tcPr>
                  <w:tcW w:w="885" w:type="dxa"/>
                  <w:shd w:val="clear" w:color="auto" w:fill="auto"/>
                  <w:noWrap w:val="0"/>
                  <w:vAlign w:val="center"/>
                </w:tcPr>
                <w:p w14:paraId="724DFB63">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0.08</w:t>
                  </w:r>
                </w:p>
              </w:tc>
              <w:tc>
                <w:tcPr>
                  <w:tcW w:w="900" w:type="dxa"/>
                  <w:shd w:val="clear" w:color="auto" w:fill="auto"/>
                  <w:noWrap w:val="0"/>
                  <w:vAlign w:val="center"/>
                </w:tcPr>
                <w:p w14:paraId="384EEF53">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0.06</w:t>
                  </w:r>
                </w:p>
              </w:tc>
              <w:tc>
                <w:tcPr>
                  <w:tcW w:w="979" w:type="dxa"/>
                  <w:shd w:val="clear" w:color="auto" w:fill="auto"/>
                  <w:noWrap w:val="0"/>
                  <w:vAlign w:val="center"/>
                </w:tcPr>
                <w:p w14:paraId="752ED3D4">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0.07</w:t>
                  </w:r>
                </w:p>
              </w:tc>
              <w:tc>
                <w:tcPr>
                  <w:tcW w:w="777" w:type="dxa"/>
                  <w:shd w:val="clear" w:color="auto" w:fill="auto"/>
                  <w:noWrap w:val="0"/>
                  <w:vAlign w:val="center"/>
                </w:tcPr>
                <w:p w14:paraId="6B01C0E7">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20</w:t>
                  </w:r>
                </w:p>
              </w:tc>
            </w:tr>
            <w:tr w14:paraId="36F3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443B550E">
                  <w:pPr>
                    <w:pStyle w:val="76"/>
                    <w:bidi w:val="0"/>
                    <w:jc w:val="center"/>
                    <w:rPr>
                      <w:rFonts w:hint="eastAsia"/>
                      <w:color w:val="auto"/>
                      <w:sz w:val="21"/>
                      <w:szCs w:val="20"/>
                      <w:lang w:val="en-US" w:eastAsia="zh-CN"/>
                    </w:rPr>
                  </w:pPr>
                </w:p>
              </w:tc>
              <w:tc>
                <w:tcPr>
                  <w:tcW w:w="765" w:type="dxa"/>
                  <w:vMerge w:val="continue"/>
                  <w:noWrap w:val="0"/>
                  <w:vAlign w:val="center"/>
                </w:tcPr>
                <w:p w14:paraId="004D1649">
                  <w:pPr>
                    <w:pStyle w:val="76"/>
                    <w:bidi w:val="0"/>
                    <w:jc w:val="center"/>
                    <w:rPr>
                      <w:rFonts w:hint="eastAsia"/>
                      <w:color w:val="auto"/>
                      <w:sz w:val="21"/>
                      <w:szCs w:val="20"/>
                      <w:lang w:val="en-US" w:eastAsia="zh-CN"/>
                    </w:rPr>
                  </w:pPr>
                </w:p>
              </w:tc>
              <w:tc>
                <w:tcPr>
                  <w:tcW w:w="1425" w:type="dxa"/>
                  <w:shd w:val="clear" w:color="auto" w:fill="auto"/>
                  <w:noWrap w:val="0"/>
                  <w:vAlign w:val="center"/>
                </w:tcPr>
                <w:p w14:paraId="62EAE82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w w:val="100"/>
                      <w:kern w:val="2"/>
                      <w:sz w:val="21"/>
                      <w:szCs w:val="21"/>
                      <w:lang w:val="en-US" w:eastAsia="zh-CN" w:bidi="ar-SA"/>
                    </w:rPr>
                  </w:pPr>
                  <w:r>
                    <w:rPr>
                      <w:rFonts w:hint="default" w:ascii="Times New Roman" w:hAnsi="Times New Roman" w:cs="Times New Roman"/>
                      <w:color w:val="auto"/>
                      <w:w w:val="100"/>
                      <w:szCs w:val="21"/>
                      <w:lang w:eastAsia="zh-CN"/>
                    </w:rPr>
                    <w:t>阴离子表面活性剂</w:t>
                  </w:r>
                </w:p>
              </w:tc>
              <w:tc>
                <w:tcPr>
                  <w:tcW w:w="915" w:type="dxa"/>
                  <w:shd w:val="clear" w:color="auto" w:fill="auto"/>
                  <w:noWrap w:val="0"/>
                  <w:vAlign w:val="center"/>
                </w:tcPr>
                <w:p w14:paraId="0BC8C549">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6FD58B69">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0.281</w:t>
                  </w:r>
                </w:p>
              </w:tc>
              <w:tc>
                <w:tcPr>
                  <w:tcW w:w="885" w:type="dxa"/>
                  <w:shd w:val="clear" w:color="auto" w:fill="auto"/>
                  <w:noWrap w:val="0"/>
                  <w:vAlign w:val="center"/>
                </w:tcPr>
                <w:p w14:paraId="26D2BBD9">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0.311</w:t>
                  </w:r>
                </w:p>
              </w:tc>
              <w:tc>
                <w:tcPr>
                  <w:tcW w:w="900" w:type="dxa"/>
                  <w:shd w:val="clear" w:color="auto" w:fill="auto"/>
                  <w:noWrap w:val="0"/>
                  <w:vAlign w:val="center"/>
                </w:tcPr>
                <w:p w14:paraId="0EB2CD3A">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0.337</w:t>
                  </w:r>
                </w:p>
              </w:tc>
              <w:tc>
                <w:tcPr>
                  <w:tcW w:w="979" w:type="dxa"/>
                  <w:shd w:val="clear" w:color="auto" w:fill="auto"/>
                  <w:noWrap w:val="0"/>
                  <w:vAlign w:val="center"/>
                </w:tcPr>
                <w:p w14:paraId="5259A457">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fldChar w:fldCharType="begin"/>
                  </w:r>
                  <w:r>
                    <w:rPr>
                      <w:rFonts w:hint="default" w:ascii="Times New Roman" w:hAnsi="Times New Roman" w:eastAsia="宋体" w:cs="Times New Roman"/>
                      <w:color w:val="auto"/>
                      <w:kern w:val="2"/>
                      <w:sz w:val="21"/>
                      <w:szCs w:val="20"/>
                      <w:lang w:val="en-US" w:eastAsia="zh-CN" w:bidi="ar-SA"/>
                    </w:rPr>
                    <w:instrText xml:space="preserve"> = average(D7:F7) \* MERGEFORMAT </w:instrText>
                  </w:r>
                  <w:r>
                    <w:rPr>
                      <w:rFonts w:hint="default" w:ascii="Times New Roman" w:hAnsi="Times New Roman" w:eastAsia="宋体" w:cs="Times New Roman"/>
                      <w:color w:val="auto"/>
                      <w:kern w:val="2"/>
                      <w:sz w:val="21"/>
                      <w:szCs w:val="20"/>
                      <w:lang w:val="en-US" w:eastAsia="zh-CN" w:bidi="ar-SA"/>
                    </w:rPr>
                    <w:fldChar w:fldCharType="separate"/>
                  </w:r>
                  <w:r>
                    <w:rPr>
                      <w:rFonts w:hint="default" w:ascii="Times New Roman" w:hAnsi="Times New Roman" w:eastAsia="宋体" w:cs="Times New Roman"/>
                      <w:color w:val="auto"/>
                      <w:kern w:val="2"/>
                      <w:sz w:val="21"/>
                      <w:szCs w:val="20"/>
                      <w:lang w:val="en-US" w:eastAsia="zh-CN" w:bidi="ar-SA"/>
                    </w:rPr>
                    <w:t>0.3</w:t>
                  </w:r>
                  <w:r>
                    <w:rPr>
                      <w:rFonts w:hint="eastAsia" w:ascii="Times New Roman" w:hAnsi="Times New Roman" w:eastAsia="宋体" w:cs="Times New Roman"/>
                      <w:color w:val="auto"/>
                      <w:kern w:val="2"/>
                      <w:sz w:val="21"/>
                      <w:szCs w:val="20"/>
                      <w:lang w:val="en-US" w:eastAsia="zh-CN" w:bidi="ar-SA"/>
                    </w:rPr>
                    <w:t>1</w:t>
                  </w:r>
                  <w:r>
                    <w:rPr>
                      <w:rFonts w:hint="default" w:ascii="Times New Roman" w:hAnsi="Times New Roman" w:eastAsia="宋体" w:cs="Times New Roman"/>
                      <w:color w:val="auto"/>
                      <w:kern w:val="2"/>
                      <w:sz w:val="21"/>
                      <w:szCs w:val="20"/>
                      <w:lang w:val="en-US" w:eastAsia="zh-CN" w:bidi="ar-SA"/>
                    </w:rPr>
                    <w:fldChar w:fldCharType="end"/>
                  </w:r>
                  <w:r>
                    <w:rPr>
                      <w:rFonts w:hint="eastAsia" w:ascii="Times New Roman" w:hAnsi="Times New Roman" w:eastAsia="宋体" w:cs="Times New Roman"/>
                      <w:color w:val="auto"/>
                      <w:kern w:val="2"/>
                      <w:sz w:val="21"/>
                      <w:szCs w:val="20"/>
                      <w:lang w:val="en-US" w:eastAsia="zh-CN" w:bidi="ar-SA"/>
                    </w:rPr>
                    <w:t>0</w:t>
                  </w:r>
                </w:p>
              </w:tc>
              <w:tc>
                <w:tcPr>
                  <w:tcW w:w="777" w:type="dxa"/>
                  <w:shd w:val="clear" w:color="auto" w:fill="auto"/>
                  <w:noWrap w:val="0"/>
                  <w:vAlign w:val="center"/>
                </w:tcPr>
                <w:p w14:paraId="2C013DF1">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10</w:t>
                  </w:r>
                </w:p>
              </w:tc>
            </w:tr>
            <w:tr w14:paraId="0DCDA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03741043">
                  <w:pPr>
                    <w:pStyle w:val="76"/>
                    <w:bidi w:val="0"/>
                    <w:jc w:val="center"/>
                    <w:rPr>
                      <w:rFonts w:hint="eastAsia"/>
                      <w:color w:val="auto"/>
                      <w:sz w:val="21"/>
                      <w:szCs w:val="20"/>
                      <w:lang w:val="en-US" w:eastAsia="zh-CN"/>
                    </w:rPr>
                  </w:pPr>
                </w:p>
              </w:tc>
              <w:tc>
                <w:tcPr>
                  <w:tcW w:w="765" w:type="dxa"/>
                  <w:vMerge w:val="continue"/>
                  <w:noWrap w:val="0"/>
                  <w:vAlign w:val="center"/>
                </w:tcPr>
                <w:p w14:paraId="3D84A0EC">
                  <w:pPr>
                    <w:pStyle w:val="76"/>
                    <w:bidi w:val="0"/>
                    <w:jc w:val="center"/>
                    <w:rPr>
                      <w:rFonts w:hint="eastAsia"/>
                      <w:color w:val="auto"/>
                      <w:sz w:val="21"/>
                      <w:szCs w:val="20"/>
                      <w:lang w:val="en-US" w:eastAsia="zh-CN"/>
                    </w:rPr>
                  </w:pPr>
                </w:p>
              </w:tc>
              <w:tc>
                <w:tcPr>
                  <w:tcW w:w="1425" w:type="dxa"/>
                  <w:shd w:val="clear" w:color="auto" w:fill="auto"/>
                  <w:noWrap w:val="0"/>
                  <w:vAlign w:val="center"/>
                </w:tcPr>
                <w:p w14:paraId="78CEDA4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w w:val="100"/>
                      <w:kern w:val="2"/>
                      <w:sz w:val="21"/>
                      <w:szCs w:val="21"/>
                      <w:lang w:val="en-US" w:eastAsia="zh-CN" w:bidi="ar-SA"/>
                    </w:rPr>
                  </w:pPr>
                  <w:r>
                    <w:rPr>
                      <w:rFonts w:hint="default" w:ascii="Times New Roman" w:hAnsi="Times New Roman" w:cs="Times New Roman"/>
                      <w:color w:val="auto"/>
                      <w:w w:val="100"/>
                      <w:szCs w:val="21"/>
                      <w:lang w:eastAsia="zh-CN"/>
                    </w:rPr>
                    <w:t>挥发酚</w:t>
                  </w:r>
                </w:p>
              </w:tc>
              <w:tc>
                <w:tcPr>
                  <w:tcW w:w="915" w:type="dxa"/>
                  <w:shd w:val="clear" w:color="auto" w:fill="auto"/>
                  <w:noWrap w:val="0"/>
                  <w:vAlign w:val="center"/>
                </w:tcPr>
                <w:p w14:paraId="50664C88">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08BB0CC8">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0.02</w:t>
                  </w:r>
                </w:p>
              </w:tc>
              <w:tc>
                <w:tcPr>
                  <w:tcW w:w="885" w:type="dxa"/>
                  <w:shd w:val="clear" w:color="auto" w:fill="auto"/>
                  <w:noWrap w:val="0"/>
                  <w:vAlign w:val="center"/>
                </w:tcPr>
                <w:p w14:paraId="25C75A6F">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0.03</w:t>
                  </w:r>
                </w:p>
              </w:tc>
              <w:tc>
                <w:tcPr>
                  <w:tcW w:w="900" w:type="dxa"/>
                  <w:shd w:val="clear" w:color="auto" w:fill="auto"/>
                  <w:noWrap w:val="0"/>
                  <w:vAlign w:val="center"/>
                </w:tcPr>
                <w:p w14:paraId="533E2295">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0.02</w:t>
                  </w:r>
                </w:p>
              </w:tc>
              <w:tc>
                <w:tcPr>
                  <w:tcW w:w="979" w:type="dxa"/>
                  <w:shd w:val="clear" w:color="auto" w:fill="auto"/>
                  <w:noWrap w:val="0"/>
                  <w:vAlign w:val="center"/>
                </w:tcPr>
                <w:p w14:paraId="60F35A6E">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0.02</w:t>
                  </w:r>
                </w:p>
              </w:tc>
              <w:tc>
                <w:tcPr>
                  <w:tcW w:w="777" w:type="dxa"/>
                  <w:shd w:val="clear" w:color="auto" w:fill="auto"/>
                  <w:noWrap w:val="0"/>
                  <w:vAlign w:val="center"/>
                </w:tcPr>
                <w:p w14:paraId="372532DA">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1.0</w:t>
                  </w:r>
                </w:p>
              </w:tc>
            </w:tr>
            <w:tr w14:paraId="4C5ED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6A58312E">
                  <w:pPr>
                    <w:pStyle w:val="76"/>
                    <w:bidi w:val="0"/>
                    <w:jc w:val="center"/>
                    <w:rPr>
                      <w:rFonts w:hint="eastAsia"/>
                      <w:color w:val="auto"/>
                      <w:sz w:val="21"/>
                      <w:szCs w:val="20"/>
                      <w:lang w:val="en-US" w:eastAsia="zh-CN"/>
                    </w:rPr>
                  </w:pPr>
                </w:p>
              </w:tc>
              <w:tc>
                <w:tcPr>
                  <w:tcW w:w="765" w:type="dxa"/>
                  <w:vMerge w:val="continue"/>
                  <w:noWrap w:val="0"/>
                  <w:vAlign w:val="center"/>
                </w:tcPr>
                <w:p w14:paraId="48CC95E6">
                  <w:pPr>
                    <w:pStyle w:val="76"/>
                    <w:bidi w:val="0"/>
                    <w:jc w:val="center"/>
                    <w:rPr>
                      <w:rFonts w:hint="eastAsia"/>
                      <w:color w:val="auto"/>
                      <w:sz w:val="21"/>
                      <w:szCs w:val="20"/>
                      <w:lang w:val="en-US" w:eastAsia="zh-CN"/>
                    </w:rPr>
                  </w:pPr>
                </w:p>
              </w:tc>
              <w:tc>
                <w:tcPr>
                  <w:tcW w:w="1425" w:type="dxa"/>
                  <w:shd w:val="clear" w:color="auto" w:fill="auto"/>
                  <w:noWrap w:val="0"/>
                  <w:vAlign w:val="center"/>
                </w:tcPr>
                <w:p w14:paraId="5D590A0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w w:val="100"/>
                      <w:kern w:val="2"/>
                      <w:sz w:val="21"/>
                      <w:szCs w:val="21"/>
                      <w:lang w:val="en-US" w:eastAsia="zh-CN" w:bidi="ar-SA"/>
                    </w:rPr>
                  </w:pPr>
                  <w:r>
                    <w:rPr>
                      <w:rFonts w:hint="default" w:ascii="Times New Roman" w:hAnsi="Times New Roman" w:cs="Times New Roman"/>
                      <w:color w:val="auto"/>
                      <w:w w:val="100"/>
                      <w:szCs w:val="21"/>
                      <w:lang w:eastAsia="zh-CN"/>
                    </w:rPr>
                    <w:t>总氰化物</w:t>
                  </w:r>
                </w:p>
              </w:tc>
              <w:tc>
                <w:tcPr>
                  <w:tcW w:w="915" w:type="dxa"/>
                  <w:shd w:val="clear" w:color="auto" w:fill="auto"/>
                  <w:noWrap w:val="0"/>
                  <w:vAlign w:val="center"/>
                </w:tcPr>
                <w:p w14:paraId="5B1254B2">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mg/L</w:t>
                  </w:r>
                </w:p>
              </w:tc>
              <w:tc>
                <w:tcPr>
                  <w:tcW w:w="930" w:type="dxa"/>
                  <w:shd w:val="clear" w:color="auto" w:fill="auto"/>
                  <w:noWrap w:val="0"/>
                  <w:vAlign w:val="center"/>
                </w:tcPr>
                <w:p w14:paraId="21BC6C68">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0.004L</w:t>
                  </w:r>
                </w:p>
              </w:tc>
              <w:tc>
                <w:tcPr>
                  <w:tcW w:w="885" w:type="dxa"/>
                  <w:shd w:val="clear" w:color="auto" w:fill="auto"/>
                  <w:noWrap w:val="0"/>
                  <w:vAlign w:val="center"/>
                </w:tcPr>
                <w:p w14:paraId="0CFB1440">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0.004L</w:t>
                  </w:r>
                </w:p>
              </w:tc>
              <w:tc>
                <w:tcPr>
                  <w:tcW w:w="900" w:type="dxa"/>
                  <w:shd w:val="clear" w:color="auto" w:fill="auto"/>
                  <w:noWrap w:val="0"/>
                  <w:vAlign w:val="center"/>
                </w:tcPr>
                <w:p w14:paraId="6041DA6D">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0.004L</w:t>
                  </w:r>
                </w:p>
              </w:tc>
              <w:tc>
                <w:tcPr>
                  <w:tcW w:w="979" w:type="dxa"/>
                  <w:shd w:val="clear" w:color="auto" w:fill="auto"/>
                  <w:noWrap w:val="0"/>
                  <w:vAlign w:val="center"/>
                </w:tcPr>
                <w:p w14:paraId="4F6C7C1E">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0.004L</w:t>
                  </w:r>
                </w:p>
              </w:tc>
              <w:tc>
                <w:tcPr>
                  <w:tcW w:w="777" w:type="dxa"/>
                  <w:shd w:val="clear" w:color="auto" w:fill="auto"/>
                  <w:noWrap w:val="0"/>
                  <w:vAlign w:val="center"/>
                </w:tcPr>
                <w:p w14:paraId="782CE16D">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0.5</w:t>
                  </w:r>
                </w:p>
              </w:tc>
            </w:tr>
            <w:tr w14:paraId="4F75E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7BB0FC4C">
                  <w:pPr>
                    <w:pStyle w:val="76"/>
                    <w:bidi w:val="0"/>
                    <w:jc w:val="center"/>
                    <w:rPr>
                      <w:rFonts w:hint="eastAsia"/>
                      <w:color w:val="auto"/>
                      <w:sz w:val="21"/>
                      <w:szCs w:val="20"/>
                      <w:lang w:val="en-US" w:eastAsia="zh-CN"/>
                    </w:rPr>
                  </w:pPr>
                </w:p>
              </w:tc>
              <w:tc>
                <w:tcPr>
                  <w:tcW w:w="765" w:type="dxa"/>
                  <w:vMerge w:val="continue"/>
                  <w:noWrap w:val="0"/>
                  <w:vAlign w:val="center"/>
                </w:tcPr>
                <w:p w14:paraId="0DCA542F">
                  <w:pPr>
                    <w:pStyle w:val="76"/>
                    <w:bidi w:val="0"/>
                    <w:jc w:val="center"/>
                    <w:rPr>
                      <w:rFonts w:hint="eastAsia"/>
                      <w:color w:val="auto"/>
                      <w:sz w:val="21"/>
                      <w:szCs w:val="20"/>
                      <w:lang w:val="en-US" w:eastAsia="zh-CN"/>
                    </w:rPr>
                  </w:pPr>
                </w:p>
              </w:tc>
              <w:tc>
                <w:tcPr>
                  <w:tcW w:w="1425" w:type="dxa"/>
                  <w:shd w:val="clear" w:color="auto" w:fill="auto"/>
                  <w:noWrap w:val="0"/>
                  <w:vAlign w:val="center"/>
                </w:tcPr>
                <w:p w14:paraId="6386AEC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w w:val="100"/>
                      <w:szCs w:val="21"/>
                      <w:lang w:eastAsia="zh-CN"/>
                    </w:rPr>
                  </w:pPr>
                  <w:r>
                    <w:rPr>
                      <w:rFonts w:hint="eastAsia" w:ascii="Times New Roman" w:hAnsi="Times New Roman" w:eastAsia="宋体" w:cs="Times New Roman"/>
                      <w:color w:val="auto"/>
                      <w:sz w:val="21"/>
                      <w:szCs w:val="21"/>
                      <w:lang w:val="en-US" w:eastAsia="zh-CN"/>
                    </w:rPr>
                    <w:t>沙门氏菌</w:t>
                  </w:r>
                  <w:r>
                    <w:rPr>
                      <w:rFonts w:hint="default" w:ascii="Times New Roman" w:hAnsi="Times New Roman" w:eastAsia="宋体" w:cs="Times New Roman"/>
                      <w:color w:val="auto"/>
                      <w:w w:val="100"/>
                      <w:sz w:val="21"/>
                      <w:szCs w:val="21"/>
                      <w:lang w:val="en-US" w:eastAsia="zh-CN"/>
                    </w:rPr>
                    <w:t>/200mL</w:t>
                  </w:r>
                </w:p>
              </w:tc>
              <w:tc>
                <w:tcPr>
                  <w:tcW w:w="915" w:type="dxa"/>
                  <w:shd w:val="clear" w:color="auto" w:fill="auto"/>
                  <w:noWrap w:val="0"/>
                  <w:vAlign w:val="center"/>
                </w:tcPr>
                <w:p w14:paraId="0682DCFB">
                  <w:pPr>
                    <w:pStyle w:val="76"/>
                    <w:bidi w:val="0"/>
                    <w:ind w:firstLine="0" w:firstLineChars="0"/>
                    <w:jc w:val="center"/>
                    <w:rPr>
                      <w:rFonts w:hint="eastAsia"/>
                      <w:color w:val="auto"/>
                      <w:sz w:val="21"/>
                      <w:szCs w:val="20"/>
                      <w:lang w:val="en-US" w:eastAsia="zh-CN"/>
                    </w:rPr>
                  </w:pPr>
                  <w:r>
                    <w:rPr>
                      <w:rFonts w:hint="eastAsia"/>
                      <w:color w:val="auto"/>
                      <w:sz w:val="21"/>
                      <w:szCs w:val="20"/>
                      <w:lang w:val="en-US" w:eastAsia="zh-CN"/>
                    </w:rPr>
                    <w:t>/</w:t>
                  </w:r>
                </w:p>
              </w:tc>
              <w:tc>
                <w:tcPr>
                  <w:tcW w:w="930" w:type="dxa"/>
                  <w:shd w:val="clear" w:color="auto" w:fill="auto"/>
                  <w:noWrap w:val="0"/>
                  <w:vAlign w:val="center"/>
                </w:tcPr>
                <w:p w14:paraId="11E1C77E">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885" w:type="dxa"/>
                  <w:shd w:val="clear" w:color="auto" w:fill="auto"/>
                  <w:noWrap w:val="0"/>
                  <w:vAlign w:val="center"/>
                </w:tcPr>
                <w:p w14:paraId="3733AA7B">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900" w:type="dxa"/>
                  <w:shd w:val="clear" w:color="auto" w:fill="auto"/>
                  <w:noWrap w:val="0"/>
                  <w:vAlign w:val="center"/>
                </w:tcPr>
                <w:p w14:paraId="13C31CF5">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979" w:type="dxa"/>
                  <w:shd w:val="clear" w:color="auto" w:fill="auto"/>
                  <w:noWrap w:val="0"/>
                  <w:vAlign w:val="center"/>
                </w:tcPr>
                <w:p w14:paraId="3A8D1A4A">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777" w:type="dxa"/>
                  <w:shd w:val="clear" w:color="auto" w:fill="auto"/>
                  <w:noWrap w:val="0"/>
                  <w:vAlign w:val="center"/>
                </w:tcPr>
                <w:p w14:paraId="3B8B629B">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r>
            <w:tr w14:paraId="4F641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7BB95D43">
                  <w:pPr>
                    <w:pStyle w:val="76"/>
                    <w:bidi w:val="0"/>
                    <w:jc w:val="center"/>
                    <w:rPr>
                      <w:rFonts w:hint="eastAsia"/>
                      <w:color w:val="auto"/>
                      <w:sz w:val="21"/>
                      <w:szCs w:val="20"/>
                      <w:lang w:val="en-US" w:eastAsia="zh-CN"/>
                    </w:rPr>
                  </w:pPr>
                </w:p>
              </w:tc>
              <w:tc>
                <w:tcPr>
                  <w:tcW w:w="765" w:type="dxa"/>
                  <w:vMerge w:val="continue"/>
                  <w:noWrap w:val="0"/>
                  <w:vAlign w:val="center"/>
                </w:tcPr>
                <w:p w14:paraId="3816CA9B">
                  <w:pPr>
                    <w:pStyle w:val="76"/>
                    <w:bidi w:val="0"/>
                    <w:jc w:val="center"/>
                    <w:rPr>
                      <w:rFonts w:hint="eastAsia"/>
                      <w:color w:val="auto"/>
                      <w:sz w:val="21"/>
                      <w:szCs w:val="20"/>
                      <w:lang w:val="en-US" w:eastAsia="zh-CN"/>
                    </w:rPr>
                  </w:pPr>
                </w:p>
              </w:tc>
              <w:tc>
                <w:tcPr>
                  <w:tcW w:w="1425" w:type="dxa"/>
                  <w:shd w:val="clear" w:color="auto" w:fill="auto"/>
                  <w:noWrap w:val="0"/>
                  <w:vAlign w:val="center"/>
                </w:tcPr>
                <w:p w14:paraId="67B22888">
                  <w:pPr>
                    <w:keepNext w:val="0"/>
                    <w:keepLines w:val="0"/>
                    <w:pageBreakBefore w:val="0"/>
                    <w:widowControl w:val="0"/>
                    <w:kinsoku/>
                    <w:wordWrap/>
                    <w:overflowPunct/>
                    <w:topLinePunct w:val="0"/>
                    <w:autoSpaceDE/>
                    <w:autoSpaceDN/>
                    <w:bidi w:val="0"/>
                    <w:spacing w:line="240" w:lineRule="auto"/>
                    <w:jc w:val="center"/>
                    <w:textAlignment w:val="auto"/>
                    <w:rPr>
                      <w:rFonts w:hint="eastAsia"/>
                      <w:color w:val="auto"/>
                    </w:rPr>
                  </w:pPr>
                  <w:r>
                    <w:rPr>
                      <w:rFonts w:hint="eastAsia" w:ascii="Times New Roman" w:hAnsi="Times New Roman" w:eastAsia="宋体" w:cs="Times New Roman"/>
                      <w:color w:val="auto"/>
                      <w:sz w:val="21"/>
                      <w:szCs w:val="21"/>
                      <w:lang w:val="en-US" w:eastAsia="zh-CN"/>
                    </w:rPr>
                    <w:t>志贺氏菌</w:t>
                  </w:r>
                  <w:r>
                    <w:rPr>
                      <w:rFonts w:hint="default" w:ascii="Times New Roman" w:hAnsi="Times New Roman" w:eastAsia="宋体" w:cs="Times New Roman"/>
                      <w:color w:val="auto"/>
                      <w:w w:val="100"/>
                      <w:sz w:val="21"/>
                      <w:szCs w:val="21"/>
                      <w:lang w:val="en-US" w:eastAsia="zh-CN"/>
                    </w:rPr>
                    <w:t>/200mL</w:t>
                  </w:r>
                </w:p>
              </w:tc>
              <w:tc>
                <w:tcPr>
                  <w:tcW w:w="915" w:type="dxa"/>
                  <w:shd w:val="clear" w:color="auto" w:fill="auto"/>
                  <w:noWrap w:val="0"/>
                  <w:vAlign w:val="center"/>
                </w:tcPr>
                <w:p w14:paraId="727E1D0B">
                  <w:pPr>
                    <w:pStyle w:val="76"/>
                    <w:bidi w:val="0"/>
                    <w:ind w:firstLine="0" w:firstLineChars="0"/>
                    <w:jc w:val="center"/>
                    <w:rPr>
                      <w:rFonts w:hint="default"/>
                      <w:color w:val="auto"/>
                      <w:sz w:val="21"/>
                      <w:szCs w:val="20"/>
                      <w:lang w:val="en-US" w:eastAsia="zh-CN"/>
                    </w:rPr>
                  </w:pPr>
                  <w:r>
                    <w:rPr>
                      <w:rFonts w:hint="eastAsia"/>
                      <w:color w:val="auto"/>
                      <w:sz w:val="21"/>
                      <w:szCs w:val="20"/>
                      <w:lang w:val="en-US" w:eastAsia="zh-CN"/>
                    </w:rPr>
                    <w:t>/</w:t>
                  </w:r>
                </w:p>
              </w:tc>
              <w:tc>
                <w:tcPr>
                  <w:tcW w:w="930" w:type="dxa"/>
                  <w:shd w:val="clear" w:color="auto" w:fill="auto"/>
                  <w:noWrap w:val="0"/>
                  <w:vAlign w:val="center"/>
                </w:tcPr>
                <w:p w14:paraId="36106CEB">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vertAlign w:val="baseli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885" w:type="dxa"/>
                  <w:shd w:val="clear" w:color="auto" w:fill="auto"/>
                  <w:noWrap w:val="0"/>
                  <w:vAlign w:val="center"/>
                </w:tcPr>
                <w:p w14:paraId="1AC43718">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900" w:type="dxa"/>
                  <w:shd w:val="clear" w:color="auto" w:fill="auto"/>
                  <w:noWrap w:val="0"/>
                  <w:vAlign w:val="center"/>
                </w:tcPr>
                <w:p w14:paraId="0DCA723E">
                  <w:pPr>
                    <w:keepNext w:val="0"/>
                    <w:keepLines w:val="0"/>
                    <w:pageBreakBefore w:val="0"/>
                    <w:widowControl w:val="0"/>
                    <w:kinsoku/>
                    <w:wordWrap/>
                    <w:overflowPunct/>
                    <w:topLinePunct w:val="0"/>
                    <w:autoSpaceDE/>
                    <w:autoSpaceDN/>
                    <w:bidi w:val="0"/>
                    <w:adjustRightInd w:val="0"/>
                    <w:spacing w:line="240" w:lineRule="auto"/>
                    <w:jc w:val="center"/>
                    <w:textAlignment w:val="auto"/>
                    <w:rPr>
                      <w:rFonts w:hint="eastAsia" w:ascii="Times New Roman" w:hAnsi="Times New Roman" w:eastAsia="宋体" w:cs="Times New Roman"/>
                      <w:color w:val="auto"/>
                      <w:w w:val="100"/>
                      <w:kern w:val="2"/>
                      <w:sz w:val="21"/>
                      <w:szCs w:val="21"/>
                      <w:highlight w:val="none"/>
                      <w:lang w:val="en-US" w:eastAsia="zh-CN" w:bidi="ar-SA"/>
                    </w:rPr>
                  </w:pPr>
                  <w:r>
                    <w:rPr>
                      <w:rFonts w:hint="eastAsia" w:ascii="Times New Roman" w:hAnsi="Times New Roman" w:cs="Times New Roman"/>
                      <w:color w:val="auto"/>
                      <w:w w:val="100"/>
                      <w:kern w:val="2"/>
                      <w:sz w:val="21"/>
                      <w:szCs w:val="21"/>
                      <w:highlight w:val="none"/>
                      <w:vertAlign w:val="baseline"/>
                      <w:lang w:val="en-US" w:eastAsia="zh-CN" w:bidi="ar-SA"/>
                    </w:rPr>
                    <w:t>不存在</w:t>
                  </w:r>
                </w:p>
              </w:tc>
              <w:tc>
                <w:tcPr>
                  <w:tcW w:w="979" w:type="dxa"/>
                  <w:shd w:val="clear" w:color="auto" w:fill="auto"/>
                  <w:noWrap w:val="0"/>
                  <w:vAlign w:val="center"/>
                </w:tcPr>
                <w:p w14:paraId="4AD0AAB4">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c>
                <w:tcPr>
                  <w:tcW w:w="777" w:type="dxa"/>
                  <w:shd w:val="clear" w:color="auto" w:fill="auto"/>
                  <w:noWrap w:val="0"/>
                  <w:vAlign w:val="center"/>
                </w:tcPr>
                <w:p w14:paraId="51650CE5">
                  <w:pPr>
                    <w:pStyle w:val="76"/>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w:t>
                  </w:r>
                </w:p>
              </w:tc>
            </w:tr>
          </w:tbl>
          <w:p w14:paraId="13551445">
            <w:pPr>
              <w:pStyle w:val="48"/>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rPr>
            </w:pPr>
            <w:r>
              <w:rPr>
                <w:color w:val="auto"/>
                <w:sz w:val="24"/>
              </w:rPr>
              <w:t>废水各污染物排放浓度均能满足《医疗机构水污染物排放标准》（GB18466-2005）表2综合医疗机构和其他医疗机构水污染物排放限值中的预处理标准，符合相关环保要求。</w:t>
            </w:r>
          </w:p>
          <w:p w14:paraId="123B8265">
            <w:pPr>
              <w:pStyle w:val="48"/>
              <w:keepNext w:val="0"/>
              <w:keepLines w:val="0"/>
              <w:pageBreakBefore w:val="0"/>
              <w:widowControl w:val="0"/>
              <w:kinsoku/>
              <w:wordWrap/>
              <w:overflowPunct/>
              <w:topLinePunct w:val="0"/>
              <w:autoSpaceDE/>
              <w:autoSpaceDN/>
              <w:bidi w:val="0"/>
              <w:adjustRightInd/>
              <w:snapToGrid w:val="0"/>
              <w:spacing w:line="360" w:lineRule="auto"/>
              <w:ind w:left="461"/>
              <w:textAlignment w:val="auto"/>
              <w:rPr>
                <w:b/>
                <w:bCs/>
                <w:color w:val="auto"/>
                <w:sz w:val="24"/>
              </w:rPr>
            </w:pPr>
            <w:r>
              <w:rPr>
                <w:b/>
                <w:bCs/>
                <w:color w:val="auto"/>
                <w:sz w:val="24"/>
              </w:rPr>
              <w:t>3）噪声</w:t>
            </w:r>
          </w:p>
          <w:p w14:paraId="2923F448">
            <w:pPr>
              <w:pStyle w:val="79"/>
              <w:keepNext w:val="0"/>
              <w:keepLines w:val="0"/>
              <w:pageBreakBefore w:val="0"/>
              <w:widowControl w:val="0"/>
              <w:kinsoku/>
              <w:wordWrap/>
              <w:overflowPunct/>
              <w:topLinePunct w:val="0"/>
              <w:autoSpaceDE/>
              <w:autoSpaceDN/>
              <w:bidi w:val="0"/>
              <w:adjustRightInd/>
              <w:snapToGrid w:val="0"/>
              <w:spacing w:line="360" w:lineRule="auto"/>
              <w:ind w:firstLine="420"/>
              <w:textAlignment w:val="auto"/>
              <w:rPr>
                <w:rFonts w:hint="default" w:ascii="Times New Roman" w:hAnsi="Times New Roman" w:eastAsia="宋体" w:cs="Times New Roman"/>
                <w:color w:val="auto"/>
                <w:kern w:val="0"/>
                <w:sz w:val="24"/>
                <w:szCs w:val="24"/>
                <w:lang w:val="en-US" w:eastAsia="zh-CN" w:bidi="ar-SA"/>
              </w:rPr>
            </w:pPr>
            <w:r>
              <w:rPr>
                <w:rFonts w:hint="eastAsia"/>
                <w:color w:val="auto"/>
                <w:sz w:val="24"/>
                <w:lang w:val="en-US" w:eastAsia="zh-CN"/>
              </w:rPr>
              <w:t>现有院区噪声主要来源于水泵、室外空调等，产噪声设备位于室内，</w:t>
            </w:r>
            <w:r>
              <w:rPr>
                <w:rFonts w:hint="default" w:ascii="Times New Roman" w:hAnsi="Times New Roman" w:eastAsia="宋体" w:cs="Times New Roman"/>
                <w:color w:val="auto"/>
                <w:kern w:val="0"/>
                <w:sz w:val="24"/>
                <w:szCs w:val="24"/>
                <w:lang w:val="en-US" w:eastAsia="zh-CN" w:bidi="ar-SA"/>
              </w:rPr>
              <w:t>根据202</w:t>
            </w:r>
            <w:r>
              <w:rPr>
                <w:rFonts w:hint="eastAsia" w:ascii="Times New Roman" w:hAnsi="Times New Roman" w:eastAsia="宋体"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年1</w:t>
            </w:r>
            <w:r>
              <w:rPr>
                <w:rFonts w:hint="eastAsia" w:ascii="Times New Roman" w:hAnsi="Times New Roman" w:eastAsia="宋体" w:cs="Times New Roman"/>
                <w:color w:val="auto"/>
                <w:kern w:val="0"/>
                <w:sz w:val="24"/>
                <w:szCs w:val="24"/>
                <w:lang w:val="en-US" w:eastAsia="zh-CN" w:bidi="ar-SA"/>
              </w:rPr>
              <w:t>0</w:t>
            </w:r>
            <w:r>
              <w:rPr>
                <w:rFonts w:hint="default" w:ascii="Times New Roman" w:hAnsi="Times New Roman" w:eastAsia="宋体" w:cs="Times New Roman"/>
                <w:color w:val="auto"/>
                <w:kern w:val="0"/>
                <w:sz w:val="24"/>
                <w:szCs w:val="24"/>
                <w:lang w:val="en-US" w:eastAsia="zh-CN" w:bidi="ar-SA"/>
              </w:rPr>
              <w:t>月的</w:t>
            </w:r>
            <w:r>
              <w:rPr>
                <w:rFonts w:hint="eastAsia" w:ascii="Times New Roman" w:hAnsi="Times New Roman" w:eastAsia="宋体" w:cs="Times New Roman"/>
                <w:color w:val="auto"/>
                <w:kern w:val="0"/>
                <w:sz w:val="24"/>
                <w:szCs w:val="24"/>
                <w:lang w:val="en-US" w:eastAsia="zh-CN" w:bidi="ar-SA"/>
              </w:rPr>
              <w:t>例行</w:t>
            </w:r>
            <w:r>
              <w:rPr>
                <w:rFonts w:hint="default" w:ascii="Times New Roman" w:hAnsi="Times New Roman" w:eastAsia="宋体" w:cs="Times New Roman"/>
                <w:color w:val="auto"/>
                <w:kern w:val="0"/>
                <w:sz w:val="24"/>
                <w:szCs w:val="24"/>
                <w:lang w:val="en-US" w:eastAsia="zh-CN" w:bidi="ar-SA"/>
              </w:rPr>
              <w:t>监测报告的数据（监测报告编号：渝朕环检字</w:t>
            </w:r>
            <w:r>
              <w:rPr>
                <w:rFonts w:hint="eastAsia"/>
                <w:color w:val="auto"/>
                <w:sz w:val="24"/>
              </w:rPr>
              <w:t>〔</w:t>
            </w:r>
            <w:r>
              <w:rPr>
                <w:rFonts w:hint="default" w:ascii="Times New Roman" w:hAnsi="Times New Roman" w:eastAsia="宋体" w:cs="Times New Roman"/>
                <w:color w:val="auto"/>
                <w:kern w:val="0"/>
                <w:sz w:val="24"/>
                <w:szCs w:val="24"/>
                <w:lang w:val="en-US" w:eastAsia="zh-CN" w:bidi="ar-SA"/>
              </w:rPr>
              <w:t>2024</w:t>
            </w:r>
            <w:r>
              <w:rPr>
                <w:rFonts w:hint="eastAsia"/>
                <w:color w:val="auto"/>
                <w:sz w:val="24"/>
              </w:rPr>
              <w:t>〕</w:t>
            </w:r>
            <w:r>
              <w:rPr>
                <w:rFonts w:hint="default" w:ascii="Times New Roman" w:hAnsi="Times New Roman" w:eastAsia="宋体" w:cs="Times New Roman"/>
                <w:color w:val="auto"/>
                <w:kern w:val="0"/>
                <w:sz w:val="24"/>
                <w:szCs w:val="24"/>
                <w:lang w:val="en-US" w:eastAsia="zh-CN" w:bidi="ar-SA"/>
              </w:rPr>
              <w:t>W0028-37号）进行分析</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同时本次扩建环评</w:t>
            </w:r>
            <w:r>
              <w:rPr>
                <w:rFonts w:hint="default" w:ascii="Times New Roman" w:hAnsi="Times New Roman" w:eastAsia="宋体" w:cs="Times New Roman"/>
                <w:color w:val="auto"/>
                <w:kern w:val="0"/>
                <w:sz w:val="24"/>
                <w:szCs w:val="24"/>
                <w:lang w:val="en-US" w:eastAsia="zh-CN" w:bidi="ar-SA"/>
              </w:rPr>
              <w:t>对厂界噪声</w:t>
            </w:r>
            <w:r>
              <w:rPr>
                <w:rFonts w:hint="eastAsia" w:ascii="Times New Roman" w:hAnsi="Times New Roman" w:eastAsia="宋体" w:cs="Times New Roman"/>
                <w:color w:val="auto"/>
                <w:kern w:val="0"/>
                <w:sz w:val="24"/>
                <w:szCs w:val="24"/>
                <w:lang w:val="en-US" w:eastAsia="zh-CN" w:bidi="ar-SA"/>
              </w:rPr>
              <w:t>进行了监测（</w:t>
            </w:r>
            <w:r>
              <w:rPr>
                <w:rFonts w:hint="default" w:ascii="Times New Roman" w:hAnsi="Times New Roman" w:eastAsia="宋体" w:cs="Times New Roman"/>
                <w:color w:val="auto"/>
                <w:kern w:val="0"/>
                <w:sz w:val="24"/>
                <w:szCs w:val="24"/>
                <w:lang w:val="en-US" w:eastAsia="zh-CN" w:bidi="ar-SA"/>
              </w:rPr>
              <w:t>监测报告编号：厦美</w:t>
            </w:r>
            <w:r>
              <w:rPr>
                <w:rFonts w:hint="eastAsia"/>
                <w:color w:val="auto"/>
                <w:sz w:val="24"/>
              </w:rPr>
              <w:t>〔</w:t>
            </w:r>
            <w:r>
              <w:rPr>
                <w:rFonts w:hint="default" w:ascii="Times New Roman" w:hAnsi="Times New Roman" w:eastAsia="宋体" w:cs="Times New Roman"/>
                <w:color w:val="auto"/>
                <w:kern w:val="0"/>
                <w:sz w:val="24"/>
                <w:szCs w:val="24"/>
                <w:lang w:val="en-US" w:eastAsia="zh-CN" w:bidi="ar-SA"/>
              </w:rPr>
              <w:t>2024</w:t>
            </w:r>
            <w:r>
              <w:rPr>
                <w:rFonts w:hint="eastAsia"/>
                <w:color w:val="auto"/>
                <w:sz w:val="24"/>
              </w:rPr>
              <w:t>〕</w:t>
            </w:r>
            <w:r>
              <w:rPr>
                <w:rFonts w:hint="eastAsia" w:ascii="Times New Roman" w:hAnsi="Times New Roman" w:eastAsia="宋体" w:cs="Times New Roman"/>
                <w:color w:val="auto"/>
                <w:kern w:val="0"/>
                <w:sz w:val="24"/>
                <w:szCs w:val="24"/>
                <w:lang w:val="en-US" w:eastAsia="zh-CN" w:bidi="ar-SA"/>
              </w:rPr>
              <w:t>HP152</w:t>
            </w:r>
            <w:r>
              <w:rPr>
                <w:rFonts w:hint="default" w:ascii="Times New Roman" w:hAnsi="Times New Roman" w:eastAsia="宋体" w:cs="Times New Roman"/>
                <w:color w:val="auto"/>
                <w:kern w:val="0"/>
                <w:sz w:val="24"/>
                <w:szCs w:val="24"/>
                <w:lang w:val="en-US" w:eastAsia="zh-CN" w:bidi="ar-SA"/>
              </w:rPr>
              <w:t>号</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厂界噪声的监测结果可知，昼间夜间厂界噪声能满足《工业企业厂界环境噪声排放标准（GB12348-2008）</w:t>
            </w:r>
            <w:r>
              <w:rPr>
                <w:rFonts w:hint="eastAsia" w:ascii="Times New Roman" w:hAnsi="Times New Roman" w:eastAsia="宋体" w:cs="Times New Roman"/>
                <w:color w:val="auto"/>
                <w:kern w:val="0"/>
                <w:sz w:val="24"/>
                <w:szCs w:val="24"/>
                <w:lang w:val="en-US" w:eastAsia="zh-CN" w:bidi="ar-SA"/>
              </w:rPr>
              <w:t>2</w:t>
            </w:r>
            <w:r>
              <w:rPr>
                <w:rFonts w:hint="default" w:ascii="Times New Roman" w:hAnsi="Times New Roman" w:eastAsia="宋体" w:cs="Times New Roman"/>
                <w:color w:val="auto"/>
                <w:kern w:val="0"/>
                <w:sz w:val="24"/>
                <w:szCs w:val="24"/>
                <w:lang w:val="en-US" w:eastAsia="zh-CN" w:bidi="ar-SA"/>
              </w:rPr>
              <w:t>类标准</w:t>
            </w:r>
            <w:r>
              <w:rPr>
                <w:rFonts w:hint="eastAsia" w:ascii="Times New Roman" w:hAnsi="Times New Roman" w:eastAsia="宋体" w:cs="Times New Roman"/>
                <w:color w:val="auto"/>
                <w:kern w:val="0"/>
                <w:sz w:val="24"/>
                <w:szCs w:val="24"/>
                <w:lang w:val="en-US" w:eastAsia="zh-CN" w:bidi="ar-SA"/>
              </w:rPr>
              <w:t>、西侧场界能满足</w:t>
            </w:r>
            <w:r>
              <w:rPr>
                <w:rFonts w:hint="default" w:ascii="Times New Roman" w:hAnsi="Times New Roman" w:eastAsia="宋体" w:cs="Times New Roman"/>
                <w:color w:val="auto"/>
                <w:kern w:val="0"/>
                <w:sz w:val="24"/>
                <w:szCs w:val="24"/>
                <w:lang w:val="en-US" w:eastAsia="zh-CN" w:bidi="ar-SA"/>
              </w:rPr>
              <w:t>《工业企业厂界环境噪声排放标准（GB12348-2008）</w:t>
            </w:r>
            <w:r>
              <w:rPr>
                <w:rFonts w:hint="eastAsia" w:ascii="Times New Roman" w:hAnsi="Times New Roman" w:eastAsia="宋体"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类标准。</w:t>
            </w:r>
          </w:p>
          <w:p w14:paraId="394251E5">
            <w:pPr>
              <w:pStyle w:val="67"/>
              <w:bidi w:val="0"/>
              <w:rPr>
                <w:rFonts w:hint="default" w:ascii="Times New Roman" w:hAnsi="Times New Roman" w:eastAsia="宋体" w:cs="Times New Roman"/>
                <w:b/>
                <w:color w:val="auto"/>
                <w:kern w:val="2"/>
                <w:sz w:val="21"/>
                <w:szCs w:val="21"/>
                <w:lang w:val="en-US" w:eastAsia="zh-CN" w:bidi="ar-SA"/>
              </w:rPr>
            </w:pPr>
            <w:r>
              <w:rPr>
                <w:rFonts w:ascii="Times New Roman" w:hAnsi="Times New Roman" w:eastAsia="宋体" w:cs="Times New Roman"/>
                <w:b/>
                <w:color w:val="auto"/>
                <w:kern w:val="2"/>
                <w:sz w:val="21"/>
                <w:szCs w:val="21"/>
                <w:lang w:val="en-US" w:eastAsia="zh-CN" w:bidi="ar-SA"/>
              </w:rPr>
              <w:t>表</w:t>
            </w:r>
            <w:r>
              <w:rPr>
                <w:rFonts w:hint="eastAsia" w:ascii="Times New Roman" w:hAnsi="Times New Roman" w:eastAsia="宋体" w:cs="Times New Roman"/>
                <w:b/>
                <w:color w:val="auto"/>
                <w:kern w:val="2"/>
                <w:sz w:val="21"/>
                <w:szCs w:val="21"/>
                <w:lang w:val="en-US" w:eastAsia="zh-CN" w:bidi="ar-SA"/>
              </w:rPr>
              <w:t>2-1</w:t>
            </w:r>
            <w:r>
              <w:rPr>
                <w:rFonts w:hint="eastAsia" w:cs="Times New Roman"/>
                <w:b/>
                <w:color w:val="auto"/>
                <w:kern w:val="2"/>
                <w:sz w:val="21"/>
                <w:szCs w:val="21"/>
                <w:lang w:val="en-US" w:eastAsia="zh-CN" w:bidi="ar-SA"/>
              </w:rPr>
              <w:t>7</w:t>
            </w:r>
            <w:r>
              <w:rPr>
                <w:rFonts w:hint="eastAsia" w:ascii="Times New Roman" w:hAnsi="Times New Roman" w:eastAsia="宋体" w:cs="Times New Roman"/>
                <w:b/>
                <w:color w:val="auto"/>
                <w:kern w:val="2"/>
                <w:sz w:val="21"/>
                <w:szCs w:val="21"/>
                <w:lang w:val="en-US" w:eastAsia="zh-CN" w:bidi="ar-SA"/>
              </w:rPr>
              <w:t xml:space="preserve"> 厂界噪声</w:t>
            </w:r>
            <w:r>
              <w:rPr>
                <w:rFonts w:hint="eastAsia" w:cs="Times New Roman"/>
                <w:b/>
                <w:color w:val="auto"/>
                <w:kern w:val="2"/>
                <w:sz w:val="21"/>
                <w:szCs w:val="21"/>
                <w:lang w:val="en-US" w:eastAsia="zh-CN" w:bidi="ar-SA"/>
              </w:rPr>
              <w:t>监测一览表</w:t>
            </w:r>
          </w:p>
          <w:tbl>
            <w:tblPr>
              <w:tblStyle w:val="26"/>
              <w:tblW w:w="8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1425"/>
              <w:gridCol w:w="1033"/>
              <w:gridCol w:w="1140"/>
              <w:gridCol w:w="885"/>
              <w:gridCol w:w="1290"/>
              <w:gridCol w:w="1830"/>
            </w:tblGrid>
            <w:tr w14:paraId="2ADF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restart"/>
                  <w:noWrap w:val="0"/>
                  <w:vAlign w:val="center"/>
                </w:tcPr>
                <w:p w14:paraId="69603F51">
                  <w:pPr>
                    <w:pStyle w:val="76"/>
                    <w:bidi w:val="0"/>
                    <w:jc w:val="center"/>
                    <w:rPr>
                      <w:rFonts w:hint="eastAsia"/>
                      <w:color w:val="auto"/>
                      <w:sz w:val="21"/>
                      <w:szCs w:val="20"/>
                      <w:lang w:eastAsia="zh-CN"/>
                    </w:rPr>
                  </w:pPr>
                  <w:r>
                    <w:rPr>
                      <w:rFonts w:hint="eastAsia"/>
                      <w:color w:val="auto"/>
                      <w:sz w:val="21"/>
                      <w:szCs w:val="20"/>
                      <w:lang w:eastAsia="zh-CN"/>
                    </w:rPr>
                    <w:t>检测时间</w:t>
                  </w:r>
                </w:p>
              </w:tc>
              <w:tc>
                <w:tcPr>
                  <w:tcW w:w="1425" w:type="dxa"/>
                  <w:vMerge w:val="restart"/>
                  <w:noWrap w:val="0"/>
                  <w:vAlign w:val="center"/>
                </w:tcPr>
                <w:p w14:paraId="27C037DD">
                  <w:pPr>
                    <w:pStyle w:val="76"/>
                    <w:bidi w:val="0"/>
                    <w:jc w:val="center"/>
                    <w:rPr>
                      <w:rFonts w:hint="eastAsia"/>
                      <w:color w:val="auto"/>
                      <w:sz w:val="21"/>
                      <w:szCs w:val="20"/>
                      <w:lang w:eastAsia="zh-CN"/>
                    </w:rPr>
                  </w:pPr>
                  <w:r>
                    <w:rPr>
                      <w:rFonts w:hint="eastAsia"/>
                      <w:color w:val="auto"/>
                      <w:sz w:val="21"/>
                      <w:szCs w:val="20"/>
                      <w:lang w:eastAsia="zh-CN"/>
                    </w:rPr>
                    <w:t>检测点位</w:t>
                  </w:r>
                </w:p>
              </w:tc>
              <w:tc>
                <w:tcPr>
                  <w:tcW w:w="4348" w:type="dxa"/>
                  <w:gridSpan w:val="4"/>
                  <w:noWrap w:val="0"/>
                  <w:vAlign w:val="center"/>
                </w:tcPr>
                <w:p w14:paraId="45A94D94">
                  <w:pPr>
                    <w:pStyle w:val="76"/>
                    <w:bidi w:val="0"/>
                    <w:jc w:val="center"/>
                    <w:rPr>
                      <w:rFonts w:hint="default"/>
                      <w:color w:val="auto"/>
                      <w:sz w:val="21"/>
                      <w:szCs w:val="20"/>
                      <w:lang w:val="en-US" w:eastAsia="zh-CN"/>
                    </w:rPr>
                  </w:pPr>
                  <w:r>
                    <w:rPr>
                      <w:rFonts w:hint="eastAsia"/>
                      <w:color w:val="auto"/>
                      <w:sz w:val="21"/>
                      <w:szCs w:val="20"/>
                      <w:lang w:eastAsia="zh-CN"/>
                    </w:rPr>
                    <w:t>检测</w:t>
                  </w:r>
                  <w:r>
                    <w:rPr>
                      <w:rFonts w:hint="eastAsia"/>
                      <w:color w:val="auto"/>
                      <w:sz w:val="21"/>
                      <w:szCs w:val="20"/>
                      <w:lang w:val="en-US" w:eastAsia="zh-CN"/>
                    </w:rPr>
                    <w:t>结果dB（A）</w:t>
                  </w:r>
                </w:p>
              </w:tc>
              <w:tc>
                <w:tcPr>
                  <w:tcW w:w="1830" w:type="dxa"/>
                  <w:vMerge w:val="restart"/>
                  <w:noWrap w:val="0"/>
                  <w:vAlign w:val="center"/>
                </w:tcPr>
                <w:p w14:paraId="7A998F75">
                  <w:pPr>
                    <w:pStyle w:val="76"/>
                    <w:bidi w:val="0"/>
                    <w:jc w:val="center"/>
                    <w:rPr>
                      <w:rFonts w:hint="default"/>
                      <w:color w:val="auto"/>
                      <w:sz w:val="21"/>
                      <w:szCs w:val="20"/>
                      <w:lang w:val="en-US" w:eastAsia="zh-CN"/>
                    </w:rPr>
                  </w:pPr>
                  <w:r>
                    <w:rPr>
                      <w:rFonts w:hint="eastAsia"/>
                      <w:color w:val="auto"/>
                      <w:sz w:val="21"/>
                      <w:szCs w:val="20"/>
                      <w:lang w:val="en-US" w:eastAsia="zh-CN"/>
                    </w:rPr>
                    <w:t>主要声源</w:t>
                  </w:r>
                </w:p>
              </w:tc>
            </w:tr>
            <w:tr w14:paraId="22B68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14C1181B">
                  <w:pPr>
                    <w:pStyle w:val="76"/>
                    <w:bidi w:val="0"/>
                    <w:jc w:val="center"/>
                    <w:rPr>
                      <w:rFonts w:hint="eastAsia"/>
                      <w:color w:val="auto"/>
                      <w:sz w:val="21"/>
                      <w:szCs w:val="20"/>
                      <w:lang w:eastAsia="zh-CN"/>
                    </w:rPr>
                  </w:pPr>
                </w:p>
              </w:tc>
              <w:tc>
                <w:tcPr>
                  <w:tcW w:w="1425" w:type="dxa"/>
                  <w:vMerge w:val="continue"/>
                  <w:noWrap w:val="0"/>
                  <w:vAlign w:val="center"/>
                </w:tcPr>
                <w:p w14:paraId="090FA1AE">
                  <w:pPr>
                    <w:pStyle w:val="76"/>
                    <w:bidi w:val="0"/>
                    <w:jc w:val="center"/>
                    <w:rPr>
                      <w:rFonts w:hint="eastAsia"/>
                      <w:color w:val="auto"/>
                      <w:sz w:val="21"/>
                      <w:szCs w:val="20"/>
                      <w:lang w:eastAsia="zh-CN"/>
                    </w:rPr>
                  </w:pPr>
                </w:p>
              </w:tc>
              <w:tc>
                <w:tcPr>
                  <w:tcW w:w="2173" w:type="dxa"/>
                  <w:gridSpan w:val="2"/>
                  <w:noWrap w:val="0"/>
                  <w:vAlign w:val="center"/>
                </w:tcPr>
                <w:p w14:paraId="2964F57B">
                  <w:pPr>
                    <w:pStyle w:val="76"/>
                    <w:bidi w:val="0"/>
                    <w:jc w:val="center"/>
                    <w:rPr>
                      <w:rFonts w:hint="default"/>
                      <w:color w:val="auto"/>
                      <w:sz w:val="21"/>
                      <w:szCs w:val="20"/>
                      <w:lang w:val="en-US" w:eastAsia="zh-CN"/>
                    </w:rPr>
                  </w:pPr>
                  <w:r>
                    <w:rPr>
                      <w:rFonts w:hint="eastAsia"/>
                      <w:color w:val="auto"/>
                      <w:sz w:val="21"/>
                      <w:szCs w:val="20"/>
                      <w:lang w:val="en-US" w:eastAsia="zh-CN"/>
                    </w:rPr>
                    <w:t>昼间</w:t>
                  </w:r>
                </w:p>
              </w:tc>
              <w:tc>
                <w:tcPr>
                  <w:tcW w:w="2175" w:type="dxa"/>
                  <w:gridSpan w:val="2"/>
                  <w:noWrap w:val="0"/>
                  <w:vAlign w:val="center"/>
                </w:tcPr>
                <w:p w14:paraId="220CAADF">
                  <w:pPr>
                    <w:pStyle w:val="76"/>
                    <w:bidi w:val="0"/>
                    <w:jc w:val="center"/>
                    <w:rPr>
                      <w:rFonts w:hint="default"/>
                      <w:color w:val="auto"/>
                      <w:sz w:val="21"/>
                      <w:szCs w:val="20"/>
                      <w:lang w:val="en-US" w:eastAsia="zh-CN"/>
                    </w:rPr>
                  </w:pPr>
                  <w:r>
                    <w:rPr>
                      <w:rFonts w:hint="eastAsia"/>
                      <w:color w:val="auto"/>
                      <w:sz w:val="21"/>
                      <w:szCs w:val="20"/>
                      <w:lang w:val="en-US" w:eastAsia="zh-CN"/>
                    </w:rPr>
                    <w:t>夜间</w:t>
                  </w:r>
                </w:p>
              </w:tc>
              <w:tc>
                <w:tcPr>
                  <w:tcW w:w="1830" w:type="dxa"/>
                  <w:vMerge w:val="continue"/>
                  <w:noWrap w:val="0"/>
                  <w:vAlign w:val="center"/>
                </w:tcPr>
                <w:p w14:paraId="42A29ACD">
                  <w:pPr>
                    <w:pStyle w:val="76"/>
                    <w:bidi w:val="0"/>
                    <w:jc w:val="center"/>
                    <w:rPr>
                      <w:rFonts w:hint="eastAsia"/>
                      <w:color w:val="auto"/>
                      <w:sz w:val="21"/>
                      <w:szCs w:val="20"/>
                      <w:lang w:eastAsia="zh-CN"/>
                    </w:rPr>
                  </w:pPr>
                </w:p>
              </w:tc>
            </w:tr>
            <w:tr w14:paraId="388BF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700BA7D1">
                  <w:pPr>
                    <w:pStyle w:val="76"/>
                    <w:bidi w:val="0"/>
                    <w:jc w:val="center"/>
                    <w:rPr>
                      <w:rFonts w:hint="eastAsia"/>
                      <w:color w:val="auto"/>
                      <w:sz w:val="21"/>
                      <w:szCs w:val="20"/>
                      <w:lang w:eastAsia="zh-CN"/>
                    </w:rPr>
                  </w:pPr>
                </w:p>
              </w:tc>
              <w:tc>
                <w:tcPr>
                  <w:tcW w:w="1425" w:type="dxa"/>
                  <w:vMerge w:val="continue"/>
                  <w:noWrap w:val="0"/>
                  <w:vAlign w:val="center"/>
                </w:tcPr>
                <w:p w14:paraId="1448EDB0">
                  <w:pPr>
                    <w:pStyle w:val="76"/>
                    <w:bidi w:val="0"/>
                    <w:jc w:val="center"/>
                    <w:rPr>
                      <w:rFonts w:hint="eastAsia"/>
                      <w:color w:val="auto"/>
                      <w:sz w:val="21"/>
                      <w:szCs w:val="20"/>
                      <w:lang w:eastAsia="zh-CN"/>
                    </w:rPr>
                  </w:pPr>
                </w:p>
              </w:tc>
              <w:tc>
                <w:tcPr>
                  <w:tcW w:w="1033" w:type="dxa"/>
                  <w:noWrap w:val="0"/>
                  <w:vAlign w:val="center"/>
                </w:tcPr>
                <w:p w14:paraId="0EF7BE0B">
                  <w:pPr>
                    <w:pStyle w:val="76"/>
                    <w:bidi w:val="0"/>
                    <w:jc w:val="center"/>
                    <w:rPr>
                      <w:rFonts w:hint="eastAsia"/>
                      <w:color w:val="auto"/>
                      <w:sz w:val="21"/>
                      <w:szCs w:val="20"/>
                      <w:lang w:eastAsia="zh-CN"/>
                    </w:rPr>
                  </w:pPr>
                  <w:r>
                    <w:rPr>
                      <w:rFonts w:hint="eastAsia"/>
                      <w:color w:val="auto"/>
                      <w:sz w:val="21"/>
                      <w:szCs w:val="20"/>
                      <w:lang w:val="en-US" w:eastAsia="zh-CN"/>
                    </w:rPr>
                    <w:t>测量值</w:t>
                  </w:r>
                </w:p>
              </w:tc>
              <w:tc>
                <w:tcPr>
                  <w:tcW w:w="1140" w:type="dxa"/>
                  <w:noWrap w:val="0"/>
                  <w:vAlign w:val="center"/>
                </w:tcPr>
                <w:p w14:paraId="4A9B729F">
                  <w:pPr>
                    <w:pStyle w:val="76"/>
                    <w:bidi w:val="0"/>
                    <w:jc w:val="center"/>
                    <w:rPr>
                      <w:rFonts w:hint="eastAsia"/>
                      <w:color w:val="auto"/>
                      <w:sz w:val="21"/>
                      <w:szCs w:val="20"/>
                      <w:lang w:eastAsia="zh-CN"/>
                    </w:rPr>
                  </w:pPr>
                  <w:r>
                    <w:rPr>
                      <w:rFonts w:hint="eastAsia"/>
                      <w:color w:val="auto"/>
                      <w:sz w:val="21"/>
                      <w:szCs w:val="20"/>
                      <w:lang w:val="en-US" w:eastAsia="zh-CN"/>
                    </w:rPr>
                    <w:t>报出值</w:t>
                  </w:r>
                </w:p>
              </w:tc>
              <w:tc>
                <w:tcPr>
                  <w:tcW w:w="885" w:type="dxa"/>
                  <w:noWrap w:val="0"/>
                  <w:vAlign w:val="center"/>
                </w:tcPr>
                <w:p w14:paraId="566014D8">
                  <w:pPr>
                    <w:pStyle w:val="76"/>
                    <w:bidi w:val="0"/>
                    <w:jc w:val="center"/>
                    <w:rPr>
                      <w:rFonts w:hint="eastAsia"/>
                      <w:color w:val="auto"/>
                      <w:sz w:val="21"/>
                      <w:szCs w:val="20"/>
                      <w:lang w:eastAsia="zh-CN"/>
                    </w:rPr>
                  </w:pPr>
                  <w:r>
                    <w:rPr>
                      <w:rFonts w:hint="eastAsia"/>
                      <w:color w:val="auto"/>
                      <w:sz w:val="21"/>
                      <w:szCs w:val="20"/>
                      <w:lang w:val="en-US" w:eastAsia="zh-CN"/>
                    </w:rPr>
                    <w:t>测量值</w:t>
                  </w:r>
                </w:p>
              </w:tc>
              <w:tc>
                <w:tcPr>
                  <w:tcW w:w="1290" w:type="dxa"/>
                  <w:noWrap w:val="0"/>
                  <w:vAlign w:val="center"/>
                </w:tcPr>
                <w:p w14:paraId="678566CA">
                  <w:pPr>
                    <w:pStyle w:val="76"/>
                    <w:bidi w:val="0"/>
                    <w:jc w:val="center"/>
                    <w:rPr>
                      <w:rFonts w:hint="default"/>
                      <w:color w:val="auto"/>
                      <w:sz w:val="21"/>
                      <w:szCs w:val="20"/>
                      <w:lang w:val="en-US" w:eastAsia="zh-CN"/>
                    </w:rPr>
                  </w:pPr>
                  <w:r>
                    <w:rPr>
                      <w:rFonts w:hint="eastAsia"/>
                      <w:color w:val="auto"/>
                      <w:sz w:val="21"/>
                      <w:szCs w:val="20"/>
                      <w:lang w:val="en-US" w:eastAsia="zh-CN"/>
                    </w:rPr>
                    <w:t>报出值</w:t>
                  </w:r>
                </w:p>
              </w:tc>
              <w:tc>
                <w:tcPr>
                  <w:tcW w:w="1830" w:type="dxa"/>
                  <w:vMerge w:val="continue"/>
                  <w:noWrap w:val="0"/>
                  <w:vAlign w:val="center"/>
                </w:tcPr>
                <w:p w14:paraId="4B36B4A8">
                  <w:pPr>
                    <w:pStyle w:val="76"/>
                    <w:bidi w:val="0"/>
                    <w:jc w:val="center"/>
                    <w:rPr>
                      <w:rFonts w:hint="eastAsia"/>
                      <w:color w:val="auto"/>
                      <w:sz w:val="21"/>
                      <w:szCs w:val="20"/>
                      <w:lang w:eastAsia="zh-CN"/>
                    </w:rPr>
                  </w:pPr>
                </w:p>
              </w:tc>
            </w:tr>
            <w:tr w14:paraId="20CD6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86" w:type="dxa"/>
                  <w:vMerge w:val="restart"/>
                  <w:noWrap w:val="0"/>
                  <w:vAlign w:val="center"/>
                </w:tcPr>
                <w:p w14:paraId="03823AC9">
                  <w:pPr>
                    <w:pStyle w:val="76"/>
                    <w:bidi w:val="0"/>
                    <w:jc w:val="center"/>
                    <w:rPr>
                      <w:rFonts w:hint="default"/>
                      <w:color w:val="auto"/>
                      <w:sz w:val="21"/>
                      <w:szCs w:val="20"/>
                      <w:lang w:val="en-US" w:eastAsia="zh-CN"/>
                    </w:rPr>
                  </w:pPr>
                  <w:r>
                    <w:rPr>
                      <w:rFonts w:hint="eastAsia"/>
                      <w:color w:val="auto"/>
                      <w:sz w:val="21"/>
                      <w:szCs w:val="20"/>
                      <w:lang w:val="en-US" w:eastAsia="zh-CN"/>
                    </w:rPr>
                    <w:t>2024.10.11</w:t>
                  </w:r>
                </w:p>
              </w:tc>
              <w:tc>
                <w:tcPr>
                  <w:tcW w:w="1425" w:type="dxa"/>
                  <w:noWrap w:val="0"/>
                  <w:vAlign w:val="center"/>
                </w:tcPr>
                <w:p w14:paraId="337AEA84">
                  <w:pPr>
                    <w:pStyle w:val="76"/>
                    <w:bidi w:val="0"/>
                    <w:ind w:firstLine="0" w:firstLineChars="0"/>
                    <w:jc w:val="center"/>
                    <w:rPr>
                      <w:rFonts w:hint="default"/>
                      <w:color w:val="auto"/>
                      <w:kern w:val="2"/>
                      <w:sz w:val="21"/>
                      <w:szCs w:val="20"/>
                      <w:lang w:val="en-US" w:eastAsia="zh-CN" w:bidi="ar-SA"/>
                    </w:rPr>
                  </w:pPr>
                  <w:r>
                    <w:rPr>
                      <w:rFonts w:hint="eastAsia"/>
                      <w:color w:val="auto"/>
                      <w:sz w:val="21"/>
                      <w:szCs w:val="20"/>
                      <w:lang w:val="en-US" w:eastAsia="zh-CN"/>
                    </w:rPr>
                    <w:t>西侧厂界</w:t>
                  </w:r>
                </w:p>
              </w:tc>
              <w:tc>
                <w:tcPr>
                  <w:tcW w:w="1033" w:type="dxa"/>
                  <w:noWrap w:val="0"/>
                  <w:vAlign w:val="center"/>
                </w:tcPr>
                <w:p w14:paraId="4A1FE269">
                  <w:pPr>
                    <w:jc w:val="center"/>
                    <w:rPr>
                      <w:rFonts w:hint="default" w:eastAsia="宋体"/>
                      <w:color w:val="auto"/>
                      <w:sz w:val="21"/>
                      <w:szCs w:val="20"/>
                      <w:lang w:val="en-US" w:eastAsia="zh-CN"/>
                    </w:rPr>
                  </w:pPr>
                  <w:r>
                    <w:rPr>
                      <w:rFonts w:hint="eastAsia" w:ascii="Times New Roman" w:hAnsi="Times New Roman" w:cs="Times New Roman"/>
                      <w:color w:val="auto"/>
                      <w:sz w:val="21"/>
                      <w:szCs w:val="21"/>
                      <w:lang w:val="en-US" w:eastAsia="zh-CN"/>
                    </w:rPr>
                    <w:t>62.7</w:t>
                  </w:r>
                </w:p>
              </w:tc>
              <w:tc>
                <w:tcPr>
                  <w:tcW w:w="1140" w:type="dxa"/>
                  <w:noWrap w:val="0"/>
                  <w:vAlign w:val="center"/>
                </w:tcPr>
                <w:p w14:paraId="1117C4C5">
                  <w:pPr>
                    <w:jc w:val="center"/>
                    <w:rPr>
                      <w:rFonts w:hint="default" w:eastAsia="宋体"/>
                      <w:color w:val="auto"/>
                      <w:sz w:val="21"/>
                      <w:szCs w:val="20"/>
                      <w:lang w:val="en-US" w:eastAsia="zh-CN"/>
                    </w:rPr>
                  </w:pPr>
                  <w:r>
                    <w:rPr>
                      <w:rFonts w:hint="eastAsia" w:ascii="Times New Roman" w:hAnsi="Times New Roman" w:cs="Times New Roman"/>
                      <w:color w:val="auto"/>
                      <w:sz w:val="21"/>
                      <w:szCs w:val="21"/>
                      <w:lang w:val="en-US" w:eastAsia="zh-CN"/>
                    </w:rPr>
                    <w:t>63</w:t>
                  </w:r>
                </w:p>
              </w:tc>
              <w:tc>
                <w:tcPr>
                  <w:tcW w:w="885" w:type="dxa"/>
                  <w:noWrap w:val="0"/>
                  <w:vAlign w:val="center"/>
                </w:tcPr>
                <w:p w14:paraId="175BCE97">
                  <w:pPr>
                    <w:jc w:val="center"/>
                    <w:rPr>
                      <w:rFonts w:hint="default" w:eastAsia="宋体"/>
                      <w:color w:val="auto"/>
                      <w:sz w:val="21"/>
                      <w:szCs w:val="20"/>
                      <w:lang w:val="en-US" w:eastAsia="zh-CN"/>
                    </w:rPr>
                  </w:pPr>
                  <w:r>
                    <w:rPr>
                      <w:rFonts w:hint="eastAsia" w:ascii="Times New Roman" w:hAnsi="Times New Roman" w:cs="Times New Roman"/>
                      <w:color w:val="auto"/>
                      <w:sz w:val="21"/>
                      <w:szCs w:val="21"/>
                      <w:lang w:val="en-US" w:eastAsia="zh-CN"/>
                    </w:rPr>
                    <w:t>53.5</w:t>
                  </w:r>
                </w:p>
              </w:tc>
              <w:tc>
                <w:tcPr>
                  <w:tcW w:w="1290" w:type="dxa"/>
                  <w:noWrap w:val="0"/>
                  <w:vAlign w:val="center"/>
                </w:tcPr>
                <w:p w14:paraId="0202ED16">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54</w:t>
                  </w:r>
                </w:p>
              </w:tc>
              <w:tc>
                <w:tcPr>
                  <w:tcW w:w="1830" w:type="dxa"/>
                  <w:vMerge w:val="restart"/>
                  <w:noWrap w:val="0"/>
                  <w:vAlign w:val="center"/>
                </w:tcPr>
                <w:p w14:paraId="4F48CE34">
                  <w:pPr>
                    <w:jc w:val="center"/>
                    <w:rPr>
                      <w:rFonts w:hint="default"/>
                      <w:color w:val="auto"/>
                      <w:kern w:val="2"/>
                      <w:sz w:val="21"/>
                      <w:szCs w:val="20"/>
                      <w:lang w:val="en-US" w:eastAsia="zh-CN" w:bidi="ar-SA"/>
                    </w:rPr>
                  </w:pPr>
                  <w:r>
                    <w:rPr>
                      <w:rFonts w:hint="eastAsia" w:ascii="Times New Roman" w:hAnsi="Times New Roman" w:cs="Times New Roman"/>
                      <w:color w:val="auto"/>
                      <w:sz w:val="21"/>
                      <w:szCs w:val="21"/>
                      <w:lang w:val="en-US" w:eastAsia="zh-CN"/>
                    </w:rPr>
                    <w:t>车辆、机械噪声</w:t>
                  </w:r>
                </w:p>
              </w:tc>
            </w:tr>
            <w:tr w14:paraId="090E9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86" w:type="dxa"/>
                  <w:vMerge w:val="continue"/>
                  <w:noWrap w:val="0"/>
                  <w:vAlign w:val="center"/>
                </w:tcPr>
                <w:p w14:paraId="7E3A30A8">
                  <w:pPr>
                    <w:pStyle w:val="76"/>
                    <w:bidi w:val="0"/>
                    <w:jc w:val="center"/>
                    <w:rPr>
                      <w:rFonts w:hint="eastAsia"/>
                      <w:color w:val="auto"/>
                      <w:sz w:val="21"/>
                      <w:szCs w:val="20"/>
                      <w:lang w:val="en-US" w:eastAsia="zh-CN"/>
                    </w:rPr>
                  </w:pPr>
                </w:p>
              </w:tc>
              <w:tc>
                <w:tcPr>
                  <w:tcW w:w="1425" w:type="dxa"/>
                  <w:noWrap w:val="0"/>
                  <w:vAlign w:val="center"/>
                </w:tcPr>
                <w:p w14:paraId="5EE14CBF">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东北侧厂界</w:t>
                  </w:r>
                </w:p>
              </w:tc>
              <w:tc>
                <w:tcPr>
                  <w:tcW w:w="1033" w:type="dxa"/>
                  <w:noWrap w:val="0"/>
                  <w:vAlign w:val="center"/>
                </w:tcPr>
                <w:p w14:paraId="0338F120">
                  <w:pPr>
                    <w:jc w:val="center"/>
                    <w:rPr>
                      <w:rFonts w:hint="default"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57.6</w:t>
                  </w:r>
                </w:p>
              </w:tc>
              <w:tc>
                <w:tcPr>
                  <w:tcW w:w="1140" w:type="dxa"/>
                  <w:noWrap w:val="0"/>
                  <w:vAlign w:val="center"/>
                </w:tcPr>
                <w:p w14:paraId="66C6D1E6">
                  <w:pPr>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58</w:t>
                  </w:r>
                </w:p>
              </w:tc>
              <w:tc>
                <w:tcPr>
                  <w:tcW w:w="885" w:type="dxa"/>
                  <w:noWrap w:val="0"/>
                  <w:vAlign w:val="center"/>
                </w:tcPr>
                <w:p w14:paraId="0AE32965">
                  <w:pPr>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48.6</w:t>
                  </w:r>
                </w:p>
              </w:tc>
              <w:tc>
                <w:tcPr>
                  <w:tcW w:w="1290" w:type="dxa"/>
                  <w:noWrap w:val="0"/>
                  <w:vAlign w:val="center"/>
                </w:tcPr>
                <w:p w14:paraId="50542CA3">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49</w:t>
                  </w:r>
                </w:p>
              </w:tc>
              <w:tc>
                <w:tcPr>
                  <w:tcW w:w="1830" w:type="dxa"/>
                  <w:vMerge w:val="continue"/>
                  <w:noWrap w:val="0"/>
                  <w:vAlign w:val="center"/>
                </w:tcPr>
                <w:p w14:paraId="29643F84">
                  <w:pPr>
                    <w:jc w:val="center"/>
                    <w:rPr>
                      <w:rFonts w:hint="eastAsia" w:ascii="Times New Roman" w:hAnsi="Times New Roman" w:eastAsia="宋体" w:cs="Times New Roman"/>
                      <w:color w:val="auto"/>
                      <w:kern w:val="2"/>
                      <w:sz w:val="21"/>
                      <w:szCs w:val="20"/>
                      <w:lang w:val="en-US" w:eastAsia="zh-CN" w:bidi="ar-SA"/>
                    </w:rPr>
                  </w:pPr>
                </w:p>
              </w:tc>
            </w:tr>
            <w:tr w14:paraId="49D6A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27568FA0">
                  <w:pPr>
                    <w:pStyle w:val="76"/>
                    <w:bidi w:val="0"/>
                    <w:jc w:val="center"/>
                    <w:rPr>
                      <w:rFonts w:hint="eastAsia"/>
                      <w:color w:val="auto"/>
                      <w:sz w:val="21"/>
                      <w:szCs w:val="20"/>
                      <w:lang w:val="en-US" w:eastAsia="zh-CN"/>
                    </w:rPr>
                  </w:pPr>
                </w:p>
              </w:tc>
              <w:tc>
                <w:tcPr>
                  <w:tcW w:w="1425" w:type="dxa"/>
                  <w:noWrap w:val="0"/>
                  <w:vAlign w:val="center"/>
                </w:tcPr>
                <w:p w14:paraId="63F6BBD5">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东侧厂界</w:t>
                  </w:r>
                </w:p>
              </w:tc>
              <w:tc>
                <w:tcPr>
                  <w:tcW w:w="1033" w:type="dxa"/>
                  <w:noWrap w:val="0"/>
                  <w:vAlign w:val="center"/>
                </w:tcPr>
                <w:p w14:paraId="7E1549B3">
                  <w:pPr>
                    <w:jc w:val="center"/>
                    <w:rPr>
                      <w:rFonts w:hint="default"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55.3</w:t>
                  </w:r>
                </w:p>
              </w:tc>
              <w:tc>
                <w:tcPr>
                  <w:tcW w:w="1140" w:type="dxa"/>
                  <w:noWrap w:val="0"/>
                  <w:vAlign w:val="center"/>
                </w:tcPr>
                <w:p w14:paraId="3BA6C92A">
                  <w:pPr>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55</w:t>
                  </w:r>
                </w:p>
              </w:tc>
              <w:tc>
                <w:tcPr>
                  <w:tcW w:w="885" w:type="dxa"/>
                  <w:noWrap w:val="0"/>
                  <w:vAlign w:val="center"/>
                </w:tcPr>
                <w:p w14:paraId="53251FD8">
                  <w:pPr>
                    <w:jc w:val="center"/>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 w:val="21"/>
                      <w:szCs w:val="21"/>
                      <w:lang w:val="en-US" w:eastAsia="zh-CN"/>
                    </w:rPr>
                    <w:t>46.4</w:t>
                  </w:r>
                </w:p>
              </w:tc>
              <w:tc>
                <w:tcPr>
                  <w:tcW w:w="1290" w:type="dxa"/>
                  <w:noWrap w:val="0"/>
                  <w:vAlign w:val="center"/>
                </w:tcPr>
                <w:p w14:paraId="7D332DC0">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46</w:t>
                  </w:r>
                </w:p>
              </w:tc>
              <w:tc>
                <w:tcPr>
                  <w:tcW w:w="1830" w:type="dxa"/>
                  <w:vMerge w:val="continue"/>
                  <w:noWrap w:val="0"/>
                  <w:vAlign w:val="center"/>
                </w:tcPr>
                <w:p w14:paraId="67B94262">
                  <w:pPr>
                    <w:jc w:val="center"/>
                    <w:rPr>
                      <w:rFonts w:hint="eastAsia" w:ascii="Times New Roman" w:hAnsi="Times New Roman" w:eastAsia="宋体" w:cs="Times New Roman"/>
                      <w:color w:val="auto"/>
                      <w:kern w:val="2"/>
                      <w:sz w:val="21"/>
                      <w:szCs w:val="20"/>
                      <w:lang w:val="en-US" w:eastAsia="zh-CN" w:bidi="ar-SA"/>
                    </w:rPr>
                  </w:pPr>
                </w:p>
              </w:tc>
            </w:tr>
            <w:tr w14:paraId="2753C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51FBEB5D">
                  <w:pPr>
                    <w:pStyle w:val="76"/>
                    <w:bidi w:val="0"/>
                    <w:jc w:val="center"/>
                    <w:rPr>
                      <w:rFonts w:hint="eastAsia"/>
                      <w:color w:val="auto"/>
                      <w:sz w:val="21"/>
                      <w:szCs w:val="20"/>
                      <w:lang w:val="en-US" w:eastAsia="zh-CN"/>
                    </w:rPr>
                  </w:pPr>
                </w:p>
              </w:tc>
              <w:tc>
                <w:tcPr>
                  <w:tcW w:w="1425" w:type="dxa"/>
                  <w:noWrap w:val="0"/>
                  <w:vAlign w:val="center"/>
                </w:tcPr>
                <w:p w14:paraId="00A832A2">
                  <w:pPr>
                    <w:bidi w:val="0"/>
                    <w:ind w:firstLine="0" w:firstLineChars="0"/>
                    <w:jc w:val="center"/>
                    <w:rPr>
                      <w:rFonts w:hint="eastAsia"/>
                      <w:color w:val="auto"/>
                      <w:sz w:val="21"/>
                      <w:szCs w:val="20"/>
                      <w:lang w:val="en-US" w:eastAsia="zh-CN"/>
                    </w:rPr>
                  </w:pPr>
                  <w:r>
                    <w:rPr>
                      <w:rFonts w:hint="eastAsia"/>
                      <w:color w:val="auto"/>
                      <w:sz w:val="21"/>
                      <w:szCs w:val="20"/>
                      <w:lang w:val="en-US" w:eastAsia="zh-CN"/>
                    </w:rPr>
                    <w:t>南侧厂界</w:t>
                  </w:r>
                </w:p>
              </w:tc>
              <w:tc>
                <w:tcPr>
                  <w:tcW w:w="1033" w:type="dxa"/>
                  <w:noWrap w:val="0"/>
                  <w:vAlign w:val="center"/>
                </w:tcPr>
                <w:p w14:paraId="78B66C04">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55.8</w:t>
                  </w:r>
                </w:p>
              </w:tc>
              <w:tc>
                <w:tcPr>
                  <w:tcW w:w="1140" w:type="dxa"/>
                  <w:noWrap w:val="0"/>
                  <w:vAlign w:val="center"/>
                </w:tcPr>
                <w:p w14:paraId="181B4100">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56</w:t>
                  </w:r>
                </w:p>
              </w:tc>
              <w:tc>
                <w:tcPr>
                  <w:tcW w:w="885" w:type="dxa"/>
                  <w:noWrap w:val="0"/>
                  <w:vAlign w:val="center"/>
                </w:tcPr>
                <w:p w14:paraId="2258E29B">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46.0</w:t>
                  </w:r>
                </w:p>
              </w:tc>
              <w:tc>
                <w:tcPr>
                  <w:tcW w:w="1290" w:type="dxa"/>
                  <w:noWrap w:val="0"/>
                  <w:vAlign w:val="center"/>
                </w:tcPr>
                <w:p w14:paraId="043700AC">
                  <w:pPr>
                    <w:jc w:val="center"/>
                    <w:rPr>
                      <w:rFonts w:hint="eastAsia"/>
                      <w:color w:val="auto"/>
                      <w:sz w:val="21"/>
                      <w:szCs w:val="20"/>
                      <w:lang w:val="en-US" w:eastAsia="zh-CN"/>
                    </w:rPr>
                  </w:pPr>
                  <w:r>
                    <w:rPr>
                      <w:rFonts w:hint="eastAsia" w:ascii="Times New Roman" w:hAnsi="Times New Roman" w:cs="Times New Roman"/>
                      <w:color w:val="auto"/>
                      <w:sz w:val="21"/>
                      <w:szCs w:val="21"/>
                      <w:lang w:val="en-US" w:eastAsia="zh-CN"/>
                    </w:rPr>
                    <w:t>46</w:t>
                  </w:r>
                </w:p>
              </w:tc>
              <w:tc>
                <w:tcPr>
                  <w:tcW w:w="1830" w:type="dxa"/>
                  <w:vMerge w:val="continue"/>
                  <w:noWrap w:val="0"/>
                  <w:vAlign w:val="center"/>
                </w:tcPr>
                <w:p w14:paraId="1D973B5C">
                  <w:pPr>
                    <w:jc w:val="center"/>
                    <w:rPr>
                      <w:rFonts w:hint="eastAsia"/>
                      <w:color w:val="auto"/>
                      <w:sz w:val="21"/>
                      <w:szCs w:val="20"/>
                      <w:lang w:val="en-US" w:eastAsia="zh-CN"/>
                    </w:rPr>
                  </w:pPr>
                </w:p>
              </w:tc>
            </w:tr>
            <w:tr w14:paraId="285C4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restart"/>
                  <w:noWrap w:val="0"/>
                  <w:vAlign w:val="center"/>
                </w:tcPr>
                <w:p w14:paraId="64D84469">
                  <w:pPr>
                    <w:pStyle w:val="76"/>
                    <w:bidi w:val="0"/>
                    <w:jc w:val="center"/>
                    <w:rPr>
                      <w:rFonts w:hint="eastAsia"/>
                      <w:color w:val="auto"/>
                      <w:sz w:val="21"/>
                      <w:szCs w:val="20"/>
                      <w:lang w:val="en-US" w:eastAsia="zh-CN"/>
                    </w:rPr>
                  </w:pPr>
                  <w:r>
                    <w:rPr>
                      <w:rFonts w:hint="eastAsia"/>
                      <w:color w:val="auto"/>
                      <w:sz w:val="21"/>
                      <w:szCs w:val="20"/>
                      <w:lang w:val="en-US" w:eastAsia="zh-CN"/>
                    </w:rPr>
                    <w:t>2024.10.18</w:t>
                  </w:r>
                </w:p>
              </w:tc>
              <w:tc>
                <w:tcPr>
                  <w:tcW w:w="1425" w:type="dxa"/>
                  <w:noWrap w:val="0"/>
                  <w:vAlign w:val="center"/>
                </w:tcPr>
                <w:p w14:paraId="328D7076">
                  <w:pPr>
                    <w:bidi w:val="0"/>
                    <w:ind w:firstLine="0" w:firstLineChars="0"/>
                    <w:jc w:val="center"/>
                    <w:rPr>
                      <w:rFonts w:hint="eastAsia"/>
                      <w:color w:val="auto"/>
                      <w:sz w:val="21"/>
                      <w:szCs w:val="20"/>
                      <w:lang w:val="en-US" w:eastAsia="zh-CN"/>
                    </w:rPr>
                  </w:pPr>
                  <w:r>
                    <w:rPr>
                      <w:rFonts w:hint="eastAsia"/>
                      <w:color w:val="auto"/>
                      <w:sz w:val="21"/>
                      <w:szCs w:val="20"/>
                      <w:lang w:val="en-US" w:eastAsia="zh-CN"/>
                    </w:rPr>
                    <w:t>南侧厂界</w:t>
                  </w:r>
                </w:p>
              </w:tc>
              <w:tc>
                <w:tcPr>
                  <w:tcW w:w="1033" w:type="dxa"/>
                  <w:shd w:val="clear" w:color="auto" w:fill="auto"/>
                  <w:noWrap w:val="0"/>
                  <w:vAlign w:val="center"/>
                </w:tcPr>
                <w:p w14:paraId="5CAFF39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58.8</w:t>
                  </w:r>
                </w:p>
              </w:tc>
              <w:tc>
                <w:tcPr>
                  <w:tcW w:w="1140" w:type="dxa"/>
                  <w:shd w:val="clear" w:color="auto" w:fill="auto"/>
                  <w:noWrap w:val="0"/>
                  <w:vAlign w:val="center"/>
                </w:tcPr>
                <w:p w14:paraId="2EDE1A4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885" w:type="dxa"/>
                  <w:shd w:val="clear" w:color="auto" w:fill="auto"/>
                  <w:noWrap w:val="0"/>
                  <w:vAlign w:val="center"/>
                </w:tcPr>
                <w:p w14:paraId="421CA9D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47.7</w:t>
                  </w:r>
                </w:p>
              </w:tc>
              <w:tc>
                <w:tcPr>
                  <w:tcW w:w="1290" w:type="dxa"/>
                  <w:shd w:val="clear" w:color="auto" w:fill="auto"/>
                  <w:noWrap w:val="0"/>
                  <w:vAlign w:val="center"/>
                </w:tcPr>
                <w:p w14:paraId="32062D1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1830" w:type="dxa"/>
                  <w:vMerge w:val="continue"/>
                  <w:noWrap w:val="0"/>
                  <w:vAlign w:val="center"/>
                </w:tcPr>
                <w:p w14:paraId="7A6A939A">
                  <w:pPr>
                    <w:jc w:val="center"/>
                    <w:rPr>
                      <w:rFonts w:hint="eastAsia"/>
                      <w:color w:val="auto"/>
                      <w:sz w:val="21"/>
                      <w:szCs w:val="20"/>
                      <w:lang w:val="en-US" w:eastAsia="zh-CN"/>
                    </w:rPr>
                  </w:pPr>
                </w:p>
              </w:tc>
            </w:tr>
            <w:tr w14:paraId="1AE8A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47F325FF">
                  <w:pPr>
                    <w:pStyle w:val="76"/>
                    <w:bidi w:val="0"/>
                    <w:jc w:val="center"/>
                    <w:rPr>
                      <w:rFonts w:hint="eastAsia"/>
                      <w:color w:val="auto"/>
                      <w:sz w:val="21"/>
                      <w:szCs w:val="20"/>
                      <w:lang w:val="en-US" w:eastAsia="zh-CN"/>
                    </w:rPr>
                  </w:pPr>
                </w:p>
              </w:tc>
              <w:tc>
                <w:tcPr>
                  <w:tcW w:w="1425" w:type="dxa"/>
                  <w:noWrap w:val="0"/>
                  <w:vAlign w:val="center"/>
                </w:tcPr>
                <w:p w14:paraId="27470D23">
                  <w:pPr>
                    <w:bidi w:val="0"/>
                    <w:ind w:firstLine="0" w:firstLineChars="0"/>
                    <w:jc w:val="center"/>
                    <w:rPr>
                      <w:rFonts w:hint="eastAsia"/>
                      <w:color w:val="auto"/>
                      <w:sz w:val="21"/>
                      <w:szCs w:val="20"/>
                      <w:lang w:val="en-US" w:eastAsia="zh-CN"/>
                    </w:rPr>
                  </w:pPr>
                  <w:r>
                    <w:rPr>
                      <w:rFonts w:hint="eastAsia"/>
                      <w:color w:val="auto"/>
                      <w:sz w:val="21"/>
                      <w:szCs w:val="20"/>
                      <w:lang w:val="en-US" w:eastAsia="zh-CN"/>
                    </w:rPr>
                    <w:t>西侧厂界</w:t>
                  </w:r>
                </w:p>
              </w:tc>
              <w:tc>
                <w:tcPr>
                  <w:tcW w:w="1033" w:type="dxa"/>
                  <w:shd w:val="clear" w:color="auto" w:fill="auto"/>
                  <w:noWrap w:val="0"/>
                  <w:vAlign w:val="center"/>
                </w:tcPr>
                <w:p w14:paraId="7F6559D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61.4</w:t>
                  </w:r>
                </w:p>
              </w:tc>
              <w:tc>
                <w:tcPr>
                  <w:tcW w:w="1140" w:type="dxa"/>
                  <w:shd w:val="clear" w:color="auto" w:fill="auto"/>
                  <w:noWrap w:val="0"/>
                  <w:vAlign w:val="center"/>
                </w:tcPr>
                <w:p w14:paraId="173C90A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c>
                <w:tcPr>
                  <w:tcW w:w="885" w:type="dxa"/>
                  <w:shd w:val="clear" w:color="auto" w:fill="auto"/>
                  <w:noWrap w:val="0"/>
                  <w:vAlign w:val="center"/>
                </w:tcPr>
                <w:p w14:paraId="25B5FCB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49.3</w:t>
                  </w:r>
                </w:p>
              </w:tc>
              <w:tc>
                <w:tcPr>
                  <w:tcW w:w="1290" w:type="dxa"/>
                  <w:shd w:val="clear" w:color="auto" w:fill="auto"/>
                  <w:noWrap w:val="0"/>
                  <w:vAlign w:val="center"/>
                </w:tcPr>
                <w:p w14:paraId="35B8F27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1830" w:type="dxa"/>
                  <w:vMerge w:val="continue"/>
                  <w:noWrap w:val="0"/>
                  <w:vAlign w:val="center"/>
                </w:tcPr>
                <w:p w14:paraId="7CB83B11">
                  <w:pPr>
                    <w:jc w:val="center"/>
                    <w:rPr>
                      <w:rFonts w:hint="eastAsia"/>
                      <w:color w:val="auto"/>
                      <w:sz w:val="21"/>
                      <w:szCs w:val="20"/>
                      <w:lang w:val="en-US" w:eastAsia="zh-CN"/>
                    </w:rPr>
                  </w:pPr>
                </w:p>
              </w:tc>
            </w:tr>
            <w:tr w14:paraId="45696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restart"/>
                  <w:noWrap w:val="0"/>
                  <w:vAlign w:val="center"/>
                </w:tcPr>
                <w:p w14:paraId="0AE2AF98">
                  <w:pPr>
                    <w:pStyle w:val="76"/>
                    <w:bidi w:val="0"/>
                    <w:jc w:val="center"/>
                    <w:rPr>
                      <w:rFonts w:hint="eastAsia"/>
                      <w:color w:val="auto"/>
                      <w:sz w:val="21"/>
                      <w:szCs w:val="20"/>
                      <w:lang w:val="en-US" w:eastAsia="zh-CN"/>
                    </w:rPr>
                  </w:pPr>
                  <w:r>
                    <w:rPr>
                      <w:rFonts w:hint="eastAsia"/>
                      <w:color w:val="auto"/>
                      <w:sz w:val="21"/>
                      <w:szCs w:val="20"/>
                      <w:lang w:val="en-US" w:eastAsia="zh-CN"/>
                    </w:rPr>
                    <w:t>2024.10.19</w:t>
                  </w:r>
                </w:p>
              </w:tc>
              <w:tc>
                <w:tcPr>
                  <w:tcW w:w="1425" w:type="dxa"/>
                  <w:shd w:val="clear" w:color="auto" w:fill="auto"/>
                  <w:noWrap w:val="0"/>
                  <w:vAlign w:val="center"/>
                </w:tcPr>
                <w:p w14:paraId="718DAC6C">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南侧厂界</w:t>
                  </w:r>
                </w:p>
              </w:tc>
              <w:tc>
                <w:tcPr>
                  <w:tcW w:w="1033" w:type="dxa"/>
                  <w:shd w:val="clear" w:color="auto" w:fill="auto"/>
                  <w:noWrap w:val="0"/>
                  <w:vAlign w:val="center"/>
                </w:tcPr>
                <w:p w14:paraId="3D7037D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57.4</w:t>
                  </w:r>
                </w:p>
              </w:tc>
              <w:tc>
                <w:tcPr>
                  <w:tcW w:w="1140" w:type="dxa"/>
                  <w:shd w:val="clear" w:color="auto" w:fill="auto"/>
                  <w:noWrap w:val="0"/>
                  <w:vAlign w:val="center"/>
                </w:tcPr>
                <w:p w14:paraId="09C3BE2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885" w:type="dxa"/>
                  <w:shd w:val="clear" w:color="auto" w:fill="auto"/>
                  <w:noWrap w:val="0"/>
                  <w:vAlign w:val="center"/>
                </w:tcPr>
                <w:p w14:paraId="06EF5A5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48.1</w:t>
                  </w:r>
                </w:p>
              </w:tc>
              <w:tc>
                <w:tcPr>
                  <w:tcW w:w="1290" w:type="dxa"/>
                  <w:shd w:val="clear" w:color="auto" w:fill="auto"/>
                  <w:noWrap w:val="0"/>
                  <w:vAlign w:val="center"/>
                </w:tcPr>
                <w:p w14:paraId="23DFEF6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1830" w:type="dxa"/>
                  <w:vMerge w:val="continue"/>
                  <w:noWrap w:val="0"/>
                  <w:vAlign w:val="center"/>
                </w:tcPr>
                <w:p w14:paraId="50EB80DF">
                  <w:pPr>
                    <w:jc w:val="center"/>
                    <w:rPr>
                      <w:rFonts w:hint="eastAsia"/>
                      <w:color w:val="auto"/>
                      <w:sz w:val="21"/>
                      <w:szCs w:val="20"/>
                      <w:lang w:val="en-US" w:eastAsia="zh-CN"/>
                    </w:rPr>
                  </w:pPr>
                </w:p>
              </w:tc>
            </w:tr>
            <w:tr w14:paraId="670E1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Merge w:val="continue"/>
                  <w:noWrap w:val="0"/>
                  <w:vAlign w:val="center"/>
                </w:tcPr>
                <w:p w14:paraId="3FBA804F">
                  <w:pPr>
                    <w:pStyle w:val="76"/>
                    <w:bidi w:val="0"/>
                    <w:jc w:val="center"/>
                    <w:rPr>
                      <w:rFonts w:hint="eastAsia"/>
                      <w:color w:val="auto"/>
                      <w:sz w:val="21"/>
                      <w:szCs w:val="20"/>
                      <w:lang w:val="en-US" w:eastAsia="zh-CN"/>
                    </w:rPr>
                  </w:pPr>
                </w:p>
              </w:tc>
              <w:tc>
                <w:tcPr>
                  <w:tcW w:w="1425" w:type="dxa"/>
                  <w:shd w:val="clear" w:color="auto" w:fill="auto"/>
                  <w:noWrap w:val="0"/>
                  <w:vAlign w:val="center"/>
                </w:tcPr>
                <w:p w14:paraId="4D4C7956">
                  <w:pPr>
                    <w:bidi w:val="0"/>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 w:val="21"/>
                      <w:szCs w:val="20"/>
                      <w:lang w:val="en-US" w:eastAsia="zh-CN"/>
                    </w:rPr>
                    <w:t>西侧厂界</w:t>
                  </w:r>
                </w:p>
              </w:tc>
              <w:tc>
                <w:tcPr>
                  <w:tcW w:w="1033" w:type="dxa"/>
                  <w:shd w:val="clear" w:color="auto" w:fill="auto"/>
                  <w:noWrap w:val="0"/>
                  <w:vAlign w:val="center"/>
                </w:tcPr>
                <w:p w14:paraId="35CCD58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60.8</w:t>
                  </w:r>
                </w:p>
              </w:tc>
              <w:tc>
                <w:tcPr>
                  <w:tcW w:w="1140" w:type="dxa"/>
                  <w:shd w:val="clear" w:color="auto" w:fill="auto"/>
                  <w:noWrap w:val="0"/>
                  <w:vAlign w:val="center"/>
                </w:tcPr>
                <w:p w14:paraId="4356EB3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c>
                <w:tcPr>
                  <w:tcW w:w="885" w:type="dxa"/>
                  <w:shd w:val="clear" w:color="auto" w:fill="auto"/>
                  <w:noWrap w:val="0"/>
                  <w:vAlign w:val="center"/>
                </w:tcPr>
                <w:p w14:paraId="4AD018F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48.6</w:t>
                  </w:r>
                </w:p>
              </w:tc>
              <w:tc>
                <w:tcPr>
                  <w:tcW w:w="1290" w:type="dxa"/>
                  <w:shd w:val="clear" w:color="auto" w:fill="auto"/>
                  <w:noWrap w:val="0"/>
                  <w:vAlign w:val="center"/>
                </w:tcPr>
                <w:p w14:paraId="5883127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w:t>
                  </w:r>
                </w:p>
              </w:tc>
              <w:tc>
                <w:tcPr>
                  <w:tcW w:w="1830" w:type="dxa"/>
                  <w:vMerge w:val="continue"/>
                  <w:noWrap w:val="0"/>
                  <w:vAlign w:val="center"/>
                </w:tcPr>
                <w:p w14:paraId="45823C06">
                  <w:pPr>
                    <w:jc w:val="center"/>
                    <w:rPr>
                      <w:rFonts w:hint="eastAsia"/>
                      <w:color w:val="auto"/>
                      <w:sz w:val="21"/>
                      <w:szCs w:val="20"/>
                      <w:lang w:val="en-US" w:eastAsia="zh-CN"/>
                    </w:rPr>
                  </w:pPr>
                </w:p>
              </w:tc>
            </w:tr>
            <w:tr w14:paraId="16A8C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noWrap w:val="0"/>
                  <w:vAlign w:val="center"/>
                </w:tcPr>
                <w:p w14:paraId="062E0DE0">
                  <w:pPr>
                    <w:pStyle w:val="76"/>
                    <w:bidi w:val="0"/>
                    <w:jc w:val="center"/>
                    <w:rPr>
                      <w:rFonts w:hint="default"/>
                      <w:color w:val="auto"/>
                      <w:sz w:val="21"/>
                      <w:szCs w:val="20"/>
                      <w:lang w:val="en-US" w:eastAsia="zh-CN"/>
                    </w:rPr>
                  </w:pPr>
                  <w:r>
                    <w:rPr>
                      <w:rFonts w:hint="eastAsia"/>
                      <w:color w:val="auto"/>
                      <w:sz w:val="21"/>
                      <w:szCs w:val="20"/>
                      <w:lang w:val="en-US" w:eastAsia="zh-CN"/>
                    </w:rPr>
                    <w:t>标准限值</w:t>
                  </w:r>
                </w:p>
              </w:tc>
              <w:tc>
                <w:tcPr>
                  <w:tcW w:w="7603" w:type="dxa"/>
                  <w:gridSpan w:val="6"/>
                  <w:noWrap w:val="0"/>
                  <w:vAlign w:val="center"/>
                </w:tcPr>
                <w:p w14:paraId="1B238E95">
                  <w:pPr>
                    <w:jc w:val="center"/>
                    <w:rPr>
                      <w:rFonts w:hint="eastAsia"/>
                      <w:color w:val="auto"/>
                      <w:sz w:val="21"/>
                      <w:szCs w:val="20"/>
                      <w:lang w:val="en-US" w:eastAsia="zh-CN"/>
                    </w:rPr>
                  </w:pPr>
                  <w:r>
                    <w:rPr>
                      <w:rFonts w:hint="eastAsia"/>
                      <w:color w:val="auto"/>
                      <w:sz w:val="21"/>
                      <w:szCs w:val="20"/>
                      <w:lang w:val="en-US" w:eastAsia="zh-CN"/>
                    </w:rPr>
                    <w:t>西侧：昼间≤70dB(A)；夜间≤55dB(A)</w:t>
                  </w:r>
                </w:p>
                <w:p w14:paraId="353BF634">
                  <w:pPr>
                    <w:jc w:val="center"/>
                    <w:rPr>
                      <w:rFonts w:hint="default"/>
                      <w:color w:val="auto"/>
                      <w:sz w:val="21"/>
                      <w:szCs w:val="20"/>
                      <w:lang w:val="en-US" w:eastAsia="zh-CN"/>
                    </w:rPr>
                  </w:pPr>
                  <w:r>
                    <w:rPr>
                      <w:rFonts w:hint="eastAsia"/>
                      <w:color w:val="auto"/>
                      <w:sz w:val="21"/>
                      <w:szCs w:val="20"/>
                      <w:lang w:val="en-US" w:eastAsia="zh-CN"/>
                    </w:rPr>
                    <w:t>其他侧：昼间≤60dB(A)；夜间≤50dB(A)</w:t>
                  </w:r>
                </w:p>
              </w:tc>
            </w:tr>
            <w:tr w14:paraId="46D58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noWrap w:val="0"/>
                  <w:vAlign w:val="center"/>
                </w:tcPr>
                <w:p w14:paraId="25A69815">
                  <w:pPr>
                    <w:pStyle w:val="76"/>
                    <w:bidi w:val="0"/>
                    <w:jc w:val="center"/>
                    <w:rPr>
                      <w:rFonts w:hint="default"/>
                      <w:color w:val="auto"/>
                      <w:sz w:val="21"/>
                      <w:szCs w:val="20"/>
                      <w:lang w:val="en-US" w:eastAsia="zh-CN"/>
                    </w:rPr>
                  </w:pPr>
                  <w:r>
                    <w:rPr>
                      <w:rFonts w:hint="eastAsia"/>
                      <w:color w:val="auto"/>
                      <w:sz w:val="21"/>
                      <w:szCs w:val="20"/>
                      <w:lang w:val="en-US" w:eastAsia="zh-CN"/>
                    </w:rPr>
                    <w:t>标准依据</w:t>
                  </w:r>
                </w:p>
              </w:tc>
              <w:tc>
                <w:tcPr>
                  <w:tcW w:w="7603" w:type="dxa"/>
                  <w:gridSpan w:val="6"/>
                  <w:noWrap w:val="0"/>
                  <w:vAlign w:val="center"/>
                </w:tcPr>
                <w:p w14:paraId="6886992F">
                  <w:pPr>
                    <w:jc w:val="center"/>
                    <w:rPr>
                      <w:rFonts w:hint="eastAsia"/>
                      <w:color w:val="auto"/>
                      <w:sz w:val="21"/>
                      <w:szCs w:val="20"/>
                      <w:lang w:val="en-US" w:eastAsia="zh-CN"/>
                    </w:rPr>
                  </w:pPr>
                  <w:r>
                    <w:rPr>
                      <w:rFonts w:hint="eastAsia" w:ascii="Times New Roman" w:hAnsi="Times New Roman" w:eastAsia="宋体" w:cs="Times New Roman"/>
                      <w:color w:val="auto"/>
                      <w:sz w:val="21"/>
                      <w:szCs w:val="20"/>
                      <w:lang w:val="en-US" w:eastAsia="zh-CN"/>
                    </w:rPr>
                    <w:t>《工业企业厂界环境噪声排放标准》（GB 12348-2008）的2、4类标准</w:t>
                  </w:r>
                </w:p>
              </w:tc>
            </w:tr>
          </w:tbl>
          <w:p w14:paraId="4466F2FA">
            <w:pPr>
              <w:pStyle w:val="79"/>
              <w:keepNext w:val="0"/>
              <w:keepLines w:val="0"/>
              <w:pageBreakBefore w:val="0"/>
              <w:widowControl w:val="0"/>
              <w:kinsoku/>
              <w:wordWrap/>
              <w:overflowPunct/>
              <w:topLinePunct w:val="0"/>
              <w:autoSpaceDE/>
              <w:autoSpaceDN/>
              <w:bidi w:val="0"/>
              <w:adjustRightInd/>
              <w:snapToGrid w:val="0"/>
              <w:spacing w:line="360" w:lineRule="auto"/>
              <w:ind w:firstLine="420"/>
              <w:textAlignment w:val="auto"/>
              <w:rPr>
                <w:rFonts w:hint="default" w:ascii="Times New Roman" w:hAnsi="Times New Roman" w:eastAsia="宋体" w:cs="Times New Roman"/>
                <w:color w:val="auto"/>
                <w:kern w:val="0"/>
                <w:sz w:val="24"/>
                <w:szCs w:val="24"/>
                <w:lang w:val="en-US" w:eastAsia="zh-CN" w:bidi="ar-SA"/>
              </w:rPr>
            </w:pPr>
          </w:p>
          <w:p w14:paraId="49631403">
            <w:pPr>
              <w:keepNext w:val="0"/>
              <w:keepLines w:val="0"/>
              <w:pageBreakBefore w:val="0"/>
              <w:widowControl w:val="0"/>
              <w:kinsoku/>
              <w:wordWrap/>
              <w:overflowPunct/>
              <w:topLinePunct w:val="0"/>
              <w:autoSpaceDE/>
              <w:autoSpaceDN/>
              <w:bidi w:val="0"/>
              <w:adjustRightInd/>
              <w:snapToGrid w:val="0"/>
              <w:spacing w:line="360" w:lineRule="auto"/>
              <w:ind w:left="461"/>
              <w:jc w:val="left"/>
              <w:textAlignment w:val="auto"/>
              <w:rPr>
                <w:b/>
                <w:bCs/>
                <w:color w:val="auto"/>
                <w:kern w:val="0"/>
                <w:sz w:val="24"/>
              </w:rPr>
            </w:pPr>
            <w:r>
              <w:rPr>
                <w:b/>
                <w:bCs/>
                <w:color w:val="auto"/>
                <w:kern w:val="0"/>
                <w:sz w:val="24"/>
              </w:rPr>
              <w:t>4）固体废物</w:t>
            </w:r>
          </w:p>
          <w:p w14:paraId="077709E7">
            <w:pPr>
              <w:pStyle w:val="48"/>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rPr>
            </w:pPr>
            <w:r>
              <w:rPr>
                <w:color w:val="auto"/>
                <w:kern w:val="0"/>
                <w:sz w:val="24"/>
              </w:rPr>
              <w:t>已建项目生活垃圾交由环卫部门处置</w:t>
            </w:r>
            <w:r>
              <w:rPr>
                <w:rFonts w:hint="eastAsia"/>
                <w:color w:val="auto"/>
                <w:kern w:val="0"/>
                <w:sz w:val="24"/>
                <w:lang w:eastAsia="zh-CN"/>
              </w:rPr>
              <w:t>，</w:t>
            </w:r>
            <w:r>
              <w:rPr>
                <w:color w:val="auto"/>
                <w:kern w:val="0"/>
                <w:sz w:val="24"/>
              </w:rPr>
              <w:t>院区各楼层均设置有垃圾桶；已建项目</w:t>
            </w:r>
            <w:r>
              <w:rPr>
                <w:rFonts w:hint="eastAsia"/>
                <w:color w:val="auto"/>
                <w:kern w:val="0"/>
                <w:sz w:val="24"/>
                <w:lang w:val="en-US" w:eastAsia="zh-CN"/>
              </w:rPr>
              <w:t>危险废物主要为医疗废物等其他危险废物等。收集至</w:t>
            </w:r>
            <w:r>
              <w:rPr>
                <w:color w:val="auto"/>
                <w:sz w:val="24"/>
              </w:rPr>
              <w:t>医疗废物暂存间，</w:t>
            </w:r>
            <w:r>
              <w:rPr>
                <w:rFonts w:hint="eastAsia"/>
                <w:color w:val="auto"/>
                <w:sz w:val="24"/>
              </w:rPr>
              <w:t>位于院区</w:t>
            </w:r>
            <w:r>
              <w:rPr>
                <w:rFonts w:hint="eastAsia"/>
                <w:color w:val="auto"/>
                <w:sz w:val="24"/>
                <w:lang w:val="en-US" w:eastAsia="zh-CN"/>
              </w:rPr>
              <w:t>1</w:t>
            </w:r>
            <w:r>
              <w:rPr>
                <w:rFonts w:hint="eastAsia"/>
                <w:color w:val="auto"/>
                <w:sz w:val="24"/>
              </w:rPr>
              <w:t>F，</w:t>
            </w:r>
            <w:r>
              <w:rPr>
                <w:color w:val="auto"/>
                <w:sz w:val="24"/>
              </w:rPr>
              <w:t>建筑面积约</w:t>
            </w:r>
            <w:r>
              <w:rPr>
                <w:rFonts w:hint="eastAsia"/>
                <w:color w:val="auto"/>
                <w:sz w:val="24"/>
              </w:rPr>
              <w:t>1</w:t>
            </w:r>
            <w:r>
              <w:rPr>
                <w:color w:val="auto"/>
                <w:sz w:val="24"/>
              </w:rPr>
              <w:t>0m</w:t>
            </w:r>
            <w:r>
              <w:rPr>
                <w:color w:val="auto"/>
                <w:sz w:val="24"/>
                <w:vertAlign w:val="superscript"/>
              </w:rPr>
              <w:t>2</w:t>
            </w:r>
            <w:r>
              <w:rPr>
                <w:color w:val="auto"/>
                <w:sz w:val="24"/>
              </w:rPr>
              <w:t>，分为感染性废物暂存区和其他医疗废物暂存区</w:t>
            </w:r>
            <w:r>
              <w:rPr>
                <w:color w:val="auto"/>
                <w:kern w:val="0"/>
                <w:sz w:val="24"/>
              </w:rPr>
              <w:t>。医疗固废暂存间已设“</w:t>
            </w:r>
            <w:r>
              <w:rPr>
                <w:rFonts w:hint="eastAsia"/>
                <w:color w:val="auto"/>
                <w:kern w:val="0"/>
                <w:sz w:val="24"/>
                <w:lang w:val="en-US" w:eastAsia="zh-CN"/>
              </w:rPr>
              <w:t>六</w:t>
            </w:r>
            <w:r>
              <w:rPr>
                <w:color w:val="auto"/>
                <w:kern w:val="0"/>
                <w:sz w:val="24"/>
              </w:rPr>
              <w:t>防”设施，已张贴相应标识标牌，医疗废物交由有资质单位处置，</w:t>
            </w:r>
            <w:r>
              <w:rPr>
                <w:rFonts w:hint="eastAsia"/>
                <w:color w:val="auto"/>
                <w:kern w:val="0"/>
                <w:sz w:val="24"/>
                <w:lang w:eastAsia="zh-CN"/>
              </w:rPr>
              <w:t>重庆同心医院（有限合伙）</w:t>
            </w:r>
            <w:r>
              <w:rPr>
                <w:color w:val="auto"/>
                <w:kern w:val="0"/>
                <w:sz w:val="24"/>
              </w:rPr>
              <w:t>已与</w:t>
            </w:r>
            <w:r>
              <w:rPr>
                <w:rFonts w:hint="eastAsia"/>
                <w:color w:val="auto"/>
                <w:kern w:val="0"/>
                <w:sz w:val="24"/>
                <w:lang w:val="en-US" w:eastAsia="zh-CN"/>
              </w:rPr>
              <w:t>重庆云青环保科技有限公司</w:t>
            </w:r>
            <w:r>
              <w:rPr>
                <w:color w:val="auto"/>
                <w:kern w:val="0"/>
                <w:sz w:val="24"/>
              </w:rPr>
              <w:t>签订</w:t>
            </w:r>
            <w:r>
              <w:rPr>
                <w:rFonts w:hint="eastAsia"/>
                <w:color w:val="auto"/>
                <w:kern w:val="0"/>
                <w:sz w:val="24"/>
                <w:lang w:eastAsia="zh-CN"/>
              </w:rPr>
              <w:t>了</w:t>
            </w:r>
            <w:r>
              <w:rPr>
                <w:color w:val="auto"/>
                <w:kern w:val="0"/>
                <w:sz w:val="24"/>
              </w:rPr>
              <w:t>《医疗废物处置服务合同》，院区危险废物定期转运并保留有《危险废物转运清单》。</w:t>
            </w:r>
          </w:p>
          <w:p w14:paraId="304F632F">
            <w:pPr>
              <w:bidi w:val="0"/>
              <w:spacing w:line="360" w:lineRule="auto"/>
              <w:ind w:firstLine="482" w:firstLineChars="200"/>
              <w:jc w:val="both"/>
              <w:rPr>
                <w:rFonts w:hint="eastAsia" w:ascii="Times New Roman" w:hAnsi="Times New Roman" w:eastAsia="宋体" w:cs="宋体"/>
                <w:color w:val="auto"/>
                <w:sz w:val="24"/>
                <w:szCs w:val="24"/>
                <w:lang w:val="en-US" w:eastAsia="zh-CN"/>
              </w:rPr>
            </w:pPr>
            <w:r>
              <w:rPr>
                <w:b/>
                <w:bCs/>
                <w:color w:val="auto"/>
                <w:sz w:val="24"/>
              </w:rPr>
              <w:t>5）</w:t>
            </w:r>
            <w:r>
              <w:rPr>
                <w:rFonts w:hint="eastAsia"/>
                <w:b/>
                <w:bCs/>
                <w:color w:val="auto"/>
                <w:sz w:val="24"/>
                <w:lang w:val="en-US" w:eastAsia="zh-CN"/>
              </w:rPr>
              <w:t>辐射</w:t>
            </w:r>
          </w:p>
          <w:p w14:paraId="75188E4B">
            <w:pPr>
              <w:bidi w:val="0"/>
              <w:spacing w:line="360" w:lineRule="auto"/>
              <w:ind w:firstLine="480" w:firstLineChars="200"/>
              <w:jc w:val="both"/>
              <w:rPr>
                <w:rFonts w:hint="default" w:ascii="Times New Roman" w:hAnsi="Times New Roman" w:eastAsia="宋体" w:cs="宋体"/>
                <w:color w:val="auto"/>
                <w:sz w:val="24"/>
                <w:szCs w:val="24"/>
                <w:lang w:val="en-US" w:eastAsia="zh-CN"/>
              </w:rPr>
            </w:pPr>
            <w:r>
              <w:rPr>
                <w:rFonts w:hint="default" w:ascii="Times New Roman" w:hAnsi="Times New Roman" w:eastAsia="宋体" w:cs="宋体"/>
                <w:color w:val="auto"/>
                <w:sz w:val="24"/>
                <w:szCs w:val="24"/>
                <w:lang w:val="en-US" w:eastAsia="zh-CN"/>
              </w:rPr>
              <w:t>根据调查，</w:t>
            </w:r>
            <w:r>
              <w:rPr>
                <w:rFonts w:hint="eastAsia"/>
                <w:color w:val="auto"/>
                <w:sz w:val="24"/>
                <w:lang w:eastAsia="zh-CN"/>
              </w:rPr>
              <w:t>重庆同心医院</w:t>
            </w:r>
            <w:r>
              <w:rPr>
                <w:rFonts w:hint="default" w:ascii="Times New Roman" w:hAnsi="Times New Roman" w:eastAsia="宋体" w:cs="宋体"/>
                <w:color w:val="auto"/>
                <w:sz w:val="24"/>
                <w:szCs w:val="24"/>
                <w:lang w:val="en-US" w:eastAsia="zh-CN"/>
              </w:rPr>
              <w:t>目前使用的Ⅲ类射线装置</w:t>
            </w:r>
            <w:r>
              <w:rPr>
                <w:rFonts w:hint="eastAsia" w:cs="宋体"/>
                <w:color w:val="auto"/>
                <w:sz w:val="24"/>
                <w:szCs w:val="24"/>
                <w:lang w:val="en-US" w:eastAsia="zh-CN"/>
              </w:rPr>
              <w:t>3</w:t>
            </w:r>
            <w:r>
              <w:rPr>
                <w:rFonts w:hint="default" w:ascii="Times New Roman" w:hAnsi="Times New Roman" w:eastAsia="宋体" w:cs="宋体"/>
                <w:color w:val="auto"/>
                <w:sz w:val="24"/>
                <w:szCs w:val="24"/>
                <w:lang w:val="en-US" w:eastAsia="zh-CN"/>
              </w:rPr>
              <w:t>台，医院按照《辐射安全许可证》（渝</w:t>
            </w:r>
            <w:r>
              <w:rPr>
                <w:rFonts w:hint="eastAsia" w:cs="宋体"/>
                <w:color w:val="auto"/>
                <w:sz w:val="24"/>
                <w:szCs w:val="24"/>
                <w:lang w:val="en-US" w:eastAsia="zh-CN"/>
              </w:rPr>
              <w:t>九卫放证字</w:t>
            </w:r>
            <w:r>
              <w:rPr>
                <w:rFonts w:hint="default" w:ascii="Times New Roman" w:hAnsi="Times New Roman" w:eastAsia="宋体" w:cs="宋体"/>
                <w:color w:val="auto"/>
                <w:sz w:val="24"/>
                <w:szCs w:val="24"/>
                <w:lang w:val="en-US" w:eastAsia="zh-CN"/>
              </w:rPr>
              <w:t>（</w:t>
            </w:r>
            <w:r>
              <w:rPr>
                <w:rFonts w:hint="eastAsia" w:cs="宋体"/>
                <w:color w:val="auto"/>
                <w:sz w:val="24"/>
                <w:szCs w:val="24"/>
                <w:lang w:val="en-US" w:eastAsia="zh-CN"/>
              </w:rPr>
              <w:t>2011</w:t>
            </w:r>
            <w:r>
              <w:rPr>
                <w:rFonts w:hint="default" w:ascii="Times New Roman" w:hAnsi="Times New Roman" w:eastAsia="宋体" w:cs="宋体"/>
                <w:color w:val="auto"/>
                <w:sz w:val="24"/>
                <w:szCs w:val="24"/>
                <w:lang w:val="en-US" w:eastAsia="zh-CN"/>
              </w:rPr>
              <w:t>）</w:t>
            </w:r>
            <w:r>
              <w:rPr>
                <w:rFonts w:hint="eastAsia" w:cs="宋体"/>
                <w:color w:val="auto"/>
                <w:sz w:val="24"/>
                <w:szCs w:val="24"/>
                <w:lang w:val="en-US" w:eastAsia="zh-CN"/>
              </w:rPr>
              <w:t>第2</w:t>
            </w:r>
            <w:r>
              <w:rPr>
                <w:rFonts w:hint="default" w:ascii="Times New Roman" w:hAnsi="Times New Roman" w:eastAsia="宋体" w:cs="宋体"/>
                <w:color w:val="auto"/>
                <w:sz w:val="24"/>
                <w:szCs w:val="24"/>
                <w:lang w:val="en-US" w:eastAsia="zh-CN"/>
              </w:rPr>
              <w:t>号，</w:t>
            </w:r>
            <w:r>
              <w:rPr>
                <w:rFonts w:hint="eastAsia" w:cs="宋体"/>
                <w:color w:val="auto"/>
                <w:sz w:val="24"/>
                <w:szCs w:val="24"/>
                <w:lang w:val="en-US" w:eastAsia="zh-CN"/>
              </w:rPr>
              <w:t>发证时间</w:t>
            </w:r>
            <w:r>
              <w:rPr>
                <w:rFonts w:hint="eastAsia" w:ascii="Times New Roman" w:hAnsi="Times New Roman" w:eastAsia="宋体" w:cs="宋体"/>
                <w:color w:val="auto"/>
                <w:sz w:val="24"/>
                <w:szCs w:val="24"/>
                <w:lang w:val="en-US" w:eastAsia="zh-CN"/>
              </w:rPr>
              <w:t>20</w:t>
            </w:r>
            <w:r>
              <w:rPr>
                <w:rFonts w:hint="eastAsia" w:cs="宋体"/>
                <w:color w:val="auto"/>
                <w:sz w:val="24"/>
                <w:szCs w:val="24"/>
                <w:lang w:val="en-US" w:eastAsia="zh-CN"/>
              </w:rPr>
              <w:t>17</w:t>
            </w:r>
            <w:r>
              <w:rPr>
                <w:rFonts w:hint="default" w:ascii="Times New Roman" w:hAnsi="Times New Roman" w:eastAsia="宋体" w:cs="宋体"/>
                <w:color w:val="auto"/>
                <w:sz w:val="24"/>
                <w:szCs w:val="24"/>
                <w:lang w:val="en-US" w:eastAsia="zh-CN"/>
              </w:rPr>
              <w:t>年</w:t>
            </w:r>
            <w:r>
              <w:rPr>
                <w:rFonts w:hint="eastAsia" w:cs="宋体"/>
                <w:color w:val="auto"/>
                <w:sz w:val="24"/>
                <w:szCs w:val="24"/>
                <w:lang w:val="en-US" w:eastAsia="zh-CN"/>
              </w:rPr>
              <w:t>11</w:t>
            </w:r>
            <w:r>
              <w:rPr>
                <w:rFonts w:hint="default" w:ascii="Times New Roman" w:hAnsi="Times New Roman" w:eastAsia="宋体" w:cs="宋体"/>
                <w:color w:val="auto"/>
                <w:sz w:val="24"/>
                <w:szCs w:val="24"/>
                <w:lang w:val="en-US" w:eastAsia="zh-CN"/>
              </w:rPr>
              <w:t>月</w:t>
            </w:r>
            <w:r>
              <w:rPr>
                <w:rFonts w:hint="eastAsia" w:cs="宋体"/>
                <w:color w:val="auto"/>
                <w:sz w:val="24"/>
                <w:szCs w:val="24"/>
                <w:lang w:val="en-US" w:eastAsia="zh-CN"/>
              </w:rPr>
              <w:t>1</w:t>
            </w:r>
            <w:r>
              <w:rPr>
                <w:rFonts w:hint="default" w:ascii="Times New Roman" w:hAnsi="Times New Roman" w:eastAsia="宋体" w:cs="宋体"/>
                <w:color w:val="auto"/>
                <w:sz w:val="24"/>
                <w:szCs w:val="24"/>
                <w:lang w:val="en-US" w:eastAsia="zh-CN"/>
              </w:rPr>
              <w:t>日）许可的种类和范围开展核技术利用项目。根据现场调查，目前在用射线装置台账见表</w:t>
            </w:r>
            <w:r>
              <w:rPr>
                <w:rFonts w:hint="eastAsia" w:ascii="Times New Roman" w:hAnsi="Times New Roman" w:eastAsia="宋体" w:cs="宋体"/>
                <w:color w:val="auto"/>
                <w:sz w:val="24"/>
                <w:szCs w:val="24"/>
                <w:lang w:val="en-US" w:eastAsia="zh-CN"/>
              </w:rPr>
              <w:t>2-</w:t>
            </w:r>
            <w:r>
              <w:rPr>
                <w:rFonts w:hint="eastAsia" w:cs="宋体"/>
                <w:color w:val="auto"/>
                <w:sz w:val="24"/>
                <w:szCs w:val="24"/>
                <w:lang w:val="en-US" w:eastAsia="zh-CN"/>
              </w:rPr>
              <w:t>18</w:t>
            </w:r>
            <w:r>
              <w:rPr>
                <w:rFonts w:hint="default" w:ascii="Times New Roman" w:hAnsi="Times New Roman" w:eastAsia="宋体" w:cs="宋体"/>
                <w:color w:val="auto"/>
                <w:sz w:val="24"/>
                <w:szCs w:val="24"/>
                <w:lang w:val="en-US" w:eastAsia="zh-CN"/>
              </w:rPr>
              <w:t>。</w:t>
            </w:r>
          </w:p>
          <w:p w14:paraId="303FEC37">
            <w:pPr>
              <w:pStyle w:val="67"/>
              <w:bidi w:val="0"/>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2-</w:t>
            </w:r>
            <w:r>
              <w:rPr>
                <w:rFonts w:hint="eastAsia" w:cs="Times New Roman"/>
                <w:b/>
                <w:bCs/>
                <w:color w:val="auto"/>
                <w:sz w:val="24"/>
                <w:szCs w:val="24"/>
                <w:lang w:val="en-US" w:eastAsia="zh-CN"/>
              </w:rPr>
              <w:t>18</w:t>
            </w:r>
            <w:r>
              <w:rPr>
                <w:rFonts w:hint="eastAsia" w:ascii="Times New Roman" w:hAnsi="Times New Roman" w:eastAsia="宋体" w:cs="Times New Roman"/>
                <w:b/>
                <w:bCs/>
                <w:color w:val="auto"/>
                <w:sz w:val="24"/>
                <w:szCs w:val="24"/>
                <w:lang w:val="en-US" w:eastAsia="zh-CN"/>
              </w:rPr>
              <w:t xml:space="preserve"> </w:t>
            </w:r>
            <w:r>
              <w:rPr>
                <w:rFonts w:hint="eastAsia"/>
                <w:b/>
                <w:bCs/>
                <w:color w:val="auto"/>
                <w:sz w:val="24"/>
                <w:szCs w:val="24"/>
                <w:lang w:eastAsia="zh-CN"/>
              </w:rPr>
              <w:t>重庆同心医院</w:t>
            </w:r>
            <w:r>
              <w:rPr>
                <w:rFonts w:ascii="Times New Roman" w:hAnsi="Times New Roman" w:eastAsia="宋体" w:cs="Times New Roman"/>
                <w:b/>
                <w:bCs/>
                <w:color w:val="auto"/>
                <w:sz w:val="24"/>
                <w:szCs w:val="24"/>
              </w:rPr>
              <w:t>射线装置一览表</w:t>
            </w:r>
          </w:p>
          <w:tbl>
            <w:tblPr>
              <w:tblStyle w:val="2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56"/>
              <w:gridCol w:w="1243"/>
              <w:gridCol w:w="1380"/>
              <w:gridCol w:w="964"/>
              <w:gridCol w:w="691"/>
              <w:gridCol w:w="688"/>
              <w:gridCol w:w="2146"/>
              <w:gridCol w:w="1172"/>
            </w:tblGrid>
            <w:tr w14:paraId="3A545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trPr>
              <w:tc>
                <w:tcPr>
                  <w:tcW w:w="366" w:type="pct"/>
                  <w:noWrap w:val="0"/>
                  <w:vAlign w:val="center"/>
                </w:tcPr>
                <w:p w14:paraId="4D29700E">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序号</w:t>
                  </w:r>
                </w:p>
              </w:tc>
              <w:tc>
                <w:tcPr>
                  <w:tcW w:w="695" w:type="pct"/>
                  <w:noWrap w:val="0"/>
                  <w:vAlign w:val="center"/>
                </w:tcPr>
                <w:p w14:paraId="33A4E791">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名称</w:t>
                  </w:r>
                </w:p>
              </w:tc>
              <w:tc>
                <w:tcPr>
                  <w:tcW w:w="771" w:type="pct"/>
                  <w:noWrap w:val="0"/>
                  <w:vAlign w:val="center"/>
                </w:tcPr>
                <w:p w14:paraId="3D8F111D">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型号</w:t>
                  </w:r>
                </w:p>
              </w:tc>
              <w:tc>
                <w:tcPr>
                  <w:tcW w:w="539" w:type="pct"/>
                  <w:noWrap w:val="0"/>
                  <w:vAlign w:val="center"/>
                </w:tcPr>
                <w:p w14:paraId="30E6C848">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装置类别</w:t>
                  </w:r>
                </w:p>
              </w:tc>
              <w:tc>
                <w:tcPr>
                  <w:tcW w:w="386" w:type="pct"/>
                  <w:noWrap w:val="0"/>
                  <w:vAlign w:val="center"/>
                </w:tcPr>
                <w:p w14:paraId="05EE15F8">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数量</w:t>
                  </w:r>
                </w:p>
                <w:p w14:paraId="6704F00A">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（台）</w:t>
                  </w:r>
                </w:p>
              </w:tc>
              <w:tc>
                <w:tcPr>
                  <w:tcW w:w="384" w:type="pct"/>
                  <w:noWrap w:val="0"/>
                  <w:vAlign w:val="center"/>
                </w:tcPr>
                <w:p w14:paraId="74488C90">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用途</w:t>
                  </w:r>
                </w:p>
              </w:tc>
              <w:tc>
                <w:tcPr>
                  <w:tcW w:w="1200" w:type="pct"/>
                  <w:noWrap w:val="0"/>
                  <w:vAlign w:val="center"/>
                </w:tcPr>
                <w:p w14:paraId="395F07BD">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使用场所</w:t>
                  </w:r>
                </w:p>
              </w:tc>
              <w:tc>
                <w:tcPr>
                  <w:tcW w:w="655" w:type="pct"/>
                  <w:noWrap w:val="0"/>
                  <w:vAlign w:val="center"/>
                </w:tcPr>
                <w:p w14:paraId="26ADE4E1">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备注</w:t>
                  </w:r>
                </w:p>
              </w:tc>
            </w:tr>
            <w:tr w14:paraId="5FA07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rPr>
              <w:tc>
                <w:tcPr>
                  <w:tcW w:w="366" w:type="pct"/>
                  <w:noWrap w:val="0"/>
                  <w:vAlign w:val="center"/>
                </w:tcPr>
                <w:p w14:paraId="097C2C85">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695" w:type="pct"/>
                  <w:noWrap w:val="0"/>
                  <w:vAlign w:val="center"/>
                </w:tcPr>
                <w:p w14:paraId="74172B81">
                  <w:pPr>
                    <w:spacing w:before="59" w:line="220" w:lineRule="auto"/>
                    <w:ind w:left="111" w:leftChars="0"/>
                    <w:jc w:val="center"/>
                    <w:rPr>
                      <w:rFonts w:hint="default" w:ascii="Times New Roman" w:hAnsi="Times New Roman" w:eastAsia="宋体" w:cs="Times New Roman"/>
                      <w:color w:val="auto"/>
                      <w:lang w:val="en-US" w:eastAsia="zh-CN"/>
                    </w:rPr>
                  </w:pPr>
                  <w:r>
                    <w:rPr>
                      <w:rFonts w:eastAsia="Times New Roman"/>
                      <w:color w:val="auto"/>
                      <w:szCs w:val="21"/>
                    </w:rPr>
                    <w:t>CT</w:t>
                  </w:r>
                  <w:r>
                    <w:rPr>
                      <w:rFonts w:ascii="宋体" w:hAnsi="宋体" w:cs="宋体"/>
                      <w:color w:val="auto"/>
                      <w:szCs w:val="21"/>
                    </w:rPr>
                    <w:t>机</w:t>
                  </w:r>
                </w:p>
              </w:tc>
              <w:tc>
                <w:tcPr>
                  <w:tcW w:w="771" w:type="pct"/>
                  <w:noWrap w:val="0"/>
                  <w:vAlign w:val="center"/>
                </w:tcPr>
                <w:p w14:paraId="2EC30DC6">
                  <w:pPr>
                    <w:spacing w:before="58" w:line="221" w:lineRule="auto"/>
                    <w:ind w:left="112" w:left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pacing w:val="-2"/>
                      <w:szCs w:val="21"/>
                      <w:lang w:val="en-US" w:eastAsia="zh-CN"/>
                    </w:rPr>
                    <w:t>UCT510型</w:t>
                  </w:r>
                </w:p>
              </w:tc>
              <w:tc>
                <w:tcPr>
                  <w:tcW w:w="539" w:type="pct"/>
                  <w:noWrap w:val="0"/>
                  <w:vAlign w:val="center"/>
                </w:tcPr>
                <w:p w14:paraId="21CA0DEC">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Ⅲ类</w:t>
                  </w:r>
                </w:p>
              </w:tc>
              <w:tc>
                <w:tcPr>
                  <w:tcW w:w="386" w:type="pct"/>
                  <w:noWrap w:val="0"/>
                  <w:vAlign w:val="center"/>
                </w:tcPr>
                <w:p w14:paraId="64EC5496">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384" w:type="pct"/>
                  <w:noWrap w:val="0"/>
                  <w:vAlign w:val="center"/>
                </w:tcPr>
                <w:p w14:paraId="05A571B3">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诊断</w:t>
                  </w:r>
                </w:p>
              </w:tc>
              <w:tc>
                <w:tcPr>
                  <w:tcW w:w="1200" w:type="pct"/>
                  <w:noWrap w:val="0"/>
                  <w:vAlign w:val="center"/>
                </w:tcPr>
                <w:p w14:paraId="12DEA3C0">
                  <w:pPr>
                    <w:pStyle w:val="6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放射科</w:t>
                  </w:r>
                  <w:r>
                    <w:rPr>
                      <w:rFonts w:hint="eastAsia" w:eastAsia="宋体"/>
                      <w:color w:val="auto"/>
                      <w:szCs w:val="21"/>
                      <w:lang w:val="en-US" w:eastAsia="zh-CN"/>
                    </w:rPr>
                    <w:t>，医院</w:t>
                  </w:r>
                  <w:r>
                    <w:rPr>
                      <w:rFonts w:hint="eastAsia"/>
                      <w:color w:val="auto"/>
                      <w:szCs w:val="21"/>
                      <w:lang w:val="en-US" w:eastAsia="zh-CN"/>
                    </w:rPr>
                    <w:t>1F</w:t>
                  </w:r>
                </w:p>
              </w:tc>
              <w:tc>
                <w:tcPr>
                  <w:tcW w:w="655" w:type="pct"/>
                  <w:vMerge w:val="restart"/>
                  <w:noWrap w:val="0"/>
                  <w:vAlign w:val="center"/>
                </w:tcPr>
                <w:p w14:paraId="3C6B68CD">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均已办证</w:t>
                  </w:r>
                </w:p>
              </w:tc>
            </w:tr>
            <w:tr w14:paraId="365E6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rPr>
              <w:tc>
                <w:tcPr>
                  <w:tcW w:w="366" w:type="pct"/>
                  <w:noWrap w:val="0"/>
                  <w:vAlign w:val="center"/>
                </w:tcPr>
                <w:p w14:paraId="12CE6F56">
                  <w:pPr>
                    <w:pStyle w:val="6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p>
              </w:tc>
              <w:tc>
                <w:tcPr>
                  <w:tcW w:w="695" w:type="pct"/>
                  <w:noWrap w:val="0"/>
                  <w:vAlign w:val="center"/>
                </w:tcPr>
                <w:p w14:paraId="28944E84">
                  <w:pPr>
                    <w:spacing w:before="56" w:line="220" w:lineRule="auto"/>
                    <w:ind w:left="107" w:leftChars="0"/>
                    <w:jc w:val="center"/>
                    <w:rPr>
                      <w:rFonts w:hint="eastAsia" w:ascii="Times New Roman" w:hAnsi="Times New Roman" w:eastAsia="宋体" w:cs="Times New Roman"/>
                      <w:color w:val="auto"/>
                      <w:lang w:val="en-US" w:eastAsia="zh-CN"/>
                    </w:rPr>
                  </w:pPr>
                  <w:r>
                    <w:rPr>
                      <w:rFonts w:eastAsia="Times New Roman"/>
                      <w:color w:val="auto"/>
                      <w:szCs w:val="21"/>
                    </w:rPr>
                    <w:t>DR</w:t>
                  </w:r>
                  <w:r>
                    <w:rPr>
                      <w:rFonts w:ascii="宋体" w:hAnsi="宋体" w:cs="宋体"/>
                      <w:color w:val="auto"/>
                      <w:spacing w:val="2"/>
                      <w:szCs w:val="21"/>
                    </w:rPr>
                    <w:t>机</w:t>
                  </w:r>
                </w:p>
              </w:tc>
              <w:tc>
                <w:tcPr>
                  <w:tcW w:w="771" w:type="pct"/>
                  <w:noWrap w:val="0"/>
                  <w:vAlign w:val="center"/>
                </w:tcPr>
                <w:p w14:paraId="2F0935F7">
                  <w:pPr>
                    <w:spacing w:before="56" w:line="221" w:lineRule="auto"/>
                    <w:ind w:left="112" w:leftChars="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spacing w:val="-2"/>
                      <w:szCs w:val="21"/>
                      <w:lang w:val="en-US" w:eastAsia="zh-CN"/>
                    </w:rPr>
                    <w:t>DR80U型</w:t>
                  </w:r>
                </w:p>
              </w:tc>
              <w:tc>
                <w:tcPr>
                  <w:tcW w:w="539" w:type="pct"/>
                  <w:noWrap w:val="0"/>
                  <w:vAlign w:val="center"/>
                </w:tcPr>
                <w:p w14:paraId="5B0AD39E">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Ⅲ类</w:t>
                  </w:r>
                </w:p>
              </w:tc>
              <w:tc>
                <w:tcPr>
                  <w:tcW w:w="386" w:type="pct"/>
                  <w:noWrap w:val="0"/>
                  <w:vAlign w:val="center"/>
                </w:tcPr>
                <w:p w14:paraId="56FA790D">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384" w:type="pct"/>
                  <w:noWrap w:val="0"/>
                  <w:vAlign w:val="center"/>
                </w:tcPr>
                <w:p w14:paraId="47342B84">
                  <w:pPr>
                    <w:pStyle w:val="68"/>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诊断</w:t>
                  </w:r>
                </w:p>
              </w:tc>
              <w:tc>
                <w:tcPr>
                  <w:tcW w:w="1200" w:type="pct"/>
                  <w:noWrap w:val="0"/>
                  <w:vAlign w:val="center"/>
                </w:tcPr>
                <w:p w14:paraId="41A99D87">
                  <w:pPr>
                    <w:pStyle w:val="6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放射科</w:t>
                  </w:r>
                  <w:r>
                    <w:rPr>
                      <w:rFonts w:hint="eastAsia" w:eastAsia="宋体"/>
                      <w:color w:val="auto"/>
                      <w:szCs w:val="21"/>
                      <w:lang w:val="en-US" w:eastAsia="zh-CN"/>
                    </w:rPr>
                    <w:t>，医院</w:t>
                  </w:r>
                  <w:r>
                    <w:rPr>
                      <w:rFonts w:hint="eastAsia"/>
                      <w:color w:val="auto"/>
                      <w:szCs w:val="21"/>
                      <w:lang w:val="en-US" w:eastAsia="zh-CN"/>
                    </w:rPr>
                    <w:t>1F</w:t>
                  </w:r>
                </w:p>
              </w:tc>
              <w:tc>
                <w:tcPr>
                  <w:tcW w:w="655" w:type="pct"/>
                  <w:vMerge w:val="continue"/>
                  <w:noWrap w:val="0"/>
                  <w:vAlign w:val="center"/>
                </w:tcPr>
                <w:p w14:paraId="5C7BF43A">
                  <w:pPr>
                    <w:pStyle w:val="68"/>
                    <w:bidi w:val="0"/>
                    <w:jc w:val="center"/>
                    <w:rPr>
                      <w:rFonts w:hint="default" w:ascii="Times New Roman" w:hAnsi="Times New Roman" w:eastAsia="宋体" w:cs="Times New Roman"/>
                      <w:color w:val="auto"/>
                      <w:lang w:val="en-US" w:eastAsia="zh-CN"/>
                    </w:rPr>
                  </w:pPr>
                </w:p>
              </w:tc>
            </w:tr>
            <w:tr w14:paraId="70106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rPr>
              <w:tc>
                <w:tcPr>
                  <w:tcW w:w="366" w:type="pct"/>
                  <w:noWrap w:val="0"/>
                  <w:vAlign w:val="center"/>
                </w:tcPr>
                <w:p w14:paraId="156C063D">
                  <w:pPr>
                    <w:pStyle w:val="68"/>
                    <w:bidi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3</w:t>
                  </w:r>
                </w:p>
              </w:tc>
              <w:tc>
                <w:tcPr>
                  <w:tcW w:w="695" w:type="pct"/>
                  <w:noWrap w:val="0"/>
                  <w:vAlign w:val="center"/>
                </w:tcPr>
                <w:p w14:paraId="4378E85D">
                  <w:pPr>
                    <w:spacing w:before="56" w:line="220" w:lineRule="auto"/>
                    <w:ind w:left="107" w:leftChars="0"/>
                    <w:jc w:val="center"/>
                    <w:rPr>
                      <w:rFonts w:hint="default" w:eastAsia="宋体"/>
                      <w:color w:val="auto"/>
                      <w:szCs w:val="21"/>
                      <w:lang w:val="en-US" w:eastAsia="zh-CN"/>
                    </w:rPr>
                  </w:pPr>
                  <w:r>
                    <w:rPr>
                      <w:rFonts w:hint="eastAsia" w:eastAsia="宋体"/>
                      <w:color w:val="auto"/>
                      <w:szCs w:val="21"/>
                      <w:lang w:val="en-US" w:eastAsia="zh-CN"/>
                    </w:rPr>
                    <w:t>X射线机</w:t>
                  </w:r>
                </w:p>
              </w:tc>
              <w:tc>
                <w:tcPr>
                  <w:tcW w:w="771" w:type="pct"/>
                  <w:noWrap w:val="0"/>
                  <w:vAlign w:val="center"/>
                </w:tcPr>
                <w:p w14:paraId="001EC1DA">
                  <w:pPr>
                    <w:spacing w:before="56" w:line="221" w:lineRule="auto"/>
                    <w:ind w:left="112" w:leftChars="0"/>
                    <w:jc w:val="center"/>
                    <w:rPr>
                      <w:rFonts w:hint="default" w:ascii="Times New Roman" w:hAnsi="Times New Roman" w:eastAsia="宋体" w:cs="Times New Roman"/>
                      <w:color w:val="auto"/>
                      <w:spacing w:val="-2"/>
                      <w:szCs w:val="21"/>
                      <w:lang w:val="en-US" w:eastAsia="zh-CN"/>
                    </w:rPr>
                  </w:pPr>
                  <w:r>
                    <w:rPr>
                      <w:rFonts w:hint="eastAsia" w:cs="Times New Roman"/>
                      <w:color w:val="auto"/>
                      <w:spacing w:val="-2"/>
                      <w:szCs w:val="21"/>
                      <w:lang w:val="en-US" w:eastAsia="zh-CN"/>
                    </w:rPr>
                    <w:t>SS-X901</w:t>
                  </w:r>
                </w:p>
              </w:tc>
              <w:tc>
                <w:tcPr>
                  <w:tcW w:w="539" w:type="pct"/>
                  <w:noWrap w:val="0"/>
                  <w:vAlign w:val="center"/>
                </w:tcPr>
                <w:p w14:paraId="59B60DDC">
                  <w:pPr>
                    <w:pStyle w:val="68"/>
                    <w:bidi w:val="0"/>
                    <w:ind w:firstLine="0" w:firstLineChars="0"/>
                    <w:jc w:val="center"/>
                    <w:rPr>
                      <w:rFonts w:hint="default"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Ⅲ类</w:t>
                  </w:r>
                </w:p>
              </w:tc>
              <w:tc>
                <w:tcPr>
                  <w:tcW w:w="386" w:type="pct"/>
                  <w:noWrap w:val="0"/>
                  <w:vAlign w:val="center"/>
                </w:tcPr>
                <w:p w14:paraId="5FC47998">
                  <w:pPr>
                    <w:pStyle w:val="68"/>
                    <w:bidi w:val="0"/>
                    <w:ind w:firstLine="0" w:firstLineChars="0"/>
                    <w:jc w:val="center"/>
                    <w:rPr>
                      <w:rFonts w:hint="default"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1</w:t>
                  </w:r>
                </w:p>
              </w:tc>
              <w:tc>
                <w:tcPr>
                  <w:tcW w:w="384" w:type="pct"/>
                  <w:noWrap w:val="0"/>
                  <w:vAlign w:val="center"/>
                </w:tcPr>
                <w:p w14:paraId="2979983B">
                  <w:pPr>
                    <w:pStyle w:val="68"/>
                    <w:bidi w:val="0"/>
                    <w:ind w:firstLine="0" w:firstLineChars="0"/>
                    <w:jc w:val="center"/>
                    <w:rPr>
                      <w:rFonts w:hint="default"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诊断</w:t>
                  </w:r>
                </w:p>
              </w:tc>
              <w:tc>
                <w:tcPr>
                  <w:tcW w:w="1200" w:type="pct"/>
                  <w:noWrap w:val="0"/>
                  <w:vAlign w:val="center"/>
                </w:tcPr>
                <w:p w14:paraId="47579680">
                  <w:pPr>
                    <w:pStyle w:val="68"/>
                    <w:bidi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口腔科</w:t>
                  </w:r>
                  <w:r>
                    <w:rPr>
                      <w:rFonts w:hint="eastAsia" w:eastAsia="宋体"/>
                      <w:color w:val="auto"/>
                      <w:szCs w:val="21"/>
                      <w:lang w:val="en-US" w:eastAsia="zh-CN"/>
                    </w:rPr>
                    <w:t>，医院</w:t>
                  </w:r>
                  <w:r>
                    <w:rPr>
                      <w:rFonts w:hint="eastAsia"/>
                      <w:color w:val="auto"/>
                      <w:szCs w:val="21"/>
                      <w:lang w:val="en-US" w:eastAsia="zh-CN"/>
                    </w:rPr>
                    <w:t>1F</w:t>
                  </w:r>
                </w:p>
              </w:tc>
              <w:tc>
                <w:tcPr>
                  <w:tcW w:w="655" w:type="pct"/>
                  <w:vMerge w:val="continue"/>
                  <w:noWrap w:val="0"/>
                  <w:vAlign w:val="center"/>
                </w:tcPr>
                <w:p w14:paraId="4AD78FBD">
                  <w:pPr>
                    <w:pStyle w:val="68"/>
                    <w:bidi w:val="0"/>
                    <w:jc w:val="center"/>
                    <w:rPr>
                      <w:rFonts w:hint="default" w:ascii="Times New Roman" w:hAnsi="Times New Roman" w:eastAsia="宋体" w:cs="Times New Roman"/>
                      <w:color w:val="auto"/>
                      <w:lang w:val="en-US" w:eastAsia="zh-CN"/>
                    </w:rPr>
                  </w:pPr>
                </w:p>
              </w:tc>
            </w:tr>
          </w:tbl>
          <w:p w14:paraId="2C3902BC">
            <w:pPr>
              <w:pStyle w:val="48"/>
              <w:spacing w:line="360" w:lineRule="auto"/>
              <w:ind w:left="461"/>
              <w:rPr>
                <w:b/>
                <w:bCs/>
                <w:color w:val="auto"/>
                <w:sz w:val="24"/>
              </w:rPr>
            </w:pPr>
            <w:r>
              <w:rPr>
                <w:rFonts w:hint="eastAsia"/>
                <w:b/>
                <w:bCs/>
                <w:color w:val="auto"/>
                <w:sz w:val="24"/>
                <w:lang w:val="en-US" w:eastAsia="zh-CN"/>
              </w:rPr>
              <w:t>6</w:t>
            </w:r>
            <w:r>
              <w:rPr>
                <w:b/>
                <w:bCs/>
                <w:color w:val="auto"/>
                <w:sz w:val="24"/>
              </w:rPr>
              <w:t>）现有项目污染物汇总一览表</w:t>
            </w:r>
          </w:p>
          <w:p w14:paraId="40C56402">
            <w:pPr>
              <w:pStyle w:val="48"/>
              <w:ind w:firstLine="2168" w:firstLineChars="900"/>
              <w:rPr>
                <w:b/>
                <w:bCs/>
                <w:color w:val="auto"/>
                <w:sz w:val="24"/>
                <w:lang w:bidi="ar"/>
              </w:rPr>
            </w:pPr>
            <w:r>
              <w:rPr>
                <w:b/>
                <w:bCs/>
                <w:color w:val="auto"/>
                <w:sz w:val="24"/>
              </w:rPr>
              <w:t>表2-1</w:t>
            </w:r>
            <w:r>
              <w:rPr>
                <w:rFonts w:hint="eastAsia"/>
                <w:b/>
                <w:bCs/>
                <w:color w:val="auto"/>
                <w:sz w:val="24"/>
                <w:lang w:val="en-US" w:eastAsia="zh-CN"/>
              </w:rPr>
              <w:t xml:space="preserve">9 </w:t>
            </w:r>
            <w:r>
              <w:rPr>
                <w:b/>
                <w:bCs/>
                <w:color w:val="auto"/>
                <w:sz w:val="24"/>
                <w:lang w:bidi="ar"/>
              </w:rPr>
              <w:t>现有项目污染物汇总一览表</w:t>
            </w:r>
          </w:p>
          <w:tbl>
            <w:tblPr>
              <w:tblStyle w:val="25"/>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183"/>
              <w:gridCol w:w="1725"/>
              <w:gridCol w:w="1365"/>
              <w:gridCol w:w="1373"/>
              <w:gridCol w:w="2441"/>
            </w:tblGrid>
            <w:tr w14:paraId="543FF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jc w:val="center"/>
              </w:trPr>
              <w:tc>
                <w:tcPr>
                  <w:tcW w:w="400" w:type="pct"/>
                  <w:noWrap w:val="0"/>
                  <w:vAlign w:val="center"/>
                </w:tcPr>
                <w:p w14:paraId="147CE2B3">
                  <w:pPr>
                    <w:pStyle w:val="5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类别</w:t>
                  </w:r>
                </w:p>
              </w:tc>
              <w:tc>
                <w:tcPr>
                  <w:tcW w:w="672" w:type="pct"/>
                  <w:noWrap w:val="0"/>
                  <w:vAlign w:val="center"/>
                </w:tcPr>
                <w:p w14:paraId="6422A3A1">
                  <w:pPr>
                    <w:pStyle w:val="5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排放源</w:t>
                  </w:r>
                </w:p>
              </w:tc>
              <w:tc>
                <w:tcPr>
                  <w:tcW w:w="981" w:type="pct"/>
                  <w:noWrap w:val="0"/>
                  <w:vAlign w:val="center"/>
                </w:tcPr>
                <w:p w14:paraId="5E9E9AF5">
                  <w:pPr>
                    <w:pStyle w:val="5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污染物</w:t>
                  </w:r>
                </w:p>
              </w:tc>
              <w:tc>
                <w:tcPr>
                  <w:tcW w:w="776" w:type="pct"/>
                  <w:noWrap w:val="0"/>
                  <w:vAlign w:val="center"/>
                </w:tcPr>
                <w:p w14:paraId="7A43CBBB">
                  <w:pPr>
                    <w:pStyle w:val="5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环评批复总量</w:t>
                  </w:r>
                </w:p>
              </w:tc>
              <w:tc>
                <w:tcPr>
                  <w:tcW w:w="780" w:type="pct"/>
                  <w:noWrap w:val="0"/>
                  <w:vAlign w:val="center"/>
                </w:tcPr>
                <w:p w14:paraId="45DAD04C">
                  <w:pPr>
                    <w:pStyle w:val="5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实际</w:t>
                  </w:r>
                  <w:r>
                    <w:rPr>
                      <w:rFonts w:hint="eastAsia" w:ascii="Times New Roman" w:hAnsi="Times New Roman" w:eastAsia="宋体" w:cs="Times New Roman"/>
                      <w:color w:val="auto"/>
                      <w:sz w:val="21"/>
                      <w:szCs w:val="21"/>
                      <w:lang w:eastAsia="zh-CN"/>
                    </w:rPr>
                    <w:t>排放量</w:t>
                  </w:r>
                </w:p>
              </w:tc>
              <w:tc>
                <w:tcPr>
                  <w:tcW w:w="1388" w:type="pct"/>
                  <w:noWrap w:val="0"/>
                  <w:vAlign w:val="center"/>
                </w:tcPr>
                <w:p w14:paraId="61439604">
                  <w:pPr>
                    <w:pStyle w:val="59"/>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处理措施</w:t>
                  </w:r>
                </w:p>
              </w:tc>
            </w:tr>
            <w:tr w14:paraId="54745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400" w:type="pct"/>
                  <w:vMerge w:val="restart"/>
                  <w:noWrap w:val="0"/>
                  <w:vAlign w:val="center"/>
                </w:tcPr>
                <w:p w14:paraId="3E78B1A1">
                  <w:pPr>
                    <w:pStyle w:val="59"/>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w:t>
                  </w:r>
                </w:p>
              </w:tc>
              <w:tc>
                <w:tcPr>
                  <w:tcW w:w="672" w:type="pct"/>
                  <w:vMerge w:val="restart"/>
                  <w:noWrap w:val="0"/>
                  <w:vAlign w:val="center"/>
                </w:tcPr>
                <w:p w14:paraId="7AEA8D3B">
                  <w:pPr>
                    <w:adjustRightInd w:val="0"/>
                    <w:snapToGrid w:val="0"/>
                    <w:jc w:val="center"/>
                    <w:rPr>
                      <w:rFonts w:hint="default"/>
                      <w:color w:val="auto"/>
                      <w:kern w:val="2"/>
                      <w:sz w:val="21"/>
                      <w:szCs w:val="21"/>
                      <w:lang w:val="en-US" w:eastAsia="zh-CN" w:bidi="ar-SA"/>
                    </w:rPr>
                  </w:pPr>
                  <w:r>
                    <w:rPr>
                      <w:color w:val="auto"/>
                      <w:szCs w:val="21"/>
                    </w:rPr>
                    <w:t>污水处理站臭气</w:t>
                  </w:r>
                </w:p>
              </w:tc>
              <w:tc>
                <w:tcPr>
                  <w:tcW w:w="981" w:type="pct"/>
                  <w:noWrap w:val="0"/>
                  <w:vAlign w:val="center"/>
                </w:tcPr>
                <w:p w14:paraId="6AFE153F">
                  <w:pPr>
                    <w:adjustRightInd w:val="0"/>
                    <w:snapToGrid w:val="0"/>
                    <w:jc w:val="center"/>
                    <w:rPr>
                      <w:color w:val="auto"/>
                      <w:szCs w:val="21"/>
                    </w:rPr>
                  </w:pPr>
                  <w:r>
                    <w:rPr>
                      <w:color w:val="auto"/>
                      <w:szCs w:val="21"/>
                    </w:rPr>
                    <w:t>H</w:t>
                  </w:r>
                  <w:r>
                    <w:rPr>
                      <w:color w:val="auto"/>
                      <w:szCs w:val="21"/>
                      <w:vertAlign w:val="subscript"/>
                    </w:rPr>
                    <w:t>2</w:t>
                  </w:r>
                  <w:r>
                    <w:rPr>
                      <w:color w:val="auto"/>
                      <w:szCs w:val="21"/>
                    </w:rPr>
                    <w:t>S</w:t>
                  </w:r>
                </w:p>
              </w:tc>
              <w:tc>
                <w:tcPr>
                  <w:tcW w:w="776" w:type="pct"/>
                  <w:noWrap w:val="0"/>
                  <w:vAlign w:val="center"/>
                </w:tcPr>
                <w:p w14:paraId="0DBF6EEA">
                  <w:pPr>
                    <w:adjustRightInd w:val="0"/>
                    <w:snapToGrid w:val="0"/>
                    <w:jc w:val="center"/>
                    <w:rPr>
                      <w:rFonts w:hint="default"/>
                      <w:color w:val="auto"/>
                      <w:kern w:val="2"/>
                      <w:sz w:val="21"/>
                      <w:szCs w:val="21"/>
                      <w:lang w:val="en-US" w:eastAsia="zh-CN" w:bidi="ar-SA"/>
                    </w:rPr>
                  </w:pPr>
                  <w:r>
                    <w:rPr>
                      <w:rFonts w:hint="eastAsia"/>
                      <w:color w:val="auto"/>
                      <w:kern w:val="2"/>
                      <w:sz w:val="21"/>
                      <w:szCs w:val="21"/>
                      <w:lang w:val="en-US" w:eastAsia="zh-CN" w:bidi="ar-SA"/>
                    </w:rPr>
                    <w:t>/</w:t>
                  </w:r>
                </w:p>
              </w:tc>
              <w:tc>
                <w:tcPr>
                  <w:tcW w:w="780" w:type="pct"/>
                  <w:noWrap w:val="0"/>
                  <w:vAlign w:val="center"/>
                </w:tcPr>
                <w:p w14:paraId="4135CE05">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eastAsia="宋体"/>
                      <w:color w:val="auto"/>
                      <w:sz w:val="21"/>
                      <w:szCs w:val="21"/>
                      <w:lang w:val="en-US" w:eastAsia="zh-CN"/>
                    </w:rPr>
                  </w:pPr>
                  <w:r>
                    <w:rPr>
                      <w:rFonts w:hint="eastAsia" w:eastAsia="宋体"/>
                      <w:color w:val="auto"/>
                      <w:sz w:val="21"/>
                      <w:szCs w:val="21"/>
                      <w:lang w:val="en-US" w:eastAsia="zh-CN"/>
                    </w:rPr>
                    <w:t>/</w:t>
                  </w:r>
                </w:p>
              </w:tc>
              <w:tc>
                <w:tcPr>
                  <w:tcW w:w="1388" w:type="pct"/>
                  <w:vMerge w:val="restart"/>
                  <w:noWrap w:val="0"/>
                  <w:vAlign w:val="center"/>
                </w:tcPr>
                <w:p w14:paraId="4FE75C53">
                  <w:pPr>
                    <w:keepNext w:val="0"/>
                    <w:keepLines w:val="0"/>
                    <w:pageBreakBefore w:val="0"/>
                    <w:widowControl w:val="0"/>
                    <w:kinsoku/>
                    <w:wordWrap/>
                    <w:overflowPunct/>
                    <w:topLinePunct w:val="0"/>
                    <w:autoSpaceDE/>
                    <w:autoSpaceDN w:val="0"/>
                    <w:bidi w:val="0"/>
                    <w:adjustRightInd/>
                    <w:snapToGrid/>
                    <w:spacing w:before="0" w:after="0" w:line="320" w:lineRule="exact"/>
                    <w:ind w:left="0" w:leftChars="0" w:right="0" w:rightChars="0" w:firstLine="0" w:firstLineChars="0"/>
                    <w:jc w:val="center"/>
                    <w:textAlignment w:val="center"/>
                    <w:rPr>
                      <w:rFonts w:hint="eastAsia"/>
                      <w:color w:val="auto"/>
                      <w:sz w:val="21"/>
                      <w:szCs w:val="21"/>
                    </w:rPr>
                  </w:pPr>
                  <w:r>
                    <w:rPr>
                      <w:rFonts w:hint="eastAsia"/>
                      <w:color w:val="auto"/>
                      <w:sz w:val="21"/>
                      <w:szCs w:val="21"/>
                    </w:rPr>
                    <w:t>收集后经专用管道引至</w:t>
                  </w:r>
                  <w:r>
                    <w:rPr>
                      <w:rFonts w:hint="eastAsia"/>
                      <w:color w:val="auto"/>
                      <w:sz w:val="21"/>
                      <w:szCs w:val="21"/>
                      <w:lang w:val="en-US" w:eastAsia="zh-CN"/>
                    </w:rPr>
                    <w:t>绿化带</w:t>
                  </w:r>
                  <w:r>
                    <w:rPr>
                      <w:rFonts w:hint="eastAsia"/>
                      <w:color w:val="auto"/>
                      <w:sz w:val="21"/>
                      <w:szCs w:val="21"/>
                    </w:rPr>
                    <w:t>排放</w:t>
                  </w:r>
                </w:p>
              </w:tc>
            </w:tr>
            <w:tr w14:paraId="65798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400" w:type="pct"/>
                  <w:vMerge w:val="continue"/>
                  <w:noWrap w:val="0"/>
                  <w:vAlign w:val="center"/>
                </w:tcPr>
                <w:p w14:paraId="7EF29F0A">
                  <w:pPr>
                    <w:pStyle w:val="59"/>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rPr>
                  </w:pPr>
                </w:p>
              </w:tc>
              <w:tc>
                <w:tcPr>
                  <w:tcW w:w="672" w:type="pct"/>
                  <w:vMerge w:val="continue"/>
                  <w:noWrap w:val="0"/>
                  <w:vAlign w:val="center"/>
                </w:tcPr>
                <w:p w14:paraId="3BE03A19">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981" w:type="pct"/>
                  <w:noWrap w:val="0"/>
                  <w:vAlign w:val="center"/>
                </w:tcPr>
                <w:p w14:paraId="63BFE2EF">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color w:val="auto"/>
                      <w:szCs w:val="21"/>
                    </w:rPr>
                    <w:t>NH</w:t>
                  </w:r>
                  <w:r>
                    <w:rPr>
                      <w:color w:val="auto"/>
                      <w:szCs w:val="21"/>
                      <w:vertAlign w:val="subscript"/>
                    </w:rPr>
                    <w:t>3</w:t>
                  </w:r>
                </w:p>
              </w:tc>
              <w:tc>
                <w:tcPr>
                  <w:tcW w:w="776" w:type="pct"/>
                  <w:noWrap w:val="0"/>
                  <w:vAlign w:val="center"/>
                </w:tcPr>
                <w:p w14:paraId="60328A6B">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eastAsia="宋体"/>
                      <w:color w:val="auto"/>
                      <w:sz w:val="21"/>
                      <w:szCs w:val="21"/>
                      <w:lang w:val="en-US" w:eastAsia="zh-CN"/>
                    </w:rPr>
                  </w:pPr>
                  <w:r>
                    <w:rPr>
                      <w:rFonts w:hint="eastAsia" w:eastAsia="宋体"/>
                      <w:color w:val="auto"/>
                      <w:sz w:val="21"/>
                      <w:szCs w:val="21"/>
                      <w:lang w:val="en-US" w:eastAsia="zh-CN"/>
                    </w:rPr>
                    <w:t>/</w:t>
                  </w:r>
                </w:p>
              </w:tc>
              <w:tc>
                <w:tcPr>
                  <w:tcW w:w="780" w:type="pct"/>
                  <w:noWrap w:val="0"/>
                  <w:vAlign w:val="center"/>
                </w:tcPr>
                <w:p w14:paraId="43BF3586">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eastAsia="宋体"/>
                      <w:color w:val="auto"/>
                      <w:sz w:val="21"/>
                      <w:szCs w:val="21"/>
                      <w:lang w:val="en-US" w:eastAsia="zh-CN"/>
                    </w:rPr>
                  </w:pPr>
                  <w:r>
                    <w:rPr>
                      <w:rFonts w:hint="eastAsia" w:eastAsia="宋体"/>
                      <w:color w:val="auto"/>
                      <w:sz w:val="21"/>
                      <w:szCs w:val="21"/>
                      <w:lang w:val="en-US" w:eastAsia="zh-CN"/>
                    </w:rPr>
                    <w:t>/</w:t>
                  </w:r>
                </w:p>
              </w:tc>
              <w:tc>
                <w:tcPr>
                  <w:tcW w:w="1388" w:type="pct"/>
                  <w:vMerge w:val="continue"/>
                  <w:noWrap w:val="0"/>
                  <w:vAlign w:val="center"/>
                </w:tcPr>
                <w:p w14:paraId="0D73B302">
                  <w:pPr>
                    <w:keepNext w:val="0"/>
                    <w:keepLines w:val="0"/>
                    <w:pageBreakBefore w:val="0"/>
                    <w:widowControl w:val="0"/>
                    <w:kinsoku/>
                    <w:wordWrap/>
                    <w:overflowPunct/>
                    <w:topLinePunct w:val="0"/>
                    <w:autoSpaceDE/>
                    <w:autoSpaceDN w:val="0"/>
                    <w:bidi w:val="0"/>
                    <w:adjustRightInd/>
                    <w:snapToGrid/>
                    <w:spacing w:before="0" w:after="0" w:line="320" w:lineRule="exact"/>
                    <w:ind w:left="0" w:leftChars="0" w:right="0" w:rightChars="0" w:firstLine="0" w:firstLineChars="0"/>
                    <w:jc w:val="center"/>
                    <w:textAlignment w:val="center"/>
                    <w:rPr>
                      <w:rFonts w:hint="eastAsia"/>
                      <w:color w:val="auto"/>
                      <w:sz w:val="21"/>
                      <w:szCs w:val="21"/>
                    </w:rPr>
                  </w:pPr>
                </w:p>
              </w:tc>
            </w:tr>
            <w:tr w14:paraId="59310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400" w:type="pct"/>
                  <w:vMerge w:val="continue"/>
                  <w:noWrap w:val="0"/>
                  <w:vAlign w:val="center"/>
                </w:tcPr>
                <w:p w14:paraId="75CF7353">
                  <w:pPr>
                    <w:pStyle w:val="59"/>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rPr>
                  </w:pPr>
                </w:p>
              </w:tc>
              <w:tc>
                <w:tcPr>
                  <w:tcW w:w="672" w:type="pct"/>
                  <w:vMerge w:val="continue"/>
                  <w:noWrap w:val="0"/>
                  <w:vAlign w:val="center"/>
                </w:tcPr>
                <w:p w14:paraId="067FB6D8">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981" w:type="pct"/>
                  <w:noWrap w:val="0"/>
                  <w:vAlign w:val="center"/>
                </w:tcPr>
                <w:p w14:paraId="63726E77">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color w:val="auto"/>
                      <w:szCs w:val="21"/>
                    </w:rPr>
                  </w:pPr>
                  <w:r>
                    <w:rPr>
                      <w:rFonts w:hint="default" w:ascii="Times New Roman" w:hAnsi="Times New Roman" w:eastAsia="宋体" w:cs="Times New Roman"/>
                      <w:color w:val="auto"/>
                      <w:lang w:val="en-US" w:eastAsia="zh-CN"/>
                    </w:rPr>
                    <w:t>臭气</w:t>
                  </w:r>
                </w:p>
              </w:tc>
              <w:tc>
                <w:tcPr>
                  <w:tcW w:w="776" w:type="pct"/>
                  <w:noWrap w:val="0"/>
                  <w:vAlign w:val="center"/>
                </w:tcPr>
                <w:p w14:paraId="3B015379">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eastAsia" w:eastAsia="宋体"/>
                      <w:color w:val="auto"/>
                      <w:kern w:val="2"/>
                      <w:sz w:val="21"/>
                      <w:szCs w:val="21"/>
                      <w:lang w:val="en-US" w:eastAsia="zh-CN" w:bidi="ar-SA"/>
                    </w:rPr>
                  </w:pPr>
                  <w:r>
                    <w:rPr>
                      <w:rFonts w:hint="eastAsia" w:eastAsia="宋体"/>
                      <w:color w:val="auto"/>
                      <w:sz w:val="21"/>
                      <w:szCs w:val="21"/>
                      <w:lang w:val="en-US" w:eastAsia="zh-CN"/>
                    </w:rPr>
                    <w:t>/</w:t>
                  </w:r>
                </w:p>
              </w:tc>
              <w:tc>
                <w:tcPr>
                  <w:tcW w:w="780" w:type="pct"/>
                  <w:noWrap w:val="0"/>
                  <w:vAlign w:val="center"/>
                </w:tcPr>
                <w:p w14:paraId="29587480">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eastAsia" w:eastAsia="宋体"/>
                      <w:color w:val="auto"/>
                      <w:kern w:val="2"/>
                      <w:sz w:val="21"/>
                      <w:szCs w:val="21"/>
                      <w:lang w:val="en-US" w:eastAsia="zh-CN" w:bidi="ar-SA"/>
                    </w:rPr>
                  </w:pPr>
                  <w:r>
                    <w:rPr>
                      <w:rFonts w:hint="eastAsia" w:eastAsia="宋体"/>
                      <w:color w:val="auto"/>
                      <w:sz w:val="21"/>
                      <w:szCs w:val="21"/>
                      <w:lang w:val="en-US" w:eastAsia="zh-CN"/>
                    </w:rPr>
                    <w:t>/</w:t>
                  </w:r>
                </w:p>
              </w:tc>
              <w:tc>
                <w:tcPr>
                  <w:tcW w:w="1388" w:type="pct"/>
                  <w:vMerge w:val="continue"/>
                  <w:noWrap w:val="0"/>
                  <w:vAlign w:val="center"/>
                </w:tcPr>
                <w:p w14:paraId="6A01DF3C">
                  <w:pPr>
                    <w:keepNext w:val="0"/>
                    <w:keepLines w:val="0"/>
                    <w:pageBreakBefore w:val="0"/>
                    <w:widowControl w:val="0"/>
                    <w:kinsoku/>
                    <w:wordWrap/>
                    <w:overflowPunct/>
                    <w:topLinePunct w:val="0"/>
                    <w:autoSpaceDE/>
                    <w:autoSpaceDN w:val="0"/>
                    <w:bidi w:val="0"/>
                    <w:adjustRightInd/>
                    <w:snapToGrid/>
                    <w:spacing w:before="0" w:after="0" w:line="320" w:lineRule="exact"/>
                    <w:ind w:left="0" w:leftChars="0" w:right="0" w:rightChars="0" w:firstLine="0" w:firstLineChars="0"/>
                    <w:jc w:val="center"/>
                    <w:textAlignment w:val="center"/>
                    <w:rPr>
                      <w:rFonts w:hint="eastAsia"/>
                      <w:color w:val="auto"/>
                      <w:sz w:val="21"/>
                      <w:szCs w:val="21"/>
                    </w:rPr>
                  </w:pPr>
                </w:p>
              </w:tc>
            </w:tr>
            <w:tr w14:paraId="67A08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00" w:type="pct"/>
                  <w:vMerge w:val="continue"/>
                  <w:noWrap w:val="0"/>
                  <w:vAlign w:val="center"/>
                </w:tcPr>
                <w:p w14:paraId="02AC7A50">
                  <w:pPr>
                    <w:pStyle w:val="59"/>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sz w:val="21"/>
                      <w:szCs w:val="21"/>
                    </w:rPr>
                  </w:pPr>
                </w:p>
              </w:tc>
              <w:tc>
                <w:tcPr>
                  <w:tcW w:w="672" w:type="pct"/>
                  <w:noWrap w:val="0"/>
                  <w:vAlign w:val="center"/>
                </w:tcPr>
                <w:p w14:paraId="6DCC3967">
                  <w:pPr>
                    <w:pStyle w:val="68"/>
                    <w:bidi w:val="0"/>
                    <w:jc w:val="center"/>
                    <w:rPr>
                      <w:rFonts w:hint="default"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医疗废物暂存间臭气</w:t>
                  </w:r>
                </w:p>
              </w:tc>
              <w:tc>
                <w:tcPr>
                  <w:tcW w:w="981" w:type="pct"/>
                  <w:noWrap w:val="0"/>
                  <w:vAlign w:val="center"/>
                </w:tcPr>
                <w:p w14:paraId="3E2BB618">
                  <w:pPr>
                    <w:pStyle w:val="68"/>
                    <w:bidi w:val="0"/>
                    <w:ind w:firstLine="0" w:firstLineChars="0"/>
                    <w:jc w:val="center"/>
                    <w:rPr>
                      <w:rFonts w:hint="default"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臭气</w:t>
                  </w:r>
                </w:p>
              </w:tc>
              <w:tc>
                <w:tcPr>
                  <w:tcW w:w="776" w:type="pct"/>
                  <w:noWrap w:val="0"/>
                  <w:vAlign w:val="center"/>
                </w:tcPr>
                <w:p w14:paraId="5292E235">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臭气</w:t>
                  </w:r>
                </w:p>
              </w:tc>
              <w:tc>
                <w:tcPr>
                  <w:tcW w:w="780" w:type="pct"/>
                  <w:noWrap w:val="0"/>
                  <w:vAlign w:val="center"/>
                </w:tcPr>
                <w:p w14:paraId="29CDD02D">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少量</w:t>
                  </w:r>
                </w:p>
              </w:tc>
              <w:tc>
                <w:tcPr>
                  <w:tcW w:w="1388" w:type="pct"/>
                  <w:noWrap w:val="0"/>
                  <w:vAlign w:val="center"/>
                </w:tcPr>
                <w:p w14:paraId="1BEEF739">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default" w:ascii="Times New Roman" w:hAnsi="Times New Roman" w:eastAsia="宋体" w:cs="Times New Roman"/>
                      <w:color w:val="auto"/>
                      <w:lang w:val="en-US" w:eastAsia="zh-CN"/>
                    </w:rPr>
                    <w:t>无组织排放</w:t>
                  </w:r>
                </w:p>
              </w:tc>
            </w:tr>
            <w:tr w14:paraId="09417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00" w:type="pct"/>
                  <w:vMerge w:val="restart"/>
                  <w:noWrap w:val="0"/>
                  <w:vAlign w:val="center"/>
                </w:tcPr>
                <w:p w14:paraId="082C48FC">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废水</w:t>
                  </w:r>
                </w:p>
              </w:tc>
              <w:tc>
                <w:tcPr>
                  <w:tcW w:w="672" w:type="pct"/>
                  <w:vMerge w:val="restart"/>
                  <w:noWrap w:val="0"/>
                  <w:vAlign w:val="center"/>
                </w:tcPr>
                <w:p w14:paraId="41D4198D">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综合</w:t>
                  </w:r>
                  <w:r>
                    <w:rPr>
                      <w:rFonts w:hint="default" w:ascii="Times New Roman" w:hAnsi="Times New Roman" w:eastAsia="宋体" w:cs="Times New Roman"/>
                      <w:color w:val="auto"/>
                      <w:sz w:val="21"/>
                      <w:szCs w:val="21"/>
                    </w:rPr>
                    <w:t>废水</w:t>
                  </w:r>
                  <w:r>
                    <w:rPr>
                      <w:rFonts w:hint="eastAsia"/>
                      <w:color w:val="auto"/>
                      <w:szCs w:val="21"/>
                      <w:lang w:val="en-US" w:eastAsia="zh-CN"/>
                    </w:rPr>
                    <w:t>22633.8</w:t>
                  </w:r>
                  <w:r>
                    <w:rPr>
                      <w:rFonts w:hint="eastAsia" w:cs="Times New Roman"/>
                      <w:color w:val="auto"/>
                      <w:lang w:val="en-US" w:eastAsia="zh-CN"/>
                    </w:rPr>
                    <w:t>m</w:t>
                  </w:r>
                  <w:r>
                    <w:rPr>
                      <w:rFonts w:hint="eastAsia" w:cs="Times New Roman"/>
                      <w:color w:val="auto"/>
                      <w:vertAlign w:val="superscript"/>
                      <w:lang w:val="en-US" w:eastAsia="zh-CN"/>
                    </w:rPr>
                    <w:t>3</w:t>
                  </w:r>
                  <w:r>
                    <w:rPr>
                      <w:rFonts w:hint="eastAsia" w:cs="Times New Roman"/>
                      <w:color w:val="auto"/>
                      <w:lang w:val="en-US" w:eastAsia="zh-CN"/>
                    </w:rPr>
                    <w:t>/a</w:t>
                  </w:r>
                </w:p>
              </w:tc>
              <w:tc>
                <w:tcPr>
                  <w:tcW w:w="981" w:type="pct"/>
                  <w:noWrap w:val="0"/>
                  <w:vAlign w:val="center"/>
                </w:tcPr>
                <w:p w14:paraId="1594DCAD">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COD</w:t>
                  </w:r>
                </w:p>
              </w:tc>
              <w:tc>
                <w:tcPr>
                  <w:tcW w:w="776" w:type="pct"/>
                  <w:noWrap w:val="0"/>
                  <w:vAlign w:val="center"/>
                </w:tcPr>
                <w:p w14:paraId="6AAEB05A">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1.83</w:t>
                  </w:r>
                  <w:r>
                    <w:rPr>
                      <w:rFonts w:hint="eastAsia"/>
                      <w:color w:val="auto"/>
                      <w:sz w:val="21"/>
                      <w:szCs w:val="21"/>
                      <w:lang w:val="en-US" w:eastAsia="zh-CN"/>
                    </w:rPr>
                    <w:t>t/a</w:t>
                  </w:r>
                </w:p>
              </w:tc>
              <w:tc>
                <w:tcPr>
                  <w:tcW w:w="780" w:type="pct"/>
                  <w:noWrap w:val="0"/>
                  <w:vAlign w:val="center"/>
                </w:tcPr>
                <w:p w14:paraId="0FA62B84">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1.1317</w:t>
                  </w:r>
                  <w:r>
                    <w:rPr>
                      <w:rFonts w:hint="eastAsia"/>
                      <w:color w:val="auto"/>
                      <w:sz w:val="21"/>
                      <w:szCs w:val="21"/>
                      <w:lang w:val="en-US" w:eastAsia="zh-CN"/>
                    </w:rPr>
                    <w:t>t/a</w:t>
                  </w:r>
                </w:p>
              </w:tc>
              <w:tc>
                <w:tcPr>
                  <w:tcW w:w="1388" w:type="pct"/>
                  <w:vMerge w:val="restart"/>
                  <w:noWrap w:val="0"/>
                  <w:vAlign w:val="center"/>
                </w:tcPr>
                <w:p w14:paraId="7FFE071B">
                  <w:pPr>
                    <w:keepNext w:val="0"/>
                    <w:keepLines w:val="0"/>
                    <w:pageBreakBefore w:val="0"/>
                    <w:widowControl w:val="0"/>
                    <w:kinsoku/>
                    <w:wordWrap/>
                    <w:overflowPunct/>
                    <w:topLinePunct w:val="0"/>
                    <w:autoSpaceDE/>
                    <w:bidi w:val="0"/>
                    <w:adjustRightInd/>
                    <w:snapToGrid/>
                    <w:spacing w:line="320" w:lineRule="exact"/>
                    <w:jc w:val="center"/>
                    <w:rPr>
                      <w:rFonts w:hint="eastAsia" w:eastAsia="宋体"/>
                      <w:color w:val="auto"/>
                      <w:sz w:val="21"/>
                      <w:szCs w:val="21"/>
                      <w:lang w:eastAsia="zh-CN"/>
                    </w:rPr>
                  </w:pPr>
                  <w:r>
                    <w:rPr>
                      <w:color w:val="auto"/>
                      <w:szCs w:val="21"/>
                    </w:rPr>
                    <w:t>废水经污水处理站处理后排入市政污水管网进入</w:t>
                  </w:r>
                  <w:r>
                    <w:rPr>
                      <w:rFonts w:hint="eastAsia"/>
                      <w:color w:val="auto"/>
                      <w:szCs w:val="21"/>
                      <w:lang w:eastAsia="zh-CN"/>
                    </w:rPr>
                    <w:t>鸡冠石污水处理厂</w:t>
                  </w:r>
                  <w:r>
                    <w:rPr>
                      <w:color w:val="auto"/>
                      <w:szCs w:val="21"/>
                    </w:rPr>
                    <w:t>处理后排入</w:t>
                  </w:r>
                  <w:r>
                    <w:rPr>
                      <w:rFonts w:hint="eastAsia"/>
                      <w:color w:val="auto"/>
                      <w:szCs w:val="21"/>
                      <w:lang w:val="en-US" w:eastAsia="zh-CN"/>
                    </w:rPr>
                    <w:t>长江</w:t>
                  </w:r>
                </w:p>
              </w:tc>
            </w:tr>
            <w:tr w14:paraId="5228C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8" w:hRule="atLeast"/>
                <w:jc w:val="center"/>
              </w:trPr>
              <w:tc>
                <w:tcPr>
                  <w:tcW w:w="400" w:type="pct"/>
                  <w:vMerge w:val="continue"/>
                  <w:noWrap w:val="0"/>
                  <w:vAlign w:val="center"/>
                </w:tcPr>
                <w:p w14:paraId="569A54BA">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672" w:type="pct"/>
                  <w:vMerge w:val="continue"/>
                  <w:noWrap w:val="0"/>
                  <w:vAlign w:val="center"/>
                </w:tcPr>
                <w:p w14:paraId="5085D750">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lang w:val="en-US" w:eastAsia="zh-CN" w:bidi="ar-SA"/>
                    </w:rPr>
                  </w:pPr>
                </w:p>
              </w:tc>
              <w:tc>
                <w:tcPr>
                  <w:tcW w:w="981" w:type="pct"/>
                  <w:noWrap w:val="0"/>
                  <w:vAlign w:val="center"/>
                </w:tcPr>
                <w:p w14:paraId="11158051">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氨氮</w:t>
                  </w:r>
                </w:p>
              </w:tc>
              <w:tc>
                <w:tcPr>
                  <w:tcW w:w="776" w:type="pct"/>
                  <w:noWrap w:val="0"/>
                  <w:vAlign w:val="center"/>
                </w:tcPr>
                <w:p w14:paraId="0AE14C7F">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0.24</w:t>
                  </w:r>
                  <w:r>
                    <w:rPr>
                      <w:rFonts w:hint="eastAsia"/>
                      <w:color w:val="auto"/>
                      <w:sz w:val="21"/>
                      <w:szCs w:val="21"/>
                      <w:lang w:val="en-US" w:eastAsia="zh-CN"/>
                    </w:rPr>
                    <w:t>t/a</w:t>
                  </w:r>
                </w:p>
              </w:tc>
              <w:tc>
                <w:tcPr>
                  <w:tcW w:w="780" w:type="pct"/>
                  <w:noWrap w:val="0"/>
                  <w:vAlign w:val="center"/>
                </w:tcPr>
                <w:p w14:paraId="718D47DB">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0.1132</w:t>
                  </w:r>
                  <w:r>
                    <w:rPr>
                      <w:rFonts w:hint="eastAsia"/>
                      <w:color w:val="auto"/>
                      <w:sz w:val="21"/>
                      <w:szCs w:val="21"/>
                      <w:lang w:val="en-US" w:eastAsia="zh-CN"/>
                    </w:rPr>
                    <w:t>t/a</w:t>
                  </w:r>
                </w:p>
              </w:tc>
              <w:tc>
                <w:tcPr>
                  <w:tcW w:w="1388" w:type="pct"/>
                  <w:vMerge w:val="continue"/>
                  <w:noWrap w:val="0"/>
                  <w:vAlign w:val="center"/>
                </w:tcPr>
                <w:p w14:paraId="3058716A">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rPr>
                  </w:pPr>
                </w:p>
              </w:tc>
            </w:tr>
            <w:tr w14:paraId="15D25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400" w:type="pct"/>
                  <w:vMerge w:val="restart"/>
                  <w:noWrap w:val="0"/>
                  <w:vAlign w:val="center"/>
                </w:tcPr>
                <w:p w14:paraId="1CA1F3CD">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固废</w:t>
                  </w:r>
                </w:p>
              </w:tc>
              <w:tc>
                <w:tcPr>
                  <w:tcW w:w="672" w:type="pct"/>
                  <w:vMerge w:val="restart"/>
                  <w:noWrap w:val="0"/>
                  <w:vAlign w:val="center"/>
                </w:tcPr>
                <w:p w14:paraId="09BD2DB3">
                  <w:pPr>
                    <w:pStyle w:val="45"/>
                    <w:spacing w:before="24" w:after="24" w:line="240" w:lineRule="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bidi="ar"/>
                    </w:rPr>
                    <w:t>一般固废</w:t>
                  </w:r>
                </w:p>
              </w:tc>
              <w:tc>
                <w:tcPr>
                  <w:tcW w:w="981" w:type="pct"/>
                  <w:noWrap w:val="0"/>
                  <w:vAlign w:val="center"/>
                </w:tcPr>
                <w:p w14:paraId="0A0E1136">
                  <w:pPr>
                    <w:pStyle w:val="45"/>
                    <w:spacing w:before="24" w:after="24" w:line="240" w:lineRule="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生活垃圾</w:t>
                  </w:r>
                  <w:r>
                    <w:rPr>
                      <w:rFonts w:hint="default" w:ascii="Times New Roman" w:hAnsi="Times New Roman" w:cs="Times New Roman"/>
                      <w:color w:val="auto"/>
                      <w:sz w:val="21"/>
                      <w:szCs w:val="21"/>
                      <w:lang w:val="en-US" w:eastAsia="zh-CN"/>
                    </w:rPr>
                    <w:t>t/a</w:t>
                  </w:r>
                </w:p>
              </w:tc>
              <w:tc>
                <w:tcPr>
                  <w:tcW w:w="776" w:type="pct"/>
                  <w:noWrap w:val="0"/>
                  <w:vAlign w:val="center"/>
                </w:tcPr>
                <w:p w14:paraId="7FEB2B84">
                  <w:pPr>
                    <w:pStyle w:val="45"/>
                    <w:spacing w:before="24" w:after="24" w:line="240" w:lineRule="auto"/>
                    <w:rPr>
                      <w:rFonts w:hint="default" w:hAnsi="宋体" w:eastAsia="宋体"/>
                      <w:color w:val="auto"/>
                      <w:sz w:val="21"/>
                      <w:szCs w:val="21"/>
                      <w:lang w:val="en-US" w:eastAsia="zh-CN"/>
                    </w:rPr>
                  </w:pPr>
                  <w:r>
                    <w:rPr>
                      <w:rFonts w:hint="eastAsia" w:ascii="Times New Roman"/>
                      <w:b w:val="0"/>
                      <w:bCs w:val="0"/>
                      <w:color w:val="auto"/>
                      <w:szCs w:val="21"/>
                      <w:lang w:val="en-US" w:eastAsia="zh-CN" w:bidi="ar"/>
                    </w:rPr>
                    <w:t>82.13</w:t>
                  </w:r>
                  <w:r>
                    <w:rPr>
                      <w:rFonts w:hint="eastAsia"/>
                      <w:color w:val="auto"/>
                      <w:sz w:val="21"/>
                      <w:szCs w:val="21"/>
                      <w:lang w:eastAsia="zh-CN"/>
                    </w:rPr>
                    <w:t>（产生量）</w:t>
                  </w:r>
                </w:p>
              </w:tc>
              <w:tc>
                <w:tcPr>
                  <w:tcW w:w="780" w:type="pct"/>
                  <w:noWrap w:val="0"/>
                  <w:vAlign w:val="center"/>
                </w:tcPr>
                <w:p w14:paraId="2E58A2F8">
                  <w:pPr>
                    <w:pStyle w:val="45"/>
                    <w:spacing w:before="24" w:after="24" w:line="240" w:lineRule="auto"/>
                    <w:rPr>
                      <w:rFonts w:hint="default" w:hAnsi="宋体" w:eastAsia="宋体"/>
                      <w:color w:val="auto"/>
                      <w:kern w:val="2"/>
                      <w:sz w:val="21"/>
                      <w:szCs w:val="21"/>
                      <w:lang w:val="en-US" w:eastAsia="zh-CN" w:bidi="ar-SA"/>
                    </w:rPr>
                  </w:pPr>
                  <w:r>
                    <w:rPr>
                      <w:rFonts w:hint="eastAsia" w:ascii="Times New Roman"/>
                      <w:b w:val="0"/>
                      <w:bCs w:val="0"/>
                      <w:color w:val="auto"/>
                      <w:szCs w:val="21"/>
                      <w:lang w:val="en-US" w:eastAsia="zh-CN" w:bidi="ar"/>
                    </w:rPr>
                    <w:t>82.13</w:t>
                  </w:r>
                  <w:r>
                    <w:rPr>
                      <w:rFonts w:hint="eastAsia"/>
                      <w:color w:val="auto"/>
                      <w:sz w:val="21"/>
                      <w:szCs w:val="21"/>
                      <w:lang w:eastAsia="zh-CN"/>
                    </w:rPr>
                    <w:t>（产生量）</w:t>
                  </w:r>
                </w:p>
              </w:tc>
              <w:tc>
                <w:tcPr>
                  <w:tcW w:w="1388" w:type="pct"/>
                  <w:vMerge w:val="restart"/>
                  <w:noWrap w:val="0"/>
                  <w:vAlign w:val="center"/>
                </w:tcPr>
                <w:p w14:paraId="0C46186D">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lang w:val="en-US" w:eastAsia="zh-CN"/>
                    </w:rPr>
                  </w:pPr>
                  <w:r>
                    <w:rPr>
                      <w:color w:val="auto"/>
                      <w:szCs w:val="21"/>
                    </w:rPr>
                    <w:t>市政环卫部门处理</w:t>
                  </w:r>
                </w:p>
              </w:tc>
            </w:tr>
            <w:tr w14:paraId="6F229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00" w:type="pct"/>
                  <w:vMerge w:val="continue"/>
                  <w:noWrap w:val="0"/>
                  <w:vAlign w:val="center"/>
                </w:tcPr>
                <w:p w14:paraId="502432C7">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672" w:type="pct"/>
                  <w:vMerge w:val="continue"/>
                  <w:noWrap w:val="0"/>
                  <w:vAlign w:val="center"/>
                </w:tcPr>
                <w:p w14:paraId="3DF3DD7B">
                  <w:pPr>
                    <w:pStyle w:val="45"/>
                    <w:spacing w:before="24" w:after="24" w:line="240" w:lineRule="auto"/>
                    <w:rPr>
                      <w:rFonts w:hint="default" w:ascii="Times New Roman" w:hAnsi="Times New Roman" w:cs="Times New Roman"/>
                      <w:color w:val="auto"/>
                      <w:kern w:val="2"/>
                      <w:sz w:val="21"/>
                      <w:szCs w:val="21"/>
                      <w:lang w:val="en-US" w:eastAsia="zh-CN" w:bidi="ar-SA"/>
                    </w:rPr>
                  </w:pPr>
                </w:p>
              </w:tc>
              <w:tc>
                <w:tcPr>
                  <w:tcW w:w="981" w:type="pct"/>
                  <w:noWrap w:val="0"/>
                  <w:vAlign w:val="center"/>
                </w:tcPr>
                <w:p w14:paraId="05214E67">
                  <w:pPr>
                    <w:pStyle w:val="45"/>
                    <w:spacing w:before="24" w:after="24" w:line="240" w:lineRule="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污水处理站污泥</w:t>
                  </w:r>
                  <w:r>
                    <w:rPr>
                      <w:rFonts w:hint="default" w:ascii="Times New Roman" w:hAnsi="Times New Roman" w:cs="Times New Roman"/>
                      <w:color w:val="auto"/>
                      <w:sz w:val="21"/>
                      <w:szCs w:val="21"/>
                      <w:lang w:val="en-US" w:eastAsia="zh-CN"/>
                    </w:rPr>
                    <w:t>t/a</w:t>
                  </w:r>
                </w:p>
              </w:tc>
              <w:tc>
                <w:tcPr>
                  <w:tcW w:w="776" w:type="pct"/>
                  <w:noWrap w:val="0"/>
                  <w:vAlign w:val="center"/>
                </w:tcPr>
                <w:p w14:paraId="77337DFF">
                  <w:pPr>
                    <w:pStyle w:val="45"/>
                    <w:spacing w:before="24" w:after="24" w:line="240" w:lineRule="auto"/>
                    <w:rPr>
                      <w:rFonts w:hint="default" w:ascii="Times New Roman" w:hAnsi="宋体" w:eastAsia="宋体" w:cs="Times New Roman"/>
                      <w:color w:val="auto"/>
                      <w:sz w:val="21"/>
                      <w:szCs w:val="21"/>
                      <w:lang w:val="en-US" w:eastAsia="zh-CN"/>
                    </w:rPr>
                  </w:pPr>
                  <w:r>
                    <w:rPr>
                      <w:rFonts w:hint="eastAsia" w:ascii="Times New Roman"/>
                      <w:color w:val="auto"/>
                      <w:szCs w:val="21"/>
                      <w:lang w:val="en-US" w:eastAsia="zh-CN"/>
                    </w:rPr>
                    <w:t>6.57</w:t>
                  </w:r>
                  <w:r>
                    <w:rPr>
                      <w:rFonts w:hint="eastAsia"/>
                      <w:color w:val="auto"/>
                      <w:sz w:val="21"/>
                      <w:szCs w:val="21"/>
                      <w:lang w:eastAsia="zh-CN"/>
                    </w:rPr>
                    <w:t>（产生量）</w:t>
                  </w:r>
                </w:p>
              </w:tc>
              <w:tc>
                <w:tcPr>
                  <w:tcW w:w="780" w:type="pct"/>
                  <w:noWrap w:val="0"/>
                  <w:vAlign w:val="center"/>
                </w:tcPr>
                <w:p w14:paraId="6897083E">
                  <w:pPr>
                    <w:pStyle w:val="45"/>
                    <w:spacing w:before="24" w:after="24" w:line="240" w:lineRule="auto"/>
                    <w:rPr>
                      <w:rFonts w:hint="eastAsia" w:ascii="Times New Roman" w:hAnsi="宋体" w:eastAsia="宋体" w:cs="Times New Roman"/>
                      <w:color w:val="auto"/>
                      <w:kern w:val="2"/>
                      <w:sz w:val="21"/>
                      <w:szCs w:val="21"/>
                      <w:lang w:val="en-US" w:eastAsia="zh-CN" w:bidi="ar-SA"/>
                    </w:rPr>
                  </w:pPr>
                  <w:r>
                    <w:rPr>
                      <w:rFonts w:hint="eastAsia" w:ascii="Times New Roman"/>
                      <w:color w:val="auto"/>
                      <w:szCs w:val="21"/>
                      <w:lang w:val="en-US" w:eastAsia="zh-CN"/>
                    </w:rPr>
                    <w:t>6.57</w:t>
                  </w:r>
                  <w:r>
                    <w:rPr>
                      <w:rFonts w:hint="eastAsia"/>
                      <w:color w:val="auto"/>
                      <w:sz w:val="21"/>
                      <w:szCs w:val="21"/>
                      <w:lang w:eastAsia="zh-CN"/>
                    </w:rPr>
                    <w:t>（产生量）</w:t>
                  </w:r>
                </w:p>
              </w:tc>
              <w:tc>
                <w:tcPr>
                  <w:tcW w:w="1388" w:type="pct"/>
                  <w:vMerge w:val="continue"/>
                  <w:noWrap w:val="0"/>
                  <w:vAlign w:val="center"/>
                </w:tcPr>
                <w:p w14:paraId="2B635509">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lang w:val="en-US" w:eastAsia="zh-CN"/>
                    </w:rPr>
                  </w:pPr>
                </w:p>
              </w:tc>
            </w:tr>
            <w:tr w14:paraId="6F87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400" w:type="pct"/>
                  <w:vMerge w:val="continue"/>
                  <w:noWrap w:val="0"/>
                  <w:vAlign w:val="center"/>
                </w:tcPr>
                <w:p w14:paraId="05B4BB98">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672" w:type="pct"/>
                  <w:vMerge w:val="continue"/>
                  <w:noWrap w:val="0"/>
                  <w:vAlign w:val="center"/>
                </w:tcPr>
                <w:p w14:paraId="051F29C6">
                  <w:pPr>
                    <w:pStyle w:val="45"/>
                    <w:spacing w:before="24" w:after="24" w:line="240" w:lineRule="auto"/>
                    <w:rPr>
                      <w:rFonts w:hint="default" w:ascii="Times New Roman" w:hAnsi="Times New Roman" w:cs="Times New Roman"/>
                      <w:color w:val="auto"/>
                      <w:kern w:val="2"/>
                      <w:sz w:val="21"/>
                      <w:szCs w:val="21"/>
                      <w:lang w:val="en-US" w:eastAsia="zh-CN" w:bidi="ar-SA"/>
                    </w:rPr>
                  </w:pPr>
                </w:p>
              </w:tc>
              <w:tc>
                <w:tcPr>
                  <w:tcW w:w="981" w:type="pct"/>
                  <w:noWrap w:val="0"/>
                  <w:vAlign w:val="center"/>
                </w:tcPr>
                <w:p w14:paraId="07E14941">
                  <w:pPr>
                    <w:pStyle w:val="45"/>
                    <w:spacing w:before="24" w:after="24" w:line="240" w:lineRule="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无毒无害废包装材料</w:t>
                  </w:r>
                </w:p>
              </w:tc>
              <w:tc>
                <w:tcPr>
                  <w:tcW w:w="776" w:type="pct"/>
                  <w:noWrap w:val="0"/>
                  <w:vAlign w:val="center"/>
                </w:tcPr>
                <w:p w14:paraId="5D534D2E">
                  <w:pPr>
                    <w:pStyle w:val="45"/>
                    <w:spacing w:before="24" w:after="24"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color w:val="auto"/>
                      <w:szCs w:val="21"/>
                      <w:lang w:val="en-US" w:eastAsia="zh-CN"/>
                    </w:rPr>
                    <w:t>0.1</w:t>
                  </w:r>
                  <w:r>
                    <w:rPr>
                      <w:rFonts w:hint="eastAsia"/>
                      <w:color w:val="auto"/>
                      <w:sz w:val="21"/>
                      <w:szCs w:val="21"/>
                      <w:lang w:eastAsia="zh-CN"/>
                    </w:rPr>
                    <w:t>（产生量）</w:t>
                  </w:r>
                </w:p>
              </w:tc>
              <w:tc>
                <w:tcPr>
                  <w:tcW w:w="780" w:type="pct"/>
                  <w:noWrap w:val="0"/>
                  <w:vAlign w:val="center"/>
                </w:tcPr>
                <w:p w14:paraId="0CE54A37">
                  <w:pPr>
                    <w:pStyle w:val="45"/>
                    <w:spacing w:before="24" w:after="24"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color w:val="auto"/>
                      <w:szCs w:val="21"/>
                      <w:lang w:val="en-US" w:eastAsia="zh-CN"/>
                    </w:rPr>
                    <w:t>0.1</w:t>
                  </w:r>
                  <w:r>
                    <w:rPr>
                      <w:rFonts w:hint="eastAsia"/>
                      <w:color w:val="auto"/>
                      <w:sz w:val="21"/>
                      <w:szCs w:val="21"/>
                      <w:lang w:eastAsia="zh-CN"/>
                    </w:rPr>
                    <w:t>（产生量）</w:t>
                  </w:r>
                </w:p>
              </w:tc>
              <w:tc>
                <w:tcPr>
                  <w:tcW w:w="1388" w:type="pct"/>
                  <w:vMerge w:val="continue"/>
                  <w:noWrap w:val="0"/>
                  <w:vAlign w:val="center"/>
                </w:tcPr>
                <w:p w14:paraId="00628709">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rPr>
                  </w:pPr>
                </w:p>
              </w:tc>
            </w:tr>
            <w:tr w14:paraId="614CE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6" w:hRule="atLeast"/>
                <w:jc w:val="center"/>
              </w:trPr>
              <w:tc>
                <w:tcPr>
                  <w:tcW w:w="400" w:type="pct"/>
                  <w:vMerge w:val="continue"/>
                  <w:noWrap w:val="0"/>
                  <w:vAlign w:val="center"/>
                </w:tcPr>
                <w:p w14:paraId="36576644">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672" w:type="pct"/>
                  <w:noWrap w:val="0"/>
                  <w:vAlign w:val="center"/>
                </w:tcPr>
                <w:p w14:paraId="6EC6C457">
                  <w:pPr>
                    <w:pStyle w:val="45"/>
                    <w:spacing w:before="24" w:after="24" w:line="240" w:lineRule="auto"/>
                    <w:rPr>
                      <w:rFonts w:hint="default" w:ascii="Times New Roman" w:hAnsi="Times New Roman" w:cs="Times New Roman"/>
                      <w:bCs/>
                      <w:color w:val="auto"/>
                      <w:kern w:val="0"/>
                      <w:sz w:val="21"/>
                      <w:szCs w:val="21"/>
                    </w:rPr>
                  </w:pPr>
                  <w:r>
                    <w:rPr>
                      <w:rFonts w:hint="default" w:ascii="Times New Roman" w:hAnsi="Times New Roman" w:cs="Times New Roman"/>
                      <w:color w:val="auto"/>
                      <w:szCs w:val="21"/>
                    </w:rPr>
                    <w:t>危险废物</w:t>
                  </w:r>
                </w:p>
              </w:tc>
              <w:tc>
                <w:tcPr>
                  <w:tcW w:w="981" w:type="pct"/>
                  <w:noWrap w:val="0"/>
                  <w:vAlign w:val="center"/>
                </w:tcPr>
                <w:p w14:paraId="1B1A4849">
                  <w:pPr>
                    <w:pStyle w:val="45"/>
                    <w:spacing w:before="24" w:after="24" w:line="240" w:lineRule="auto"/>
                    <w:rPr>
                      <w:rFonts w:hint="default" w:ascii="Times New Roman" w:hAnsi="Times New Roman" w:cs="Times New Roman"/>
                      <w:color w:val="auto"/>
                      <w:szCs w:val="21"/>
                    </w:rPr>
                  </w:pPr>
                  <w:r>
                    <w:rPr>
                      <w:rFonts w:hint="default" w:ascii="Times New Roman" w:hAnsi="Times New Roman" w:eastAsia="宋体" w:cs="Times New Roman"/>
                      <w:color w:val="auto"/>
                      <w:szCs w:val="21"/>
                    </w:rPr>
                    <w:t>废紫外线灯管</w:t>
                  </w:r>
                </w:p>
              </w:tc>
              <w:tc>
                <w:tcPr>
                  <w:tcW w:w="776" w:type="pct"/>
                  <w:noWrap w:val="0"/>
                  <w:vAlign w:val="center"/>
                </w:tcPr>
                <w:p w14:paraId="64566CDA">
                  <w:pPr>
                    <w:pStyle w:val="45"/>
                    <w:spacing w:before="24" w:after="24" w:line="240" w:lineRule="auto"/>
                    <w:rPr>
                      <w:rFonts w:hint="default" w:ascii="Times New Roman"/>
                      <w:color w:val="auto"/>
                      <w:szCs w:val="21"/>
                      <w:lang w:val="en-US" w:eastAsia="zh-CN" w:bidi="ar"/>
                    </w:rPr>
                  </w:pPr>
                  <w:r>
                    <w:rPr>
                      <w:rFonts w:hint="eastAsia" w:ascii="Times New Roman"/>
                      <w:color w:val="auto"/>
                      <w:szCs w:val="21"/>
                      <w:lang w:val="en-US" w:eastAsia="zh-CN" w:bidi="ar"/>
                    </w:rPr>
                    <w:t>0.01</w:t>
                  </w:r>
                  <w:r>
                    <w:rPr>
                      <w:rFonts w:hint="eastAsia"/>
                      <w:color w:val="auto"/>
                      <w:sz w:val="21"/>
                      <w:szCs w:val="21"/>
                      <w:lang w:eastAsia="zh-CN"/>
                    </w:rPr>
                    <w:t>（产生量）</w:t>
                  </w:r>
                </w:p>
              </w:tc>
              <w:tc>
                <w:tcPr>
                  <w:tcW w:w="780" w:type="pct"/>
                  <w:noWrap w:val="0"/>
                  <w:vAlign w:val="center"/>
                </w:tcPr>
                <w:p w14:paraId="50D6B8EB">
                  <w:pPr>
                    <w:pStyle w:val="45"/>
                    <w:spacing w:before="24" w:after="24" w:line="240" w:lineRule="auto"/>
                    <w:rPr>
                      <w:rFonts w:hint="eastAsia" w:ascii="Times New Roman"/>
                      <w:color w:val="auto"/>
                      <w:szCs w:val="21"/>
                      <w:lang w:val="en-US" w:eastAsia="zh-CN" w:bidi="ar"/>
                    </w:rPr>
                  </w:pPr>
                  <w:r>
                    <w:rPr>
                      <w:rFonts w:hint="eastAsia" w:ascii="Times New Roman"/>
                      <w:color w:val="auto"/>
                      <w:szCs w:val="21"/>
                      <w:lang w:val="en-US" w:eastAsia="zh-CN" w:bidi="ar"/>
                    </w:rPr>
                    <w:t>0.01</w:t>
                  </w:r>
                  <w:r>
                    <w:rPr>
                      <w:rFonts w:hint="eastAsia"/>
                      <w:color w:val="auto"/>
                      <w:sz w:val="21"/>
                      <w:szCs w:val="21"/>
                      <w:lang w:eastAsia="zh-CN"/>
                    </w:rPr>
                    <w:t>（产生量）</w:t>
                  </w:r>
                </w:p>
              </w:tc>
              <w:tc>
                <w:tcPr>
                  <w:tcW w:w="1388" w:type="pct"/>
                  <w:noWrap w:val="0"/>
                  <w:vAlign w:val="center"/>
                </w:tcPr>
                <w:p w14:paraId="6A2FE8E7">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rPr>
                  </w:pPr>
                  <w:r>
                    <w:rPr>
                      <w:rFonts w:hint="eastAsia"/>
                      <w:color w:val="auto"/>
                      <w:sz w:val="21"/>
                      <w:szCs w:val="21"/>
                      <w:lang w:val="en-US" w:eastAsia="zh-CN"/>
                    </w:rPr>
                    <w:t>交由重庆云青环保科技有限公司处理</w:t>
                  </w:r>
                </w:p>
              </w:tc>
            </w:tr>
            <w:tr w14:paraId="3B533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00" w:type="pct"/>
                  <w:vMerge w:val="continue"/>
                  <w:noWrap w:val="0"/>
                  <w:vAlign w:val="center"/>
                </w:tcPr>
                <w:p w14:paraId="5A71F482">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1653" w:type="pct"/>
                  <w:gridSpan w:val="2"/>
                  <w:noWrap w:val="0"/>
                  <w:vAlign w:val="center"/>
                </w:tcPr>
                <w:p w14:paraId="1DFC032D">
                  <w:pPr>
                    <w:pStyle w:val="45"/>
                    <w:spacing w:before="24" w:after="24" w:line="240" w:lineRule="auto"/>
                    <w:rPr>
                      <w:rFonts w:hint="default" w:ascii="Times New Roman" w:hAnsi="Times New Roman" w:cs="Times New Roman"/>
                      <w:bCs/>
                      <w:color w:val="auto"/>
                      <w:kern w:val="0"/>
                      <w:sz w:val="21"/>
                      <w:szCs w:val="21"/>
                    </w:rPr>
                  </w:pPr>
                  <w:r>
                    <w:rPr>
                      <w:rFonts w:hint="default" w:ascii="Times New Roman" w:hAnsi="Times New Roman" w:cs="Times New Roman"/>
                      <w:color w:val="auto"/>
                      <w:szCs w:val="21"/>
                      <w:lang w:val="en-US" w:eastAsia="zh-CN"/>
                    </w:rPr>
                    <w:t>特殊</w:t>
                  </w:r>
                  <w:r>
                    <w:rPr>
                      <w:rFonts w:hint="default" w:ascii="Times New Roman" w:hAnsi="Times New Roman" w:cs="Times New Roman"/>
                      <w:color w:val="auto"/>
                      <w:szCs w:val="21"/>
                    </w:rPr>
                    <w:t>废液</w:t>
                  </w:r>
                  <w:r>
                    <w:rPr>
                      <w:rFonts w:hint="default" w:ascii="Times New Roman" w:hAnsi="Times New Roman" w:cs="Times New Roman"/>
                      <w:color w:val="auto"/>
                      <w:sz w:val="21"/>
                      <w:szCs w:val="21"/>
                      <w:lang w:val="en-US" w:eastAsia="zh-CN"/>
                    </w:rPr>
                    <w:t>t/a</w:t>
                  </w:r>
                </w:p>
              </w:tc>
              <w:tc>
                <w:tcPr>
                  <w:tcW w:w="776" w:type="pct"/>
                  <w:noWrap w:val="0"/>
                  <w:vAlign w:val="center"/>
                </w:tcPr>
                <w:p w14:paraId="2C0500CB">
                  <w:pPr>
                    <w:pStyle w:val="45"/>
                    <w:spacing w:before="24" w:after="24" w:line="240" w:lineRule="auto"/>
                    <w:rPr>
                      <w:rFonts w:hint="eastAsia"/>
                      <w:color w:val="auto"/>
                      <w:sz w:val="21"/>
                      <w:szCs w:val="21"/>
                      <w:lang w:val="en-US" w:eastAsia="zh-CN"/>
                    </w:rPr>
                  </w:pPr>
                  <w:r>
                    <w:rPr>
                      <w:rFonts w:hint="eastAsia" w:ascii="Times New Roman"/>
                      <w:color w:val="auto"/>
                      <w:szCs w:val="21"/>
                      <w:lang w:val="en-US" w:eastAsia="zh-CN" w:bidi="ar"/>
                    </w:rPr>
                    <w:t>0.01</w:t>
                  </w:r>
                  <w:r>
                    <w:rPr>
                      <w:rFonts w:hint="eastAsia"/>
                      <w:color w:val="auto"/>
                      <w:sz w:val="21"/>
                      <w:szCs w:val="21"/>
                      <w:lang w:eastAsia="zh-CN"/>
                    </w:rPr>
                    <w:t>（产生量）</w:t>
                  </w:r>
                </w:p>
              </w:tc>
              <w:tc>
                <w:tcPr>
                  <w:tcW w:w="780" w:type="pct"/>
                  <w:noWrap w:val="0"/>
                  <w:vAlign w:val="center"/>
                </w:tcPr>
                <w:p w14:paraId="29155A9B">
                  <w:pPr>
                    <w:pStyle w:val="45"/>
                    <w:spacing w:before="24" w:after="24" w:line="240" w:lineRule="auto"/>
                    <w:rPr>
                      <w:rFonts w:hint="eastAsia"/>
                      <w:color w:val="auto"/>
                      <w:sz w:val="21"/>
                      <w:szCs w:val="21"/>
                      <w:lang w:val="en-US" w:eastAsia="zh-CN"/>
                    </w:rPr>
                  </w:pPr>
                  <w:r>
                    <w:rPr>
                      <w:rFonts w:hint="eastAsia" w:ascii="Times New Roman"/>
                      <w:color w:val="auto"/>
                      <w:szCs w:val="21"/>
                      <w:lang w:val="en-US" w:eastAsia="zh-CN" w:bidi="ar"/>
                    </w:rPr>
                    <w:t>0.01</w:t>
                  </w:r>
                  <w:r>
                    <w:rPr>
                      <w:rFonts w:hint="eastAsia"/>
                      <w:color w:val="auto"/>
                      <w:sz w:val="21"/>
                      <w:szCs w:val="21"/>
                      <w:lang w:eastAsia="zh-CN"/>
                    </w:rPr>
                    <w:t>（产生量）</w:t>
                  </w:r>
                </w:p>
              </w:tc>
              <w:tc>
                <w:tcPr>
                  <w:tcW w:w="1388" w:type="pct"/>
                  <w:vMerge w:val="restart"/>
                  <w:noWrap w:val="0"/>
                  <w:vAlign w:val="center"/>
                </w:tcPr>
                <w:p w14:paraId="4A4BC917">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rPr>
                  </w:pPr>
                  <w:r>
                    <w:rPr>
                      <w:color w:val="auto"/>
                      <w:szCs w:val="21"/>
                      <w:lang w:bidi="ar"/>
                    </w:rPr>
                    <w:t>医疗废弃物资质单位处置</w:t>
                  </w:r>
                </w:p>
              </w:tc>
            </w:tr>
            <w:tr w14:paraId="0C3F3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00" w:type="pct"/>
                  <w:vMerge w:val="continue"/>
                  <w:noWrap w:val="0"/>
                  <w:vAlign w:val="center"/>
                </w:tcPr>
                <w:p w14:paraId="098468A6">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p w14:paraId="26D5B149">
                  <w:pPr>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p>
              </w:tc>
              <w:tc>
                <w:tcPr>
                  <w:tcW w:w="1653" w:type="pct"/>
                  <w:gridSpan w:val="2"/>
                  <w:noWrap w:val="0"/>
                  <w:vAlign w:val="center"/>
                </w:tcPr>
                <w:p w14:paraId="0DACF2E6">
                  <w:pPr>
                    <w:adjustRightInd w:val="0"/>
                    <w:snapToGrid w:val="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rPr>
                    <w:t>医疗废物</w:t>
                  </w:r>
                  <w:r>
                    <w:rPr>
                      <w:rFonts w:hint="default" w:ascii="Times New Roman" w:hAnsi="Times New Roman" w:cs="Times New Roman"/>
                      <w:color w:val="auto"/>
                      <w:sz w:val="21"/>
                      <w:szCs w:val="21"/>
                      <w:lang w:val="en-US" w:eastAsia="zh-CN"/>
                    </w:rPr>
                    <w:t>t/a</w:t>
                  </w:r>
                </w:p>
              </w:tc>
              <w:tc>
                <w:tcPr>
                  <w:tcW w:w="776" w:type="pct"/>
                  <w:noWrap w:val="0"/>
                  <w:vAlign w:val="center"/>
                </w:tcPr>
                <w:p w14:paraId="2D9023E2">
                  <w:pPr>
                    <w:pStyle w:val="45"/>
                    <w:spacing w:before="24" w:after="24"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color w:val="auto"/>
                      <w:szCs w:val="21"/>
                      <w:lang w:val="en-US" w:eastAsia="zh-CN" w:bidi="ar"/>
                    </w:rPr>
                    <w:t>23.7</w:t>
                  </w:r>
                  <w:r>
                    <w:rPr>
                      <w:rFonts w:hint="eastAsia"/>
                      <w:color w:val="auto"/>
                      <w:sz w:val="21"/>
                      <w:szCs w:val="21"/>
                      <w:lang w:eastAsia="zh-CN"/>
                    </w:rPr>
                    <w:t>（产生量）</w:t>
                  </w:r>
                </w:p>
              </w:tc>
              <w:tc>
                <w:tcPr>
                  <w:tcW w:w="780" w:type="pct"/>
                  <w:noWrap w:val="0"/>
                  <w:vAlign w:val="center"/>
                </w:tcPr>
                <w:p w14:paraId="68CD943E">
                  <w:pPr>
                    <w:pStyle w:val="45"/>
                    <w:spacing w:before="24" w:after="24"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color w:val="auto"/>
                      <w:szCs w:val="21"/>
                      <w:lang w:val="en-US" w:eastAsia="zh-CN" w:bidi="ar"/>
                    </w:rPr>
                    <w:t>23.7</w:t>
                  </w:r>
                  <w:r>
                    <w:rPr>
                      <w:rFonts w:hint="eastAsia"/>
                      <w:color w:val="auto"/>
                      <w:sz w:val="21"/>
                      <w:szCs w:val="21"/>
                      <w:lang w:eastAsia="zh-CN"/>
                    </w:rPr>
                    <w:t>（产生量）</w:t>
                  </w:r>
                </w:p>
              </w:tc>
              <w:tc>
                <w:tcPr>
                  <w:tcW w:w="1388" w:type="pct"/>
                  <w:vMerge w:val="continue"/>
                  <w:noWrap w:val="0"/>
                  <w:vAlign w:val="center"/>
                </w:tcPr>
                <w:p w14:paraId="330A97D3">
                  <w:pPr>
                    <w:keepNext w:val="0"/>
                    <w:keepLines w:val="0"/>
                    <w:pageBreakBefore w:val="0"/>
                    <w:widowControl w:val="0"/>
                    <w:kinsoku/>
                    <w:wordWrap/>
                    <w:overflowPunct/>
                    <w:topLinePunct w:val="0"/>
                    <w:autoSpaceDE/>
                    <w:bidi w:val="0"/>
                    <w:adjustRightInd/>
                    <w:snapToGrid/>
                    <w:spacing w:line="320" w:lineRule="exact"/>
                    <w:jc w:val="center"/>
                    <w:rPr>
                      <w:rFonts w:hint="eastAsia"/>
                      <w:color w:val="auto"/>
                      <w:sz w:val="21"/>
                      <w:szCs w:val="21"/>
                      <w:lang w:eastAsia="zh-CN"/>
                    </w:rPr>
                  </w:pPr>
                </w:p>
              </w:tc>
            </w:tr>
          </w:tbl>
          <w:p w14:paraId="2AA4BD48">
            <w:pPr>
              <w:pStyle w:val="48"/>
              <w:ind w:firstLine="2168" w:firstLineChars="900"/>
              <w:rPr>
                <w:b/>
                <w:bCs/>
                <w:color w:val="auto"/>
                <w:sz w:val="24"/>
                <w:lang w:bidi="ar"/>
              </w:rPr>
            </w:pPr>
          </w:p>
          <w:p w14:paraId="167A4238">
            <w:pPr>
              <w:pStyle w:val="48"/>
              <w:spacing w:before="120" w:beforeLines="50" w:line="360" w:lineRule="auto"/>
              <w:rPr>
                <w:b/>
                <w:bCs/>
                <w:color w:val="auto"/>
                <w:sz w:val="24"/>
                <w:lang w:bidi="ar"/>
              </w:rPr>
            </w:pPr>
            <w:r>
              <w:rPr>
                <w:rFonts w:hint="eastAsia"/>
                <w:b/>
                <w:bCs/>
                <w:color w:val="auto"/>
                <w:sz w:val="24"/>
                <w:lang w:bidi="ar"/>
              </w:rPr>
              <w:t>2.15</w:t>
            </w:r>
            <w:r>
              <w:rPr>
                <w:b/>
                <w:bCs/>
                <w:color w:val="auto"/>
                <w:sz w:val="24"/>
                <w:lang w:bidi="ar"/>
              </w:rPr>
              <w:t>现有项目存在环保问题梳理</w:t>
            </w:r>
          </w:p>
          <w:p w14:paraId="7945A6DD">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①污水处理站臭气直接通过通气立管排放，未进行消毒吸附处理。</w:t>
            </w:r>
          </w:p>
          <w:p w14:paraId="68B8C0A6">
            <w:pPr>
              <w:keepNext w:val="0"/>
              <w:keepLines w:val="0"/>
              <w:widowControl/>
              <w:suppressLineNumbers w:val="0"/>
              <w:spacing w:line="360" w:lineRule="auto"/>
              <w:ind w:firstLine="480" w:firstLineChars="200"/>
              <w:jc w:val="left"/>
              <w:rPr>
                <w:rFonts w:hint="eastAsia"/>
                <w:bCs/>
                <w:color w:val="auto"/>
                <w:sz w:val="24"/>
                <w:lang w:val="en-US" w:eastAsia="zh-CN"/>
              </w:rPr>
            </w:pPr>
            <w:r>
              <w:rPr>
                <w:rFonts w:hint="eastAsia" w:ascii="Times New Roman" w:hAnsi="Times New Roman" w:eastAsia="宋体" w:cs="Times New Roman"/>
                <w:bCs/>
                <w:color w:val="auto"/>
                <w:kern w:val="2"/>
                <w:sz w:val="24"/>
                <w:szCs w:val="24"/>
                <w:lang w:val="en-US" w:eastAsia="zh-CN" w:bidi="ar-SA"/>
              </w:rPr>
              <w:t>②</w:t>
            </w:r>
            <w:r>
              <w:rPr>
                <w:rFonts w:hint="eastAsia"/>
                <w:bCs/>
                <w:color w:val="auto"/>
                <w:sz w:val="24"/>
                <w:lang w:val="en-US" w:eastAsia="zh-CN"/>
              </w:rPr>
              <w:t>根据《医院污水处理工程技术规范》（HJ2029-2013）中相关要求，医院污水处理工程应设应急事故池，以贮存处理系统事故或其他突发事件时医疗污水，非传染病医院污水处理工程应急事故池容积不小于日排放量的30% ，项目现有的污水处理站未按照要求设置事故池。</w:t>
            </w:r>
          </w:p>
          <w:p w14:paraId="4E590265">
            <w:pPr>
              <w:keepNext w:val="0"/>
              <w:keepLines w:val="0"/>
              <w:widowControl/>
              <w:suppressLineNumbers w:val="0"/>
              <w:spacing w:line="360" w:lineRule="auto"/>
              <w:ind w:firstLine="480" w:firstLineChars="200"/>
              <w:jc w:val="left"/>
              <w:rPr>
                <w:rFonts w:hint="eastAsia" w:ascii="Times New Roman" w:hAnsi="Times New Roman" w:eastAsia="宋体" w:cs="Times New Roman"/>
                <w:bCs/>
                <w:color w:val="auto"/>
                <w:kern w:val="2"/>
                <w:sz w:val="24"/>
                <w:szCs w:val="24"/>
                <w:lang w:val="en-US" w:eastAsia="zh-CN" w:bidi="ar-SA"/>
              </w:rPr>
            </w:pPr>
            <w:r>
              <w:rPr>
                <w:rFonts w:hint="eastAsia" w:ascii="宋体" w:hAnsi="宋体" w:eastAsia="宋体" w:cs="宋体"/>
                <w:bCs/>
                <w:color w:val="auto"/>
                <w:sz w:val="24"/>
                <w:lang w:val="en-US" w:eastAsia="zh-CN"/>
              </w:rPr>
              <w:t>③</w:t>
            </w:r>
            <w:r>
              <w:rPr>
                <w:rFonts w:hint="eastAsia"/>
                <w:bCs/>
                <w:color w:val="auto"/>
                <w:sz w:val="24"/>
                <w:lang w:val="en-US" w:eastAsia="zh-CN"/>
              </w:rPr>
              <w:t>例行监测频次不满足相关要求。</w:t>
            </w:r>
          </w:p>
          <w:p w14:paraId="0E367526">
            <w:pPr>
              <w:pStyle w:val="31"/>
              <w:spacing w:line="360" w:lineRule="auto"/>
              <w:jc w:val="both"/>
              <w:rPr>
                <w:rFonts w:ascii="Times New Roman" w:eastAsia="宋体" w:cs="Times New Roman"/>
                <w:b/>
                <w:color w:val="auto"/>
              </w:rPr>
            </w:pPr>
            <w:r>
              <w:rPr>
                <w:rFonts w:hint="eastAsia" w:ascii="Times New Roman" w:eastAsia="宋体" w:cs="Times New Roman"/>
                <w:b/>
                <w:color w:val="auto"/>
              </w:rPr>
              <w:t>2.16</w:t>
            </w:r>
            <w:r>
              <w:rPr>
                <w:rFonts w:ascii="Times New Roman" w:eastAsia="宋体" w:cs="Times New Roman"/>
                <w:b/>
                <w:color w:val="auto"/>
              </w:rPr>
              <w:t>环境保护“以新带老”整改措施</w:t>
            </w:r>
          </w:p>
          <w:p w14:paraId="27AC6686">
            <w:pPr>
              <w:pStyle w:val="31"/>
              <w:spacing w:line="360" w:lineRule="auto"/>
              <w:ind w:firstLine="480" w:firstLineChars="200"/>
              <w:jc w:val="both"/>
              <w:rPr>
                <w:rFonts w:ascii="Times New Roman" w:eastAsia="宋体" w:cs="Times New Roman"/>
                <w:color w:val="auto"/>
              </w:rPr>
            </w:pPr>
            <w:r>
              <w:rPr>
                <w:rFonts w:ascii="Times New Roman" w:eastAsia="宋体" w:cs="Times New Roman"/>
                <w:color w:val="auto"/>
              </w:rPr>
              <w:t>经过现场踏勘及调查了解，</w:t>
            </w:r>
            <w:r>
              <w:rPr>
                <w:rFonts w:hint="eastAsia" w:ascii="Times New Roman" w:eastAsia="宋体" w:cs="Times New Roman"/>
                <w:color w:val="auto"/>
              </w:rPr>
              <w:t>院区</w:t>
            </w:r>
            <w:r>
              <w:rPr>
                <w:rFonts w:ascii="Times New Roman" w:eastAsia="宋体" w:cs="Times New Roman"/>
                <w:color w:val="auto"/>
              </w:rPr>
              <w:t>已建工程目前还存在环境问题，通过本次扩建项目对原有环境问题采取“以新带老”措施，具体见表2-</w:t>
            </w:r>
            <w:r>
              <w:rPr>
                <w:rFonts w:hint="eastAsia" w:ascii="Times New Roman" w:eastAsia="宋体" w:cs="Times New Roman"/>
                <w:color w:val="auto"/>
                <w:lang w:val="en-US" w:eastAsia="zh-CN"/>
              </w:rPr>
              <w:t>20</w:t>
            </w:r>
            <w:r>
              <w:rPr>
                <w:rFonts w:ascii="Times New Roman" w:eastAsia="宋体" w:cs="Times New Roman"/>
                <w:color w:val="auto"/>
              </w:rPr>
              <w:t>。</w:t>
            </w:r>
          </w:p>
          <w:p w14:paraId="666AD061">
            <w:pPr>
              <w:pStyle w:val="31"/>
              <w:spacing w:line="240" w:lineRule="auto"/>
              <w:rPr>
                <w:rFonts w:ascii="Times New Roman" w:eastAsia="宋体" w:cs="Times New Roman"/>
                <w:b/>
                <w:color w:val="auto"/>
              </w:rPr>
            </w:pPr>
          </w:p>
          <w:p w14:paraId="1EE6CD77">
            <w:pPr>
              <w:pStyle w:val="31"/>
              <w:spacing w:line="240" w:lineRule="auto"/>
              <w:rPr>
                <w:rFonts w:ascii="Times New Roman" w:eastAsia="宋体" w:cs="Times New Roman"/>
                <w:b/>
                <w:color w:val="auto"/>
              </w:rPr>
            </w:pPr>
            <w:r>
              <w:rPr>
                <w:rFonts w:ascii="Times New Roman" w:eastAsia="宋体" w:cs="Times New Roman"/>
                <w:b/>
                <w:color w:val="auto"/>
              </w:rPr>
              <w:t>表2-</w:t>
            </w:r>
            <w:r>
              <w:rPr>
                <w:rFonts w:hint="eastAsia" w:ascii="Times New Roman" w:eastAsia="宋体" w:cs="Times New Roman"/>
                <w:b/>
                <w:color w:val="auto"/>
                <w:lang w:val="en-US" w:eastAsia="zh-CN"/>
              </w:rPr>
              <w:t xml:space="preserve">20  </w:t>
            </w:r>
            <w:r>
              <w:rPr>
                <w:rFonts w:ascii="Times New Roman" w:eastAsia="宋体" w:cs="Times New Roman"/>
                <w:b/>
                <w:color w:val="auto"/>
              </w:rPr>
              <w:t>“以新带老”措施</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3870"/>
              <w:gridCol w:w="4340"/>
            </w:tblGrid>
            <w:tr w14:paraId="08103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noWrap w:val="0"/>
                  <w:vAlign w:val="center"/>
                </w:tcPr>
                <w:p w14:paraId="729F05ED">
                  <w:pPr>
                    <w:pStyle w:val="31"/>
                    <w:spacing w:line="240" w:lineRule="exact"/>
                    <w:jc w:val="both"/>
                    <w:rPr>
                      <w:rFonts w:ascii="Times New Roman" w:eastAsia="宋体" w:cs="Times New Roman"/>
                      <w:b/>
                      <w:bCs/>
                      <w:color w:val="auto"/>
                      <w:sz w:val="21"/>
                      <w:szCs w:val="21"/>
                    </w:rPr>
                  </w:pPr>
                  <w:r>
                    <w:rPr>
                      <w:rFonts w:ascii="Times New Roman" w:eastAsia="宋体" w:cs="Times New Roman"/>
                      <w:b/>
                      <w:bCs/>
                      <w:color w:val="auto"/>
                      <w:sz w:val="21"/>
                      <w:szCs w:val="21"/>
                    </w:rPr>
                    <w:t>序号</w:t>
                  </w:r>
                </w:p>
              </w:tc>
              <w:tc>
                <w:tcPr>
                  <w:tcW w:w="2165" w:type="pct"/>
                  <w:noWrap w:val="0"/>
                  <w:vAlign w:val="center"/>
                </w:tcPr>
                <w:p w14:paraId="358AAE1B">
                  <w:pPr>
                    <w:pStyle w:val="31"/>
                    <w:spacing w:line="240" w:lineRule="exact"/>
                    <w:rPr>
                      <w:rFonts w:ascii="Times New Roman" w:eastAsia="宋体" w:cs="Times New Roman"/>
                      <w:b/>
                      <w:bCs/>
                      <w:color w:val="auto"/>
                      <w:sz w:val="21"/>
                      <w:szCs w:val="21"/>
                    </w:rPr>
                  </w:pPr>
                  <w:r>
                    <w:rPr>
                      <w:rFonts w:ascii="Times New Roman" w:eastAsia="宋体" w:cs="Times New Roman"/>
                      <w:b/>
                      <w:bCs/>
                      <w:color w:val="auto"/>
                      <w:sz w:val="21"/>
                      <w:szCs w:val="21"/>
                    </w:rPr>
                    <w:t>现有问题</w:t>
                  </w:r>
                </w:p>
              </w:tc>
              <w:tc>
                <w:tcPr>
                  <w:tcW w:w="2428" w:type="pct"/>
                  <w:noWrap w:val="0"/>
                  <w:vAlign w:val="center"/>
                </w:tcPr>
                <w:p w14:paraId="2F4C8C05">
                  <w:pPr>
                    <w:pStyle w:val="31"/>
                    <w:spacing w:line="240" w:lineRule="exact"/>
                    <w:rPr>
                      <w:rFonts w:ascii="Times New Roman" w:eastAsia="宋体" w:cs="Times New Roman"/>
                      <w:b/>
                      <w:bCs/>
                      <w:color w:val="auto"/>
                      <w:sz w:val="21"/>
                      <w:szCs w:val="21"/>
                    </w:rPr>
                  </w:pPr>
                  <w:r>
                    <w:rPr>
                      <w:rFonts w:ascii="Times New Roman" w:eastAsia="宋体" w:cs="Times New Roman"/>
                      <w:b/>
                      <w:bCs/>
                      <w:color w:val="auto"/>
                      <w:sz w:val="21"/>
                      <w:szCs w:val="21"/>
                    </w:rPr>
                    <w:t>“以新带老”措施</w:t>
                  </w:r>
                </w:p>
              </w:tc>
            </w:tr>
            <w:tr w14:paraId="48F0B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pct"/>
                  <w:noWrap w:val="0"/>
                  <w:vAlign w:val="center"/>
                </w:tcPr>
                <w:p w14:paraId="1481D6C1">
                  <w:pPr>
                    <w:pStyle w:val="31"/>
                    <w:spacing w:line="240" w:lineRule="exact"/>
                    <w:jc w:val="center"/>
                    <w:rPr>
                      <w:rFonts w:ascii="Times New Roman" w:eastAsia="宋体" w:cs="Times New Roman"/>
                      <w:b/>
                      <w:bCs/>
                      <w:color w:val="auto"/>
                      <w:sz w:val="21"/>
                      <w:szCs w:val="21"/>
                    </w:rPr>
                  </w:pPr>
                  <w:r>
                    <w:rPr>
                      <w:rFonts w:ascii="Times New Roman" w:eastAsia="宋体" w:cs="Times New Roman"/>
                      <w:color w:val="auto"/>
                      <w:sz w:val="21"/>
                      <w:szCs w:val="21"/>
                    </w:rPr>
                    <w:t>1</w:t>
                  </w:r>
                </w:p>
              </w:tc>
              <w:tc>
                <w:tcPr>
                  <w:tcW w:w="2165" w:type="pct"/>
                  <w:noWrap w:val="0"/>
                  <w:vAlign w:val="center"/>
                </w:tcPr>
                <w:p w14:paraId="2B16B756">
                  <w:pPr>
                    <w:pStyle w:val="31"/>
                    <w:spacing w:line="240" w:lineRule="exact"/>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污水处理站臭气直接通过通气立管排放，未进行消毒吸附处理。</w:t>
                  </w:r>
                </w:p>
              </w:tc>
              <w:tc>
                <w:tcPr>
                  <w:tcW w:w="2428" w:type="pct"/>
                  <w:noWrap w:val="0"/>
                  <w:vAlign w:val="center"/>
                </w:tcPr>
                <w:p w14:paraId="652485E6">
                  <w:pPr>
                    <w:pStyle w:val="31"/>
                    <w:spacing w:line="240" w:lineRule="exact"/>
                    <w:rPr>
                      <w:rFonts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对污水处理站臭气加设活性炭箱。</w:t>
                  </w:r>
                </w:p>
              </w:tc>
            </w:tr>
            <w:tr w14:paraId="3189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406" w:type="pct"/>
                  <w:noWrap w:val="0"/>
                  <w:vAlign w:val="center"/>
                </w:tcPr>
                <w:p w14:paraId="5B7FAD66">
                  <w:pPr>
                    <w:pStyle w:val="31"/>
                    <w:spacing w:line="240" w:lineRule="exact"/>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2</w:t>
                  </w:r>
                </w:p>
              </w:tc>
              <w:tc>
                <w:tcPr>
                  <w:tcW w:w="2165" w:type="pct"/>
                  <w:noWrap w:val="0"/>
                  <w:vAlign w:val="center"/>
                </w:tcPr>
                <w:p w14:paraId="70AFF5C5">
                  <w:pPr>
                    <w:pStyle w:val="16"/>
                    <w:adjustRightInd w:val="0"/>
                    <w:snapToGrid w:val="0"/>
                    <w:spacing w:after="0" w:line="240" w:lineRule="auto"/>
                    <w:ind w:left="0" w:leftChars="0"/>
                    <w:rPr>
                      <w:rFonts w:hint="eastAsia" w:eastAsia="宋体"/>
                      <w:color w:val="auto"/>
                      <w:szCs w:val="21"/>
                      <w:lang w:eastAsia="zh-CN" w:bidi="ar"/>
                    </w:rPr>
                  </w:pPr>
                  <w:r>
                    <w:rPr>
                      <w:bCs/>
                      <w:color w:val="auto"/>
                      <w:szCs w:val="21"/>
                    </w:rPr>
                    <w:t>现有污水处理站未配套建设应急事故池</w:t>
                  </w:r>
                  <w:r>
                    <w:rPr>
                      <w:rFonts w:hint="eastAsia"/>
                      <w:bCs/>
                      <w:color w:val="auto"/>
                      <w:szCs w:val="21"/>
                      <w:lang w:eastAsia="zh-CN"/>
                    </w:rPr>
                    <w:t>。</w:t>
                  </w:r>
                </w:p>
              </w:tc>
              <w:tc>
                <w:tcPr>
                  <w:tcW w:w="2428" w:type="pct"/>
                  <w:noWrap w:val="0"/>
                  <w:vAlign w:val="center"/>
                </w:tcPr>
                <w:p w14:paraId="73E28DD3">
                  <w:pPr>
                    <w:adjustRightInd w:val="0"/>
                    <w:snapToGrid w:val="0"/>
                    <w:jc w:val="center"/>
                    <w:rPr>
                      <w:color w:val="auto"/>
                      <w:szCs w:val="21"/>
                      <w:lang w:bidi="ar"/>
                    </w:rPr>
                  </w:pPr>
                  <w:r>
                    <w:rPr>
                      <w:rFonts w:hint="eastAsia"/>
                      <w:color w:val="auto"/>
                      <w:kern w:val="0"/>
                      <w:szCs w:val="21"/>
                    </w:rPr>
                    <w:t>污水处理站旁设置1座事故池。</w:t>
                  </w:r>
                </w:p>
              </w:tc>
            </w:tr>
            <w:tr w14:paraId="4E0F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406" w:type="pct"/>
                  <w:noWrap w:val="0"/>
                  <w:vAlign w:val="center"/>
                </w:tcPr>
                <w:p w14:paraId="7993704F">
                  <w:pPr>
                    <w:pStyle w:val="31"/>
                    <w:spacing w:line="240" w:lineRule="exact"/>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3</w:t>
                  </w:r>
                </w:p>
              </w:tc>
              <w:tc>
                <w:tcPr>
                  <w:tcW w:w="2165" w:type="pct"/>
                  <w:shd w:val="clear" w:color="auto" w:fill="auto"/>
                  <w:noWrap w:val="0"/>
                  <w:vAlign w:val="center"/>
                </w:tcPr>
                <w:p w14:paraId="5FA8D585">
                  <w:pPr>
                    <w:pStyle w:val="16"/>
                    <w:adjustRightInd w:val="0"/>
                    <w:snapToGrid w:val="0"/>
                    <w:spacing w:after="0" w:line="240" w:lineRule="auto"/>
                    <w:ind w:left="0" w:leftChars="0"/>
                    <w:rPr>
                      <w:rFonts w:hint="eastAsia"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例行</w:t>
                  </w:r>
                  <w:r>
                    <w:rPr>
                      <w:bCs/>
                      <w:color w:val="auto"/>
                      <w:szCs w:val="21"/>
                    </w:rPr>
                    <w:t>监测频次不满足相关要求</w:t>
                  </w:r>
                </w:p>
              </w:tc>
              <w:tc>
                <w:tcPr>
                  <w:tcW w:w="2428" w:type="pct"/>
                  <w:shd w:val="clear" w:color="auto" w:fill="auto"/>
                  <w:noWrap w:val="0"/>
                  <w:vAlign w:val="center"/>
                </w:tcPr>
                <w:p w14:paraId="5FBBC5A1">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按照排污许可自行监测要求进行例行监测</w:t>
                  </w:r>
                </w:p>
              </w:tc>
            </w:tr>
          </w:tbl>
          <w:p w14:paraId="2BD4EB95">
            <w:pPr>
              <w:adjustRightInd w:val="0"/>
              <w:snapToGrid w:val="0"/>
              <w:spacing w:line="360" w:lineRule="auto"/>
              <w:rPr>
                <w:bCs/>
                <w:color w:val="auto"/>
                <w:szCs w:val="21"/>
              </w:rPr>
            </w:pPr>
          </w:p>
        </w:tc>
      </w:tr>
    </w:tbl>
    <w:p w14:paraId="145FB931">
      <w:pPr>
        <w:pStyle w:val="23"/>
        <w:jc w:val="center"/>
        <w:rPr>
          <w:rFonts w:ascii="Times New Roman" w:hAnsi="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C6EB62F">
      <w:pPr>
        <w:pStyle w:val="23"/>
        <w:adjustRightInd w:val="0"/>
        <w:snapToGrid w:val="0"/>
        <w:spacing w:before="0" w:beforeAutospacing="0" w:after="0" w:afterAutospacing="0" w:line="14" w:lineRule="auto"/>
        <w:jc w:val="center"/>
        <w:outlineLvl w:val="0"/>
        <w:rPr>
          <w:rFonts w:ascii="Times New Roman" w:hAnsi="Times New Roman"/>
          <w:snapToGrid w:val="0"/>
          <w:color w:val="auto"/>
          <w:sz w:val="30"/>
          <w:szCs w:val="30"/>
        </w:rPr>
      </w:pPr>
    </w:p>
    <w:p w14:paraId="6F1EAA31">
      <w:pPr>
        <w:pStyle w:val="23"/>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253C21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14:paraId="02E581FD">
            <w:pPr>
              <w:adjustRightInd w:val="0"/>
              <w:snapToGrid w:val="0"/>
              <w:jc w:val="center"/>
              <w:rPr>
                <w:color w:val="auto"/>
                <w:kern w:val="0"/>
                <w:szCs w:val="21"/>
              </w:rPr>
            </w:pPr>
            <w:r>
              <w:rPr>
                <w:color w:val="auto"/>
                <w:kern w:val="0"/>
                <w:szCs w:val="21"/>
              </w:rPr>
              <w:t>区域</w:t>
            </w:r>
          </w:p>
          <w:p w14:paraId="72182AA4">
            <w:pPr>
              <w:adjustRightInd w:val="0"/>
              <w:snapToGrid w:val="0"/>
              <w:jc w:val="center"/>
              <w:rPr>
                <w:color w:val="auto"/>
                <w:kern w:val="0"/>
                <w:szCs w:val="21"/>
              </w:rPr>
            </w:pPr>
            <w:r>
              <w:rPr>
                <w:color w:val="auto"/>
                <w:kern w:val="0"/>
                <w:szCs w:val="21"/>
              </w:rPr>
              <w:t>环境</w:t>
            </w:r>
          </w:p>
          <w:p w14:paraId="375A4516">
            <w:pPr>
              <w:adjustRightInd w:val="0"/>
              <w:snapToGrid w:val="0"/>
              <w:jc w:val="center"/>
              <w:rPr>
                <w:color w:val="auto"/>
                <w:kern w:val="0"/>
                <w:szCs w:val="21"/>
              </w:rPr>
            </w:pPr>
            <w:r>
              <w:rPr>
                <w:color w:val="auto"/>
                <w:kern w:val="0"/>
                <w:szCs w:val="21"/>
              </w:rPr>
              <w:t>质量</w:t>
            </w:r>
          </w:p>
          <w:p w14:paraId="70747652">
            <w:pPr>
              <w:adjustRightInd w:val="0"/>
              <w:snapToGrid w:val="0"/>
              <w:jc w:val="center"/>
              <w:rPr>
                <w:color w:val="auto"/>
                <w:kern w:val="0"/>
                <w:szCs w:val="21"/>
              </w:rPr>
            </w:pPr>
            <w:r>
              <w:rPr>
                <w:color w:val="auto"/>
                <w:kern w:val="0"/>
                <w:szCs w:val="21"/>
              </w:rPr>
              <w:t>现状</w:t>
            </w:r>
          </w:p>
        </w:tc>
        <w:tc>
          <w:tcPr>
            <w:tcW w:w="8190" w:type="dxa"/>
            <w:noWrap w:val="0"/>
            <w:vAlign w:val="center"/>
          </w:tcPr>
          <w:p w14:paraId="41E516FE">
            <w:pPr>
              <w:spacing w:line="360" w:lineRule="auto"/>
              <w:rPr>
                <w:b/>
                <w:color w:val="auto"/>
                <w:kern w:val="0"/>
                <w:sz w:val="24"/>
              </w:rPr>
            </w:pPr>
            <w:r>
              <w:rPr>
                <w:rFonts w:hint="eastAsia"/>
                <w:b/>
                <w:bCs/>
                <w:color w:val="auto"/>
                <w:kern w:val="0"/>
                <w:sz w:val="24"/>
              </w:rPr>
              <w:t>3.1</w:t>
            </w:r>
            <w:r>
              <w:rPr>
                <w:b/>
                <w:color w:val="auto"/>
                <w:kern w:val="0"/>
                <w:sz w:val="24"/>
              </w:rPr>
              <w:t>环境空气质量现状</w:t>
            </w:r>
          </w:p>
          <w:p w14:paraId="13E35330">
            <w:pPr>
              <w:spacing w:line="360" w:lineRule="auto"/>
              <w:ind w:firstLine="480" w:firstLineChars="200"/>
              <w:rPr>
                <w:color w:val="auto"/>
                <w:kern w:val="0"/>
                <w:sz w:val="24"/>
              </w:rPr>
            </w:pPr>
            <w:r>
              <w:rPr>
                <w:color w:val="auto"/>
                <w:kern w:val="0"/>
                <w:sz w:val="24"/>
              </w:rPr>
              <w:t>根据渝府发</w:t>
            </w:r>
            <w:r>
              <w:rPr>
                <w:rFonts w:hint="eastAsia"/>
                <w:color w:val="auto"/>
                <w:kern w:val="0"/>
                <w:sz w:val="24"/>
                <w:lang w:eastAsia="zh-CN"/>
              </w:rPr>
              <w:t>〔</w:t>
            </w:r>
            <w:r>
              <w:rPr>
                <w:color w:val="auto"/>
                <w:kern w:val="0"/>
                <w:sz w:val="24"/>
              </w:rPr>
              <w:t>2016</w:t>
            </w:r>
            <w:r>
              <w:rPr>
                <w:rFonts w:hint="eastAsia"/>
                <w:color w:val="auto"/>
                <w:kern w:val="0"/>
                <w:sz w:val="24"/>
                <w:lang w:eastAsia="zh-CN"/>
              </w:rPr>
              <w:t>〕</w:t>
            </w:r>
            <w:r>
              <w:rPr>
                <w:color w:val="auto"/>
                <w:kern w:val="0"/>
                <w:sz w:val="24"/>
              </w:rPr>
              <w:t>19号文规定，评价区属环境空气2类功能区域，执行《环境空气质量标准》（GB3095-2012）中的二级标准。</w:t>
            </w:r>
          </w:p>
          <w:p w14:paraId="6FE15544">
            <w:pPr>
              <w:pStyle w:val="3"/>
              <w:spacing w:after="0" w:line="360" w:lineRule="auto"/>
              <w:ind w:left="0" w:leftChars="0" w:firstLine="480" w:firstLineChars="200"/>
              <w:rPr>
                <w:bCs/>
                <w:color w:val="auto"/>
              </w:rPr>
            </w:pPr>
            <w:r>
              <w:rPr>
                <w:bCs/>
                <w:color w:val="auto"/>
              </w:rPr>
              <w:t>项目所在区域为重庆市</w:t>
            </w:r>
            <w:r>
              <w:rPr>
                <w:rFonts w:hint="eastAsia"/>
                <w:bCs/>
                <w:color w:val="auto"/>
              </w:rPr>
              <w:t>九龙坡</w:t>
            </w:r>
            <w:r>
              <w:rPr>
                <w:color w:val="auto"/>
              </w:rPr>
              <w:t>区</w:t>
            </w:r>
            <w:r>
              <w:rPr>
                <w:bCs/>
                <w:color w:val="auto"/>
              </w:rPr>
              <w:t>，本评价引用重庆市生态环境局公布的《202</w:t>
            </w:r>
            <w:r>
              <w:rPr>
                <w:rFonts w:hint="eastAsia"/>
                <w:bCs/>
                <w:color w:val="auto"/>
                <w:lang w:val="en-US" w:eastAsia="zh-CN"/>
              </w:rPr>
              <w:t>3</w:t>
            </w:r>
            <w:r>
              <w:rPr>
                <w:bCs/>
                <w:color w:val="auto"/>
              </w:rPr>
              <w:t>年重庆市生态环境状况公报》中九龙坡区基本污染物SO</w:t>
            </w:r>
            <w:r>
              <w:rPr>
                <w:bCs/>
                <w:color w:val="auto"/>
                <w:vertAlign w:val="subscript"/>
              </w:rPr>
              <w:t>2</w:t>
            </w:r>
            <w:r>
              <w:rPr>
                <w:bCs/>
                <w:color w:val="auto"/>
              </w:rPr>
              <w:t>、NO</w:t>
            </w:r>
            <w:r>
              <w:rPr>
                <w:bCs/>
                <w:color w:val="auto"/>
                <w:vertAlign w:val="subscript"/>
              </w:rPr>
              <w:t>2</w:t>
            </w:r>
            <w:r>
              <w:rPr>
                <w:bCs/>
                <w:color w:val="auto"/>
              </w:rPr>
              <w:t>、PM</w:t>
            </w:r>
            <w:r>
              <w:rPr>
                <w:bCs/>
                <w:color w:val="auto"/>
                <w:vertAlign w:val="subscript"/>
              </w:rPr>
              <w:t>10</w:t>
            </w:r>
            <w:r>
              <w:rPr>
                <w:bCs/>
                <w:color w:val="auto"/>
              </w:rPr>
              <w:t>、PM</w:t>
            </w:r>
            <w:r>
              <w:rPr>
                <w:bCs/>
                <w:color w:val="auto"/>
                <w:vertAlign w:val="subscript"/>
              </w:rPr>
              <w:t>2.5</w:t>
            </w:r>
            <w:r>
              <w:rPr>
                <w:bCs/>
                <w:color w:val="auto"/>
              </w:rPr>
              <w:t>、CO、O</w:t>
            </w:r>
            <w:r>
              <w:rPr>
                <w:bCs/>
                <w:color w:val="auto"/>
                <w:vertAlign w:val="subscript"/>
              </w:rPr>
              <w:t>3</w:t>
            </w:r>
            <w:r>
              <w:rPr>
                <w:bCs/>
                <w:color w:val="auto"/>
              </w:rPr>
              <w:t>的统计数据进行区域达标判定。区域空气质量现状评价见表3-1。</w:t>
            </w:r>
          </w:p>
          <w:p w14:paraId="449F6D13">
            <w:pPr>
              <w:pStyle w:val="3"/>
              <w:spacing w:after="0"/>
              <w:ind w:firstLine="1561" w:firstLineChars="648"/>
              <w:rPr>
                <w:b/>
                <w:color w:val="auto"/>
              </w:rPr>
            </w:pPr>
            <w:r>
              <w:rPr>
                <w:b/>
                <w:color w:val="auto"/>
              </w:rPr>
              <w:t>表3-1区域空气质量现状评价表</w:t>
            </w:r>
          </w:p>
          <w:tbl>
            <w:tblPr>
              <w:tblStyle w:val="25"/>
              <w:tblW w:w="497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1959"/>
              <w:gridCol w:w="1230"/>
              <w:gridCol w:w="1167"/>
              <w:gridCol w:w="1043"/>
              <w:gridCol w:w="1130"/>
            </w:tblGrid>
            <w:tr w14:paraId="33197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top w:val="single" w:color="auto" w:sz="4" w:space="0"/>
                    <w:left w:val="single" w:color="auto" w:sz="4" w:space="0"/>
                  </w:tcBorders>
                  <w:noWrap w:val="0"/>
                  <w:vAlign w:val="center"/>
                </w:tcPr>
                <w:p w14:paraId="52860644">
                  <w:pPr>
                    <w:jc w:val="center"/>
                    <w:rPr>
                      <w:b/>
                      <w:bCs/>
                      <w:color w:val="auto"/>
                      <w:kern w:val="28"/>
                      <w:szCs w:val="21"/>
                      <w:lang w:val="zh-CN"/>
                    </w:rPr>
                  </w:pPr>
                  <w:r>
                    <w:rPr>
                      <w:b/>
                      <w:bCs/>
                      <w:color w:val="auto"/>
                      <w:kern w:val="28"/>
                      <w:szCs w:val="21"/>
                      <w:lang w:val="zh-CN"/>
                    </w:rPr>
                    <w:t>污染物</w:t>
                  </w:r>
                </w:p>
              </w:tc>
              <w:tc>
                <w:tcPr>
                  <w:tcW w:w="1239" w:type="pct"/>
                  <w:tcBorders>
                    <w:top w:val="single" w:color="auto" w:sz="4" w:space="0"/>
                  </w:tcBorders>
                  <w:noWrap w:val="0"/>
                  <w:vAlign w:val="center"/>
                </w:tcPr>
                <w:p w14:paraId="1B23E1A0">
                  <w:pPr>
                    <w:jc w:val="center"/>
                    <w:rPr>
                      <w:b/>
                      <w:bCs/>
                      <w:color w:val="auto"/>
                      <w:kern w:val="28"/>
                      <w:szCs w:val="21"/>
                    </w:rPr>
                  </w:pPr>
                  <w:r>
                    <w:rPr>
                      <w:b/>
                      <w:bCs/>
                      <w:color w:val="auto"/>
                      <w:kern w:val="28"/>
                      <w:szCs w:val="21"/>
                      <w:lang w:val="zh-CN"/>
                    </w:rPr>
                    <w:t>年评价指标</w:t>
                  </w:r>
                </w:p>
              </w:tc>
              <w:tc>
                <w:tcPr>
                  <w:tcW w:w="778" w:type="pct"/>
                  <w:tcBorders>
                    <w:top w:val="single" w:color="auto" w:sz="4" w:space="0"/>
                  </w:tcBorders>
                  <w:noWrap w:val="0"/>
                  <w:vAlign w:val="center"/>
                </w:tcPr>
                <w:p w14:paraId="5DBFA56A">
                  <w:pPr>
                    <w:jc w:val="center"/>
                    <w:rPr>
                      <w:b/>
                      <w:bCs/>
                      <w:color w:val="auto"/>
                      <w:kern w:val="28"/>
                      <w:szCs w:val="21"/>
                      <w:lang w:val="zh-CN"/>
                    </w:rPr>
                  </w:pPr>
                  <w:r>
                    <w:rPr>
                      <w:b/>
                      <w:bCs/>
                      <w:color w:val="auto"/>
                      <w:kern w:val="28"/>
                      <w:szCs w:val="21"/>
                      <w:lang w:val="zh-CN"/>
                    </w:rPr>
                    <w:t>现状浓度（</w:t>
                  </w:r>
                  <w:r>
                    <w:rPr>
                      <w:b/>
                      <w:color w:val="auto"/>
                      <w:szCs w:val="21"/>
                    </w:rPr>
                    <w:t>µg/m</w:t>
                  </w:r>
                  <w:r>
                    <w:rPr>
                      <w:b/>
                      <w:color w:val="auto"/>
                      <w:szCs w:val="21"/>
                      <w:vertAlign w:val="superscript"/>
                    </w:rPr>
                    <w:t>3</w:t>
                  </w:r>
                  <w:r>
                    <w:rPr>
                      <w:b/>
                      <w:bCs/>
                      <w:color w:val="auto"/>
                      <w:kern w:val="28"/>
                      <w:szCs w:val="21"/>
                      <w:lang w:val="zh-CN"/>
                    </w:rPr>
                    <w:t>）</w:t>
                  </w:r>
                </w:p>
              </w:tc>
              <w:tc>
                <w:tcPr>
                  <w:tcW w:w="738" w:type="pct"/>
                  <w:tcBorders>
                    <w:top w:val="single" w:color="auto" w:sz="4" w:space="0"/>
                  </w:tcBorders>
                  <w:noWrap w:val="0"/>
                  <w:vAlign w:val="center"/>
                </w:tcPr>
                <w:p w14:paraId="057A7650">
                  <w:pPr>
                    <w:jc w:val="center"/>
                    <w:rPr>
                      <w:b/>
                      <w:bCs/>
                      <w:color w:val="auto"/>
                      <w:kern w:val="28"/>
                      <w:szCs w:val="21"/>
                      <w:lang w:val="zh-CN"/>
                    </w:rPr>
                  </w:pPr>
                  <w:r>
                    <w:rPr>
                      <w:b/>
                      <w:bCs/>
                      <w:color w:val="auto"/>
                      <w:kern w:val="28"/>
                      <w:szCs w:val="21"/>
                      <w:lang w:val="zh-CN"/>
                    </w:rPr>
                    <w:t>标准值（</w:t>
                  </w:r>
                  <w:r>
                    <w:rPr>
                      <w:b/>
                      <w:color w:val="auto"/>
                      <w:szCs w:val="21"/>
                    </w:rPr>
                    <w:t>µg/m</w:t>
                  </w:r>
                  <w:r>
                    <w:rPr>
                      <w:b/>
                      <w:color w:val="auto"/>
                      <w:szCs w:val="21"/>
                      <w:vertAlign w:val="superscript"/>
                    </w:rPr>
                    <w:t>3</w:t>
                  </w:r>
                  <w:r>
                    <w:rPr>
                      <w:b/>
                      <w:bCs/>
                      <w:color w:val="auto"/>
                      <w:kern w:val="28"/>
                      <w:szCs w:val="21"/>
                      <w:lang w:val="zh-CN"/>
                    </w:rPr>
                    <w:t>）</w:t>
                  </w:r>
                </w:p>
              </w:tc>
              <w:tc>
                <w:tcPr>
                  <w:tcW w:w="660" w:type="pct"/>
                  <w:tcBorders>
                    <w:top w:val="single" w:color="auto" w:sz="4" w:space="0"/>
                  </w:tcBorders>
                  <w:noWrap w:val="0"/>
                  <w:vAlign w:val="center"/>
                </w:tcPr>
                <w:p w14:paraId="211526B2">
                  <w:pPr>
                    <w:jc w:val="center"/>
                    <w:rPr>
                      <w:b/>
                      <w:bCs/>
                      <w:color w:val="auto"/>
                      <w:kern w:val="28"/>
                      <w:szCs w:val="21"/>
                    </w:rPr>
                  </w:pPr>
                  <w:r>
                    <w:rPr>
                      <w:b/>
                      <w:bCs/>
                      <w:color w:val="auto"/>
                      <w:kern w:val="28"/>
                      <w:szCs w:val="21"/>
                      <w:lang w:val="zh-CN"/>
                    </w:rPr>
                    <w:t>占标率</w:t>
                  </w:r>
                  <w:r>
                    <w:rPr>
                      <w:b/>
                      <w:bCs/>
                      <w:color w:val="auto"/>
                      <w:kern w:val="28"/>
                      <w:szCs w:val="21"/>
                    </w:rPr>
                    <w:t>%</w:t>
                  </w:r>
                </w:p>
              </w:tc>
              <w:tc>
                <w:tcPr>
                  <w:tcW w:w="715" w:type="pct"/>
                  <w:tcBorders>
                    <w:top w:val="single" w:color="auto" w:sz="4" w:space="0"/>
                    <w:right w:val="single" w:color="auto" w:sz="4" w:space="0"/>
                  </w:tcBorders>
                  <w:noWrap w:val="0"/>
                  <w:vAlign w:val="center"/>
                </w:tcPr>
                <w:p w14:paraId="505167BB">
                  <w:pPr>
                    <w:jc w:val="center"/>
                    <w:rPr>
                      <w:b/>
                      <w:bCs/>
                      <w:color w:val="auto"/>
                      <w:kern w:val="28"/>
                      <w:szCs w:val="21"/>
                      <w:lang w:val="zh-CN"/>
                    </w:rPr>
                  </w:pPr>
                  <w:r>
                    <w:rPr>
                      <w:b/>
                      <w:bCs/>
                      <w:color w:val="auto"/>
                      <w:kern w:val="28"/>
                      <w:szCs w:val="21"/>
                      <w:lang w:val="zh-CN"/>
                    </w:rPr>
                    <w:t>达标情况</w:t>
                  </w:r>
                </w:p>
              </w:tc>
            </w:tr>
            <w:tr w14:paraId="4B2E9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left w:val="single" w:color="auto" w:sz="4" w:space="0"/>
                  </w:tcBorders>
                  <w:noWrap w:val="0"/>
                  <w:vAlign w:val="center"/>
                </w:tcPr>
                <w:p w14:paraId="052F2FA6">
                  <w:pPr>
                    <w:jc w:val="center"/>
                    <w:rPr>
                      <w:bCs/>
                      <w:color w:val="auto"/>
                      <w:kern w:val="28"/>
                      <w:szCs w:val="21"/>
                    </w:rPr>
                  </w:pPr>
                  <w:r>
                    <w:rPr>
                      <w:bCs/>
                      <w:color w:val="auto"/>
                      <w:kern w:val="28"/>
                      <w:szCs w:val="21"/>
                    </w:rPr>
                    <w:t>PM</w:t>
                  </w:r>
                  <w:r>
                    <w:rPr>
                      <w:bCs/>
                      <w:color w:val="auto"/>
                      <w:kern w:val="28"/>
                      <w:szCs w:val="21"/>
                      <w:vertAlign w:val="subscript"/>
                    </w:rPr>
                    <w:t>10</w:t>
                  </w:r>
                </w:p>
              </w:tc>
              <w:tc>
                <w:tcPr>
                  <w:tcW w:w="1239" w:type="pct"/>
                  <w:vMerge w:val="restart"/>
                  <w:noWrap w:val="0"/>
                  <w:vAlign w:val="center"/>
                </w:tcPr>
                <w:p w14:paraId="60777B8D">
                  <w:pPr>
                    <w:jc w:val="center"/>
                    <w:rPr>
                      <w:bCs/>
                      <w:color w:val="auto"/>
                      <w:kern w:val="28"/>
                      <w:szCs w:val="21"/>
                    </w:rPr>
                  </w:pPr>
                  <w:r>
                    <w:rPr>
                      <w:bCs/>
                      <w:color w:val="auto"/>
                      <w:kern w:val="28"/>
                      <w:szCs w:val="21"/>
                    </w:rPr>
                    <w:t>年平均质量浓度</w:t>
                  </w:r>
                </w:p>
              </w:tc>
              <w:tc>
                <w:tcPr>
                  <w:tcW w:w="778" w:type="pct"/>
                  <w:noWrap w:val="0"/>
                  <w:vAlign w:val="center"/>
                </w:tcPr>
                <w:p w14:paraId="34072E35">
                  <w:pPr>
                    <w:jc w:val="center"/>
                    <w:rPr>
                      <w:rFonts w:hint="default" w:eastAsia="宋体"/>
                      <w:bCs/>
                      <w:color w:val="auto"/>
                      <w:kern w:val="28"/>
                      <w:szCs w:val="21"/>
                      <w:lang w:val="en-US" w:eastAsia="zh-CN"/>
                    </w:rPr>
                  </w:pPr>
                  <w:r>
                    <w:rPr>
                      <w:rFonts w:hint="eastAsia"/>
                      <w:bCs/>
                      <w:color w:val="auto"/>
                      <w:kern w:val="28"/>
                      <w:szCs w:val="21"/>
                      <w:lang w:val="en-US" w:eastAsia="zh-CN"/>
                    </w:rPr>
                    <w:t>60</w:t>
                  </w:r>
                </w:p>
              </w:tc>
              <w:tc>
                <w:tcPr>
                  <w:tcW w:w="738" w:type="pct"/>
                  <w:noWrap w:val="0"/>
                  <w:vAlign w:val="center"/>
                </w:tcPr>
                <w:p w14:paraId="22A4040E">
                  <w:pPr>
                    <w:jc w:val="center"/>
                    <w:rPr>
                      <w:bCs/>
                      <w:color w:val="auto"/>
                      <w:kern w:val="28"/>
                      <w:szCs w:val="21"/>
                    </w:rPr>
                  </w:pPr>
                  <w:r>
                    <w:rPr>
                      <w:bCs/>
                      <w:color w:val="auto"/>
                      <w:kern w:val="28"/>
                      <w:szCs w:val="21"/>
                    </w:rPr>
                    <w:t>70</w:t>
                  </w:r>
                </w:p>
              </w:tc>
              <w:tc>
                <w:tcPr>
                  <w:tcW w:w="660" w:type="pct"/>
                  <w:noWrap w:val="0"/>
                  <w:vAlign w:val="center"/>
                </w:tcPr>
                <w:p w14:paraId="738F8A70">
                  <w:pPr>
                    <w:widowControl/>
                    <w:jc w:val="center"/>
                    <w:textAlignment w:val="center"/>
                    <w:rPr>
                      <w:rFonts w:hint="default" w:eastAsia="宋体"/>
                      <w:color w:val="auto"/>
                      <w:lang w:val="en-US" w:eastAsia="zh-CN"/>
                    </w:rPr>
                  </w:pPr>
                  <w:r>
                    <w:rPr>
                      <w:rFonts w:hint="eastAsia"/>
                      <w:color w:val="auto"/>
                      <w:kern w:val="0"/>
                      <w:szCs w:val="21"/>
                      <w:lang w:val="en-US" w:eastAsia="zh-CN" w:bidi="ar"/>
                    </w:rPr>
                    <w:t>85.7</w:t>
                  </w:r>
                </w:p>
              </w:tc>
              <w:tc>
                <w:tcPr>
                  <w:tcW w:w="715" w:type="pct"/>
                  <w:tcBorders>
                    <w:right w:val="single" w:color="auto" w:sz="4" w:space="0"/>
                  </w:tcBorders>
                  <w:noWrap w:val="0"/>
                  <w:vAlign w:val="center"/>
                </w:tcPr>
                <w:p w14:paraId="5A8E6D8E">
                  <w:pPr>
                    <w:jc w:val="center"/>
                    <w:rPr>
                      <w:bCs/>
                      <w:color w:val="auto"/>
                      <w:kern w:val="28"/>
                      <w:szCs w:val="21"/>
                      <w:lang w:val="zh-CN"/>
                    </w:rPr>
                  </w:pPr>
                  <w:r>
                    <w:rPr>
                      <w:bCs/>
                      <w:color w:val="auto"/>
                      <w:kern w:val="28"/>
                      <w:szCs w:val="21"/>
                      <w:lang w:val="zh-CN"/>
                    </w:rPr>
                    <w:t>达标</w:t>
                  </w:r>
                </w:p>
              </w:tc>
            </w:tr>
            <w:tr w14:paraId="06B253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left w:val="single" w:color="auto" w:sz="4" w:space="0"/>
                  </w:tcBorders>
                  <w:noWrap w:val="0"/>
                  <w:vAlign w:val="center"/>
                </w:tcPr>
                <w:p w14:paraId="0632A83B">
                  <w:pPr>
                    <w:jc w:val="center"/>
                    <w:rPr>
                      <w:bCs/>
                      <w:color w:val="auto"/>
                      <w:kern w:val="28"/>
                      <w:szCs w:val="21"/>
                    </w:rPr>
                  </w:pPr>
                  <w:r>
                    <w:rPr>
                      <w:bCs/>
                      <w:color w:val="auto"/>
                      <w:kern w:val="28"/>
                      <w:szCs w:val="21"/>
                    </w:rPr>
                    <w:t>SO</w:t>
                  </w:r>
                  <w:r>
                    <w:rPr>
                      <w:bCs/>
                      <w:color w:val="auto"/>
                      <w:kern w:val="28"/>
                      <w:szCs w:val="21"/>
                      <w:vertAlign w:val="subscript"/>
                    </w:rPr>
                    <w:t>2</w:t>
                  </w:r>
                </w:p>
              </w:tc>
              <w:tc>
                <w:tcPr>
                  <w:tcW w:w="1239" w:type="pct"/>
                  <w:vMerge w:val="continue"/>
                  <w:noWrap w:val="0"/>
                  <w:vAlign w:val="center"/>
                </w:tcPr>
                <w:p w14:paraId="08612FBB">
                  <w:pPr>
                    <w:jc w:val="center"/>
                    <w:rPr>
                      <w:bCs/>
                      <w:color w:val="auto"/>
                      <w:kern w:val="28"/>
                      <w:szCs w:val="21"/>
                    </w:rPr>
                  </w:pPr>
                </w:p>
              </w:tc>
              <w:tc>
                <w:tcPr>
                  <w:tcW w:w="778" w:type="pct"/>
                  <w:noWrap w:val="0"/>
                  <w:vAlign w:val="center"/>
                </w:tcPr>
                <w:p w14:paraId="21389022">
                  <w:pPr>
                    <w:jc w:val="center"/>
                    <w:rPr>
                      <w:rFonts w:hint="eastAsia" w:eastAsia="宋体"/>
                      <w:bCs/>
                      <w:color w:val="auto"/>
                      <w:kern w:val="28"/>
                      <w:szCs w:val="21"/>
                      <w:lang w:eastAsia="zh-CN"/>
                    </w:rPr>
                  </w:pPr>
                  <w:r>
                    <w:rPr>
                      <w:rFonts w:hint="eastAsia"/>
                      <w:bCs/>
                      <w:color w:val="auto"/>
                      <w:kern w:val="28"/>
                      <w:szCs w:val="21"/>
                      <w:lang w:val="en-US" w:eastAsia="zh-CN"/>
                    </w:rPr>
                    <w:t>8</w:t>
                  </w:r>
                </w:p>
              </w:tc>
              <w:tc>
                <w:tcPr>
                  <w:tcW w:w="738" w:type="pct"/>
                  <w:noWrap w:val="0"/>
                  <w:vAlign w:val="center"/>
                </w:tcPr>
                <w:p w14:paraId="442573D6">
                  <w:pPr>
                    <w:jc w:val="center"/>
                    <w:rPr>
                      <w:bCs/>
                      <w:color w:val="auto"/>
                      <w:kern w:val="28"/>
                      <w:szCs w:val="21"/>
                    </w:rPr>
                  </w:pPr>
                  <w:r>
                    <w:rPr>
                      <w:bCs/>
                      <w:color w:val="auto"/>
                      <w:kern w:val="28"/>
                      <w:szCs w:val="21"/>
                    </w:rPr>
                    <w:t>60</w:t>
                  </w:r>
                </w:p>
              </w:tc>
              <w:tc>
                <w:tcPr>
                  <w:tcW w:w="660" w:type="pct"/>
                  <w:noWrap w:val="0"/>
                  <w:vAlign w:val="center"/>
                </w:tcPr>
                <w:p w14:paraId="3FC1C20A">
                  <w:pPr>
                    <w:widowControl/>
                    <w:jc w:val="center"/>
                    <w:textAlignment w:val="center"/>
                    <w:rPr>
                      <w:rFonts w:hint="default" w:eastAsia="宋体"/>
                      <w:color w:val="auto"/>
                      <w:lang w:val="en-US" w:eastAsia="zh-CN"/>
                    </w:rPr>
                  </w:pPr>
                  <w:r>
                    <w:rPr>
                      <w:rFonts w:hint="eastAsia"/>
                      <w:color w:val="auto"/>
                      <w:kern w:val="0"/>
                      <w:szCs w:val="21"/>
                      <w:lang w:val="en-US" w:eastAsia="zh-CN" w:bidi="ar"/>
                    </w:rPr>
                    <w:t>13.3</w:t>
                  </w:r>
                </w:p>
              </w:tc>
              <w:tc>
                <w:tcPr>
                  <w:tcW w:w="715" w:type="pct"/>
                  <w:tcBorders>
                    <w:right w:val="single" w:color="auto" w:sz="4" w:space="0"/>
                  </w:tcBorders>
                  <w:noWrap w:val="0"/>
                  <w:vAlign w:val="center"/>
                </w:tcPr>
                <w:p w14:paraId="0BFBCB38">
                  <w:pPr>
                    <w:jc w:val="center"/>
                    <w:rPr>
                      <w:bCs/>
                      <w:color w:val="auto"/>
                      <w:kern w:val="28"/>
                      <w:szCs w:val="21"/>
                      <w:lang w:val="zh-CN"/>
                    </w:rPr>
                  </w:pPr>
                  <w:r>
                    <w:rPr>
                      <w:bCs/>
                      <w:color w:val="auto"/>
                      <w:kern w:val="28"/>
                      <w:szCs w:val="21"/>
                      <w:lang w:val="zh-CN"/>
                    </w:rPr>
                    <w:t>达标</w:t>
                  </w:r>
                </w:p>
              </w:tc>
            </w:tr>
            <w:tr w14:paraId="10932D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left w:val="single" w:color="auto" w:sz="4" w:space="0"/>
                  </w:tcBorders>
                  <w:noWrap w:val="0"/>
                  <w:vAlign w:val="center"/>
                </w:tcPr>
                <w:p w14:paraId="502D18E6">
                  <w:pPr>
                    <w:jc w:val="center"/>
                    <w:rPr>
                      <w:bCs/>
                      <w:color w:val="auto"/>
                      <w:kern w:val="28"/>
                      <w:szCs w:val="21"/>
                    </w:rPr>
                  </w:pPr>
                  <w:r>
                    <w:rPr>
                      <w:bCs/>
                      <w:color w:val="auto"/>
                      <w:kern w:val="28"/>
                      <w:szCs w:val="21"/>
                    </w:rPr>
                    <w:t>NO</w:t>
                  </w:r>
                  <w:r>
                    <w:rPr>
                      <w:bCs/>
                      <w:color w:val="auto"/>
                      <w:kern w:val="28"/>
                      <w:szCs w:val="21"/>
                      <w:vertAlign w:val="subscript"/>
                    </w:rPr>
                    <w:t>2</w:t>
                  </w:r>
                </w:p>
              </w:tc>
              <w:tc>
                <w:tcPr>
                  <w:tcW w:w="1239" w:type="pct"/>
                  <w:vMerge w:val="continue"/>
                  <w:noWrap w:val="0"/>
                  <w:vAlign w:val="center"/>
                </w:tcPr>
                <w:p w14:paraId="58839267">
                  <w:pPr>
                    <w:jc w:val="center"/>
                    <w:rPr>
                      <w:bCs/>
                      <w:color w:val="auto"/>
                      <w:kern w:val="28"/>
                      <w:szCs w:val="21"/>
                    </w:rPr>
                  </w:pPr>
                </w:p>
              </w:tc>
              <w:tc>
                <w:tcPr>
                  <w:tcW w:w="778" w:type="pct"/>
                  <w:noWrap w:val="0"/>
                  <w:vAlign w:val="center"/>
                </w:tcPr>
                <w:p w14:paraId="1DDB32D4">
                  <w:pPr>
                    <w:jc w:val="center"/>
                    <w:rPr>
                      <w:rFonts w:hint="eastAsia" w:eastAsia="宋体"/>
                      <w:bCs/>
                      <w:color w:val="auto"/>
                      <w:kern w:val="28"/>
                      <w:szCs w:val="21"/>
                      <w:lang w:eastAsia="zh-CN"/>
                    </w:rPr>
                  </w:pPr>
                  <w:r>
                    <w:rPr>
                      <w:rFonts w:hint="eastAsia"/>
                      <w:bCs/>
                      <w:color w:val="auto"/>
                      <w:kern w:val="28"/>
                      <w:szCs w:val="21"/>
                    </w:rPr>
                    <w:t>4</w:t>
                  </w:r>
                  <w:r>
                    <w:rPr>
                      <w:rFonts w:hint="eastAsia"/>
                      <w:bCs/>
                      <w:color w:val="auto"/>
                      <w:kern w:val="28"/>
                      <w:szCs w:val="21"/>
                      <w:lang w:val="en-US" w:eastAsia="zh-CN"/>
                    </w:rPr>
                    <w:t>2</w:t>
                  </w:r>
                </w:p>
              </w:tc>
              <w:tc>
                <w:tcPr>
                  <w:tcW w:w="738" w:type="pct"/>
                  <w:noWrap w:val="0"/>
                  <w:vAlign w:val="center"/>
                </w:tcPr>
                <w:p w14:paraId="4E712D12">
                  <w:pPr>
                    <w:jc w:val="center"/>
                    <w:rPr>
                      <w:bCs/>
                      <w:color w:val="auto"/>
                      <w:kern w:val="28"/>
                      <w:szCs w:val="21"/>
                    </w:rPr>
                  </w:pPr>
                  <w:r>
                    <w:rPr>
                      <w:bCs/>
                      <w:color w:val="auto"/>
                      <w:kern w:val="28"/>
                      <w:szCs w:val="21"/>
                    </w:rPr>
                    <w:t>40</w:t>
                  </w:r>
                </w:p>
              </w:tc>
              <w:tc>
                <w:tcPr>
                  <w:tcW w:w="660" w:type="pct"/>
                  <w:noWrap w:val="0"/>
                  <w:vAlign w:val="center"/>
                </w:tcPr>
                <w:p w14:paraId="18724B82">
                  <w:pPr>
                    <w:widowControl/>
                    <w:jc w:val="center"/>
                    <w:textAlignment w:val="center"/>
                    <w:rPr>
                      <w:rFonts w:hint="default" w:eastAsia="宋体"/>
                      <w:color w:val="auto"/>
                      <w:lang w:val="en-US" w:eastAsia="zh-CN"/>
                    </w:rPr>
                  </w:pPr>
                  <w:r>
                    <w:rPr>
                      <w:rFonts w:hint="eastAsia"/>
                      <w:bCs/>
                      <w:color w:val="auto"/>
                      <w:kern w:val="0"/>
                      <w:szCs w:val="21"/>
                      <w:lang w:val="en-US" w:eastAsia="zh-CN" w:bidi="ar"/>
                    </w:rPr>
                    <w:t>105</w:t>
                  </w:r>
                </w:p>
              </w:tc>
              <w:tc>
                <w:tcPr>
                  <w:tcW w:w="715" w:type="pct"/>
                  <w:tcBorders>
                    <w:right w:val="single" w:color="auto" w:sz="4" w:space="0"/>
                  </w:tcBorders>
                  <w:noWrap w:val="0"/>
                  <w:vAlign w:val="center"/>
                </w:tcPr>
                <w:p w14:paraId="0FF6B615">
                  <w:pPr>
                    <w:jc w:val="center"/>
                    <w:rPr>
                      <w:bCs/>
                      <w:color w:val="auto"/>
                      <w:kern w:val="28"/>
                      <w:szCs w:val="21"/>
                      <w:lang w:val="zh-CN"/>
                    </w:rPr>
                  </w:pPr>
                  <w:r>
                    <w:rPr>
                      <w:rFonts w:hint="eastAsia"/>
                      <w:bCs/>
                      <w:color w:val="auto"/>
                      <w:kern w:val="28"/>
                      <w:szCs w:val="21"/>
                    </w:rPr>
                    <w:t>超</w:t>
                  </w:r>
                  <w:r>
                    <w:rPr>
                      <w:bCs/>
                      <w:color w:val="auto"/>
                      <w:kern w:val="28"/>
                      <w:szCs w:val="21"/>
                      <w:lang w:val="zh-CN"/>
                    </w:rPr>
                    <w:t>标</w:t>
                  </w:r>
                </w:p>
              </w:tc>
            </w:tr>
            <w:tr w14:paraId="1BE716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left w:val="single" w:color="auto" w:sz="4" w:space="0"/>
                  </w:tcBorders>
                  <w:noWrap w:val="0"/>
                  <w:vAlign w:val="center"/>
                </w:tcPr>
                <w:p w14:paraId="649906F3">
                  <w:pPr>
                    <w:jc w:val="center"/>
                    <w:rPr>
                      <w:b/>
                      <w:bCs/>
                      <w:color w:val="auto"/>
                      <w:kern w:val="28"/>
                      <w:szCs w:val="21"/>
                    </w:rPr>
                  </w:pPr>
                  <w:r>
                    <w:rPr>
                      <w:color w:val="auto"/>
                      <w:kern w:val="28"/>
                      <w:szCs w:val="21"/>
                    </w:rPr>
                    <w:t>PM</w:t>
                  </w:r>
                  <w:r>
                    <w:rPr>
                      <w:color w:val="auto"/>
                      <w:kern w:val="28"/>
                      <w:szCs w:val="21"/>
                      <w:vertAlign w:val="subscript"/>
                    </w:rPr>
                    <w:t>2.5</w:t>
                  </w:r>
                </w:p>
              </w:tc>
              <w:tc>
                <w:tcPr>
                  <w:tcW w:w="1239" w:type="pct"/>
                  <w:vMerge w:val="continue"/>
                  <w:noWrap w:val="0"/>
                  <w:vAlign w:val="center"/>
                </w:tcPr>
                <w:p w14:paraId="6183D91F">
                  <w:pPr>
                    <w:jc w:val="center"/>
                    <w:rPr>
                      <w:b/>
                      <w:bCs/>
                      <w:color w:val="auto"/>
                      <w:kern w:val="28"/>
                      <w:szCs w:val="21"/>
                    </w:rPr>
                  </w:pPr>
                </w:p>
              </w:tc>
              <w:tc>
                <w:tcPr>
                  <w:tcW w:w="778" w:type="pct"/>
                  <w:noWrap w:val="0"/>
                  <w:vAlign w:val="center"/>
                </w:tcPr>
                <w:p w14:paraId="05A157E5">
                  <w:pPr>
                    <w:jc w:val="center"/>
                    <w:rPr>
                      <w:rFonts w:hint="default" w:eastAsia="宋体"/>
                      <w:bCs/>
                      <w:color w:val="auto"/>
                      <w:kern w:val="28"/>
                      <w:szCs w:val="21"/>
                      <w:lang w:val="en-US" w:eastAsia="zh-CN"/>
                    </w:rPr>
                  </w:pPr>
                  <w:r>
                    <w:rPr>
                      <w:rFonts w:hint="eastAsia"/>
                      <w:bCs/>
                      <w:color w:val="auto"/>
                      <w:kern w:val="28"/>
                      <w:szCs w:val="21"/>
                      <w:lang w:val="en-US" w:eastAsia="zh-CN"/>
                    </w:rPr>
                    <w:t>36</w:t>
                  </w:r>
                </w:p>
              </w:tc>
              <w:tc>
                <w:tcPr>
                  <w:tcW w:w="738" w:type="pct"/>
                  <w:noWrap w:val="0"/>
                  <w:vAlign w:val="center"/>
                </w:tcPr>
                <w:p w14:paraId="5C17A9DC">
                  <w:pPr>
                    <w:jc w:val="center"/>
                    <w:rPr>
                      <w:bCs/>
                      <w:color w:val="auto"/>
                      <w:kern w:val="28"/>
                      <w:szCs w:val="21"/>
                    </w:rPr>
                  </w:pPr>
                  <w:r>
                    <w:rPr>
                      <w:bCs/>
                      <w:color w:val="auto"/>
                      <w:kern w:val="28"/>
                      <w:szCs w:val="21"/>
                    </w:rPr>
                    <w:t>35</w:t>
                  </w:r>
                </w:p>
              </w:tc>
              <w:tc>
                <w:tcPr>
                  <w:tcW w:w="660" w:type="pct"/>
                  <w:noWrap w:val="0"/>
                  <w:vAlign w:val="center"/>
                </w:tcPr>
                <w:p w14:paraId="408B64B4">
                  <w:pPr>
                    <w:widowControl/>
                    <w:jc w:val="center"/>
                    <w:textAlignment w:val="center"/>
                    <w:rPr>
                      <w:rFonts w:hint="default" w:eastAsia="宋体"/>
                      <w:bCs/>
                      <w:color w:val="auto"/>
                      <w:lang w:val="en-US" w:eastAsia="zh-CN"/>
                    </w:rPr>
                  </w:pPr>
                  <w:r>
                    <w:rPr>
                      <w:rFonts w:hint="eastAsia"/>
                      <w:bCs/>
                      <w:color w:val="auto"/>
                    </w:rPr>
                    <w:t>10</w:t>
                  </w:r>
                  <w:r>
                    <w:rPr>
                      <w:rFonts w:hint="eastAsia"/>
                      <w:bCs/>
                      <w:color w:val="auto"/>
                      <w:lang w:val="en-US" w:eastAsia="zh-CN"/>
                    </w:rPr>
                    <w:t>2.9</w:t>
                  </w:r>
                </w:p>
              </w:tc>
              <w:tc>
                <w:tcPr>
                  <w:tcW w:w="715" w:type="pct"/>
                  <w:tcBorders>
                    <w:right w:val="single" w:color="auto" w:sz="4" w:space="0"/>
                  </w:tcBorders>
                  <w:noWrap w:val="0"/>
                  <w:vAlign w:val="center"/>
                </w:tcPr>
                <w:p w14:paraId="6BC91749">
                  <w:pPr>
                    <w:jc w:val="center"/>
                    <w:rPr>
                      <w:bCs/>
                      <w:color w:val="auto"/>
                      <w:kern w:val="28"/>
                      <w:szCs w:val="21"/>
                      <w:lang w:val="zh-CN"/>
                    </w:rPr>
                  </w:pPr>
                  <w:r>
                    <w:rPr>
                      <w:rFonts w:hint="eastAsia"/>
                      <w:bCs/>
                      <w:color w:val="auto"/>
                      <w:kern w:val="28"/>
                      <w:szCs w:val="21"/>
                    </w:rPr>
                    <w:t>超</w:t>
                  </w:r>
                  <w:r>
                    <w:rPr>
                      <w:bCs/>
                      <w:color w:val="auto"/>
                      <w:kern w:val="28"/>
                      <w:szCs w:val="21"/>
                      <w:lang w:val="zh-CN"/>
                    </w:rPr>
                    <w:t>标</w:t>
                  </w:r>
                </w:p>
              </w:tc>
            </w:tr>
            <w:tr w14:paraId="60125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67" w:type="pct"/>
                  <w:tcBorders>
                    <w:left w:val="single" w:color="auto" w:sz="4" w:space="0"/>
                  </w:tcBorders>
                  <w:noWrap w:val="0"/>
                  <w:vAlign w:val="center"/>
                </w:tcPr>
                <w:p w14:paraId="1553C0E5">
                  <w:pPr>
                    <w:jc w:val="center"/>
                    <w:rPr>
                      <w:bCs/>
                      <w:color w:val="auto"/>
                      <w:kern w:val="28"/>
                      <w:szCs w:val="21"/>
                    </w:rPr>
                  </w:pPr>
                  <w:r>
                    <w:rPr>
                      <w:bCs/>
                      <w:color w:val="auto"/>
                      <w:kern w:val="28"/>
                      <w:szCs w:val="21"/>
                    </w:rPr>
                    <w:t>O</w:t>
                  </w:r>
                  <w:r>
                    <w:rPr>
                      <w:bCs/>
                      <w:color w:val="auto"/>
                      <w:kern w:val="28"/>
                      <w:szCs w:val="21"/>
                      <w:vertAlign w:val="subscript"/>
                    </w:rPr>
                    <w:t>3</w:t>
                  </w:r>
                </w:p>
              </w:tc>
              <w:tc>
                <w:tcPr>
                  <w:tcW w:w="1239" w:type="pct"/>
                  <w:noWrap w:val="0"/>
                  <w:vAlign w:val="center"/>
                </w:tcPr>
                <w:p w14:paraId="0A6EAD1D">
                  <w:pPr>
                    <w:jc w:val="center"/>
                    <w:rPr>
                      <w:bCs/>
                      <w:color w:val="auto"/>
                      <w:kern w:val="28"/>
                      <w:szCs w:val="21"/>
                    </w:rPr>
                  </w:pPr>
                  <w:r>
                    <w:rPr>
                      <w:bCs/>
                      <w:color w:val="auto"/>
                      <w:kern w:val="28"/>
                      <w:szCs w:val="21"/>
                    </w:rPr>
                    <w:t>日最大8h平均浓度的第90百分位数</w:t>
                  </w:r>
                </w:p>
              </w:tc>
              <w:tc>
                <w:tcPr>
                  <w:tcW w:w="778" w:type="pct"/>
                  <w:noWrap w:val="0"/>
                  <w:vAlign w:val="center"/>
                </w:tcPr>
                <w:p w14:paraId="493952AD">
                  <w:pPr>
                    <w:jc w:val="center"/>
                    <w:rPr>
                      <w:rFonts w:hint="default" w:eastAsia="宋体"/>
                      <w:bCs/>
                      <w:color w:val="auto"/>
                      <w:kern w:val="28"/>
                      <w:szCs w:val="21"/>
                      <w:lang w:val="en-US" w:eastAsia="zh-CN"/>
                    </w:rPr>
                  </w:pPr>
                  <w:r>
                    <w:rPr>
                      <w:rFonts w:hint="eastAsia"/>
                      <w:bCs/>
                      <w:color w:val="auto"/>
                      <w:kern w:val="28"/>
                      <w:szCs w:val="21"/>
                    </w:rPr>
                    <w:t>1</w:t>
                  </w:r>
                  <w:r>
                    <w:rPr>
                      <w:rFonts w:hint="eastAsia"/>
                      <w:bCs/>
                      <w:color w:val="auto"/>
                      <w:kern w:val="28"/>
                      <w:szCs w:val="21"/>
                      <w:lang w:val="en-US" w:eastAsia="zh-CN"/>
                    </w:rPr>
                    <w:t>52</w:t>
                  </w:r>
                </w:p>
              </w:tc>
              <w:tc>
                <w:tcPr>
                  <w:tcW w:w="738" w:type="pct"/>
                  <w:noWrap w:val="0"/>
                  <w:vAlign w:val="center"/>
                </w:tcPr>
                <w:p w14:paraId="5516E0F1">
                  <w:pPr>
                    <w:jc w:val="center"/>
                    <w:rPr>
                      <w:bCs/>
                      <w:color w:val="auto"/>
                      <w:kern w:val="28"/>
                      <w:szCs w:val="21"/>
                    </w:rPr>
                  </w:pPr>
                  <w:r>
                    <w:rPr>
                      <w:rFonts w:hint="eastAsia"/>
                      <w:bCs/>
                      <w:color w:val="auto"/>
                      <w:kern w:val="28"/>
                      <w:szCs w:val="21"/>
                    </w:rPr>
                    <w:t>160</w:t>
                  </w:r>
                </w:p>
              </w:tc>
              <w:tc>
                <w:tcPr>
                  <w:tcW w:w="660" w:type="pct"/>
                  <w:noWrap w:val="0"/>
                  <w:vAlign w:val="center"/>
                </w:tcPr>
                <w:p w14:paraId="208D8EA4">
                  <w:pPr>
                    <w:widowControl/>
                    <w:jc w:val="center"/>
                    <w:textAlignment w:val="center"/>
                    <w:rPr>
                      <w:rFonts w:hint="default" w:eastAsia="宋体"/>
                      <w:color w:val="auto"/>
                      <w:lang w:val="en-US" w:eastAsia="zh-CN"/>
                    </w:rPr>
                  </w:pPr>
                  <w:r>
                    <w:rPr>
                      <w:rFonts w:hint="eastAsia"/>
                      <w:color w:val="auto"/>
                      <w:kern w:val="0"/>
                      <w:szCs w:val="21"/>
                      <w:lang w:val="en-US" w:eastAsia="zh-CN" w:bidi="ar"/>
                    </w:rPr>
                    <w:t>95</w:t>
                  </w:r>
                </w:p>
              </w:tc>
              <w:tc>
                <w:tcPr>
                  <w:tcW w:w="715" w:type="pct"/>
                  <w:tcBorders>
                    <w:right w:val="single" w:color="auto" w:sz="4" w:space="0"/>
                  </w:tcBorders>
                  <w:noWrap w:val="0"/>
                  <w:vAlign w:val="center"/>
                </w:tcPr>
                <w:p w14:paraId="76A683BD">
                  <w:pPr>
                    <w:jc w:val="center"/>
                    <w:rPr>
                      <w:bCs/>
                      <w:color w:val="auto"/>
                      <w:kern w:val="28"/>
                      <w:szCs w:val="21"/>
                      <w:lang w:val="zh-CN"/>
                    </w:rPr>
                  </w:pPr>
                  <w:r>
                    <w:rPr>
                      <w:bCs/>
                      <w:color w:val="auto"/>
                      <w:kern w:val="28"/>
                      <w:szCs w:val="21"/>
                      <w:lang w:val="zh-CN"/>
                    </w:rPr>
                    <w:t>达标</w:t>
                  </w:r>
                </w:p>
              </w:tc>
            </w:tr>
            <w:tr w14:paraId="5151BD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867" w:type="pct"/>
                  <w:tcBorders>
                    <w:left w:val="single" w:color="auto" w:sz="4" w:space="0"/>
                    <w:bottom w:val="single" w:color="auto" w:sz="4" w:space="0"/>
                  </w:tcBorders>
                  <w:noWrap w:val="0"/>
                  <w:vAlign w:val="center"/>
                </w:tcPr>
                <w:p w14:paraId="0B5F1B9A">
                  <w:pPr>
                    <w:jc w:val="center"/>
                    <w:rPr>
                      <w:bCs/>
                      <w:color w:val="auto"/>
                      <w:kern w:val="28"/>
                      <w:szCs w:val="21"/>
                    </w:rPr>
                  </w:pPr>
                  <w:r>
                    <w:rPr>
                      <w:bCs/>
                      <w:color w:val="auto"/>
                      <w:kern w:val="28"/>
                      <w:szCs w:val="21"/>
                    </w:rPr>
                    <w:t>CO</w:t>
                  </w:r>
                  <w:r>
                    <w:rPr>
                      <w:bCs/>
                      <w:color w:val="auto"/>
                      <w:kern w:val="28"/>
                      <w:szCs w:val="21"/>
                      <w:lang w:val="zh-CN"/>
                    </w:rPr>
                    <w:t>（</w:t>
                  </w:r>
                  <w:r>
                    <w:rPr>
                      <w:color w:val="auto"/>
                      <w:szCs w:val="21"/>
                    </w:rPr>
                    <w:t>mg/m</w:t>
                  </w:r>
                  <w:r>
                    <w:rPr>
                      <w:color w:val="auto"/>
                      <w:szCs w:val="21"/>
                      <w:vertAlign w:val="superscript"/>
                    </w:rPr>
                    <w:t>3</w:t>
                  </w:r>
                  <w:r>
                    <w:rPr>
                      <w:bCs/>
                      <w:color w:val="auto"/>
                      <w:kern w:val="28"/>
                      <w:szCs w:val="21"/>
                      <w:lang w:val="zh-CN"/>
                    </w:rPr>
                    <w:t>）</w:t>
                  </w:r>
                </w:p>
              </w:tc>
              <w:tc>
                <w:tcPr>
                  <w:tcW w:w="1239" w:type="pct"/>
                  <w:tcBorders>
                    <w:bottom w:val="single" w:color="auto" w:sz="4" w:space="0"/>
                  </w:tcBorders>
                  <w:noWrap w:val="0"/>
                  <w:vAlign w:val="center"/>
                </w:tcPr>
                <w:p w14:paraId="3F188263">
                  <w:pPr>
                    <w:jc w:val="center"/>
                    <w:rPr>
                      <w:bCs/>
                      <w:color w:val="auto"/>
                      <w:kern w:val="28"/>
                      <w:szCs w:val="21"/>
                    </w:rPr>
                  </w:pPr>
                  <w:r>
                    <w:rPr>
                      <w:bCs/>
                      <w:color w:val="auto"/>
                      <w:kern w:val="28"/>
                      <w:szCs w:val="21"/>
                    </w:rPr>
                    <w:t>日均浓度的第95百分位数</w:t>
                  </w:r>
                </w:p>
              </w:tc>
              <w:tc>
                <w:tcPr>
                  <w:tcW w:w="778" w:type="pct"/>
                  <w:tcBorders>
                    <w:bottom w:val="single" w:color="auto" w:sz="4" w:space="0"/>
                  </w:tcBorders>
                  <w:noWrap w:val="0"/>
                  <w:vAlign w:val="center"/>
                </w:tcPr>
                <w:p w14:paraId="43F6B8CA">
                  <w:pPr>
                    <w:jc w:val="center"/>
                    <w:rPr>
                      <w:rFonts w:hint="eastAsia" w:eastAsia="宋体"/>
                      <w:bCs/>
                      <w:color w:val="auto"/>
                      <w:kern w:val="28"/>
                      <w:szCs w:val="21"/>
                      <w:lang w:eastAsia="zh-CN"/>
                    </w:rPr>
                  </w:pPr>
                  <w:r>
                    <w:rPr>
                      <w:bCs/>
                      <w:color w:val="auto"/>
                      <w:kern w:val="28"/>
                      <w:szCs w:val="21"/>
                    </w:rPr>
                    <w:t>1</w:t>
                  </w:r>
                  <w:r>
                    <w:rPr>
                      <w:rFonts w:hint="eastAsia"/>
                      <w:bCs/>
                      <w:color w:val="auto"/>
                      <w:kern w:val="28"/>
                      <w:szCs w:val="21"/>
                    </w:rPr>
                    <w:t>.</w:t>
                  </w:r>
                  <w:r>
                    <w:rPr>
                      <w:rFonts w:hint="eastAsia"/>
                      <w:bCs/>
                      <w:color w:val="auto"/>
                      <w:kern w:val="28"/>
                      <w:szCs w:val="21"/>
                      <w:lang w:val="en-US" w:eastAsia="zh-CN"/>
                    </w:rPr>
                    <w:t>5</w:t>
                  </w:r>
                </w:p>
              </w:tc>
              <w:tc>
                <w:tcPr>
                  <w:tcW w:w="738" w:type="pct"/>
                  <w:tcBorders>
                    <w:bottom w:val="single" w:color="auto" w:sz="4" w:space="0"/>
                  </w:tcBorders>
                  <w:noWrap w:val="0"/>
                  <w:vAlign w:val="center"/>
                </w:tcPr>
                <w:p w14:paraId="50509632">
                  <w:pPr>
                    <w:jc w:val="center"/>
                    <w:rPr>
                      <w:rFonts w:hint="eastAsia"/>
                      <w:bCs/>
                      <w:color w:val="auto"/>
                      <w:kern w:val="28"/>
                      <w:szCs w:val="21"/>
                    </w:rPr>
                  </w:pPr>
                  <w:r>
                    <w:rPr>
                      <w:rFonts w:hint="eastAsia"/>
                      <w:bCs/>
                      <w:color w:val="auto"/>
                      <w:kern w:val="28"/>
                      <w:szCs w:val="21"/>
                    </w:rPr>
                    <w:t>4</w:t>
                  </w:r>
                </w:p>
              </w:tc>
              <w:tc>
                <w:tcPr>
                  <w:tcW w:w="660" w:type="pct"/>
                  <w:tcBorders>
                    <w:bottom w:val="single" w:color="auto" w:sz="4" w:space="0"/>
                  </w:tcBorders>
                  <w:noWrap w:val="0"/>
                  <w:vAlign w:val="center"/>
                </w:tcPr>
                <w:p w14:paraId="0AE66A10">
                  <w:pPr>
                    <w:widowControl/>
                    <w:jc w:val="center"/>
                    <w:textAlignment w:val="center"/>
                    <w:rPr>
                      <w:rFonts w:hint="default" w:eastAsia="宋体"/>
                      <w:bCs/>
                      <w:color w:val="auto"/>
                      <w:lang w:val="en-US" w:eastAsia="zh-CN"/>
                    </w:rPr>
                  </w:pPr>
                  <w:r>
                    <w:rPr>
                      <w:rFonts w:hint="eastAsia"/>
                      <w:bCs/>
                      <w:color w:val="auto"/>
                      <w:kern w:val="0"/>
                      <w:szCs w:val="21"/>
                      <w:lang w:val="en-US" w:eastAsia="zh-CN" w:bidi="ar"/>
                    </w:rPr>
                    <w:t>37.5</w:t>
                  </w:r>
                </w:p>
              </w:tc>
              <w:tc>
                <w:tcPr>
                  <w:tcW w:w="715" w:type="pct"/>
                  <w:tcBorders>
                    <w:bottom w:val="single" w:color="auto" w:sz="4" w:space="0"/>
                    <w:right w:val="single" w:color="auto" w:sz="4" w:space="0"/>
                  </w:tcBorders>
                  <w:noWrap w:val="0"/>
                  <w:vAlign w:val="center"/>
                </w:tcPr>
                <w:p w14:paraId="5FF7E055">
                  <w:pPr>
                    <w:jc w:val="center"/>
                    <w:rPr>
                      <w:bCs/>
                      <w:color w:val="auto"/>
                      <w:kern w:val="28"/>
                      <w:szCs w:val="21"/>
                      <w:lang w:val="zh-CN"/>
                    </w:rPr>
                  </w:pPr>
                  <w:r>
                    <w:rPr>
                      <w:bCs/>
                      <w:color w:val="auto"/>
                      <w:kern w:val="28"/>
                      <w:szCs w:val="21"/>
                      <w:lang w:val="zh-CN"/>
                    </w:rPr>
                    <w:t>达标</w:t>
                  </w:r>
                </w:p>
              </w:tc>
            </w:tr>
          </w:tbl>
          <w:p w14:paraId="0B0A78E3">
            <w:pPr>
              <w:pStyle w:val="3"/>
              <w:adjustRightInd w:val="0"/>
              <w:snapToGrid w:val="0"/>
              <w:spacing w:after="0" w:line="360" w:lineRule="auto"/>
              <w:ind w:left="0" w:leftChars="0" w:firstLine="480" w:firstLineChars="200"/>
              <w:rPr>
                <w:bCs/>
                <w:color w:val="auto"/>
                <w:szCs w:val="24"/>
              </w:rPr>
            </w:pPr>
            <w:r>
              <w:rPr>
                <w:color w:val="auto"/>
                <w:szCs w:val="24"/>
              </w:rPr>
              <w:t>根据上表可知，九龙坡区</w:t>
            </w:r>
            <w:r>
              <w:rPr>
                <w:bCs/>
                <w:color w:val="auto"/>
              </w:rPr>
              <w:t>SO</w:t>
            </w:r>
            <w:r>
              <w:rPr>
                <w:bCs/>
                <w:color w:val="auto"/>
                <w:vertAlign w:val="subscript"/>
              </w:rPr>
              <w:t>2</w:t>
            </w:r>
            <w:r>
              <w:rPr>
                <w:bCs/>
                <w:color w:val="auto"/>
              </w:rPr>
              <w:t>、CO、PM</w:t>
            </w:r>
            <w:r>
              <w:rPr>
                <w:bCs/>
                <w:color w:val="auto"/>
                <w:vertAlign w:val="subscript"/>
              </w:rPr>
              <w:t>10</w:t>
            </w:r>
            <w:r>
              <w:rPr>
                <w:bCs/>
                <w:color w:val="auto"/>
              </w:rPr>
              <w:t>、O</w:t>
            </w:r>
            <w:r>
              <w:rPr>
                <w:bCs/>
                <w:color w:val="auto"/>
                <w:vertAlign w:val="subscript"/>
              </w:rPr>
              <w:t>3</w:t>
            </w:r>
            <w:r>
              <w:rPr>
                <w:bCs/>
                <w:color w:val="auto"/>
                <w:szCs w:val="24"/>
              </w:rPr>
              <w:t>均满足</w:t>
            </w:r>
            <w:r>
              <w:rPr>
                <w:color w:val="auto"/>
                <w:szCs w:val="24"/>
              </w:rPr>
              <w:t>《环境空气质量标准》（GB3095-2012）二类区域标准，</w:t>
            </w:r>
            <w:r>
              <w:rPr>
                <w:bCs/>
                <w:color w:val="auto"/>
              </w:rPr>
              <w:t>NO</w:t>
            </w:r>
            <w:r>
              <w:rPr>
                <w:bCs/>
                <w:color w:val="auto"/>
                <w:vertAlign w:val="subscript"/>
              </w:rPr>
              <w:t>2</w:t>
            </w:r>
            <w:r>
              <w:rPr>
                <w:bCs/>
                <w:color w:val="auto"/>
              </w:rPr>
              <w:t>、PM</w:t>
            </w:r>
            <w:r>
              <w:rPr>
                <w:bCs/>
                <w:color w:val="auto"/>
                <w:vertAlign w:val="subscript"/>
              </w:rPr>
              <w:t>2.5</w:t>
            </w:r>
            <w:r>
              <w:rPr>
                <w:rFonts w:hint="eastAsia"/>
                <w:bCs/>
                <w:color w:val="auto"/>
              </w:rPr>
              <w:t>超过</w:t>
            </w:r>
            <w:r>
              <w:rPr>
                <w:color w:val="auto"/>
                <w:szCs w:val="24"/>
              </w:rPr>
              <w:t>《环境空气质量标准》（GB3095-2012）二类区域标准</w:t>
            </w:r>
            <w:r>
              <w:rPr>
                <w:rFonts w:hint="eastAsia"/>
                <w:color w:val="auto"/>
                <w:szCs w:val="24"/>
              </w:rPr>
              <w:t>。</w:t>
            </w:r>
            <w:r>
              <w:rPr>
                <w:color w:val="auto"/>
                <w:szCs w:val="24"/>
              </w:rPr>
              <w:t>项目所在区域属</w:t>
            </w:r>
            <w:r>
              <w:rPr>
                <w:rFonts w:hint="eastAsia"/>
                <w:color w:val="auto"/>
                <w:szCs w:val="24"/>
              </w:rPr>
              <w:t>不</w:t>
            </w:r>
            <w:r>
              <w:rPr>
                <w:color w:val="auto"/>
                <w:szCs w:val="24"/>
              </w:rPr>
              <w:t>达标区</w:t>
            </w:r>
            <w:r>
              <w:rPr>
                <w:bCs/>
                <w:color w:val="auto"/>
                <w:szCs w:val="24"/>
              </w:rPr>
              <w:t>。</w:t>
            </w:r>
          </w:p>
          <w:p w14:paraId="046B108A">
            <w:pPr>
              <w:pStyle w:val="3"/>
              <w:adjustRightInd w:val="0"/>
              <w:snapToGrid w:val="0"/>
              <w:spacing w:after="0" w:line="360" w:lineRule="auto"/>
              <w:ind w:left="0" w:leftChars="0" w:firstLine="480" w:firstLineChars="200"/>
              <w:rPr>
                <w:bCs/>
                <w:color w:val="auto"/>
                <w:szCs w:val="24"/>
              </w:rPr>
            </w:pPr>
            <w:r>
              <w:rPr>
                <w:bCs/>
                <w:color w:val="auto"/>
                <w:szCs w:val="24"/>
              </w:rPr>
              <w:t>九龙坡区生态环境</w:t>
            </w:r>
            <w:r>
              <w:rPr>
                <w:rFonts w:hint="eastAsia"/>
                <w:bCs/>
                <w:color w:val="auto"/>
                <w:szCs w:val="24"/>
                <w:lang w:eastAsia="zh-CN"/>
              </w:rPr>
              <w:t>局已</w:t>
            </w:r>
            <w:r>
              <w:rPr>
                <w:bCs/>
                <w:color w:val="auto"/>
                <w:szCs w:val="24"/>
              </w:rPr>
              <w:t xml:space="preserve">编制大气环境质量达标规划，所在区域及项目应严格按照达标规划提出的整改措施执行，以改善区域大气环境质量现状。 </w:t>
            </w:r>
          </w:p>
          <w:p w14:paraId="066D4E61">
            <w:pPr>
              <w:pStyle w:val="3"/>
              <w:adjustRightInd w:val="0"/>
              <w:snapToGrid w:val="0"/>
              <w:spacing w:after="0" w:line="360" w:lineRule="auto"/>
              <w:ind w:left="0" w:leftChars="0" w:firstLine="480" w:firstLineChars="200"/>
              <w:rPr>
                <w:bCs/>
                <w:color w:val="auto"/>
                <w:szCs w:val="24"/>
              </w:rPr>
            </w:pPr>
            <w:r>
              <w:rPr>
                <w:bCs/>
                <w:color w:val="auto"/>
                <w:szCs w:val="24"/>
              </w:rPr>
              <w:t xml:space="preserve">重庆市九龙坡区生态环境局公布的《重庆市九龙坡区大气环境质量限期达标规划》中“措施与行动”方案中明确减缓的方案如下： </w:t>
            </w:r>
          </w:p>
          <w:p w14:paraId="5F27F14A">
            <w:pPr>
              <w:pStyle w:val="3"/>
              <w:adjustRightInd w:val="0"/>
              <w:snapToGrid w:val="0"/>
              <w:spacing w:after="0" w:line="360" w:lineRule="auto"/>
              <w:ind w:left="0" w:leftChars="0" w:firstLine="480" w:firstLineChars="200"/>
              <w:rPr>
                <w:bCs/>
                <w:color w:val="auto"/>
                <w:szCs w:val="24"/>
              </w:rPr>
            </w:pPr>
            <w:r>
              <w:rPr>
                <w:bCs/>
                <w:color w:val="auto"/>
                <w:szCs w:val="24"/>
              </w:rPr>
              <w:t xml:space="preserve">①提高能源效率，优化能源结构：控制煤炭消费总量、提升能源利用效率、推进煤炭清洁利用、加快清洁能源替代利用、实施工业企业标准化管理、推进建筑节能和绿色建筑。 </w:t>
            </w:r>
          </w:p>
          <w:p w14:paraId="2885FA64">
            <w:pPr>
              <w:pStyle w:val="3"/>
              <w:adjustRightInd w:val="0"/>
              <w:snapToGrid w:val="0"/>
              <w:spacing w:after="0" w:line="360" w:lineRule="auto"/>
              <w:ind w:left="0" w:leftChars="0" w:firstLine="480" w:firstLineChars="200"/>
              <w:rPr>
                <w:bCs/>
                <w:color w:val="auto"/>
                <w:szCs w:val="24"/>
              </w:rPr>
            </w:pPr>
            <w:r>
              <w:rPr>
                <w:bCs/>
                <w:color w:val="auto"/>
                <w:szCs w:val="24"/>
              </w:rPr>
              <w:t>②优化产业布局，推进绿色发展</w:t>
            </w:r>
            <w:r>
              <w:rPr>
                <w:rFonts w:hint="eastAsia"/>
                <w:bCs/>
                <w:color w:val="auto"/>
                <w:szCs w:val="24"/>
                <w:lang w:eastAsia="zh-CN"/>
              </w:rPr>
              <w:t>：</w:t>
            </w:r>
            <w:r>
              <w:rPr>
                <w:bCs/>
                <w:color w:val="auto"/>
                <w:szCs w:val="24"/>
              </w:rPr>
              <w:t xml:space="preserve">优化产业布局、严格环保准入、优化工业结构。 </w:t>
            </w:r>
          </w:p>
          <w:p w14:paraId="63792C50">
            <w:pPr>
              <w:pStyle w:val="3"/>
              <w:adjustRightInd w:val="0"/>
              <w:snapToGrid w:val="0"/>
              <w:spacing w:after="0" w:line="360" w:lineRule="auto"/>
              <w:ind w:left="0" w:leftChars="0" w:firstLine="480" w:firstLineChars="200"/>
              <w:rPr>
                <w:bCs/>
                <w:color w:val="auto"/>
                <w:szCs w:val="24"/>
              </w:rPr>
            </w:pPr>
            <w:r>
              <w:rPr>
                <w:bCs/>
                <w:color w:val="auto"/>
                <w:szCs w:val="24"/>
              </w:rPr>
              <w:t xml:space="preserve">③强化监督管理，控制交通污染：严格新车排放标准、加强联合执法力度、加强重型柴油车环保达标监管、加快淘汰老旧机动车、加强汽油车环保达标监管、推进机动车尾气治理示范工程、改善车用燃油品质并加强达标监管、强化非道路移动机械污染控制、推进机动船舶污染防治、大力发展新能源汽车、加快推进公共交通。 </w:t>
            </w:r>
          </w:p>
          <w:p w14:paraId="6BF251D5">
            <w:pPr>
              <w:pStyle w:val="3"/>
              <w:adjustRightInd w:val="0"/>
              <w:snapToGrid w:val="0"/>
              <w:spacing w:after="0" w:line="360" w:lineRule="auto"/>
              <w:ind w:left="0" w:leftChars="0" w:firstLine="480" w:firstLineChars="200"/>
              <w:rPr>
                <w:bCs/>
                <w:color w:val="auto"/>
                <w:szCs w:val="24"/>
              </w:rPr>
            </w:pPr>
            <w:r>
              <w:rPr>
                <w:bCs/>
                <w:color w:val="auto"/>
                <w:szCs w:val="24"/>
              </w:rPr>
              <w:t xml:space="preserve">④加大防治力度，控制工业污染：非金属矿物制品行业综合防治、深化工业源挥发性有机物污染防治、环保溶剂使用全面提速。加快推进“散乱污”企业综合整治。加强污染源监督监测。强化污染企业台账管理。 </w:t>
            </w:r>
          </w:p>
          <w:p w14:paraId="02C23BC2">
            <w:pPr>
              <w:pStyle w:val="3"/>
              <w:adjustRightInd w:val="0"/>
              <w:snapToGrid w:val="0"/>
              <w:spacing w:after="0" w:line="360" w:lineRule="auto"/>
              <w:ind w:left="0" w:leftChars="0" w:firstLine="480" w:firstLineChars="200"/>
              <w:rPr>
                <w:bCs/>
                <w:color w:val="auto"/>
                <w:szCs w:val="24"/>
              </w:rPr>
            </w:pPr>
            <w:r>
              <w:rPr>
                <w:bCs/>
                <w:color w:val="auto"/>
                <w:szCs w:val="24"/>
              </w:rPr>
              <w:t>⑤提升管理水平，控制扬尘污染</w:t>
            </w:r>
            <w:r>
              <w:rPr>
                <w:rFonts w:hint="eastAsia"/>
                <w:bCs/>
                <w:color w:val="auto"/>
                <w:szCs w:val="24"/>
                <w:lang w:eastAsia="zh-CN"/>
              </w:rPr>
              <w:t>：</w:t>
            </w:r>
            <w:r>
              <w:rPr>
                <w:bCs/>
                <w:color w:val="auto"/>
                <w:szCs w:val="24"/>
              </w:rPr>
              <w:t xml:space="preserve">控制施工扬尘，控制道路扬尘，控制建筑渣土消纳场扬尘，控制生产经营中的扬尘、粉尘、烟尘，减少城市裸露土地。 </w:t>
            </w:r>
          </w:p>
          <w:p w14:paraId="3A54EDC5">
            <w:pPr>
              <w:pStyle w:val="3"/>
              <w:adjustRightInd w:val="0"/>
              <w:snapToGrid w:val="0"/>
              <w:spacing w:after="0" w:line="360" w:lineRule="auto"/>
              <w:ind w:left="0" w:leftChars="0" w:firstLine="480" w:firstLineChars="200"/>
              <w:rPr>
                <w:bCs/>
                <w:color w:val="auto"/>
                <w:szCs w:val="24"/>
              </w:rPr>
            </w:pPr>
            <w:r>
              <w:rPr>
                <w:bCs/>
                <w:color w:val="auto"/>
                <w:szCs w:val="24"/>
              </w:rPr>
              <w:t>⑥加大治理力度，控制生活污染</w:t>
            </w:r>
            <w:r>
              <w:rPr>
                <w:rFonts w:hint="eastAsia"/>
                <w:bCs/>
                <w:color w:val="auto"/>
                <w:szCs w:val="24"/>
                <w:lang w:eastAsia="zh-CN"/>
              </w:rPr>
              <w:t>：</w:t>
            </w:r>
            <w:r>
              <w:rPr>
                <w:bCs/>
                <w:color w:val="auto"/>
                <w:szCs w:val="24"/>
              </w:rPr>
              <w:t xml:space="preserve">加强餐饮油烟污染治理。控制生活类挥发性有机物污染。烧烤和烟熏腊肉综合防治。严控露天焚烧行为。 </w:t>
            </w:r>
          </w:p>
          <w:p w14:paraId="483F9A93">
            <w:pPr>
              <w:pStyle w:val="3"/>
              <w:adjustRightInd w:val="0"/>
              <w:snapToGrid w:val="0"/>
              <w:spacing w:after="0" w:line="360" w:lineRule="auto"/>
              <w:ind w:left="0" w:leftChars="0" w:firstLine="480" w:firstLineChars="200"/>
              <w:rPr>
                <w:bCs/>
                <w:color w:val="auto"/>
                <w:szCs w:val="24"/>
              </w:rPr>
            </w:pPr>
            <w:r>
              <w:rPr>
                <w:bCs/>
                <w:color w:val="auto"/>
                <w:szCs w:val="24"/>
              </w:rPr>
              <w:t>⑦加强综合利用，控制农业污染</w:t>
            </w:r>
            <w:r>
              <w:rPr>
                <w:rFonts w:hint="eastAsia"/>
                <w:bCs/>
                <w:color w:val="auto"/>
                <w:szCs w:val="24"/>
                <w:lang w:eastAsia="zh-CN"/>
              </w:rPr>
              <w:t>：</w:t>
            </w:r>
            <w:r>
              <w:rPr>
                <w:bCs/>
                <w:color w:val="auto"/>
                <w:szCs w:val="24"/>
              </w:rPr>
              <w:t xml:space="preserve">加强生物质燃烧管理。减少化肥使用过程氨排放。控制畜禽养殖氨污染。 </w:t>
            </w:r>
          </w:p>
          <w:p w14:paraId="5D051D4F">
            <w:pPr>
              <w:pStyle w:val="3"/>
              <w:adjustRightInd w:val="0"/>
              <w:snapToGrid w:val="0"/>
              <w:spacing w:after="0" w:line="360" w:lineRule="auto"/>
              <w:ind w:left="0" w:leftChars="0" w:firstLine="480" w:firstLineChars="200"/>
              <w:rPr>
                <w:bCs/>
                <w:color w:val="auto"/>
                <w:szCs w:val="24"/>
              </w:rPr>
            </w:pPr>
            <w:r>
              <w:rPr>
                <w:bCs/>
                <w:color w:val="auto"/>
                <w:szCs w:val="24"/>
              </w:rPr>
              <w:t>⑧增强大气污染监管能力</w:t>
            </w:r>
            <w:r>
              <w:rPr>
                <w:rFonts w:hint="eastAsia"/>
                <w:bCs/>
                <w:color w:val="auto"/>
                <w:szCs w:val="24"/>
                <w:lang w:eastAsia="zh-CN"/>
              </w:rPr>
              <w:t>：</w:t>
            </w:r>
            <w:r>
              <w:rPr>
                <w:bCs/>
                <w:color w:val="auto"/>
                <w:szCs w:val="24"/>
              </w:rPr>
              <w:t>建立健全大气污染防治工作机制。完善环境管理政策。提升环境监管能力、加大环保执法力度、推动公众参与。</w:t>
            </w:r>
          </w:p>
          <w:p w14:paraId="79F37DB2">
            <w:pPr>
              <w:pStyle w:val="3"/>
              <w:adjustRightInd w:val="0"/>
              <w:snapToGrid w:val="0"/>
              <w:spacing w:after="0" w:line="360" w:lineRule="auto"/>
              <w:ind w:left="0" w:leftChars="0" w:firstLine="480" w:firstLineChars="200"/>
              <w:rPr>
                <w:bCs/>
                <w:color w:val="auto"/>
                <w:szCs w:val="24"/>
              </w:rPr>
            </w:pPr>
            <w:r>
              <w:rPr>
                <w:bCs/>
                <w:color w:val="auto"/>
                <w:szCs w:val="24"/>
              </w:rPr>
              <w:t>在九龙坡区执行相应的整治措施后，可改善区域环境质量达标情况。</w:t>
            </w:r>
          </w:p>
          <w:p w14:paraId="31FF4A51">
            <w:pPr>
              <w:adjustRightInd w:val="0"/>
              <w:snapToGrid w:val="0"/>
              <w:spacing w:line="360" w:lineRule="auto"/>
              <w:rPr>
                <w:b/>
                <w:bCs/>
                <w:color w:val="auto"/>
                <w:sz w:val="24"/>
              </w:rPr>
            </w:pPr>
            <w:r>
              <w:rPr>
                <w:rFonts w:hint="eastAsia"/>
                <w:b/>
                <w:bCs/>
                <w:color w:val="auto"/>
                <w:kern w:val="0"/>
                <w:sz w:val="24"/>
              </w:rPr>
              <w:t>3.2</w:t>
            </w:r>
            <w:r>
              <w:rPr>
                <w:b/>
                <w:bCs/>
                <w:color w:val="auto"/>
                <w:sz w:val="24"/>
              </w:rPr>
              <w:t>地表水环境质量现状</w:t>
            </w:r>
          </w:p>
          <w:p w14:paraId="4AE11F0F">
            <w:pPr>
              <w:pStyle w:val="14"/>
              <w:adjustRightInd w:val="0"/>
              <w:snapToGrid w:val="0"/>
              <w:spacing w:line="360" w:lineRule="auto"/>
              <w:ind w:firstLine="522"/>
              <w:rPr>
                <w:rFonts w:ascii="Times New Roman" w:hAnsi="Times New Roman"/>
                <w:color w:val="auto"/>
                <w:sz w:val="24"/>
                <w:szCs w:val="24"/>
              </w:rPr>
            </w:pPr>
            <w:r>
              <w:rPr>
                <w:rFonts w:ascii="Times New Roman" w:hAnsi="Times New Roman"/>
                <w:color w:val="auto"/>
                <w:sz w:val="24"/>
                <w:szCs w:val="24"/>
              </w:rPr>
              <w:t>项目污废水通过污水处理站处理后经市政污水管网进入</w:t>
            </w:r>
            <w:r>
              <w:rPr>
                <w:rFonts w:hint="eastAsia" w:ascii="Times New Roman" w:hAnsi="Times New Roman"/>
                <w:color w:val="auto"/>
                <w:sz w:val="24"/>
                <w:szCs w:val="24"/>
                <w:lang w:eastAsia="zh-CN"/>
              </w:rPr>
              <w:t>鸡冠石污水处理厂</w:t>
            </w:r>
            <w:r>
              <w:rPr>
                <w:rFonts w:ascii="Times New Roman" w:hAnsi="Times New Roman"/>
                <w:color w:val="auto"/>
                <w:sz w:val="24"/>
                <w:szCs w:val="24"/>
              </w:rPr>
              <w:t>处理后排入长江。水域功能为III类水域，执行《地表水环境 质量标准》（GB3838-2002）中的III类水域标准。</w:t>
            </w:r>
            <w:r>
              <w:rPr>
                <w:rFonts w:hint="eastAsia" w:ascii="Times New Roman" w:hAnsi="Times New Roman"/>
                <w:color w:val="auto"/>
                <w:sz w:val="24"/>
                <w:szCs w:val="24"/>
                <w:lang w:val="en-US" w:eastAsia="zh-CN"/>
              </w:rPr>
              <w:t>参照《环境影响评价技术导则地表水环境》（</w:t>
            </w:r>
            <w:r>
              <w:rPr>
                <w:rFonts w:hint="default" w:ascii="Times New Roman" w:hAnsi="Times New Roman"/>
                <w:color w:val="auto"/>
                <w:sz w:val="24"/>
                <w:szCs w:val="24"/>
                <w:lang w:val="en-US" w:eastAsia="zh-CN"/>
              </w:rPr>
              <w:t>HJ2.3-2018</w:t>
            </w:r>
            <w:r>
              <w:rPr>
                <w:rFonts w:hint="eastAsia" w:ascii="Times New Roman" w:hAnsi="Times New Roman"/>
                <w:color w:val="auto"/>
                <w:sz w:val="24"/>
                <w:szCs w:val="24"/>
                <w:lang w:val="en-US" w:eastAsia="zh-CN"/>
              </w:rPr>
              <w:t xml:space="preserve">）规定，可采用生态环境保护主管部门统一发布的水环境状况信息进行评价分析。根据重庆市生态环境局官方网站公布的每月《重庆市水环境质量状况》可知，长江寸滩断面在 </w:t>
            </w:r>
            <w:r>
              <w:rPr>
                <w:rFonts w:hint="default" w:ascii="Times New Roman" w:hAnsi="Times New Roman"/>
                <w:color w:val="auto"/>
                <w:sz w:val="24"/>
                <w:szCs w:val="24"/>
                <w:lang w:val="en-US" w:eastAsia="zh-CN"/>
              </w:rPr>
              <w:t>202</w:t>
            </w:r>
            <w:r>
              <w:rPr>
                <w:rFonts w:hint="eastAsia" w:ascii="Times New Roman" w:hAnsi="Times New Roman"/>
                <w:color w:val="auto"/>
                <w:sz w:val="24"/>
                <w:szCs w:val="24"/>
                <w:lang w:val="en-US" w:eastAsia="zh-CN"/>
              </w:rPr>
              <w:t>4年9月、10月均满足Ⅲ类水域标准。由此表明拟建项目所在地的长江地表水环境质量现状能够满足《地表水环境质量标准》（</w:t>
            </w:r>
            <w:r>
              <w:rPr>
                <w:rFonts w:hint="default" w:ascii="Times New Roman" w:hAnsi="Times New Roman"/>
                <w:color w:val="auto"/>
                <w:sz w:val="24"/>
                <w:szCs w:val="24"/>
                <w:lang w:val="en-US" w:eastAsia="zh-CN"/>
              </w:rPr>
              <w:t>GB3838-2002</w:t>
            </w:r>
            <w:r>
              <w:rPr>
                <w:rFonts w:hint="eastAsia" w:ascii="Times New Roman" w:hAnsi="Times New Roman"/>
                <w:color w:val="auto"/>
                <w:sz w:val="24"/>
                <w:szCs w:val="24"/>
                <w:lang w:val="en-US" w:eastAsia="zh-CN"/>
              </w:rPr>
              <w:t>）Ⅲ类水域标准，总体水质情况良好。</w:t>
            </w:r>
          </w:p>
          <w:p w14:paraId="24231C07">
            <w:pPr>
              <w:spacing w:line="360" w:lineRule="auto"/>
              <w:rPr>
                <w:b/>
                <w:color w:val="auto"/>
                <w:kern w:val="0"/>
                <w:sz w:val="24"/>
              </w:rPr>
            </w:pPr>
            <w:r>
              <w:rPr>
                <w:b/>
                <w:bCs/>
                <w:color w:val="auto"/>
                <w:kern w:val="0"/>
                <w:sz w:val="24"/>
              </w:rPr>
              <w:t>3</w:t>
            </w:r>
            <w:r>
              <w:rPr>
                <w:rFonts w:hint="eastAsia"/>
                <w:b/>
                <w:bCs/>
                <w:color w:val="auto"/>
                <w:kern w:val="0"/>
                <w:sz w:val="24"/>
              </w:rPr>
              <w:t>.3</w:t>
            </w:r>
            <w:r>
              <w:rPr>
                <w:b/>
                <w:color w:val="auto"/>
                <w:kern w:val="0"/>
                <w:sz w:val="24"/>
              </w:rPr>
              <w:t>声环境质量现状</w:t>
            </w:r>
          </w:p>
          <w:p w14:paraId="568262FE">
            <w:pPr>
              <w:spacing w:line="360" w:lineRule="auto"/>
              <w:ind w:firstLine="480" w:firstLineChars="200"/>
              <w:rPr>
                <w:color w:val="auto"/>
                <w:kern w:val="0"/>
                <w:sz w:val="24"/>
              </w:rPr>
            </w:pPr>
            <w:r>
              <w:rPr>
                <w:color w:val="auto"/>
                <w:kern w:val="0"/>
                <w:sz w:val="24"/>
              </w:rPr>
              <w:t>根据《声环境功能区划技术规范》（GB/T15190-2014）、</w:t>
            </w:r>
            <w:r>
              <w:rPr>
                <w:rFonts w:hint="eastAsia"/>
                <w:color w:val="auto"/>
                <w:kern w:val="0"/>
                <w:sz w:val="24"/>
              </w:rPr>
              <w:t>《重庆市生态环境局关于印发重庆中心城区声环境功能区划分方案（2023 年）</w:t>
            </w:r>
            <w:r>
              <w:rPr>
                <w:color w:val="auto"/>
                <w:kern w:val="0"/>
                <w:sz w:val="24"/>
              </w:rPr>
              <w:t>》（渝环〔20</w:t>
            </w:r>
            <w:r>
              <w:rPr>
                <w:rFonts w:hint="eastAsia"/>
                <w:color w:val="auto"/>
                <w:kern w:val="0"/>
                <w:sz w:val="24"/>
                <w:lang w:val="en-US" w:eastAsia="zh-CN"/>
              </w:rPr>
              <w:t>23</w:t>
            </w:r>
            <w:r>
              <w:rPr>
                <w:color w:val="auto"/>
                <w:kern w:val="0"/>
                <w:sz w:val="24"/>
              </w:rPr>
              <w:t>〕</w:t>
            </w:r>
            <w:r>
              <w:rPr>
                <w:rFonts w:hint="eastAsia"/>
                <w:color w:val="auto"/>
                <w:kern w:val="0"/>
                <w:sz w:val="24"/>
                <w:lang w:val="en-US" w:eastAsia="zh-CN"/>
              </w:rPr>
              <w:t>61</w:t>
            </w:r>
            <w:r>
              <w:rPr>
                <w:color w:val="auto"/>
                <w:kern w:val="0"/>
                <w:sz w:val="24"/>
              </w:rPr>
              <w:t>号），项目区</w:t>
            </w:r>
            <w:r>
              <w:rPr>
                <w:rFonts w:hint="eastAsia"/>
                <w:color w:val="auto"/>
                <w:kern w:val="0"/>
                <w:sz w:val="24"/>
                <w:lang w:val="en-US" w:eastAsia="zh-CN"/>
              </w:rPr>
              <w:t>西</w:t>
            </w:r>
            <w:r>
              <w:rPr>
                <w:color w:val="auto"/>
                <w:kern w:val="0"/>
                <w:sz w:val="24"/>
              </w:rPr>
              <w:t>侧临近石新路，执行《声环境质量标准》（GB3096-2008）4a类标准，其他区域执行2类标准；项目周边声环境敏感目标执行2类标准。</w:t>
            </w:r>
          </w:p>
          <w:p w14:paraId="692C1793">
            <w:pPr>
              <w:spacing w:line="360" w:lineRule="auto"/>
              <w:ind w:firstLine="480" w:firstLineChars="200"/>
              <w:rPr>
                <w:color w:val="auto"/>
                <w:kern w:val="0"/>
                <w:sz w:val="24"/>
              </w:rPr>
            </w:pPr>
            <w:r>
              <w:rPr>
                <w:color w:val="auto"/>
                <w:kern w:val="0"/>
                <w:sz w:val="24"/>
              </w:rPr>
              <w:t>1）评价数据</w:t>
            </w:r>
          </w:p>
          <w:p w14:paraId="1E340DA4">
            <w:pPr>
              <w:spacing w:line="360" w:lineRule="auto"/>
              <w:ind w:firstLine="480" w:firstLineChars="200"/>
              <w:rPr>
                <w:color w:val="auto"/>
                <w:kern w:val="0"/>
                <w:sz w:val="24"/>
              </w:rPr>
            </w:pPr>
            <w:r>
              <w:rPr>
                <w:color w:val="auto"/>
                <w:kern w:val="0"/>
                <w:sz w:val="24"/>
              </w:rPr>
              <w:t>项目本次评价委托</w:t>
            </w:r>
            <w:r>
              <w:rPr>
                <w:rFonts w:hint="default"/>
                <w:color w:val="auto"/>
                <w:kern w:val="0"/>
                <w:sz w:val="24"/>
              </w:rPr>
              <w:t>重庆厦美环保科技有限公司</w:t>
            </w:r>
            <w:r>
              <w:rPr>
                <w:color w:val="auto"/>
                <w:kern w:val="0"/>
                <w:sz w:val="24"/>
              </w:rPr>
              <w:t>于202</w:t>
            </w:r>
            <w:r>
              <w:rPr>
                <w:rFonts w:hint="eastAsia"/>
                <w:color w:val="auto"/>
                <w:kern w:val="0"/>
                <w:sz w:val="24"/>
                <w:lang w:val="en-US" w:eastAsia="zh-CN"/>
              </w:rPr>
              <w:t>4</w:t>
            </w:r>
            <w:r>
              <w:rPr>
                <w:color w:val="auto"/>
                <w:kern w:val="0"/>
                <w:sz w:val="24"/>
              </w:rPr>
              <w:t>年</w:t>
            </w:r>
            <w:r>
              <w:rPr>
                <w:rFonts w:hint="eastAsia"/>
                <w:color w:val="auto"/>
                <w:kern w:val="0"/>
                <w:sz w:val="24"/>
                <w:lang w:val="en-US" w:eastAsia="zh-CN"/>
              </w:rPr>
              <w:t>6</w:t>
            </w:r>
            <w:r>
              <w:rPr>
                <w:color w:val="auto"/>
                <w:kern w:val="0"/>
                <w:sz w:val="24"/>
              </w:rPr>
              <w:t>月</w:t>
            </w:r>
            <w:r>
              <w:rPr>
                <w:rFonts w:hint="eastAsia"/>
                <w:color w:val="auto"/>
                <w:kern w:val="0"/>
                <w:sz w:val="24"/>
                <w:lang w:val="en-US" w:eastAsia="zh-CN"/>
              </w:rPr>
              <w:t>17</w:t>
            </w:r>
            <w:r>
              <w:rPr>
                <w:color w:val="auto"/>
                <w:kern w:val="0"/>
                <w:sz w:val="24"/>
              </w:rPr>
              <w:t>日对项目及周边区域环境噪声进行现场实测，具体情况如下：</w:t>
            </w:r>
          </w:p>
          <w:p w14:paraId="4D9D326E">
            <w:pPr>
              <w:spacing w:line="360" w:lineRule="auto"/>
              <w:ind w:firstLine="480" w:firstLineChars="200"/>
              <w:rPr>
                <w:color w:val="auto"/>
                <w:kern w:val="0"/>
                <w:sz w:val="24"/>
              </w:rPr>
            </w:pPr>
            <w:r>
              <w:rPr>
                <w:color w:val="auto"/>
                <w:kern w:val="0"/>
                <w:sz w:val="24"/>
              </w:rPr>
              <w:t>监测布点：共设</w:t>
            </w:r>
            <w:r>
              <w:rPr>
                <w:rFonts w:hint="eastAsia"/>
                <w:color w:val="auto"/>
                <w:kern w:val="0"/>
                <w:sz w:val="24"/>
              </w:rPr>
              <w:t>3</w:t>
            </w:r>
            <w:r>
              <w:rPr>
                <w:color w:val="auto"/>
                <w:kern w:val="0"/>
                <w:sz w:val="24"/>
              </w:rPr>
              <w:t>个噪声监测点，</w:t>
            </w:r>
            <w:r>
              <w:rPr>
                <w:color w:val="auto"/>
                <w:sz w:val="24"/>
              </w:rPr>
              <w:t>1#监测点位于院区</w:t>
            </w:r>
            <w:r>
              <w:rPr>
                <w:rFonts w:hint="eastAsia" w:ascii="Times New Roman" w:hAnsi="Times New Roman" w:cs="Times New Roman"/>
                <w:color w:val="auto"/>
                <w:sz w:val="24"/>
                <w:szCs w:val="24"/>
                <w:lang w:eastAsia="zh-CN"/>
              </w:rPr>
              <w:t>西侧</w:t>
            </w:r>
            <w:r>
              <w:rPr>
                <w:color w:val="auto"/>
                <w:sz w:val="24"/>
              </w:rPr>
              <w:t>边界，2#监测点位于</w:t>
            </w:r>
            <w:r>
              <w:rPr>
                <w:rFonts w:hint="eastAsia" w:ascii="Times New Roman" w:hAnsi="Times New Roman" w:cs="Times New Roman"/>
                <w:color w:val="auto"/>
                <w:sz w:val="24"/>
                <w:szCs w:val="24"/>
                <w:lang w:eastAsia="zh-CN"/>
              </w:rPr>
              <w:t>东侧敏感点处</w:t>
            </w:r>
            <w:r>
              <w:rPr>
                <w:color w:val="auto"/>
                <w:sz w:val="24"/>
              </w:rPr>
              <w:t>、3#监测点位于院区</w:t>
            </w:r>
            <w:r>
              <w:rPr>
                <w:rFonts w:hint="eastAsia"/>
                <w:color w:val="auto"/>
                <w:sz w:val="24"/>
              </w:rPr>
              <w:t>南</w:t>
            </w:r>
            <w:r>
              <w:rPr>
                <w:color w:val="auto"/>
                <w:sz w:val="24"/>
              </w:rPr>
              <w:t>侧</w:t>
            </w:r>
            <w:r>
              <w:rPr>
                <w:rFonts w:hint="eastAsia"/>
                <w:color w:val="auto"/>
                <w:sz w:val="24"/>
                <w:lang w:val="en-US" w:eastAsia="zh-CN"/>
              </w:rPr>
              <w:t>靠</w:t>
            </w:r>
            <w:r>
              <w:rPr>
                <w:rFonts w:hint="eastAsia" w:ascii="Times New Roman" w:hAnsi="Times New Roman" w:cs="Times New Roman"/>
                <w:color w:val="auto"/>
                <w:sz w:val="24"/>
                <w:szCs w:val="24"/>
                <w:lang w:eastAsia="zh-CN"/>
              </w:rPr>
              <w:t>敏感点处</w:t>
            </w:r>
            <w:r>
              <w:rPr>
                <w:color w:val="auto"/>
                <w:kern w:val="0"/>
                <w:sz w:val="24"/>
              </w:rPr>
              <w:t>。</w:t>
            </w:r>
          </w:p>
          <w:p w14:paraId="618494C8">
            <w:pPr>
              <w:spacing w:line="360" w:lineRule="auto"/>
              <w:ind w:left="480"/>
              <w:rPr>
                <w:color w:val="auto"/>
                <w:kern w:val="0"/>
                <w:sz w:val="24"/>
              </w:rPr>
            </w:pPr>
            <w:r>
              <w:rPr>
                <w:color w:val="auto"/>
                <w:kern w:val="0"/>
                <w:sz w:val="24"/>
              </w:rPr>
              <w:t>监测项目：昼、夜等效A声级。</w:t>
            </w:r>
          </w:p>
          <w:p w14:paraId="20325E37">
            <w:pPr>
              <w:spacing w:line="360" w:lineRule="auto"/>
              <w:ind w:left="480"/>
              <w:rPr>
                <w:color w:val="auto"/>
                <w:kern w:val="0"/>
                <w:sz w:val="24"/>
              </w:rPr>
            </w:pPr>
            <w:r>
              <w:rPr>
                <w:color w:val="auto"/>
                <w:kern w:val="0"/>
                <w:sz w:val="24"/>
              </w:rPr>
              <w:t>监测时间</w:t>
            </w:r>
            <w:r>
              <w:rPr>
                <w:rFonts w:hint="eastAsia"/>
                <w:color w:val="auto"/>
                <w:kern w:val="0"/>
                <w:sz w:val="24"/>
                <w:lang w:eastAsia="zh-CN"/>
              </w:rPr>
              <w:t>：</w:t>
            </w:r>
            <w:r>
              <w:rPr>
                <w:color w:val="auto"/>
                <w:kern w:val="0"/>
                <w:sz w:val="24"/>
              </w:rPr>
              <w:t>202</w:t>
            </w:r>
            <w:r>
              <w:rPr>
                <w:rFonts w:hint="eastAsia"/>
                <w:color w:val="auto"/>
                <w:kern w:val="0"/>
                <w:sz w:val="24"/>
                <w:lang w:val="en-US" w:eastAsia="zh-CN"/>
              </w:rPr>
              <w:t>4</w:t>
            </w:r>
            <w:r>
              <w:rPr>
                <w:color w:val="auto"/>
                <w:kern w:val="0"/>
                <w:sz w:val="24"/>
              </w:rPr>
              <w:t>年</w:t>
            </w:r>
            <w:r>
              <w:rPr>
                <w:rFonts w:hint="eastAsia"/>
                <w:color w:val="auto"/>
                <w:kern w:val="0"/>
                <w:sz w:val="24"/>
                <w:lang w:val="en-US" w:eastAsia="zh-CN"/>
              </w:rPr>
              <w:t>6</w:t>
            </w:r>
            <w:r>
              <w:rPr>
                <w:color w:val="auto"/>
                <w:kern w:val="0"/>
                <w:sz w:val="24"/>
              </w:rPr>
              <w:t>月</w:t>
            </w:r>
            <w:r>
              <w:rPr>
                <w:rFonts w:hint="eastAsia"/>
                <w:color w:val="auto"/>
                <w:kern w:val="0"/>
                <w:sz w:val="24"/>
                <w:lang w:val="en-US" w:eastAsia="zh-CN"/>
              </w:rPr>
              <w:t>17</w:t>
            </w:r>
            <w:r>
              <w:rPr>
                <w:color w:val="auto"/>
                <w:kern w:val="0"/>
                <w:sz w:val="24"/>
              </w:rPr>
              <w:t>日。</w:t>
            </w:r>
          </w:p>
          <w:p w14:paraId="2C53A9DF">
            <w:pPr>
              <w:spacing w:line="360" w:lineRule="auto"/>
              <w:ind w:firstLine="480" w:firstLineChars="200"/>
              <w:rPr>
                <w:color w:val="auto"/>
                <w:kern w:val="0"/>
                <w:sz w:val="24"/>
              </w:rPr>
            </w:pPr>
            <w:r>
              <w:rPr>
                <w:color w:val="auto"/>
                <w:kern w:val="0"/>
                <w:sz w:val="24"/>
              </w:rPr>
              <w:t>监测频率：连续</w:t>
            </w:r>
            <w:r>
              <w:rPr>
                <w:rFonts w:hint="eastAsia"/>
                <w:color w:val="auto"/>
                <w:kern w:val="0"/>
                <w:sz w:val="24"/>
                <w:lang w:val="en-US" w:eastAsia="zh-CN"/>
              </w:rPr>
              <w:t>1</w:t>
            </w:r>
            <w:r>
              <w:rPr>
                <w:color w:val="auto"/>
                <w:kern w:val="0"/>
                <w:sz w:val="24"/>
              </w:rPr>
              <w:t>天，每天昼夜各一次。</w:t>
            </w:r>
          </w:p>
          <w:p w14:paraId="06EDDBC4">
            <w:pPr>
              <w:spacing w:line="360" w:lineRule="auto"/>
              <w:ind w:firstLine="480" w:firstLineChars="200"/>
              <w:rPr>
                <w:color w:val="auto"/>
                <w:kern w:val="0"/>
                <w:sz w:val="24"/>
              </w:rPr>
            </w:pPr>
            <w:r>
              <w:rPr>
                <w:color w:val="auto"/>
                <w:kern w:val="0"/>
                <w:sz w:val="24"/>
              </w:rPr>
              <w:t>2）评价方法</w:t>
            </w:r>
          </w:p>
          <w:p w14:paraId="3BDAC7B8">
            <w:pPr>
              <w:spacing w:line="360" w:lineRule="auto"/>
              <w:ind w:firstLine="480" w:firstLineChars="200"/>
              <w:rPr>
                <w:color w:val="auto"/>
                <w:kern w:val="0"/>
                <w:sz w:val="24"/>
              </w:rPr>
            </w:pPr>
            <w:r>
              <w:rPr>
                <w:color w:val="auto"/>
                <w:kern w:val="0"/>
                <w:sz w:val="24"/>
              </w:rPr>
              <w:t>噪声现状评价采用与标准值比较评述法。</w:t>
            </w:r>
          </w:p>
          <w:p w14:paraId="1D426208">
            <w:pPr>
              <w:spacing w:line="360" w:lineRule="auto"/>
              <w:ind w:firstLine="480" w:firstLineChars="200"/>
              <w:rPr>
                <w:color w:val="auto"/>
                <w:kern w:val="0"/>
                <w:sz w:val="24"/>
              </w:rPr>
            </w:pPr>
            <w:r>
              <w:rPr>
                <w:color w:val="auto"/>
                <w:kern w:val="0"/>
                <w:sz w:val="24"/>
              </w:rPr>
              <w:t>3）监测结果</w:t>
            </w:r>
          </w:p>
          <w:p w14:paraId="040A6C76">
            <w:pPr>
              <w:spacing w:line="360" w:lineRule="auto"/>
              <w:ind w:firstLine="480" w:firstLineChars="200"/>
              <w:rPr>
                <w:color w:val="auto"/>
                <w:kern w:val="0"/>
                <w:sz w:val="24"/>
              </w:rPr>
            </w:pPr>
            <w:r>
              <w:rPr>
                <w:color w:val="auto"/>
                <w:kern w:val="0"/>
                <w:sz w:val="24"/>
              </w:rPr>
              <w:t>噪声现状评价结果见表3-3。</w:t>
            </w:r>
          </w:p>
          <w:p w14:paraId="630E1A42">
            <w:pPr>
              <w:jc w:val="center"/>
              <w:rPr>
                <w:b/>
                <w:bCs/>
                <w:color w:val="auto"/>
                <w:kern w:val="0"/>
                <w:sz w:val="24"/>
              </w:rPr>
            </w:pPr>
            <w:r>
              <w:rPr>
                <w:b/>
                <w:bCs/>
                <w:color w:val="auto"/>
                <w:kern w:val="0"/>
                <w:sz w:val="24"/>
              </w:rPr>
              <w:t>表3-3噪声现状评价结果表  单位：L</w:t>
            </w:r>
            <w:r>
              <w:rPr>
                <w:b/>
                <w:bCs/>
                <w:color w:val="auto"/>
                <w:kern w:val="0"/>
                <w:sz w:val="24"/>
                <w:vertAlign w:val="subscript"/>
              </w:rPr>
              <w:t>eq</w:t>
            </w:r>
            <w:r>
              <w:rPr>
                <w:b/>
                <w:bCs/>
                <w:color w:val="auto"/>
                <w:kern w:val="0"/>
                <w:sz w:val="24"/>
              </w:rPr>
              <w:t>：dB（A）</w:t>
            </w:r>
          </w:p>
          <w:tbl>
            <w:tblPr>
              <w:tblStyle w:val="25"/>
              <w:tblW w:w="457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09"/>
              <w:gridCol w:w="1102"/>
              <w:gridCol w:w="822"/>
              <w:gridCol w:w="839"/>
              <w:gridCol w:w="705"/>
              <w:gridCol w:w="705"/>
              <w:gridCol w:w="1708"/>
            </w:tblGrid>
            <w:tr w14:paraId="284DC8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66" w:type="pct"/>
                  <w:vMerge w:val="restart"/>
                  <w:noWrap w:val="0"/>
                  <w:vAlign w:val="center"/>
                </w:tcPr>
                <w:p w14:paraId="021128E6">
                  <w:pPr>
                    <w:jc w:val="center"/>
                    <w:rPr>
                      <w:b/>
                      <w:bCs/>
                      <w:color w:val="auto"/>
                      <w:szCs w:val="21"/>
                    </w:rPr>
                  </w:pPr>
                  <w:r>
                    <w:rPr>
                      <w:b/>
                      <w:bCs/>
                      <w:color w:val="auto"/>
                      <w:szCs w:val="21"/>
                    </w:rPr>
                    <w:t>监测点位</w:t>
                  </w:r>
                </w:p>
              </w:tc>
              <w:tc>
                <w:tcPr>
                  <w:tcW w:w="755" w:type="pct"/>
                  <w:vMerge w:val="restart"/>
                  <w:noWrap w:val="0"/>
                  <w:vAlign w:val="center"/>
                </w:tcPr>
                <w:p w14:paraId="205C5DC1">
                  <w:pPr>
                    <w:jc w:val="center"/>
                    <w:rPr>
                      <w:b/>
                      <w:bCs/>
                      <w:color w:val="auto"/>
                      <w:szCs w:val="21"/>
                    </w:rPr>
                  </w:pPr>
                  <w:r>
                    <w:rPr>
                      <w:b/>
                      <w:bCs/>
                      <w:color w:val="auto"/>
                      <w:szCs w:val="21"/>
                    </w:rPr>
                    <w:t>监测时间</w:t>
                  </w:r>
                </w:p>
              </w:tc>
              <w:tc>
                <w:tcPr>
                  <w:tcW w:w="1139" w:type="pct"/>
                  <w:gridSpan w:val="2"/>
                  <w:noWrap w:val="0"/>
                  <w:vAlign w:val="center"/>
                </w:tcPr>
                <w:p w14:paraId="66A1D70C">
                  <w:pPr>
                    <w:jc w:val="center"/>
                    <w:rPr>
                      <w:b/>
                      <w:bCs/>
                      <w:color w:val="auto"/>
                      <w:szCs w:val="21"/>
                    </w:rPr>
                  </w:pPr>
                  <w:r>
                    <w:rPr>
                      <w:b/>
                      <w:bCs/>
                      <w:color w:val="auto"/>
                      <w:szCs w:val="21"/>
                    </w:rPr>
                    <w:t>监测结果</w:t>
                  </w:r>
                </w:p>
              </w:tc>
              <w:tc>
                <w:tcPr>
                  <w:tcW w:w="967" w:type="pct"/>
                  <w:gridSpan w:val="2"/>
                  <w:noWrap w:val="0"/>
                  <w:vAlign w:val="center"/>
                </w:tcPr>
                <w:p w14:paraId="44886986">
                  <w:pPr>
                    <w:jc w:val="center"/>
                    <w:rPr>
                      <w:rFonts w:hint="default" w:eastAsia="宋体"/>
                      <w:b/>
                      <w:bCs/>
                      <w:color w:val="auto"/>
                      <w:szCs w:val="21"/>
                      <w:lang w:val="en-US" w:eastAsia="zh-CN"/>
                    </w:rPr>
                  </w:pPr>
                  <w:r>
                    <w:rPr>
                      <w:rFonts w:hint="eastAsia"/>
                      <w:b/>
                      <w:bCs/>
                      <w:color w:val="auto"/>
                      <w:szCs w:val="21"/>
                      <w:lang w:val="en-US" w:eastAsia="zh-CN"/>
                    </w:rPr>
                    <w:t>标准值</w:t>
                  </w:r>
                </w:p>
              </w:tc>
              <w:tc>
                <w:tcPr>
                  <w:tcW w:w="1171" w:type="pct"/>
                  <w:vMerge w:val="restart"/>
                  <w:noWrap w:val="0"/>
                  <w:vAlign w:val="center"/>
                </w:tcPr>
                <w:p w14:paraId="53C6D174">
                  <w:pPr>
                    <w:jc w:val="center"/>
                    <w:rPr>
                      <w:b/>
                      <w:bCs/>
                      <w:color w:val="auto"/>
                      <w:szCs w:val="21"/>
                    </w:rPr>
                  </w:pPr>
                  <w:r>
                    <w:rPr>
                      <w:b/>
                      <w:bCs/>
                      <w:color w:val="auto"/>
                      <w:szCs w:val="21"/>
                    </w:rPr>
                    <w:t>评价标准</w:t>
                  </w:r>
                </w:p>
              </w:tc>
            </w:tr>
            <w:tr w14:paraId="7473DB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66" w:type="pct"/>
                  <w:vMerge w:val="continue"/>
                  <w:noWrap w:val="0"/>
                  <w:vAlign w:val="center"/>
                </w:tcPr>
                <w:p w14:paraId="4DC0344B">
                  <w:pPr>
                    <w:jc w:val="center"/>
                    <w:rPr>
                      <w:b/>
                      <w:bCs/>
                      <w:color w:val="auto"/>
                      <w:szCs w:val="21"/>
                    </w:rPr>
                  </w:pPr>
                </w:p>
              </w:tc>
              <w:tc>
                <w:tcPr>
                  <w:tcW w:w="755" w:type="pct"/>
                  <w:vMerge w:val="continue"/>
                  <w:noWrap w:val="0"/>
                  <w:vAlign w:val="center"/>
                </w:tcPr>
                <w:p w14:paraId="3BD4AF48">
                  <w:pPr>
                    <w:jc w:val="center"/>
                    <w:rPr>
                      <w:b/>
                      <w:bCs/>
                      <w:color w:val="auto"/>
                      <w:szCs w:val="21"/>
                    </w:rPr>
                  </w:pPr>
                </w:p>
              </w:tc>
              <w:tc>
                <w:tcPr>
                  <w:tcW w:w="563" w:type="pct"/>
                  <w:noWrap w:val="0"/>
                  <w:vAlign w:val="center"/>
                </w:tcPr>
                <w:p w14:paraId="70A7E587">
                  <w:pPr>
                    <w:jc w:val="center"/>
                    <w:rPr>
                      <w:b/>
                      <w:bCs/>
                      <w:color w:val="auto"/>
                      <w:szCs w:val="21"/>
                    </w:rPr>
                  </w:pPr>
                  <w:r>
                    <w:rPr>
                      <w:b/>
                      <w:bCs/>
                      <w:color w:val="auto"/>
                      <w:szCs w:val="21"/>
                    </w:rPr>
                    <w:t>昼间</w:t>
                  </w:r>
                </w:p>
              </w:tc>
              <w:tc>
                <w:tcPr>
                  <w:tcW w:w="575" w:type="pct"/>
                  <w:noWrap w:val="0"/>
                  <w:vAlign w:val="center"/>
                </w:tcPr>
                <w:p w14:paraId="413AE93B">
                  <w:pPr>
                    <w:jc w:val="center"/>
                    <w:rPr>
                      <w:b/>
                      <w:bCs/>
                      <w:color w:val="auto"/>
                      <w:szCs w:val="21"/>
                    </w:rPr>
                  </w:pPr>
                  <w:r>
                    <w:rPr>
                      <w:b/>
                      <w:bCs/>
                      <w:color w:val="auto"/>
                      <w:szCs w:val="21"/>
                    </w:rPr>
                    <w:t>夜间</w:t>
                  </w:r>
                </w:p>
              </w:tc>
              <w:tc>
                <w:tcPr>
                  <w:tcW w:w="483" w:type="pct"/>
                  <w:shd w:val="clear" w:color="auto" w:fill="auto"/>
                  <w:noWrap w:val="0"/>
                  <w:vAlign w:val="center"/>
                </w:tcPr>
                <w:p w14:paraId="34345931">
                  <w:pPr>
                    <w:jc w:val="center"/>
                    <w:rPr>
                      <w:rFonts w:ascii="Times New Roman" w:hAnsi="Times New Roman" w:eastAsia="宋体" w:cs="Times New Roman"/>
                      <w:b/>
                      <w:bCs/>
                      <w:color w:val="auto"/>
                      <w:kern w:val="2"/>
                      <w:sz w:val="21"/>
                      <w:szCs w:val="21"/>
                      <w:lang w:val="en-US" w:eastAsia="zh-CN" w:bidi="ar-SA"/>
                    </w:rPr>
                  </w:pPr>
                  <w:r>
                    <w:rPr>
                      <w:b/>
                      <w:bCs/>
                      <w:color w:val="auto"/>
                      <w:szCs w:val="21"/>
                    </w:rPr>
                    <w:t>昼间</w:t>
                  </w:r>
                </w:p>
              </w:tc>
              <w:tc>
                <w:tcPr>
                  <w:tcW w:w="483" w:type="pct"/>
                  <w:shd w:val="clear" w:color="auto" w:fill="auto"/>
                  <w:noWrap w:val="0"/>
                  <w:vAlign w:val="center"/>
                </w:tcPr>
                <w:p w14:paraId="761606A0">
                  <w:pPr>
                    <w:jc w:val="center"/>
                    <w:rPr>
                      <w:rFonts w:ascii="Times New Roman" w:hAnsi="Times New Roman" w:eastAsia="宋体" w:cs="Times New Roman"/>
                      <w:b/>
                      <w:bCs/>
                      <w:color w:val="auto"/>
                      <w:kern w:val="2"/>
                      <w:sz w:val="21"/>
                      <w:szCs w:val="21"/>
                      <w:lang w:val="en-US" w:eastAsia="zh-CN" w:bidi="ar-SA"/>
                    </w:rPr>
                  </w:pPr>
                  <w:r>
                    <w:rPr>
                      <w:b/>
                      <w:bCs/>
                      <w:color w:val="auto"/>
                      <w:szCs w:val="21"/>
                    </w:rPr>
                    <w:t>夜间</w:t>
                  </w:r>
                </w:p>
              </w:tc>
              <w:tc>
                <w:tcPr>
                  <w:tcW w:w="1171" w:type="pct"/>
                  <w:vMerge w:val="continue"/>
                  <w:noWrap w:val="0"/>
                  <w:vAlign w:val="center"/>
                </w:tcPr>
                <w:p w14:paraId="26151B1E">
                  <w:pPr>
                    <w:jc w:val="center"/>
                    <w:rPr>
                      <w:b/>
                      <w:bCs/>
                      <w:color w:val="auto"/>
                      <w:szCs w:val="21"/>
                    </w:rPr>
                  </w:pPr>
                </w:p>
              </w:tc>
            </w:tr>
            <w:tr w14:paraId="46DA02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02" w:hRule="atLeast"/>
                <w:jc w:val="center"/>
              </w:trPr>
              <w:tc>
                <w:tcPr>
                  <w:tcW w:w="966" w:type="pct"/>
                  <w:noWrap w:val="0"/>
                  <w:vAlign w:val="center"/>
                </w:tcPr>
                <w:p w14:paraId="1EB5CC04">
                  <w:pPr>
                    <w:jc w:val="center"/>
                    <w:rPr>
                      <w:color w:val="auto"/>
                      <w:szCs w:val="21"/>
                    </w:rPr>
                  </w:pPr>
                  <w:r>
                    <w:rPr>
                      <w:color w:val="auto"/>
                      <w:szCs w:val="21"/>
                    </w:rPr>
                    <w:t>1#</w:t>
                  </w:r>
                </w:p>
              </w:tc>
              <w:tc>
                <w:tcPr>
                  <w:tcW w:w="755" w:type="pct"/>
                  <w:noWrap w:val="0"/>
                  <w:vAlign w:val="center"/>
                </w:tcPr>
                <w:p w14:paraId="245174D8">
                  <w:pPr>
                    <w:jc w:val="center"/>
                    <w:rPr>
                      <w:rFonts w:hint="default" w:eastAsia="宋体"/>
                      <w:color w:val="auto"/>
                      <w:szCs w:val="21"/>
                      <w:lang w:val="en-US" w:eastAsia="zh-CN"/>
                    </w:rPr>
                  </w:pPr>
                  <w:r>
                    <w:rPr>
                      <w:color w:val="auto"/>
                      <w:szCs w:val="21"/>
                    </w:rPr>
                    <w:t>202</w:t>
                  </w:r>
                  <w:r>
                    <w:rPr>
                      <w:rFonts w:hint="eastAsia"/>
                      <w:color w:val="auto"/>
                      <w:szCs w:val="21"/>
                      <w:lang w:val="en-US" w:eastAsia="zh-CN"/>
                    </w:rPr>
                    <w:t>4</w:t>
                  </w:r>
                  <w:r>
                    <w:rPr>
                      <w:color w:val="auto"/>
                      <w:szCs w:val="21"/>
                    </w:rPr>
                    <w:t>.</w:t>
                  </w:r>
                  <w:r>
                    <w:rPr>
                      <w:rFonts w:hint="eastAsia"/>
                      <w:color w:val="auto"/>
                      <w:szCs w:val="21"/>
                      <w:lang w:val="en-US" w:eastAsia="zh-CN"/>
                    </w:rPr>
                    <w:t>6</w:t>
                  </w:r>
                  <w:r>
                    <w:rPr>
                      <w:color w:val="auto"/>
                      <w:szCs w:val="21"/>
                    </w:rPr>
                    <w:t>.</w:t>
                  </w:r>
                  <w:r>
                    <w:rPr>
                      <w:rFonts w:hint="eastAsia"/>
                      <w:color w:val="auto"/>
                      <w:szCs w:val="21"/>
                      <w:lang w:val="en-US" w:eastAsia="zh-CN"/>
                    </w:rPr>
                    <w:t>17</w:t>
                  </w:r>
                </w:p>
              </w:tc>
              <w:tc>
                <w:tcPr>
                  <w:tcW w:w="563" w:type="pct"/>
                  <w:noWrap w:val="0"/>
                  <w:vAlign w:val="center"/>
                </w:tcPr>
                <w:p w14:paraId="08B6A5F4">
                  <w:pPr>
                    <w:jc w:val="center"/>
                    <w:rPr>
                      <w:rFonts w:hint="default" w:eastAsia="宋体"/>
                      <w:color w:val="auto"/>
                      <w:szCs w:val="21"/>
                      <w:lang w:val="en-US" w:eastAsia="zh-CN"/>
                    </w:rPr>
                  </w:pPr>
                  <w:r>
                    <w:rPr>
                      <w:rFonts w:hint="eastAsia"/>
                      <w:color w:val="auto"/>
                      <w:szCs w:val="21"/>
                      <w:lang w:val="en-US" w:eastAsia="zh-CN"/>
                    </w:rPr>
                    <w:t>67</w:t>
                  </w:r>
                </w:p>
              </w:tc>
              <w:tc>
                <w:tcPr>
                  <w:tcW w:w="575" w:type="pct"/>
                  <w:noWrap w:val="0"/>
                  <w:vAlign w:val="center"/>
                </w:tcPr>
                <w:p w14:paraId="5A61139A">
                  <w:pPr>
                    <w:jc w:val="center"/>
                    <w:rPr>
                      <w:rFonts w:hint="default" w:eastAsia="宋体"/>
                      <w:color w:val="auto"/>
                      <w:szCs w:val="21"/>
                      <w:lang w:val="en-US" w:eastAsia="zh-CN"/>
                    </w:rPr>
                  </w:pPr>
                  <w:r>
                    <w:rPr>
                      <w:rFonts w:hint="eastAsia"/>
                      <w:color w:val="auto"/>
                      <w:szCs w:val="21"/>
                      <w:lang w:val="en-US" w:eastAsia="zh-CN"/>
                    </w:rPr>
                    <w:t>52</w:t>
                  </w:r>
                </w:p>
              </w:tc>
              <w:tc>
                <w:tcPr>
                  <w:tcW w:w="483" w:type="pct"/>
                  <w:noWrap w:val="0"/>
                  <w:vAlign w:val="center"/>
                </w:tcPr>
                <w:p w14:paraId="7576D3D5">
                  <w:pPr>
                    <w:jc w:val="center"/>
                    <w:rPr>
                      <w:rFonts w:hint="default" w:eastAsia="宋体"/>
                      <w:color w:val="auto"/>
                      <w:szCs w:val="21"/>
                      <w:lang w:val="en-US" w:eastAsia="zh-CN"/>
                    </w:rPr>
                  </w:pPr>
                  <w:r>
                    <w:rPr>
                      <w:rFonts w:hint="eastAsia"/>
                      <w:color w:val="auto"/>
                      <w:szCs w:val="21"/>
                      <w:lang w:val="en-US" w:eastAsia="zh-CN"/>
                    </w:rPr>
                    <w:t>70</w:t>
                  </w:r>
                </w:p>
              </w:tc>
              <w:tc>
                <w:tcPr>
                  <w:tcW w:w="483" w:type="pct"/>
                  <w:noWrap w:val="0"/>
                  <w:vAlign w:val="center"/>
                </w:tcPr>
                <w:p w14:paraId="72F2D07A">
                  <w:pPr>
                    <w:jc w:val="center"/>
                    <w:rPr>
                      <w:rFonts w:hint="default" w:eastAsia="宋体"/>
                      <w:color w:val="auto"/>
                      <w:szCs w:val="21"/>
                      <w:lang w:val="en-US" w:eastAsia="zh-CN"/>
                    </w:rPr>
                  </w:pPr>
                  <w:r>
                    <w:rPr>
                      <w:rFonts w:hint="eastAsia"/>
                      <w:color w:val="auto"/>
                      <w:szCs w:val="21"/>
                      <w:lang w:val="en-US" w:eastAsia="zh-CN"/>
                    </w:rPr>
                    <w:t>55</w:t>
                  </w:r>
                </w:p>
              </w:tc>
              <w:tc>
                <w:tcPr>
                  <w:tcW w:w="1171" w:type="pct"/>
                  <w:noWrap w:val="0"/>
                  <w:vAlign w:val="center"/>
                </w:tcPr>
                <w:p w14:paraId="04C558DA">
                  <w:pPr>
                    <w:jc w:val="center"/>
                    <w:rPr>
                      <w:color w:val="auto"/>
                      <w:szCs w:val="21"/>
                    </w:rPr>
                  </w:pPr>
                  <w:r>
                    <w:rPr>
                      <w:color w:val="auto"/>
                      <w:szCs w:val="21"/>
                    </w:rPr>
                    <w:t>《声环境质量标准》（GB3096-2008）中4a类标准</w:t>
                  </w:r>
                </w:p>
              </w:tc>
            </w:tr>
            <w:tr w14:paraId="142F6E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89" w:hRule="atLeast"/>
                <w:jc w:val="center"/>
              </w:trPr>
              <w:tc>
                <w:tcPr>
                  <w:tcW w:w="966" w:type="pct"/>
                  <w:noWrap w:val="0"/>
                  <w:vAlign w:val="center"/>
                </w:tcPr>
                <w:p w14:paraId="0BB003DD">
                  <w:pPr>
                    <w:jc w:val="center"/>
                    <w:rPr>
                      <w:color w:val="auto"/>
                      <w:szCs w:val="21"/>
                    </w:rPr>
                  </w:pPr>
                  <w:r>
                    <w:rPr>
                      <w:rFonts w:hint="eastAsia"/>
                      <w:color w:val="auto"/>
                      <w:szCs w:val="21"/>
                    </w:rPr>
                    <w:t>2</w:t>
                  </w:r>
                  <w:r>
                    <w:rPr>
                      <w:color w:val="auto"/>
                      <w:szCs w:val="21"/>
                    </w:rPr>
                    <w:t>#</w:t>
                  </w:r>
                </w:p>
              </w:tc>
              <w:tc>
                <w:tcPr>
                  <w:tcW w:w="755" w:type="pct"/>
                  <w:noWrap w:val="0"/>
                  <w:vAlign w:val="center"/>
                </w:tcPr>
                <w:p w14:paraId="0034F113">
                  <w:pPr>
                    <w:jc w:val="center"/>
                    <w:rPr>
                      <w:color w:val="auto"/>
                      <w:szCs w:val="21"/>
                    </w:rPr>
                  </w:pPr>
                  <w:r>
                    <w:rPr>
                      <w:color w:val="auto"/>
                      <w:szCs w:val="21"/>
                    </w:rPr>
                    <w:t>202</w:t>
                  </w:r>
                  <w:r>
                    <w:rPr>
                      <w:rFonts w:hint="eastAsia"/>
                      <w:color w:val="auto"/>
                      <w:szCs w:val="21"/>
                      <w:lang w:val="en-US" w:eastAsia="zh-CN"/>
                    </w:rPr>
                    <w:t>4</w:t>
                  </w:r>
                  <w:r>
                    <w:rPr>
                      <w:color w:val="auto"/>
                      <w:szCs w:val="21"/>
                    </w:rPr>
                    <w:t>.</w:t>
                  </w:r>
                  <w:r>
                    <w:rPr>
                      <w:rFonts w:hint="eastAsia"/>
                      <w:color w:val="auto"/>
                      <w:szCs w:val="21"/>
                      <w:lang w:val="en-US" w:eastAsia="zh-CN"/>
                    </w:rPr>
                    <w:t>6</w:t>
                  </w:r>
                  <w:r>
                    <w:rPr>
                      <w:color w:val="auto"/>
                      <w:szCs w:val="21"/>
                    </w:rPr>
                    <w:t>.</w:t>
                  </w:r>
                  <w:r>
                    <w:rPr>
                      <w:rFonts w:hint="eastAsia"/>
                      <w:color w:val="auto"/>
                      <w:szCs w:val="21"/>
                      <w:lang w:val="en-US" w:eastAsia="zh-CN"/>
                    </w:rPr>
                    <w:t>17</w:t>
                  </w:r>
                </w:p>
              </w:tc>
              <w:tc>
                <w:tcPr>
                  <w:tcW w:w="563" w:type="pct"/>
                  <w:noWrap w:val="0"/>
                  <w:vAlign w:val="center"/>
                </w:tcPr>
                <w:p w14:paraId="724268CE">
                  <w:pPr>
                    <w:jc w:val="center"/>
                    <w:rPr>
                      <w:rFonts w:hint="eastAsia" w:eastAsia="宋体"/>
                      <w:color w:val="auto"/>
                      <w:szCs w:val="21"/>
                      <w:lang w:eastAsia="zh-CN"/>
                    </w:rPr>
                  </w:pPr>
                  <w:r>
                    <w:rPr>
                      <w:color w:val="auto"/>
                      <w:szCs w:val="21"/>
                    </w:rPr>
                    <w:t>5</w:t>
                  </w:r>
                  <w:r>
                    <w:rPr>
                      <w:rFonts w:hint="eastAsia"/>
                      <w:color w:val="auto"/>
                      <w:szCs w:val="21"/>
                      <w:lang w:val="en-US" w:eastAsia="zh-CN"/>
                    </w:rPr>
                    <w:t>6</w:t>
                  </w:r>
                </w:p>
              </w:tc>
              <w:tc>
                <w:tcPr>
                  <w:tcW w:w="575" w:type="pct"/>
                  <w:noWrap w:val="0"/>
                  <w:vAlign w:val="center"/>
                </w:tcPr>
                <w:p w14:paraId="35467FF8">
                  <w:pPr>
                    <w:jc w:val="center"/>
                    <w:rPr>
                      <w:rFonts w:hint="eastAsia" w:eastAsia="宋体"/>
                      <w:color w:val="auto"/>
                      <w:szCs w:val="21"/>
                      <w:lang w:eastAsia="zh-CN"/>
                    </w:rPr>
                  </w:pPr>
                  <w:r>
                    <w:rPr>
                      <w:color w:val="auto"/>
                      <w:szCs w:val="21"/>
                    </w:rPr>
                    <w:t>4</w:t>
                  </w:r>
                  <w:r>
                    <w:rPr>
                      <w:rFonts w:hint="eastAsia"/>
                      <w:color w:val="auto"/>
                      <w:szCs w:val="21"/>
                      <w:lang w:val="en-US" w:eastAsia="zh-CN"/>
                    </w:rPr>
                    <w:t>6</w:t>
                  </w:r>
                </w:p>
              </w:tc>
              <w:tc>
                <w:tcPr>
                  <w:tcW w:w="483" w:type="pct"/>
                  <w:vMerge w:val="restart"/>
                  <w:noWrap w:val="0"/>
                  <w:vAlign w:val="center"/>
                </w:tcPr>
                <w:p w14:paraId="5B7F33F6">
                  <w:pPr>
                    <w:jc w:val="center"/>
                    <w:rPr>
                      <w:rFonts w:hint="default" w:eastAsia="宋体"/>
                      <w:color w:val="auto"/>
                      <w:szCs w:val="21"/>
                      <w:lang w:val="en-US" w:eastAsia="zh-CN"/>
                    </w:rPr>
                  </w:pPr>
                  <w:r>
                    <w:rPr>
                      <w:rFonts w:hint="eastAsia"/>
                      <w:color w:val="auto"/>
                      <w:szCs w:val="21"/>
                      <w:lang w:val="en-US" w:eastAsia="zh-CN"/>
                    </w:rPr>
                    <w:t>60</w:t>
                  </w:r>
                </w:p>
              </w:tc>
              <w:tc>
                <w:tcPr>
                  <w:tcW w:w="483" w:type="pct"/>
                  <w:vMerge w:val="restart"/>
                  <w:noWrap w:val="0"/>
                  <w:vAlign w:val="center"/>
                </w:tcPr>
                <w:p w14:paraId="411957BD">
                  <w:pPr>
                    <w:jc w:val="center"/>
                    <w:rPr>
                      <w:rFonts w:hint="default" w:eastAsia="宋体"/>
                      <w:color w:val="auto"/>
                      <w:szCs w:val="21"/>
                      <w:lang w:val="en-US" w:eastAsia="zh-CN"/>
                    </w:rPr>
                  </w:pPr>
                  <w:r>
                    <w:rPr>
                      <w:rFonts w:hint="eastAsia"/>
                      <w:color w:val="auto"/>
                      <w:szCs w:val="21"/>
                      <w:lang w:val="en-US" w:eastAsia="zh-CN"/>
                    </w:rPr>
                    <w:t>50</w:t>
                  </w:r>
                </w:p>
              </w:tc>
              <w:tc>
                <w:tcPr>
                  <w:tcW w:w="1171" w:type="pct"/>
                  <w:vMerge w:val="restart"/>
                  <w:noWrap w:val="0"/>
                  <w:vAlign w:val="center"/>
                </w:tcPr>
                <w:p w14:paraId="5EB8CB41">
                  <w:pPr>
                    <w:jc w:val="center"/>
                    <w:rPr>
                      <w:color w:val="auto"/>
                      <w:szCs w:val="21"/>
                    </w:rPr>
                  </w:pPr>
                  <w:r>
                    <w:rPr>
                      <w:color w:val="auto"/>
                      <w:szCs w:val="21"/>
                    </w:rPr>
                    <w:t>《声环境质量标准》（GB3096-2008）中2类标准</w:t>
                  </w:r>
                </w:p>
              </w:tc>
            </w:tr>
            <w:tr w14:paraId="2156F7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0" w:hRule="atLeast"/>
                <w:jc w:val="center"/>
              </w:trPr>
              <w:tc>
                <w:tcPr>
                  <w:tcW w:w="966" w:type="pct"/>
                  <w:noWrap w:val="0"/>
                  <w:vAlign w:val="center"/>
                </w:tcPr>
                <w:p w14:paraId="257756BC">
                  <w:pPr>
                    <w:jc w:val="center"/>
                    <w:rPr>
                      <w:color w:val="auto"/>
                      <w:szCs w:val="21"/>
                    </w:rPr>
                  </w:pPr>
                  <w:r>
                    <w:rPr>
                      <w:rFonts w:hint="eastAsia"/>
                      <w:color w:val="auto"/>
                      <w:szCs w:val="21"/>
                    </w:rPr>
                    <w:t>3</w:t>
                  </w:r>
                  <w:r>
                    <w:rPr>
                      <w:color w:val="auto"/>
                      <w:szCs w:val="21"/>
                    </w:rPr>
                    <w:t>#</w:t>
                  </w:r>
                </w:p>
              </w:tc>
              <w:tc>
                <w:tcPr>
                  <w:tcW w:w="755" w:type="pct"/>
                  <w:noWrap w:val="0"/>
                  <w:vAlign w:val="center"/>
                </w:tcPr>
                <w:p w14:paraId="34AC378F">
                  <w:pPr>
                    <w:jc w:val="center"/>
                    <w:rPr>
                      <w:color w:val="auto"/>
                      <w:szCs w:val="21"/>
                    </w:rPr>
                  </w:pPr>
                  <w:r>
                    <w:rPr>
                      <w:color w:val="auto"/>
                      <w:szCs w:val="21"/>
                    </w:rPr>
                    <w:t>202</w:t>
                  </w:r>
                  <w:r>
                    <w:rPr>
                      <w:rFonts w:hint="eastAsia"/>
                      <w:color w:val="auto"/>
                      <w:szCs w:val="21"/>
                      <w:lang w:val="en-US" w:eastAsia="zh-CN"/>
                    </w:rPr>
                    <w:t>4</w:t>
                  </w:r>
                  <w:r>
                    <w:rPr>
                      <w:color w:val="auto"/>
                      <w:szCs w:val="21"/>
                    </w:rPr>
                    <w:t>.</w:t>
                  </w:r>
                  <w:r>
                    <w:rPr>
                      <w:rFonts w:hint="eastAsia"/>
                      <w:color w:val="auto"/>
                      <w:szCs w:val="21"/>
                      <w:lang w:val="en-US" w:eastAsia="zh-CN"/>
                    </w:rPr>
                    <w:t>6</w:t>
                  </w:r>
                  <w:r>
                    <w:rPr>
                      <w:color w:val="auto"/>
                      <w:szCs w:val="21"/>
                    </w:rPr>
                    <w:t>.</w:t>
                  </w:r>
                  <w:r>
                    <w:rPr>
                      <w:rFonts w:hint="eastAsia"/>
                      <w:color w:val="auto"/>
                      <w:szCs w:val="21"/>
                      <w:lang w:val="en-US" w:eastAsia="zh-CN"/>
                    </w:rPr>
                    <w:t>17</w:t>
                  </w:r>
                </w:p>
              </w:tc>
              <w:tc>
                <w:tcPr>
                  <w:tcW w:w="563" w:type="pct"/>
                  <w:noWrap w:val="0"/>
                  <w:vAlign w:val="center"/>
                </w:tcPr>
                <w:p w14:paraId="0AF3FC9E">
                  <w:pPr>
                    <w:jc w:val="center"/>
                    <w:rPr>
                      <w:rFonts w:hint="eastAsia" w:eastAsia="宋体"/>
                      <w:color w:val="auto"/>
                      <w:szCs w:val="21"/>
                      <w:lang w:eastAsia="zh-CN"/>
                    </w:rPr>
                  </w:pPr>
                  <w:r>
                    <w:rPr>
                      <w:color w:val="auto"/>
                      <w:szCs w:val="21"/>
                    </w:rPr>
                    <w:t>5</w:t>
                  </w:r>
                  <w:r>
                    <w:rPr>
                      <w:rFonts w:hint="eastAsia"/>
                      <w:color w:val="auto"/>
                      <w:szCs w:val="21"/>
                      <w:lang w:val="en-US" w:eastAsia="zh-CN"/>
                    </w:rPr>
                    <w:t>8</w:t>
                  </w:r>
                </w:p>
              </w:tc>
              <w:tc>
                <w:tcPr>
                  <w:tcW w:w="575" w:type="pct"/>
                  <w:noWrap w:val="0"/>
                  <w:vAlign w:val="center"/>
                </w:tcPr>
                <w:p w14:paraId="3A6CC9B2">
                  <w:pPr>
                    <w:jc w:val="center"/>
                    <w:rPr>
                      <w:rFonts w:hint="eastAsia" w:eastAsia="宋体"/>
                      <w:color w:val="auto"/>
                      <w:szCs w:val="21"/>
                      <w:lang w:eastAsia="zh-CN"/>
                    </w:rPr>
                  </w:pPr>
                  <w:r>
                    <w:rPr>
                      <w:color w:val="auto"/>
                      <w:szCs w:val="21"/>
                    </w:rPr>
                    <w:t>4</w:t>
                  </w:r>
                  <w:r>
                    <w:rPr>
                      <w:rFonts w:hint="eastAsia"/>
                      <w:color w:val="auto"/>
                      <w:szCs w:val="21"/>
                      <w:lang w:val="en-US" w:eastAsia="zh-CN"/>
                    </w:rPr>
                    <w:t>8</w:t>
                  </w:r>
                </w:p>
              </w:tc>
              <w:tc>
                <w:tcPr>
                  <w:tcW w:w="483" w:type="pct"/>
                  <w:vMerge w:val="continue"/>
                  <w:noWrap w:val="0"/>
                  <w:vAlign w:val="center"/>
                </w:tcPr>
                <w:p w14:paraId="6F272073">
                  <w:pPr>
                    <w:jc w:val="center"/>
                    <w:rPr>
                      <w:rFonts w:hint="default" w:eastAsia="宋体"/>
                      <w:color w:val="auto"/>
                      <w:szCs w:val="21"/>
                      <w:lang w:val="en-US" w:eastAsia="zh-CN"/>
                    </w:rPr>
                  </w:pPr>
                </w:p>
              </w:tc>
              <w:tc>
                <w:tcPr>
                  <w:tcW w:w="483" w:type="pct"/>
                  <w:vMerge w:val="continue"/>
                  <w:noWrap w:val="0"/>
                  <w:vAlign w:val="center"/>
                </w:tcPr>
                <w:p w14:paraId="30BD7D76">
                  <w:pPr>
                    <w:jc w:val="center"/>
                    <w:rPr>
                      <w:rFonts w:hint="default" w:eastAsia="宋体"/>
                      <w:color w:val="auto"/>
                      <w:szCs w:val="21"/>
                      <w:lang w:val="en-US" w:eastAsia="zh-CN"/>
                    </w:rPr>
                  </w:pPr>
                </w:p>
              </w:tc>
              <w:tc>
                <w:tcPr>
                  <w:tcW w:w="1171" w:type="pct"/>
                  <w:vMerge w:val="continue"/>
                  <w:noWrap w:val="0"/>
                  <w:vAlign w:val="center"/>
                </w:tcPr>
                <w:p w14:paraId="2701D46C">
                  <w:pPr>
                    <w:jc w:val="center"/>
                    <w:rPr>
                      <w:color w:val="auto"/>
                      <w:szCs w:val="21"/>
                    </w:rPr>
                  </w:pPr>
                </w:p>
              </w:tc>
            </w:tr>
          </w:tbl>
          <w:p w14:paraId="327E56FA">
            <w:pPr>
              <w:adjustRightInd w:val="0"/>
              <w:snapToGrid w:val="0"/>
              <w:spacing w:line="360" w:lineRule="auto"/>
              <w:ind w:firstLine="480" w:firstLineChars="200"/>
              <w:rPr>
                <w:color w:val="auto"/>
                <w:kern w:val="0"/>
                <w:sz w:val="24"/>
              </w:rPr>
            </w:pPr>
            <w:r>
              <w:rPr>
                <w:color w:val="auto"/>
                <w:kern w:val="0"/>
                <w:sz w:val="24"/>
              </w:rPr>
              <w:t>由上表可知，扩建项目</w:t>
            </w:r>
            <w:r>
              <w:rPr>
                <w:rFonts w:hint="eastAsia"/>
                <w:color w:val="auto"/>
                <w:sz w:val="24"/>
                <w:lang w:val="en-US" w:eastAsia="zh-CN"/>
              </w:rPr>
              <w:t>西</w:t>
            </w:r>
            <w:r>
              <w:rPr>
                <w:color w:val="auto"/>
                <w:sz w:val="24"/>
              </w:rPr>
              <w:t>侧</w:t>
            </w:r>
            <w:r>
              <w:rPr>
                <w:color w:val="auto"/>
                <w:kern w:val="0"/>
                <w:sz w:val="24"/>
              </w:rPr>
              <w:t>昼间、夜间噪声满足《声环境质量标准》（GB3096-2008）4a类标准要求</w:t>
            </w:r>
            <w:r>
              <w:rPr>
                <w:rFonts w:hint="eastAsia"/>
                <w:color w:val="auto"/>
                <w:kern w:val="0"/>
                <w:sz w:val="24"/>
                <w:lang w:eastAsia="zh-CN"/>
              </w:rPr>
              <w:t>，</w:t>
            </w:r>
            <w:r>
              <w:rPr>
                <w:rFonts w:hint="eastAsia"/>
                <w:color w:val="auto"/>
                <w:kern w:val="0"/>
                <w:sz w:val="24"/>
                <w:lang w:val="en-US" w:eastAsia="zh-CN"/>
              </w:rPr>
              <w:t>其他侧</w:t>
            </w:r>
            <w:r>
              <w:rPr>
                <w:color w:val="auto"/>
                <w:kern w:val="0"/>
                <w:sz w:val="24"/>
              </w:rPr>
              <w:t>均满足《声环境质量标准》（GB3096-2008）满足2类标准要求。项目所在地声环境质量良好。</w:t>
            </w:r>
          </w:p>
          <w:p w14:paraId="4DCE3838">
            <w:pPr>
              <w:adjustRightInd w:val="0"/>
              <w:snapToGrid w:val="0"/>
              <w:spacing w:line="360" w:lineRule="auto"/>
              <w:rPr>
                <w:color w:val="auto"/>
                <w:kern w:val="0"/>
                <w:sz w:val="24"/>
              </w:rPr>
            </w:pPr>
            <w:r>
              <w:rPr>
                <w:rFonts w:hint="eastAsia"/>
                <w:b/>
                <w:bCs/>
                <w:color w:val="auto"/>
                <w:kern w:val="0"/>
                <w:sz w:val="24"/>
              </w:rPr>
              <w:t>3.4</w:t>
            </w:r>
            <w:r>
              <w:rPr>
                <w:b/>
                <w:bCs/>
                <w:color w:val="auto"/>
                <w:kern w:val="0"/>
                <w:sz w:val="24"/>
              </w:rPr>
              <w:t>生态环境</w:t>
            </w:r>
          </w:p>
          <w:p w14:paraId="40CA51C2">
            <w:pPr>
              <w:adjustRightInd w:val="0"/>
              <w:snapToGrid w:val="0"/>
              <w:spacing w:line="360" w:lineRule="auto"/>
              <w:ind w:firstLine="480" w:firstLineChars="200"/>
              <w:rPr>
                <w:color w:val="auto"/>
                <w:kern w:val="0"/>
                <w:sz w:val="24"/>
              </w:rPr>
            </w:pPr>
            <w:r>
              <w:rPr>
                <w:color w:val="auto"/>
                <w:kern w:val="0"/>
                <w:sz w:val="24"/>
              </w:rPr>
              <w:t>项目位于城市建成区内且不新增占地，无需进行生态现状调查。</w:t>
            </w:r>
          </w:p>
          <w:p w14:paraId="56F8BDB3">
            <w:pPr>
              <w:adjustRightInd w:val="0"/>
              <w:snapToGrid w:val="0"/>
              <w:spacing w:line="360" w:lineRule="auto"/>
              <w:rPr>
                <w:b/>
                <w:bCs/>
                <w:color w:val="auto"/>
                <w:kern w:val="0"/>
                <w:sz w:val="24"/>
              </w:rPr>
            </w:pPr>
            <w:r>
              <w:rPr>
                <w:rFonts w:hint="eastAsia"/>
                <w:b/>
                <w:bCs/>
                <w:color w:val="auto"/>
                <w:kern w:val="0"/>
                <w:sz w:val="24"/>
              </w:rPr>
              <w:t>3.5</w:t>
            </w:r>
            <w:r>
              <w:rPr>
                <w:b/>
                <w:bCs/>
                <w:color w:val="auto"/>
                <w:kern w:val="0"/>
                <w:sz w:val="24"/>
              </w:rPr>
              <w:t>电磁辐射</w:t>
            </w:r>
          </w:p>
          <w:p w14:paraId="10076873">
            <w:pPr>
              <w:adjustRightInd w:val="0"/>
              <w:snapToGrid w:val="0"/>
              <w:spacing w:line="360" w:lineRule="auto"/>
              <w:ind w:firstLine="480" w:firstLineChars="200"/>
              <w:rPr>
                <w:color w:val="auto"/>
                <w:kern w:val="0"/>
                <w:sz w:val="24"/>
              </w:rPr>
            </w:pPr>
            <w:r>
              <w:rPr>
                <w:rFonts w:hint="eastAsia"/>
                <w:color w:val="auto"/>
                <w:kern w:val="0"/>
                <w:sz w:val="24"/>
              </w:rPr>
              <w:t>扩建</w:t>
            </w:r>
            <w:r>
              <w:rPr>
                <w:color w:val="auto"/>
                <w:kern w:val="0"/>
                <w:sz w:val="24"/>
              </w:rPr>
              <w:t>项目</w:t>
            </w:r>
            <w:r>
              <w:rPr>
                <w:rFonts w:hint="eastAsia"/>
                <w:color w:val="auto"/>
                <w:kern w:val="0"/>
                <w:sz w:val="24"/>
              </w:rPr>
              <w:t>射线设备均依托院区已建设施设备，且项目</w:t>
            </w:r>
            <w:r>
              <w:rPr>
                <w:color w:val="auto"/>
                <w:kern w:val="0"/>
                <w:sz w:val="24"/>
              </w:rPr>
              <w:t>不属于新建或改建、扩建广播电台、差转台、电视塔台、卫星地球上行站、雷达等电磁辐射类项目，无需对电磁辐射现状开展监测与评价。</w:t>
            </w:r>
          </w:p>
          <w:p w14:paraId="689AC24D">
            <w:pPr>
              <w:adjustRightInd w:val="0"/>
              <w:snapToGrid w:val="0"/>
              <w:spacing w:line="360" w:lineRule="auto"/>
              <w:rPr>
                <w:b/>
                <w:bCs/>
                <w:color w:val="auto"/>
                <w:kern w:val="0"/>
                <w:sz w:val="24"/>
              </w:rPr>
            </w:pPr>
            <w:r>
              <w:rPr>
                <w:rFonts w:hint="eastAsia"/>
                <w:b/>
                <w:bCs/>
                <w:color w:val="auto"/>
                <w:kern w:val="0"/>
                <w:sz w:val="24"/>
              </w:rPr>
              <w:t>3.6</w:t>
            </w:r>
            <w:r>
              <w:rPr>
                <w:b/>
                <w:bCs/>
                <w:color w:val="auto"/>
                <w:kern w:val="0"/>
                <w:sz w:val="24"/>
              </w:rPr>
              <w:t>地下水、土壤。</w:t>
            </w:r>
          </w:p>
          <w:p w14:paraId="789BF04B">
            <w:pPr>
              <w:adjustRightInd w:val="0"/>
              <w:snapToGrid w:val="0"/>
              <w:spacing w:line="360" w:lineRule="auto"/>
              <w:ind w:firstLine="480" w:firstLineChars="200"/>
              <w:rPr>
                <w:rStyle w:val="30"/>
                <w:rFonts w:hint="eastAsia"/>
                <w:color w:val="auto"/>
                <w:kern w:val="0"/>
                <w:sz w:val="24"/>
              </w:rPr>
            </w:pPr>
            <w:r>
              <w:rPr>
                <w:color w:val="auto"/>
                <w:sz w:val="24"/>
              </w:rPr>
              <w:t>根据《建设项目环境影响报告表编制技术指南（污染影响类）（试行）》，</w:t>
            </w:r>
            <w:r>
              <w:rPr>
                <w:color w:val="auto"/>
                <w:kern w:val="0"/>
                <w:sz w:val="24"/>
              </w:rPr>
              <w:t>原则上可不开展环境质量现状调查</w:t>
            </w:r>
            <w:r>
              <w:rPr>
                <w:rFonts w:hint="eastAsia"/>
                <w:color w:val="auto"/>
                <w:kern w:val="0"/>
                <w:sz w:val="24"/>
              </w:rPr>
              <w:t>，建设项目存在土壤、地下水环境污染途径的，应结合污染源、保护目标分布情况开展现状调查以留作背景值</w:t>
            </w:r>
            <w:r>
              <w:rPr>
                <w:color w:val="auto"/>
                <w:kern w:val="0"/>
                <w:sz w:val="24"/>
              </w:rPr>
              <w:t>。</w:t>
            </w:r>
          </w:p>
          <w:p w14:paraId="4E786C99">
            <w:pPr>
              <w:adjustRightInd w:val="0"/>
              <w:snapToGrid w:val="0"/>
              <w:spacing w:line="360" w:lineRule="auto"/>
              <w:ind w:firstLine="480" w:firstLineChars="200"/>
              <w:rPr>
                <w:color w:val="auto"/>
                <w:kern w:val="0"/>
                <w:szCs w:val="21"/>
              </w:rPr>
            </w:pPr>
            <w:r>
              <w:rPr>
                <w:rStyle w:val="30"/>
                <w:rFonts w:hint="eastAsia"/>
                <w:color w:val="auto"/>
                <w:kern w:val="0"/>
                <w:sz w:val="24"/>
              </w:rPr>
              <w:t>本项目位于城市建成区，建筑物均为砖混结构，地坪及周边道路等均已做防渗处理，</w:t>
            </w:r>
            <w:r>
              <w:rPr>
                <w:color w:val="auto"/>
                <w:sz w:val="24"/>
              </w:rPr>
              <w:t>根据调查厂界500m范围内不存在地下水环境敏感目标，</w:t>
            </w:r>
            <w:r>
              <w:rPr>
                <w:rFonts w:hint="eastAsia"/>
                <w:color w:val="auto"/>
                <w:sz w:val="24"/>
              </w:rPr>
              <w:t>项目医疗固废暂存间设于室内，地坪已做防腐、防渗、防泄漏处理，且液态危险废物暂存区上方设置有托盘，</w:t>
            </w:r>
            <w:r>
              <w:rPr>
                <w:color w:val="auto"/>
                <w:sz w:val="24"/>
              </w:rPr>
              <w:t>泄漏后进入可由托盘进行收集，基本无直接泄漏至地下水和土壤的途径</w:t>
            </w:r>
            <w:r>
              <w:rPr>
                <w:rFonts w:hint="eastAsia"/>
                <w:color w:val="auto"/>
                <w:sz w:val="24"/>
              </w:rPr>
              <w:t>，故本次评价不对地下水和土壤进行现状监测</w:t>
            </w:r>
            <w:r>
              <w:rPr>
                <w:bCs/>
                <w:color w:val="auto"/>
                <w:spacing w:val="-10"/>
                <w:sz w:val="24"/>
              </w:rPr>
              <w:t>。</w:t>
            </w:r>
          </w:p>
        </w:tc>
      </w:tr>
      <w:tr w14:paraId="5C632A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00" w:type="dxa"/>
            <w:noWrap w:val="0"/>
            <w:vAlign w:val="center"/>
          </w:tcPr>
          <w:p w14:paraId="20C1FF79">
            <w:pPr>
              <w:adjustRightInd w:val="0"/>
              <w:snapToGrid w:val="0"/>
              <w:jc w:val="center"/>
              <w:rPr>
                <w:color w:val="auto"/>
                <w:kern w:val="0"/>
                <w:szCs w:val="21"/>
              </w:rPr>
            </w:pPr>
            <w:r>
              <w:rPr>
                <w:color w:val="auto"/>
                <w:kern w:val="0"/>
                <w:szCs w:val="21"/>
              </w:rPr>
              <w:t>环境</w:t>
            </w:r>
          </w:p>
          <w:p w14:paraId="4D5DFC31">
            <w:pPr>
              <w:adjustRightInd w:val="0"/>
              <w:snapToGrid w:val="0"/>
              <w:jc w:val="center"/>
              <w:rPr>
                <w:color w:val="auto"/>
                <w:kern w:val="0"/>
                <w:szCs w:val="21"/>
              </w:rPr>
            </w:pPr>
            <w:r>
              <w:rPr>
                <w:color w:val="auto"/>
                <w:kern w:val="0"/>
                <w:szCs w:val="21"/>
              </w:rPr>
              <w:t>保护</w:t>
            </w:r>
          </w:p>
          <w:p w14:paraId="776D2A8A">
            <w:pPr>
              <w:adjustRightInd w:val="0"/>
              <w:snapToGrid w:val="0"/>
              <w:jc w:val="center"/>
              <w:rPr>
                <w:color w:val="auto"/>
                <w:kern w:val="0"/>
                <w:szCs w:val="21"/>
              </w:rPr>
            </w:pPr>
            <w:r>
              <w:rPr>
                <w:color w:val="auto"/>
                <w:kern w:val="0"/>
                <w:szCs w:val="21"/>
              </w:rPr>
              <w:t>目标</w:t>
            </w:r>
          </w:p>
        </w:tc>
        <w:tc>
          <w:tcPr>
            <w:tcW w:w="8190" w:type="dxa"/>
            <w:noWrap w:val="0"/>
            <w:vAlign w:val="center"/>
          </w:tcPr>
          <w:p w14:paraId="042D3EF4">
            <w:pPr>
              <w:spacing w:line="360" w:lineRule="auto"/>
              <w:rPr>
                <w:rFonts w:hint="eastAsia"/>
                <w:b/>
                <w:color w:val="auto"/>
                <w:kern w:val="0"/>
                <w:sz w:val="24"/>
              </w:rPr>
            </w:pPr>
            <w:r>
              <w:rPr>
                <w:rFonts w:hint="eastAsia"/>
                <w:b/>
                <w:color w:val="auto"/>
                <w:kern w:val="0"/>
                <w:sz w:val="24"/>
              </w:rPr>
              <w:t>3.7环境保护目标</w:t>
            </w:r>
          </w:p>
          <w:p w14:paraId="516ED7F2">
            <w:pPr>
              <w:spacing w:line="360" w:lineRule="auto"/>
              <w:ind w:firstLine="480" w:firstLineChars="200"/>
              <w:rPr>
                <w:color w:val="auto"/>
                <w:kern w:val="0"/>
                <w:sz w:val="24"/>
              </w:rPr>
            </w:pPr>
            <w:r>
              <w:rPr>
                <w:color w:val="auto"/>
                <w:kern w:val="0"/>
                <w:sz w:val="24"/>
              </w:rPr>
              <w:t>根据现场调查，本项目位于</w:t>
            </w:r>
            <w:r>
              <w:rPr>
                <w:rFonts w:hint="eastAsia"/>
                <w:color w:val="auto"/>
                <w:sz w:val="24"/>
                <w:lang w:eastAsia="zh-CN"/>
              </w:rPr>
              <w:t>重庆市九龙坡区石新路33号渝州新城7号楼</w:t>
            </w:r>
            <w:r>
              <w:rPr>
                <w:color w:val="auto"/>
                <w:kern w:val="0"/>
                <w:sz w:val="24"/>
              </w:rPr>
              <w:t>，项目位于城市建成区域，不涉及风景名胜区、自然保护区、森林公园，未发现珍稀保护植被和珍稀保护动物。厂界外500m范围内无地下水集中式饮用水水源和热水、矿泉水、温泉等特殊地下水资源，项目区不涉及重庆市生态保护红线。</w:t>
            </w:r>
          </w:p>
          <w:p w14:paraId="4A61865D">
            <w:pPr>
              <w:snapToGrid w:val="0"/>
              <w:spacing w:line="360" w:lineRule="auto"/>
              <w:ind w:firstLine="480" w:firstLineChars="200"/>
              <w:rPr>
                <w:color w:val="auto"/>
                <w:kern w:val="0"/>
                <w:sz w:val="24"/>
              </w:rPr>
            </w:pPr>
            <w:r>
              <w:rPr>
                <w:color w:val="auto"/>
                <w:kern w:val="0"/>
                <w:sz w:val="24"/>
              </w:rPr>
              <w:t xml:space="preserve">（1）外环境 </w:t>
            </w:r>
          </w:p>
          <w:p w14:paraId="1EECF010">
            <w:pPr>
              <w:snapToGrid w:val="0"/>
              <w:spacing w:line="360" w:lineRule="auto"/>
              <w:ind w:firstLine="480" w:firstLineChars="200"/>
              <w:rPr>
                <w:rFonts w:hint="eastAsia"/>
                <w:bCs/>
                <w:color w:val="auto"/>
                <w:kern w:val="0"/>
                <w:sz w:val="24"/>
                <w:lang w:eastAsia="zh-CN"/>
              </w:rPr>
            </w:pPr>
            <w:r>
              <w:rPr>
                <w:bCs/>
                <w:color w:val="auto"/>
                <w:kern w:val="0"/>
                <w:sz w:val="24"/>
              </w:rPr>
              <w:t>根据现场踏勘，项目位于渝洲新城7号楼裙楼1F</w:t>
            </w:r>
            <w:r>
              <w:rPr>
                <w:rFonts w:hint="eastAsia"/>
                <w:bCs/>
                <w:color w:val="auto"/>
                <w:kern w:val="0"/>
                <w:sz w:val="24"/>
                <w:lang w:eastAsia="zh-CN"/>
              </w:rPr>
              <w:t>～</w:t>
            </w:r>
            <w:r>
              <w:rPr>
                <w:bCs/>
                <w:color w:val="auto"/>
                <w:kern w:val="0"/>
                <w:sz w:val="24"/>
              </w:rPr>
              <w:t>4F，</w:t>
            </w:r>
            <w:r>
              <w:rPr>
                <w:rFonts w:hint="eastAsia"/>
                <w:bCs/>
                <w:color w:val="auto"/>
                <w:kern w:val="0"/>
                <w:sz w:val="24"/>
                <w:lang w:val="en-US" w:eastAsia="zh-CN"/>
              </w:rPr>
              <w:t>5F以上为商住塔楼，</w:t>
            </w:r>
            <w:r>
              <w:rPr>
                <w:bCs/>
                <w:color w:val="auto"/>
                <w:sz w:val="24"/>
              </w:rPr>
              <w:t>项目</w:t>
            </w:r>
            <w:r>
              <w:rPr>
                <w:rFonts w:hint="eastAsia"/>
                <w:bCs/>
                <w:color w:val="auto"/>
                <w:sz w:val="24"/>
                <w:lang w:val="en-US" w:eastAsia="zh-CN"/>
              </w:rPr>
              <w:t>西</w:t>
            </w:r>
            <w:r>
              <w:rPr>
                <w:rFonts w:hint="eastAsia"/>
                <w:bCs/>
                <w:color w:val="auto"/>
                <w:sz w:val="24"/>
              </w:rPr>
              <w:t>侧为</w:t>
            </w:r>
            <w:r>
              <w:rPr>
                <w:rFonts w:hint="eastAsia"/>
                <w:bCs/>
                <w:color w:val="auto"/>
                <w:sz w:val="24"/>
                <w:lang w:val="en-US" w:eastAsia="zh-CN"/>
              </w:rPr>
              <w:t>石新路</w:t>
            </w:r>
            <w:r>
              <w:rPr>
                <w:rFonts w:hint="eastAsia"/>
                <w:bCs/>
                <w:color w:val="auto"/>
                <w:sz w:val="24"/>
              </w:rPr>
              <w:t>、5号线，南侧为</w:t>
            </w:r>
            <w:r>
              <w:rPr>
                <w:rFonts w:hint="eastAsia"/>
                <w:bCs/>
                <w:color w:val="auto"/>
                <w:sz w:val="24"/>
                <w:lang w:val="en-US" w:eastAsia="zh-CN"/>
              </w:rPr>
              <w:t>市政道路</w:t>
            </w:r>
            <w:r>
              <w:rPr>
                <w:rFonts w:hint="eastAsia"/>
                <w:bCs/>
                <w:color w:val="auto"/>
                <w:sz w:val="24"/>
                <w:lang w:eastAsia="zh-CN"/>
              </w:rPr>
              <w:t>，</w:t>
            </w:r>
            <w:r>
              <w:rPr>
                <w:rFonts w:hint="eastAsia"/>
                <w:bCs/>
                <w:color w:val="auto"/>
                <w:sz w:val="24"/>
                <w:lang w:val="en-US" w:eastAsia="zh-CN"/>
              </w:rPr>
              <w:t>东</w:t>
            </w:r>
            <w:r>
              <w:rPr>
                <w:rFonts w:hint="eastAsia"/>
                <w:bCs/>
                <w:color w:val="auto"/>
                <w:sz w:val="24"/>
              </w:rPr>
              <w:t>侧为</w:t>
            </w:r>
            <w:r>
              <w:rPr>
                <w:rFonts w:hint="eastAsia"/>
                <w:bCs/>
                <w:color w:val="auto"/>
                <w:sz w:val="24"/>
                <w:lang w:eastAsia="zh-CN"/>
              </w:rPr>
              <w:t>渝州新城</w:t>
            </w:r>
            <w:r>
              <w:rPr>
                <w:rFonts w:hint="eastAsia"/>
                <w:bCs/>
                <w:color w:val="auto"/>
                <w:sz w:val="24"/>
                <w:lang w:val="en-US" w:eastAsia="zh-CN"/>
              </w:rPr>
              <w:t>5</w:t>
            </w:r>
            <w:r>
              <w:rPr>
                <w:rFonts w:hint="eastAsia"/>
                <w:bCs/>
                <w:color w:val="auto"/>
                <w:sz w:val="24"/>
                <w:lang w:eastAsia="zh-CN"/>
              </w:rPr>
              <w:t>号、</w:t>
            </w:r>
            <w:r>
              <w:rPr>
                <w:rFonts w:hint="eastAsia"/>
                <w:bCs/>
                <w:color w:val="auto"/>
                <w:sz w:val="24"/>
                <w:lang w:val="en-US" w:eastAsia="zh-CN"/>
              </w:rPr>
              <w:t>8号</w:t>
            </w:r>
            <w:r>
              <w:rPr>
                <w:rFonts w:hint="eastAsia"/>
                <w:bCs/>
                <w:color w:val="auto"/>
                <w:sz w:val="24"/>
                <w:lang w:eastAsia="zh-CN"/>
              </w:rPr>
              <w:t>楼</w:t>
            </w:r>
            <w:r>
              <w:rPr>
                <w:rFonts w:hint="eastAsia"/>
                <w:bCs/>
                <w:color w:val="auto"/>
                <w:sz w:val="24"/>
              </w:rPr>
              <w:t>住宅楼</w:t>
            </w:r>
            <w:r>
              <w:rPr>
                <w:bCs/>
                <w:color w:val="auto"/>
                <w:sz w:val="24"/>
              </w:rPr>
              <w:t>，</w:t>
            </w:r>
            <w:r>
              <w:rPr>
                <w:rFonts w:hint="eastAsia"/>
                <w:bCs/>
                <w:color w:val="auto"/>
                <w:sz w:val="24"/>
              </w:rPr>
              <w:t>北</w:t>
            </w:r>
            <w:r>
              <w:rPr>
                <w:bCs/>
                <w:color w:val="auto"/>
                <w:sz w:val="24"/>
              </w:rPr>
              <w:t>侧为</w:t>
            </w:r>
            <w:r>
              <w:rPr>
                <w:rFonts w:hint="eastAsia"/>
                <w:bCs/>
                <w:color w:val="auto"/>
                <w:sz w:val="24"/>
                <w:lang w:val="en-US" w:eastAsia="zh-CN"/>
              </w:rPr>
              <w:t>市政道路</w:t>
            </w:r>
            <w:r>
              <w:rPr>
                <w:bCs/>
                <w:color w:val="auto"/>
                <w:sz w:val="24"/>
              </w:rPr>
              <w:t>。</w:t>
            </w:r>
            <w:r>
              <w:rPr>
                <w:bCs/>
                <w:color w:val="auto"/>
                <w:kern w:val="0"/>
                <w:sz w:val="24"/>
              </w:rPr>
              <w:t>项目外环境关系详见表</w:t>
            </w:r>
            <w:r>
              <w:rPr>
                <w:rFonts w:hint="eastAsia"/>
                <w:bCs/>
                <w:color w:val="auto"/>
                <w:kern w:val="0"/>
                <w:sz w:val="24"/>
              </w:rPr>
              <w:t>3</w:t>
            </w:r>
            <w:r>
              <w:rPr>
                <w:bCs/>
                <w:color w:val="auto"/>
                <w:kern w:val="0"/>
                <w:sz w:val="24"/>
              </w:rPr>
              <w:t>-</w:t>
            </w:r>
            <w:r>
              <w:rPr>
                <w:rFonts w:hint="eastAsia"/>
                <w:bCs/>
                <w:color w:val="auto"/>
                <w:kern w:val="0"/>
                <w:sz w:val="24"/>
              </w:rPr>
              <w:t>4</w:t>
            </w:r>
            <w:r>
              <w:rPr>
                <w:bCs/>
                <w:color w:val="auto"/>
                <w:kern w:val="0"/>
                <w:sz w:val="24"/>
              </w:rPr>
              <w:t>，外环境关系图</w:t>
            </w:r>
            <w:r>
              <w:rPr>
                <w:rFonts w:hint="eastAsia"/>
                <w:bCs/>
                <w:color w:val="auto"/>
                <w:kern w:val="0"/>
                <w:sz w:val="24"/>
              </w:rPr>
              <w:t>见</w:t>
            </w:r>
            <w:r>
              <w:rPr>
                <w:bCs/>
                <w:color w:val="auto"/>
                <w:kern w:val="0"/>
                <w:sz w:val="24"/>
              </w:rPr>
              <w:t>附图</w:t>
            </w:r>
            <w:r>
              <w:rPr>
                <w:rFonts w:hint="eastAsia"/>
                <w:bCs/>
                <w:color w:val="auto"/>
                <w:kern w:val="0"/>
                <w:sz w:val="24"/>
              </w:rPr>
              <w:t>5</w:t>
            </w:r>
            <w:r>
              <w:rPr>
                <w:rFonts w:hint="eastAsia"/>
                <w:bCs/>
                <w:color w:val="auto"/>
                <w:kern w:val="0"/>
                <w:sz w:val="24"/>
                <w:lang w:eastAsia="zh-CN"/>
              </w:rPr>
              <w:t>。</w:t>
            </w:r>
          </w:p>
          <w:p w14:paraId="17D5A50E">
            <w:pPr>
              <w:snapToGrid w:val="0"/>
              <w:spacing w:line="360" w:lineRule="auto"/>
              <w:jc w:val="center"/>
              <w:rPr>
                <w:rFonts w:hint="eastAsia" w:eastAsia="宋体"/>
                <w:color w:val="auto"/>
                <w:kern w:val="0"/>
                <w:sz w:val="24"/>
                <w:lang w:eastAsia="zh-CN"/>
              </w:rPr>
            </w:pPr>
            <w:r>
              <w:rPr>
                <w:rFonts w:hint="eastAsia" w:eastAsia="宋体"/>
                <w:color w:val="auto"/>
                <w:kern w:val="0"/>
                <w:sz w:val="24"/>
                <w:lang w:eastAsia="zh-CN"/>
              </w:rPr>
              <w:drawing>
                <wp:inline distT="0" distB="0" distL="114300" distR="114300">
                  <wp:extent cx="3636645" cy="3871595"/>
                  <wp:effectExtent l="0" t="0" r="1905" b="14605"/>
                  <wp:docPr id="44" name="图片 44" descr="173087498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30874985952"/>
                          <pic:cNvPicPr>
                            <a:picLocks noChangeAspect="1"/>
                          </pic:cNvPicPr>
                        </pic:nvPicPr>
                        <pic:blipFill>
                          <a:blip r:embed="rId18"/>
                          <a:stretch>
                            <a:fillRect/>
                          </a:stretch>
                        </pic:blipFill>
                        <pic:spPr>
                          <a:xfrm>
                            <a:off x="0" y="0"/>
                            <a:ext cx="3636645" cy="3871595"/>
                          </a:xfrm>
                          <a:prstGeom prst="rect">
                            <a:avLst/>
                          </a:prstGeom>
                        </pic:spPr>
                      </pic:pic>
                    </a:graphicData>
                  </a:graphic>
                </wp:inline>
              </w:drawing>
            </w:r>
          </w:p>
          <w:p w14:paraId="4CCD7784">
            <w:pPr>
              <w:pStyle w:val="16"/>
              <w:spacing w:line="360" w:lineRule="auto"/>
              <w:ind w:left="0" w:leftChars="0" w:firstLine="0" w:firstLineChars="0"/>
              <w:jc w:val="center"/>
              <w:rPr>
                <w:rFonts w:hint="default"/>
                <w:b/>
                <w:bCs/>
                <w:color w:val="auto"/>
                <w:lang w:val="en-US" w:eastAsia="zh-CN"/>
              </w:rPr>
            </w:pPr>
            <w:r>
              <w:rPr>
                <w:rFonts w:hint="eastAsia"/>
                <w:b/>
                <w:bCs/>
                <w:color w:val="auto"/>
                <w:lang w:val="en-US" w:eastAsia="zh-CN"/>
              </w:rPr>
              <w:t>图3.1 项目所在裙楼与塔楼的位置关系立体示意图</w:t>
            </w:r>
          </w:p>
          <w:p w14:paraId="7D979883">
            <w:pPr>
              <w:adjustRightInd w:val="0"/>
              <w:jc w:val="center"/>
              <w:rPr>
                <w:b/>
                <w:bCs/>
                <w:color w:val="auto"/>
                <w:kern w:val="0"/>
                <w:szCs w:val="21"/>
              </w:rPr>
            </w:pPr>
            <w:r>
              <w:rPr>
                <w:b/>
                <w:bCs/>
                <w:color w:val="auto"/>
                <w:kern w:val="0"/>
                <w:szCs w:val="21"/>
              </w:rPr>
              <w:t>表</w:t>
            </w:r>
            <w:r>
              <w:rPr>
                <w:rFonts w:hint="eastAsia"/>
                <w:b/>
                <w:bCs/>
                <w:color w:val="auto"/>
                <w:kern w:val="0"/>
                <w:szCs w:val="21"/>
              </w:rPr>
              <w:t>3</w:t>
            </w:r>
            <w:r>
              <w:rPr>
                <w:b/>
                <w:bCs/>
                <w:color w:val="auto"/>
                <w:kern w:val="0"/>
                <w:szCs w:val="21"/>
              </w:rPr>
              <w:t>-</w:t>
            </w:r>
            <w:r>
              <w:rPr>
                <w:rFonts w:hint="eastAsia"/>
                <w:b/>
                <w:bCs/>
                <w:color w:val="auto"/>
                <w:kern w:val="0"/>
                <w:szCs w:val="21"/>
              </w:rPr>
              <w:t>4</w:t>
            </w:r>
            <w:r>
              <w:rPr>
                <w:b/>
                <w:bCs/>
                <w:color w:val="auto"/>
                <w:kern w:val="0"/>
                <w:szCs w:val="21"/>
              </w:rPr>
              <w:t xml:space="preserve">  项目外环境关系一览表</w:t>
            </w:r>
          </w:p>
          <w:tbl>
            <w:tblPr>
              <w:tblStyle w:val="25"/>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2503"/>
              <w:gridCol w:w="708"/>
              <w:gridCol w:w="1607"/>
              <w:gridCol w:w="2449"/>
            </w:tblGrid>
            <w:tr w14:paraId="560BF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31" w:type="pct"/>
                  <w:noWrap w:val="0"/>
                  <w:vAlign w:val="center"/>
                </w:tcPr>
                <w:p w14:paraId="7D70CF64">
                  <w:pPr>
                    <w:adjustRightInd w:val="0"/>
                    <w:snapToGrid w:val="0"/>
                    <w:jc w:val="center"/>
                    <w:rPr>
                      <w:color w:val="auto"/>
                      <w:szCs w:val="21"/>
                    </w:rPr>
                  </w:pPr>
                  <w:r>
                    <w:rPr>
                      <w:color w:val="auto"/>
                      <w:szCs w:val="21"/>
                    </w:rPr>
                    <w:t>序号</w:t>
                  </w:r>
                </w:p>
              </w:tc>
              <w:tc>
                <w:tcPr>
                  <w:tcW w:w="1573" w:type="pct"/>
                  <w:noWrap w:val="0"/>
                  <w:vAlign w:val="center"/>
                </w:tcPr>
                <w:p w14:paraId="7E65E984">
                  <w:pPr>
                    <w:adjustRightInd w:val="0"/>
                    <w:snapToGrid w:val="0"/>
                    <w:jc w:val="center"/>
                    <w:rPr>
                      <w:color w:val="auto"/>
                      <w:szCs w:val="21"/>
                    </w:rPr>
                  </w:pPr>
                  <w:r>
                    <w:rPr>
                      <w:color w:val="auto"/>
                      <w:szCs w:val="21"/>
                    </w:rPr>
                    <w:t>名称</w:t>
                  </w:r>
                </w:p>
              </w:tc>
              <w:tc>
                <w:tcPr>
                  <w:tcW w:w="445" w:type="pct"/>
                  <w:noWrap w:val="0"/>
                  <w:vAlign w:val="center"/>
                </w:tcPr>
                <w:p w14:paraId="4C6D8784">
                  <w:pPr>
                    <w:adjustRightInd w:val="0"/>
                    <w:snapToGrid w:val="0"/>
                    <w:jc w:val="center"/>
                    <w:rPr>
                      <w:color w:val="auto"/>
                      <w:szCs w:val="21"/>
                    </w:rPr>
                  </w:pPr>
                  <w:r>
                    <w:rPr>
                      <w:color w:val="auto"/>
                      <w:szCs w:val="21"/>
                    </w:rPr>
                    <w:t>方位</w:t>
                  </w:r>
                </w:p>
              </w:tc>
              <w:tc>
                <w:tcPr>
                  <w:tcW w:w="1010" w:type="pct"/>
                  <w:noWrap w:val="0"/>
                  <w:vAlign w:val="center"/>
                </w:tcPr>
                <w:p w14:paraId="2A417797">
                  <w:pPr>
                    <w:adjustRightInd w:val="0"/>
                    <w:snapToGrid w:val="0"/>
                    <w:jc w:val="center"/>
                    <w:rPr>
                      <w:color w:val="auto"/>
                      <w:szCs w:val="21"/>
                    </w:rPr>
                  </w:pPr>
                  <w:r>
                    <w:rPr>
                      <w:color w:val="auto"/>
                      <w:szCs w:val="21"/>
                    </w:rPr>
                    <w:t>距离厂界</w:t>
                  </w:r>
                </w:p>
              </w:tc>
              <w:tc>
                <w:tcPr>
                  <w:tcW w:w="1539" w:type="pct"/>
                  <w:noWrap w:val="0"/>
                  <w:vAlign w:val="center"/>
                </w:tcPr>
                <w:p w14:paraId="4CD8259B">
                  <w:pPr>
                    <w:adjustRightInd w:val="0"/>
                    <w:snapToGrid w:val="0"/>
                    <w:jc w:val="center"/>
                    <w:rPr>
                      <w:color w:val="auto"/>
                      <w:szCs w:val="21"/>
                    </w:rPr>
                  </w:pPr>
                  <w:r>
                    <w:rPr>
                      <w:color w:val="auto"/>
                      <w:szCs w:val="21"/>
                    </w:rPr>
                    <w:t>特征</w:t>
                  </w:r>
                </w:p>
              </w:tc>
            </w:tr>
            <w:tr w14:paraId="3FF36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08F9B0BD">
                  <w:pPr>
                    <w:adjustRightInd w:val="0"/>
                    <w:snapToGrid w:val="0"/>
                    <w:jc w:val="center"/>
                    <w:rPr>
                      <w:color w:val="auto"/>
                      <w:szCs w:val="21"/>
                    </w:rPr>
                  </w:pPr>
                  <w:r>
                    <w:rPr>
                      <w:color w:val="auto"/>
                      <w:szCs w:val="21"/>
                    </w:rPr>
                    <w:t>1</w:t>
                  </w:r>
                </w:p>
              </w:tc>
              <w:tc>
                <w:tcPr>
                  <w:tcW w:w="1573" w:type="pct"/>
                  <w:noWrap w:val="0"/>
                  <w:vAlign w:val="center"/>
                </w:tcPr>
                <w:p w14:paraId="76808006">
                  <w:pPr>
                    <w:adjustRightInd w:val="0"/>
                    <w:snapToGrid w:val="0"/>
                    <w:jc w:val="center"/>
                    <w:rPr>
                      <w:rFonts w:hint="eastAsia"/>
                      <w:color w:val="auto"/>
                      <w:szCs w:val="21"/>
                    </w:rPr>
                  </w:pPr>
                  <w:r>
                    <w:rPr>
                      <w:rFonts w:hint="eastAsia"/>
                      <w:color w:val="auto"/>
                      <w:szCs w:val="21"/>
                      <w:lang w:val="en-US" w:eastAsia="zh-CN"/>
                    </w:rPr>
                    <w:t>市政道路</w:t>
                  </w:r>
                </w:p>
              </w:tc>
              <w:tc>
                <w:tcPr>
                  <w:tcW w:w="445" w:type="pct"/>
                  <w:noWrap w:val="0"/>
                  <w:vAlign w:val="center"/>
                </w:tcPr>
                <w:p w14:paraId="414F56D8">
                  <w:pPr>
                    <w:adjustRightInd w:val="0"/>
                    <w:snapToGrid w:val="0"/>
                    <w:jc w:val="center"/>
                    <w:rPr>
                      <w:color w:val="auto"/>
                      <w:szCs w:val="21"/>
                    </w:rPr>
                  </w:pPr>
                  <w:r>
                    <w:rPr>
                      <w:color w:val="auto"/>
                      <w:szCs w:val="21"/>
                    </w:rPr>
                    <w:t>北</w:t>
                  </w:r>
                </w:p>
              </w:tc>
              <w:tc>
                <w:tcPr>
                  <w:tcW w:w="1010" w:type="pct"/>
                  <w:noWrap w:val="0"/>
                  <w:vAlign w:val="center"/>
                </w:tcPr>
                <w:p w14:paraId="07656113">
                  <w:pPr>
                    <w:adjustRightInd w:val="0"/>
                    <w:snapToGrid w:val="0"/>
                    <w:jc w:val="center"/>
                    <w:rPr>
                      <w:color w:val="auto"/>
                      <w:szCs w:val="21"/>
                    </w:rPr>
                  </w:pPr>
                  <w:r>
                    <w:rPr>
                      <w:rFonts w:hint="eastAsia"/>
                      <w:color w:val="auto"/>
                      <w:szCs w:val="21"/>
                      <w:lang w:val="en-US" w:eastAsia="zh-CN"/>
                    </w:rPr>
                    <w:t>5</w:t>
                  </w:r>
                  <w:r>
                    <w:rPr>
                      <w:color w:val="auto"/>
                      <w:szCs w:val="21"/>
                    </w:rPr>
                    <w:t>m</w:t>
                  </w:r>
                </w:p>
              </w:tc>
              <w:tc>
                <w:tcPr>
                  <w:tcW w:w="1539" w:type="pct"/>
                  <w:noWrap w:val="0"/>
                  <w:vAlign w:val="center"/>
                </w:tcPr>
                <w:p w14:paraId="11C89068">
                  <w:pPr>
                    <w:adjustRightInd w:val="0"/>
                    <w:snapToGrid w:val="0"/>
                    <w:jc w:val="center"/>
                    <w:rPr>
                      <w:color w:val="auto"/>
                      <w:szCs w:val="21"/>
                    </w:rPr>
                  </w:pPr>
                  <w:r>
                    <w:rPr>
                      <w:rFonts w:hint="eastAsia"/>
                      <w:color w:val="auto"/>
                      <w:szCs w:val="21"/>
                      <w:lang w:val="en-US" w:eastAsia="zh-CN"/>
                    </w:rPr>
                    <w:t>城市辅路</w:t>
                  </w:r>
                </w:p>
              </w:tc>
            </w:tr>
            <w:tr w14:paraId="35E1C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31" w:type="pct"/>
                  <w:noWrap w:val="0"/>
                  <w:vAlign w:val="center"/>
                </w:tcPr>
                <w:p w14:paraId="5D1E2BE4">
                  <w:pPr>
                    <w:adjustRightInd w:val="0"/>
                    <w:snapToGrid w:val="0"/>
                    <w:jc w:val="center"/>
                    <w:rPr>
                      <w:color w:val="auto"/>
                      <w:szCs w:val="21"/>
                    </w:rPr>
                  </w:pPr>
                  <w:r>
                    <w:rPr>
                      <w:color w:val="auto"/>
                      <w:szCs w:val="21"/>
                    </w:rPr>
                    <w:t>2</w:t>
                  </w:r>
                </w:p>
              </w:tc>
              <w:tc>
                <w:tcPr>
                  <w:tcW w:w="1573" w:type="pct"/>
                  <w:noWrap w:val="0"/>
                  <w:vAlign w:val="center"/>
                </w:tcPr>
                <w:p w14:paraId="33D642F8">
                  <w:pPr>
                    <w:adjustRightInd w:val="0"/>
                    <w:snapToGrid w:val="0"/>
                    <w:jc w:val="center"/>
                    <w:rPr>
                      <w:color w:val="auto"/>
                      <w:szCs w:val="21"/>
                    </w:rPr>
                  </w:pPr>
                  <w:r>
                    <w:rPr>
                      <w:rFonts w:hint="eastAsia"/>
                      <w:color w:val="auto"/>
                      <w:szCs w:val="21"/>
                      <w:lang w:eastAsia="zh-CN"/>
                    </w:rPr>
                    <w:t>渝州新城（</w:t>
                  </w:r>
                  <w:r>
                    <w:rPr>
                      <w:rFonts w:hint="eastAsia"/>
                      <w:color w:val="auto"/>
                      <w:szCs w:val="21"/>
                      <w:lang w:val="en-US" w:eastAsia="zh-CN"/>
                    </w:rPr>
                    <w:t>5</w:t>
                  </w:r>
                  <w:r>
                    <w:rPr>
                      <w:rFonts w:hint="eastAsia"/>
                      <w:color w:val="auto"/>
                      <w:szCs w:val="21"/>
                      <w:lang w:eastAsia="zh-CN"/>
                    </w:rPr>
                    <w:t>、</w:t>
                  </w:r>
                  <w:r>
                    <w:rPr>
                      <w:rFonts w:hint="eastAsia"/>
                      <w:color w:val="auto"/>
                      <w:szCs w:val="21"/>
                      <w:lang w:val="en-US" w:eastAsia="zh-CN"/>
                    </w:rPr>
                    <w:t>8</w:t>
                  </w:r>
                  <w:r>
                    <w:rPr>
                      <w:rFonts w:hint="eastAsia"/>
                      <w:color w:val="auto"/>
                      <w:szCs w:val="21"/>
                      <w:lang w:eastAsia="zh-CN"/>
                    </w:rPr>
                    <w:t>号</w:t>
                  </w:r>
                  <w:r>
                    <w:rPr>
                      <w:rFonts w:hint="eastAsia"/>
                      <w:color w:val="auto"/>
                      <w:szCs w:val="21"/>
                    </w:rPr>
                    <w:t>住宅</w:t>
                  </w:r>
                  <w:r>
                    <w:rPr>
                      <w:rFonts w:hint="eastAsia"/>
                      <w:color w:val="auto"/>
                      <w:szCs w:val="21"/>
                      <w:lang w:val="en-US" w:eastAsia="zh-CN"/>
                    </w:rPr>
                    <w:t>塔</w:t>
                  </w:r>
                  <w:r>
                    <w:rPr>
                      <w:rFonts w:hint="eastAsia"/>
                      <w:color w:val="auto"/>
                      <w:szCs w:val="21"/>
                    </w:rPr>
                    <w:t>楼</w:t>
                  </w:r>
                  <w:r>
                    <w:rPr>
                      <w:rFonts w:hint="eastAsia"/>
                      <w:color w:val="auto"/>
                      <w:szCs w:val="21"/>
                      <w:lang w:eastAsia="zh-CN"/>
                    </w:rPr>
                    <w:t>）</w:t>
                  </w:r>
                </w:p>
              </w:tc>
              <w:tc>
                <w:tcPr>
                  <w:tcW w:w="445" w:type="pct"/>
                  <w:noWrap w:val="0"/>
                  <w:vAlign w:val="center"/>
                </w:tcPr>
                <w:p w14:paraId="1B56984F">
                  <w:pPr>
                    <w:adjustRightInd w:val="0"/>
                    <w:snapToGrid w:val="0"/>
                    <w:jc w:val="center"/>
                    <w:rPr>
                      <w:color w:val="auto"/>
                      <w:szCs w:val="21"/>
                    </w:rPr>
                  </w:pPr>
                  <w:r>
                    <w:rPr>
                      <w:color w:val="auto"/>
                      <w:szCs w:val="21"/>
                    </w:rPr>
                    <w:t>东</w:t>
                  </w:r>
                </w:p>
              </w:tc>
              <w:tc>
                <w:tcPr>
                  <w:tcW w:w="1010" w:type="pct"/>
                  <w:noWrap w:val="0"/>
                  <w:vAlign w:val="center"/>
                </w:tcPr>
                <w:p w14:paraId="246EF81F">
                  <w:pPr>
                    <w:adjustRightInd w:val="0"/>
                    <w:snapToGrid w:val="0"/>
                    <w:jc w:val="center"/>
                    <w:rPr>
                      <w:color w:val="auto"/>
                      <w:szCs w:val="21"/>
                    </w:rPr>
                  </w:pPr>
                  <w:r>
                    <w:rPr>
                      <w:rFonts w:hint="eastAsia"/>
                      <w:color w:val="auto"/>
                      <w:szCs w:val="21"/>
                      <w:lang w:val="en-US" w:eastAsia="zh-CN"/>
                    </w:rPr>
                    <w:t>23</w:t>
                  </w:r>
                  <w:r>
                    <w:rPr>
                      <w:rFonts w:hint="eastAsia"/>
                      <w:color w:val="auto"/>
                      <w:szCs w:val="21"/>
                    </w:rPr>
                    <w:t>m</w:t>
                  </w:r>
                </w:p>
              </w:tc>
              <w:tc>
                <w:tcPr>
                  <w:tcW w:w="1539" w:type="pct"/>
                  <w:noWrap w:val="0"/>
                  <w:vAlign w:val="center"/>
                </w:tcPr>
                <w:p w14:paraId="125A74D2">
                  <w:pPr>
                    <w:adjustRightInd w:val="0"/>
                    <w:snapToGrid w:val="0"/>
                    <w:jc w:val="center"/>
                    <w:rPr>
                      <w:color w:val="auto"/>
                      <w:szCs w:val="21"/>
                    </w:rPr>
                  </w:pPr>
                  <w:r>
                    <w:rPr>
                      <w:rFonts w:hint="eastAsia"/>
                      <w:color w:val="auto"/>
                      <w:szCs w:val="21"/>
                    </w:rPr>
                    <w:t>商住楼（</w:t>
                  </w:r>
                  <w:r>
                    <w:rPr>
                      <w:rFonts w:hint="eastAsia"/>
                      <w:color w:val="auto"/>
                      <w:szCs w:val="21"/>
                      <w:lang w:eastAsia="zh-CN"/>
                    </w:rPr>
                    <w:t>渝州新城</w:t>
                  </w:r>
                  <w:r>
                    <w:rPr>
                      <w:rFonts w:hint="eastAsia"/>
                      <w:color w:val="auto"/>
                      <w:szCs w:val="21"/>
                      <w:lang w:val="en-US" w:eastAsia="zh-CN"/>
                    </w:rPr>
                    <w:t>5、8</w:t>
                  </w:r>
                  <w:r>
                    <w:rPr>
                      <w:rFonts w:hint="eastAsia"/>
                      <w:color w:val="auto"/>
                      <w:szCs w:val="21"/>
                      <w:lang w:eastAsia="zh-CN"/>
                    </w:rPr>
                    <w:t>号楼</w:t>
                  </w:r>
                  <w:r>
                    <w:rPr>
                      <w:rFonts w:hint="eastAsia"/>
                      <w:color w:val="auto"/>
                      <w:szCs w:val="21"/>
                    </w:rPr>
                    <w:t>）</w:t>
                  </w:r>
                </w:p>
              </w:tc>
            </w:tr>
            <w:tr w14:paraId="24ADE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31" w:type="pct"/>
                  <w:noWrap w:val="0"/>
                  <w:vAlign w:val="center"/>
                </w:tcPr>
                <w:p w14:paraId="784A6954">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3</w:t>
                  </w:r>
                </w:p>
              </w:tc>
              <w:tc>
                <w:tcPr>
                  <w:tcW w:w="1573" w:type="pct"/>
                  <w:noWrap w:val="0"/>
                  <w:vAlign w:val="center"/>
                </w:tcPr>
                <w:p w14:paraId="3626C8EB">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石新路</w:t>
                  </w:r>
                </w:p>
              </w:tc>
              <w:tc>
                <w:tcPr>
                  <w:tcW w:w="445" w:type="pct"/>
                  <w:noWrap w:val="0"/>
                  <w:vAlign w:val="center"/>
                </w:tcPr>
                <w:p w14:paraId="7DF1501D">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西</w:t>
                  </w:r>
                </w:p>
              </w:tc>
              <w:tc>
                <w:tcPr>
                  <w:tcW w:w="1010" w:type="pct"/>
                  <w:noWrap w:val="0"/>
                  <w:vAlign w:val="center"/>
                </w:tcPr>
                <w:p w14:paraId="2CA471F4">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14</w:t>
                  </w:r>
                  <w:r>
                    <w:rPr>
                      <w:color w:val="auto"/>
                      <w:szCs w:val="21"/>
                    </w:rPr>
                    <w:t>m</w:t>
                  </w:r>
                </w:p>
              </w:tc>
              <w:tc>
                <w:tcPr>
                  <w:tcW w:w="1539" w:type="pct"/>
                  <w:noWrap w:val="0"/>
                  <w:vAlign w:val="center"/>
                </w:tcPr>
                <w:p w14:paraId="0CEDFB5C">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城市主干道</w:t>
                  </w:r>
                </w:p>
              </w:tc>
            </w:tr>
            <w:tr w14:paraId="73FA6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31" w:type="pct"/>
                  <w:noWrap w:val="0"/>
                  <w:vAlign w:val="center"/>
                </w:tcPr>
                <w:p w14:paraId="5B3B754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4</w:t>
                  </w:r>
                </w:p>
              </w:tc>
              <w:tc>
                <w:tcPr>
                  <w:tcW w:w="1573" w:type="pct"/>
                  <w:noWrap w:val="0"/>
                  <w:vAlign w:val="center"/>
                </w:tcPr>
                <w:p w14:paraId="7FBA3E3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市政道路</w:t>
                  </w:r>
                </w:p>
              </w:tc>
              <w:tc>
                <w:tcPr>
                  <w:tcW w:w="445" w:type="pct"/>
                  <w:noWrap w:val="0"/>
                  <w:vAlign w:val="center"/>
                </w:tcPr>
                <w:p w14:paraId="29F1177F">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南</w:t>
                  </w:r>
                </w:p>
              </w:tc>
              <w:tc>
                <w:tcPr>
                  <w:tcW w:w="1010" w:type="pct"/>
                  <w:noWrap w:val="0"/>
                  <w:vAlign w:val="center"/>
                </w:tcPr>
                <w:p w14:paraId="09AEEEE8">
                  <w:pPr>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13</w:t>
                  </w:r>
                  <w:r>
                    <w:rPr>
                      <w:rFonts w:hint="eastAsia"/>
                      <w:color w:val="auto"/>
                      <w:szCs w:val="21"/>
                    </w:rPr>
                    <w:t>m</w:t>
                  </w:r>
                </w:p>
              </w:tc>
              <w:tc>
                <w:tcPr>
                  <w:tcW w:w="1539" w:type="pct"/>
                  <w:noWrap w:val="0"/>
                  <w:vAlign w:val="center"/>
                </w:tcPr>
                <w:p w14:paraId="5DB448BB">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城市辅路</w:t>
                  </w:r>
                </w:p>
              </w:tc>
            </w:tr>
            <w:tr w14:paraId="5F4D4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31" w:type="pct"/>
                  <w:noWrap w:val="0"/>
                  <w:vAlign w:val="center"/>
                </w:tcPr>
                <w:p w14:paraId="620A1359">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5</w:t>
                  </w:r>
                </w:p>
              </w:tc>
              <w:tc>
                <w:tcPr>
                  <w:tcW w:w="1573" w:type="pct"/>
                  <w:noWrap w:val="0"/>
                  <w:vAlign w:val="center"/>
                </w:tcPr>
                <w:p w14:paraId="04E44CA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Ansi="宋体"/>
                      <w:color w:val="auto"/>
                      <w:szCs w:val="21"/>
                    </w:rPr>
                    <w:t>轨道交通</w:t>
                  </w:r>
                  <w:r>
                    <w:rPr>
                      <w:rFonts w:hint="eastAsia"/>
                      <w:color w:val="auto"/>
                      <w:szCs w:val="21"/>
                    </w:rPr>
                    <w:t>5</w:t>
                  </w:r>
                  <w:r>
                    <w:rPr>
                      <w:rFonts w:hAnsi="宋体"/>
                      <w:color w:val="auto"/>
                      <w:szCs w:val="21"/>
                    </w:rPr>
                    <w:t>号线</w:t>
                  </w:r>
                </w:p>
              </w:tc>
              <w:tc>
                <w:tcPr>
                  <w:tcW w:w="445" w:type="pct"/>
                  <w:noWrap w:val="0"/>
                  <w:vAlign w:val="center"/>
                </w:tcPr>
                <w:p w14:paraId="5F3EC978">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西</w:t>
                  </w:r>
                </w:p>
              </w:tc>
              <w:tc>
                <w:tcPr>
                  <w:tcW w:w="1010" w:type="pct"/>
                  <w:noWrap w:val="0"/>
                  <w:vAlign w:val="center"/>
                </w:tcPr>
                <w:p w14:paraId="69668C05">
                  <w:pPr>
                    <w:adjustRightInd w:val="0"/>
                    <w:snapToGrid w:val="0"/>
                    <w:jc w:val="center"/>
                    <w:rPr>
                      <w:rFonts w:ascii="Times New Roman" w:hAnsi="Times New Roman" w:eastAsia="宋体" w:cs="Times New Roman"/>
                      <w:color w:val="auto"/>
                      <w:kern w:val="2"/>
                      <w:sz w:val="21"/>
                      <w:szCs w:val="21"/>
                      <w:lang w:val="en-US" w:eastAsia="zh-CN" w:bidi="ar-SA"/>
                    </w:rPr>
                  </w:pPr>
                  <w:r>
                    <w:rPr>
                      <w:rFonts w:hint="eastAsia"/>
                      <w:color w:val="auto"/>
                      <w:szCs w:val="21"/>
                    </w:rPr>
                    <w:t>3</w:t>
                  </w:r>
                  <w:r>
                    <w:rPr>
                      <w:rFonts w:hint="eastAsia"/>
                      <w:color w:val="auto"/>
                      <w:szCs w:val="21"/>
                      <w:lang w:val="en-US" w:eastAsia="zh-CN"/>
                    </w:rPr>
                    <w:t>6</w:t>
                  </w:r>
                  <w:r>
                    <w:rPr>
                      <w:rFonts w:hint="eastAsia"/>
                      <w:color w:val="auto"/>
                      <w:szCs w:val="21"/>
                    </w:rPr>
                    <w:t>m</w:t>
                  </w:r>
                </w:p>
              </w:tc>
              <w:tc>
                <w:tcPr>
                  <w:tcW w:w="1539" w:type="pct"/>
                  <w:noWrap w:val="0"/>
                  <w:vAlign w:val="center"/>
                </w:tcPr>
                <w:p w14:paraId="64D49C4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已通车</w:t>
                  </w:r>
                </w:p>
              </w:tc>
            </w:tr>
            <w:tr w14:paraId="5D7B9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31" w:type="pct"/>
                  <w:noWrap w:val="0"/>
                  <w:vAlign w:val="center"/>
                </w:tcPr>
                <w:p w14:paraId="58048465">
                  <w:pPr>
                    <w:adjustRightInd w:val="0"/>
                    <w:snapToGrid w:val="0"/>
                    <w:jc w:val="center"/>
                    <w:rPr>
                      <w:rFonts w:hint="eastAsia" w:eastAsia="宋体"/>
                      <w:color w:val="auto"/>
                      <w:szCs w:val="21"/>
                      <w:lang w:val="en-US" w:eastAsia="zh-CN"/>
                    </w:rPr>
                  </w:pPr>
                  <w:r>
                    <w:rPr>
                      <w:rFonts w:hint="eastAsia"/>
                      <w:color w:val="auto"/>
                      <w:szCs w:val="21"/>
                      <w:lang w:val="en-US" w:eastAsia="zh-CN"/>
                    </w:rPr>
                    <w:t>6</w:t>
                  </w:r>
                </w:p>
              </w:tc>
              <w:tc>
                <w:tcPr>
                  <w:tcW w:w="1573" w:type="pct"/>
                  <w:noWrap w:val="0"/>
                  <w:vAlign w:val="center"/>
                </w:tcPr>
                <w:p w14:paraId="174F9C68">
                  <w:pPr>
                    <w:adjustRightInd w:val="0"/>
                    <w:snapToGrid w:val="0"/>
                    <w:jc w:val="center"/>
                    <w:rPr>
                      <w:rFonts w:hint="eastAsia" w:ascii="Times New Roman" w:hAnsi="宋体" w:eastAsia="宋体" w:cs="Times New Roman"/>
                      <w:color w:val="auto"/>
                      <w:kern w:val="2"/>
                      <w:sz w:val="21"/>
                      <w:szCs w:val="21"/>
                      <w:lang w:val="en-US" w:eastAsia="zh-CN" w:bidi="ar-SA"/>
                    </w:rPr>
                  </w:pPr>
                  <w:r>
                    <w:rPr>
                      <w:rFonts w:hint="eastAsia"/>
                      <w:color w:val="auto"/>
                      <w:szCs w:val="21"/>
                      <w:lang w:eastAsia="zh-CN"/>
                    </w:rPr>
                    <w:t>渝州新城</w:t>
                  </w:r>
                  <w:r>
                    <w:rPr>
                      <w:rFonts w:hint="eastAsia"/>
                      <w:color w:val="auto"/>
                      <w:szCs w:val="21"/>
                      <w:lang w:val="en-US" w:eastAsia="zh-CN"/>
                    </w:rPr>
                    <w:t>7号</w:t>
                  </w:r>
                  <w:r>
                    <w:rPr>
                      <w:rFonts w:hint="eastAsia"/>
                      <w:color w:val="auto"/>
                      <w:szCs w:val="21"/>
                    </w:rPr>
                    <w:t>住宅</w:t>
                  </w:r>
                  <w:r>
                    <w:rPr>
                      <w:rFonts w:hint="eastAsia"/>
                      <w:color w:val="auto"/>
                      <w:szCs w:val="21"/>
                      <w:lang w:val="en-US" w:eastAsia="zh-CN"/>
                    </w:rPr>
                    <w:t>塔</w:t>
                  </w:r>
                  <w:r>
                    <w:rPr>
                      <w:rFonts w:hint="eastAsia"/>
                      <w:color w:val="auto"/>
                      <w:szCs w:val="21"/>
                    </w:rPr>
                    <w:t>楼</w:t>
                  </w:r>
                </w:p>
              </w:tc>
              <w:tc>
                <w:tcPr>
                  <w:tcW w:w="445" w:type="pct"/>
                  <w:noWrap w:val="0"/>
                  <w:vAlign w:val="center"/>
                </w:tcPr>
                <w:p w14:paraId="62E539CE">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c>
                <w:tcPr>
                  <w:tcW w:w="1010" w:type="pct"/>
                  <w:noWrap w:val="0"/>
                  <w:vAlign w:val="center"/>
                </w:tcPr>
                <w:p w14:paraId="49C1C7F7">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w:t>
                  </w:r>
                  <w:r>
                    <w:rPr>
                      <w:rFonts w:hint="eastAsia"/>
                      <w:color w:val="auto"/>
                      <w:szCs w:val="21"/>
                    </w:rPr>
                    <w:t>m</w:t>
                  </w:r>
                </w:p>
              </w:tc>
              <w:tc>
                <w:tcPr>
                  <w:tcW w:w="1539" w:type="pct"/>
                  <w:noWrap w:val="0"/>
                  <w:vAlign w:val="center"/>
                </w:tcPr>
                <w:p w14:paraId="03A34C6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塔楼，</w:t>
                  </w:r>
                  <w:r>
                    <w:rPr>
                      <w:rFonts w:hint="eastAsia"/>
                      <w:color w:val="auto"/>
                      <w:szCs w:val="21"/>
                    </w:rPr>
                    <w:t>商住楼</w:t>
                  </w:r>
                </w:p>
              </w:tc>
            </w:tr>
          </w:tbl>
          <w:p w14:paraId="1E8F9368">
            <w:pPr>
              <w:spacing w:line="360" w:lineRule="auto"/>
              <w:ind w:firstLine="480" w:firstLineChars="200"/>
              <w:rPr>
                <w:color w:val="auto"/>
                <w:kern w:val="0"/>
                <w:sz w:val="24"/>
              </w:rPr>
            </w:pPr>
            <w:r>
              <w:rPr>
                <w:color w:val="auto"/>
                <w:kern w:val="0"/>
                <w:sz w:val="24"/>
              </w:rPr>
              <w:t>（</w:t>
            </w:r>
            <w:r>
              <w:rPr>
                <w:rFonts w:hint="eastAsia"/>
                <w:color w:val="auto"/>
                <w:kern w:val="0"/>
                <w:sz w:val="24"/>
              </w:rPr>
              <w:t>2</w:t>
            </w:r>
            <w:r>
              <w:rPr>
                <w:color w:val="auto"/>
                <w:kern w:val="0"/>
                <w:sz w:val="24"/>
              </w:rPr>
              <w:t>）环境保护目标</w:t>
            </w:r>
          </w:p>
          <w:p w14:paraId="53669C9C">
            <w:pPr>
              <w:spacing w:line="360" w:lineRule="auto"/>
              <w:ind w:firstLine="480" w:firstLineChars="200"/>
              <w:rPr>
                <w:color w:val="auto"/>
                <w:kern w:val="0"/>
                <w:sz w:val="24"/>
              </w:rPr>
            </w:pPr>
            <w:r>
              <w:rPr>
                <w:color w:val="auto"/>
                <w:kern w:val="0"/>
                <w:sz w:val="24"/>
              </w:rPr>
              <w:t>项目所在区域周边的环境保护目标主要是声环境敏感点（厂界外50m内）和大气环境敏感点（厂界外500m内）。评价区域内主要敏感目标见表3-4。</w:t>
            </w:r>
          </w:p>
          <w:p w14:paraId="5E1B048E">
            <w:pPr>
              <w:jc w:val="center"/>
              <w:rPr>
                <w:b/>
                <w:bCs/>
                <w:color w:val="auto"/>
                <w:kern w:val="0"/>
                <w:sz w:val="24"/>
              </w:rPr>
            </w:pPr>
            <w:r>
              <w:rPr>
                <w:b/>
                <w:bCs/>
                <w:color w:val="auto"/>
                <w:kern w:val="0"/>
                <w:sz w:val="24"/>
              </w:rPr>
              <w:t>表3-4环境敏感点分布一览表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691"/>
              <w:gridCol w:w="674"/>
              <w:gridCol w:w="870"/>
              <w:gridCol w:w="1130"/>
              <w:gridCol w:w="1838"/>
              <w:gridCol w:w="795"/>
              <w:gridCol w:w="851"/>
            </w:tblGrid>
            <w:tr w14:paraId="5BC37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Merge w:val="restart"/>
                  <w:noWrap w:val="0"/>
                  <w:vAlign w:val="center"/>
                </w:tcPr>
                <w:p w14:paraId="55389EAF">
                  <w:pPr>
                    <w:pStyle w:val="51"/>
                    <w:adjustRightInd w:val="0"/>
                    <w:snapToGrid w:val="0"/>
                    <w:spacing w:line="240" w:lineRule="auto"/>
                    <w:rPr>
                      <w:color w:val="auto"/>
                      <w:szCs w:val="21"/>
                    </w:rPr>
                  </w:pPr>
                  <w:r>
                    <w:rPr>
                      <w:color w:val="auto"/>
                      <w:szCs w:val="21"/>
                    </w:rPr>
                    <w:t>名称</w:t>
                  </w:r>
                </w:p>
              </w:tc>
              <w:tc>
                <w:tcPr>
                  <w:tcW w:w="1365" w:type="dxa"/>
                  <w:gridSpan w:val="2"/>
                  <w:noWrap w:val="0"/>
                  <w:vAlign w:val="center"/>
                </w:tcPr>
                <w:p w14:paraId="4E92826A">
                  <w:pPr>
                    <w:pStyle w:val="51"/>
                    <w:adjustRightInd w:val="0"/>
                    <w:snapToGrid w:val="0"/>
                    <w:spacing w:line="240" w:lineRule="auto"/>
                    <w:rPr>
                      <w:color w:val="auto"/>
                      <w:szCs w:val="21"/>
                    </w:rPr>
                  </w:pPr>
                  <w:r>
                    <w:rPr>
                      <w:color w:val="auto"/>
                      <w:szCs w:val="21"/>
                    </w:rPr>
                    <w:t>坐标/m</w:t>
                  </w:r>
                </w:p>
              </w:tc>
              <w:tc>
                <w:tcPr>
                  <w:tcW w:w="870" w:type="dxa"/>
                  <w:vMerge w:val="restart"/>
                  <w:noWrap w:val="0"/>
                  <w:vAlign w:val="center"/>
                </w:tcPr>
                <w:p w14:paraId="6FF57869">
                  <w:pPr>
                    <w:pStyle w:val="51"/>
                    <w:adjustRightInd w:val="0"/>
                    <w:snapToGrid w:val="0"/>
                    <w:spacing w:line="240" w:lineRule="auto"/>
                    <w:rPr>
                      <w:color w:val="auto"/>
                      <w:szCs w:val="21"/>
                    </w:rPr>
                  </w:pPr>
                  <w:r>
                    <w:rPr>
                      <w:color w:val="auto"/>
                      <w:szCs w:val="21"/>
                    </w:rPr>
                    <w:t>保护对象</w:t>
                  </w:r>
                </w:p>
              </w:tc>
              <w:tc>
                <w:tcPr>
                  <w:tcW w:w="1130" w:type="dxa"/>
                  <w:vMerge w:val="restart"/>
                  <w:noWrap w:val="0"/>
                  <w:vAlign w:val="center"/>
                </w:tcPr>
                <w:p w14:paraId="15E9429D">
                  <w:pPr>
                    <w:pStyle w:val="51"/>
                    <w:adjustRightInd w:val="0"/>
                    <w:snapToGrid w:val="0"/>
                    <w:spacing w:line="240" w:lineRule="auto"/>
                    <w:rPr>
                      <w:color w:val="auto"/>
                      <w:szCs w:val="21"/>
                    </w:rPr>
                  </w:pPr>
                  <w:r>
                    <w:rPr>
                      <w:color w:val="auto"/>
                      <w:szCs w:val="21"/>
                    </w:rPr>
                    <w:t>保护内容</w:t>
                  </w:r>
                </w:p>
              </w:tc>
              <w:tc>
                <w:tcPr>
                  <w:tcW w:w="1838" w:type="dxa"/>
                  <w:vMerge w:val="restart"/>
                  <w:noWrap w:val="0"/>
                  <w:vAlign w:val="center"/>
                </w:tcPr>
                <w:p w14:paraId="421EF096">
                  <w:pPr>
                    <w:pStyle w:val="51"/>
                    <w:adjustRightInd w:val="0"/>
                    <w:snapToGrid w:val="0"/>
                    <w:spacing w:line="240" w:lineRule="auto"/>
                    <w:rPr>
                      <w:color w:val="auto"/>
                      <w:szCs w:val="21"/>
                    </w:rPr>
                  </w:pPr>
                  <w:r>
                    <w:rPr>
                      <w:color w:val="auto"/>
                      <w:szCs w:val="21"/>
                    </w:rPr>
                    <w:t>环境功能区</w:t>
                  </w:r>
                </w:p>
              </w:tc>
              <w:tc>
                <w:tcPr>
                  <w:tcW w:w="795" w:type="dxa"/>
                  <w:vMerge w:val="restart"/>
                  <w:noWrap w:val="0"/>
                  <w:vAlign w:val="center"/>
                </w:tcPr>
                <w:p w14:paraId="43AC09A6">
                  <w:pPr>
                    <w:pStyle w:val="51"/>
                    <w:adjustRightInd w:val="0"/>
                    <w:snapToGrid w:val="0"/>
                    <w:spacing w:line="240" w:lineRule="auto"/>
                    <w:rPr>
                      <w:color w:val="auto"/>
                      <w:szCs w:val="21"/>
                    </w:rPr>
                  </w:pPr>
                  <w:r>
                    <w:rPr>
                      <w:color w:val="auto"/>
                      <w:szCs w:val="21"/>
                    </w:rPr>
                    <w:t>相对厂址方位</w:t>
                  </w:r>
                </w:p>
              </w:tc>
              <w:tc>
                <w:tcPr>
                  <w:tcW w:w="851" w:type="dxa"/>
                  <w:vMerge w:val="restart"/>
                  <w:noWrap w:val="0"/>
                  <w:vAlign w:val="center"/>
                </w:tcPr>
                <w:p w14:paraId="2211C246">
                  <w:pPr>
                    <w:pStyle w:val="51"/>
                    <w:adjustRightInd w:val="0"/>
                    <w:snapToGrid w:val="0"/>
                    <w:spacing w:line="240" w:lineRule="auto"/>
                    <w:rPr>
                      <w:color w:val="auto"/>
                      <w:szCs w:val="21"/>
                    </w:rPr>
                  </w:pPr>
                  <w:r>
                    <w:rPr>
                      <w:color w:val="auto"/>
                      <w:szCs w:val="21"/>
                    </w:rPr>
                    <w:t>相对边界距离/m</w:t>
                  </w:r>
                </w:p>
              </w:tc>
            </w:tr>
            <w:tr w14:paraId="1380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1115" w:type="dxa"/>
                  <w:vMerge w:val="continue"/>
                  <w:noWrap w:val="0"/>
                  <w:vAlign w:val="center"/>
                </w:tcPr>
                <w:p w14:paraId="2379D5EA">
                  <w:pPr>
                    <w:pStyle w:val="51"/>
                    <w:adjustRightInd w:val="0"/>
                    <w:snapToGrid w:val="0"/>
                    <w:spacing w:line="240" w:lineRule="auto"/>
                    <w:rPr>
                      <w:b w:val="0"/>
                      <w:color w:val="auto"/>
                      <w:szCs w:val="21"/>
                    </w:rPr>
                  </w:pPr>
                </w:p>
              </w:tc>
              <w:tc>
                <w:tcPr>
                  <w:tcW w:w="691" w:type="dxa"/>
                  <w:noWrap w:val="0"/>
                  <w:vAlign w:val="center"/>
                </w:tcPr>
                <w:p w14:paraId="0B870DCC">
                  <w:pPr>
                    <w:pStyle w:val="51"/>
                    <w:adjustRightInd w:val="0"/>
                    <w:snapToGrid w:val="0"/>
                    <w:spacing w:line="240" w:lineRule="auto"/>
                    <w:rPr>
                      <w:color w:val="auto"/>
                      <w:szCs w:val="21"/>
                    </w:rPr>
                  </w:pPr>
                  <w:r>
                    <w:rPr>
                      <w:color w:val="auto"/>
                      <w:szCs w:val="21"/>
                    </w:rPr>
                    <w:t>X</w:t>
                  </w:r>
                </w:p>
              </w:tc>
              <w:tc>
                <w:tcPr>
                  <w:tcW w:w="674" w:type="dxa"/>
                  <w:noWrap w:val="0"/>
                  <w:vAlign w:val="center"/>
                </w:tcPr>
                <w:p w14:paraId="16261A59">
                  <w:pPr>
                    <w:pStyle w:val="51"/>
                    <w:adjustRightInd w:val="0"/>
                    <w:snapToGrid w:val="0"/>
                    <w:spacing w:line="240" w:lineRule="auto"/>
                    <w:rPr>
                      <w:color w:val="auto"/>
                      <w:szCs w:val="21"/>
                    </w:rPr>
                  </w:pPr>
                  <w:r>
                    <w:rPr>
                      <w:color w:val="auto"/>
                      <w:szCs w:val="21"/>
                    </w:rPr>
                    <w:t>Y</w:t>
                  </w:r>
                </w:p>
              </w:tc>
              <w:tc>
                <w:tcPr>
                  <w:tcW w:w="870" w:type="dxa"/>
                  <w:vMerge w:val="continue"/>
                  <w:noWrap w:val="0"/>
                  <w:vAlign w:val="center"/>
                </w:tcPr>
                <w:p w14:paraId="5F94E62A">
                  <w:pPr>
                    <w:pStyle w:val="51"/>
                    <w:adjustRightInd w:val="0"/>
                    <w:snapToGrid w:val="0"/>
                    <w:spacing w:line="240" w:lineRule="auto"/>
                    <w:rPr>
                      <w:b w:val="0"/>
                      <w:color w:val="auto"/>
                      <w:szCs w:val="21"/>
                    </w:rPr>
                  </w:pPr>
                </w:p>
              </w:tc>
              <w:tc>
                <w:tcPr>
                  <w:tcW w:w="1130" w:type="dxa"/>
                  <w:vMerge w:val="continue"/>
                  <w:noWrap w:val="0"/>
                  <w:vAlign w:val="center"/>
                </w:tcPr>
                <w:p w14:paraId="40A74029">
                  <w:pPr>
                    <w:pStyle w:val="51"/>
                    <w:adjustRightInd w:val="0"/>
                    <w:snapToGrid w:val="0"/>
                    <w:spacing w:line="240" w:lineRule="auto"/>
                    <w:rPr>
                      <w:b w:val="0"/>
                      <w:color w:val="auto"/>
                      <w:szCs w:val="21"/>
                    </w:rPr>
                  </w:pPr>
                </w:p>
              </w:tc>
              <w:tc>
                <w:tcPr>
                  <w:tcW w:w="1838" w:type="dxa"/>
                  <w:vMerge w:val="continue"/>
                  <w:noWrap w:val="0"/>
                  <w:vAlign w:val="center"/>
                </w:tcPr>
                <w:p w14:paraId="44AC6C64">
                  <w:pPr>
                    <w:pStyle w:val="51"/>
                    <w:adjustRightInd w:val="0"/>
                    <w:snapToGrid w:val="0"/>
                    <w:spacing w:line="240" w:lineRule="auto"/>
                    <w:rPr>
                      <w:b w:val="0"/>
                      <w:color w:val="auto"/>
                      <w:szCs w:val="21"/>
                    </w:rPr>
                  </w:pPr>
                </w:p>
              </w:tc>
              <w:tc>
                <w:tcPr>
                  <w:tcW w:w="795" w:type="dxa"/>
                  <w:vMerge w:val="continue"/>
                  <w:noWrap w:val="0"/>
                  <w:vAlign w:val="center"/>
                </w:tcPr>
                <w:p w14:paraId="4AB0BBDE">
                  <w:pPr>
                    <w:pStyle w:val="51"/>
                    <w:adjustRightInd w:val="0"/>
                    <w:snapToGrid w:val="0"/>
                    <w:spacing w:line="240" w:lineRule="auto"/>
                    <w:rPr>
                      <w:b w:val="0"/>
                      <w:color w:val="auto"/>
                      <w:szCs w:val="21"/>
                    </w:rPr>
                  </w:pPr>
                </w:p>
              </w:tc>
              <w:tc>
                <w:tcPr>
                  <w:tcW w:w="851" w:type="dxa"/>
                  <w:vMerge w:val="continue"/>
                  <w:noWrap w:val="0"/>
                  <w:vAlign w:val="center"/>
                </w:tcPr>
                <w:p w14:paraId="60652EBE">
                  <w:pPr>
                    <w:pStyle w:val="51"/>
                    <w:adjustRightInd w:val="0"/>
                    <w:snapToGrid w:val="0"/>
                    <w:spacing w:line="240" w:lineRule="auto"/>
                    <w:rPr>
                      <w:b w:val="0"/>
                      <w:color w:val="auto"/>
                      <w:szCs w:val="21"/>
                    </w:rPr>
                  </w:pPr>
                </w:p>
              </w:tc>
            </w:tr>
            <w:tr w14:paraId="20EB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4" w:type="dxa"/>
                  <w:gridSpan w:val="8"/>
                  <w:noWrap w:val="0"/>
                  <w:vAlign w:val="center"/>
                </w:tcPr>
                <w:p w14:paraId="3FC4E1F9">
                  <w:pPr>
                    <w:pStyle w:val="51"/>
                    <w:adjustRightInd w:val="0"/>
                    <w:snapToGrid w:val="0"/>
                    <w:spacing w:line="240" w:lineRule="auto"/>
                    <w:rPr>
                      <w:b w:val="0"/>
                      <w:color w:val="auto"/>
                      <w:szCs w:val="21"/>
                    </w:rPr>
                  </w:pPr>
                  <w:r>
                    <w:rPr>
                      <w:b w:val="0"/>
                      <w:color w:val="auto"/>
                      <w:szCs w:val="21"/>
                    </w:rPr>
                    <w:t>50m范围内</w:t>
                  </w:r>
                </w:p>
              </w:tc>
            </w:tr>
            <w:tr w14:paraId="6A34E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115" w:type="dxa"/>
                  <w:noWrap w:val="0"/>
                  <w:vAlign w:val="center"/>
                </w:tcPr>
                <w:p w14:paraId="6A983C99">
                  <w:pPr>
                    <w:tabs>
                      <w:tab w:val="left" w:pos="525"/>
                    </w:tabs>
                    <w:adjustRightInd w:val="0"/>
                    <w:snapToGrid w:val="0"/>
                    <w:jc w:val="center"/>
                    <w:rPr>
                      <w:bCs/>
                      <w:color w:val="auto"/>
                      <w:szCs w:val="21"/>
                      <w:lang w:bidi="ar"/>
                    </w:rPr>
                  </w:pPr>
                  <w:r>
                    <w:rPr>
                      <w:rFonts w:hint="eastAsia"/>
                      <w:color w:val="auto"/>
                      <w:szCs w:val="21"/>
                      <w:lang w:eastAsia="zh-CN"/>
                    </w:rPr>
                    <w:t>渝州新城</w:t>
                  </w:r>
                  <w:r>
                    <w:rPr>
                      <w:rFonts w:hint="eastAsia"/>
                      <w:color w:val="auto"/>
                      <w:szCs w:val="21"/>
                      <w:lang w:val="en-US" w:eastAsia="zh-CN"/>
                    </w:rPr>
                    <w:t>7</w:t>
                  </w:r>
                  <w:r>
                    <w:rPr>
                      <w:rFonts w:hint="eastAsia"/>
                      <w:color w:val="auto"/>
                      <w:szCs w:val="21"/>
                      <w:lang w:eastAsia="zh-CN"/>
                    </w:rPr>
                    <w:t>号</w:t>
                  </w:r>
                  <w:r>
                    <w:rPr>
                      <w:rFonts w:hint="eastAsia"/>
                      <w:color w:val="auto"/>
                      <w:szCs w:val="21"/>
                    </w:rPr>
                    <w:t>住宅楼</w:t>
                  </w:r>
                </w:p>
              </w:tc>
              <w:tc>
                <w:tcPr>
                  <w:tcW w:w="691" w:type="dxa"/>
                  <w:noWrap w:val="0"/>
                  <w:vAlign w:val="center"/>
                </w:tcPr>
                <w:p w14:paraId="2711072D">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0</w:t>
                  </w:r>
                </w:p>
              </w:tc>
              <w:tc>
                <w:tcPr>
                  <w:tcW w:w="674" w:type="dxa"/>
                  <w:noWrap w:val="0"/>
                  <w:vAlign w:val="center"/>
                </w:tcPr>
                <w:p w14:paraId="13DAAA60">
                  <w:pPr>
                    <w:pStyle w:val="51"/>
                    <w:adjustRightInd w:val="0"/>
                    <w:snapToGrid w:val="0"/>
                    <w:spacing w:line="240" w:lineRule="auto"/>
                    <w:rPr>
                      <w:b w:val="0"/>
                      <w:color w:val="auto"/>
                      <w:szCs w:val="21"/>
                    </w:rPr>
                  </w:pPr>
                  <w:r>
                    <w:rPr>
                      <w:rFonts w:hint="eastAsia"/>
                      <w:b w:val="0"/>
                      <w:color w:val="auto"/>
                      <w:szCs w:val="21"/>
                      <w:lang w:val="en-US" w:eastAsia="zh-CN"/>
                    </w:rPr>
                    <w:t>0</w:t>
                  </w:r>
                </w:p>
              </w:tc>
              <w:tc>
                <w:tcPr>
                  <w:tcW w:w="870" w:type="dxa"/>
                  <w:noWrap w:val="0"/>
                  <w:vAlign w:val="center"/>
                </w:tcPr>
                <w:p w14:paraId="60FF2FEA">
                  <w:pPr>
                    <w:adjustRightInd w:val="0"/>
                    <w:snapToGrid w:val="0"/>
                    <w:jc w:val="center"/>
                    <w:rPr>
                      <w:color w:val="auto"/>
                      <w:szCs w:val="21"/>
                      <w:lang w:bidi="ar"/>
                    </w:rPr>
                  </w:pPr>
                  <w:r>
                    <w:rPr>
                      <w:color w:val="auto"/>
                      <w:szCs w:val="21"/>
                      <w:lang w:bidi="ar"/>
                    </w:rPr>
                    <w:t>居民区</w:t>
                  </w:r>
                </w:p>
              </w:tc>
              <w:tc>
                <w:tcPr>
                  <w:tcW w:w="1130" w:type="dxa"/>
                  <w:noWrap w:val="0"/>
                  <w:vAlign w:val="center"/>
                </w:tcPr>
                <w:p w14:paraId="262B4F50">
                  <w:pPr>
                    <w:adjustRightInd w:val="0"/>
                    <w:snapToGrid w:val="0"/>
                    <w:jc w:val="center"/>
                    <w:rPr>
                      <w:color w:val="auto"/>
                      <w:szCs w:val="21"/>
                      <w:lang w:bidi="ar"/>
                    </w:rPr>
                  </w:pPr>
                  <w:r>
                    <w:rPr>
                      <w:color w:val="auto"/>
                      <w:szCs w:val="21"/>
                      <w:lang w:bidi="ar"/>
                    </w:rPr>
                    <w:t>约</w:t>
                  </w:r>
                  <w:r>
                    <w:rPr>
                      <w:rFonts w:hint="eastAsia"/>
                      <w:color w:val="auto"/>
                      <w:szCs w:val="21"/>
                      <w:lang w:val="en-US" w:eastAsia="zh-CN" w:bidi="ar"/>
                    </w:rPr>
                    <w:t>5</w:t>
                  </w:r>
                  <w:r>
                    <w:rPr>
                      <w:color w:val="auto"/>
                      <w:szCs w:val="21"/>
                      <w:lang w:bidi="ar"/>
                    </w:rPr>
                    <w:t>00人</w:t>
                  </w:r>
                </w:p>
              </w:tc>
              <w:tc>
                <w:tcPr>
                  <w:tcW w:w="1838" w:type="dxa"/>
                  <w:vMerge w:val="restart"/>
                  <w:noWrap w:val="0"/>
                  <w:vAlign w:val="center"/>
                </w:tcPr>
                <w:p w14:paraId="03463FD5">
                  <w:pPr>
                    <w:pStyle w:val="51"/>
                    <w:adjustRightInd w:val="0"/>
                    <w:snapToGrid w:val="0"/>
                    <w:spacing w:line="240" w:lineRule="auto"/>
                    <w:rPr>
                      <w:b w:val="0"/>
                      <w:color w:val="auto"/>
                      <w:szCs w:val="21"/>
                    </w:rPr>
                  </w:pPr>
                  <w:r>
                    <w:rPr>
                      <w:b w:val="0"/>
                      <w:color w:val="auto"/>
                      <w:szCs w:val="21"/>
                    </w:rPr>
                    <w:t>《环境空气质量标准》（GB3095-2012）二类功能区、</w:t>
                  </w:r>
                  <w:r>
                    <w:rPr>
                      <w:b w:val="0"/>
                      <w:bCs/>
                      <w:color w:val="auto"/>
                      <w:kern w:val="0"/>
                      <w:szCs w:val="21"/>
                    </w:rPr>
                    <w:t>《声环境质量标准》（GB3096-2008）2类功能区</w:t>
                  </w:r>
                </w:p>
              </w:tc>
              <w:tc>
                <w:tcPr>
                  <w:tcW w:w="795" w:type="dxa"/>
                  <w:noWrap w:val="0"/>
                  <w:vAlign w:val="center"/>
                </w:tcPr>
                <w:p w14:paraId="5BD08E34">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塔楼</w:t>
                  </w:r>
                </w:p>
              </w:tc>
              <w:tc>
                <w:tcPr>
                  <w:tcW w:w="851" w:type="dxa"/>
                  <w:noWrap w:val="0"/>
                  <w:vAlign w:val="center"/>
                </w:tcPr>
                <w:p w14:paraId="1920A7E4">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0</w:t>
                  </w:r>
                </w:p>
              </w:tc>
            </w:tr>
            <w:tr w14:paraId="59206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4" w:hRule="atLeast"/>
              </w:trPr>
              <w:tc>
                <w:tcPr>
                  <w:tcW w:w="1115" w:type="dxa"/>
                  <w:noWrap w:val="0"/>
                  <w:vAlign w:val="center"/>
                </w:tcPr>
                <w:p w14:paraId="744A58A3">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color w:val="auto"/>
                      <w:szCs w:val="21"/>
                      <w:lang w:eastAsia="zh-CN"/>
                    </w:rPr>
                    <w:t>渝州新城（</w:t>
                  </w:r>
                  <w:r>
                    <w:rPr>
                      <w:rFonts w:hint="eastAsia"/>
                      <w:color w:val="auto"/>
                      <w:szCs w:val="21"/>
                      <w:lang w:val="en-US" w:eastAsia="zh-CN"/>
                    </w:rPr>
                    <w:t>5</w:t>
                  </w:r>
                  <w:r>
                    <w:rPr>
                      <w:rFonts w:hint="eastAsia"/>
                      <w:color w:val="auto"/>
                      <w:szCs w:val="21"/>
                      <w:lang w:eastAsia="zh-CN"/>
                    </w:rPr>
                    <w:t>、</w:t>
                  </w:r>
                  <w:r>
                    <w:rPr>
                      <w:rFonts w:hint="eastAsia"/>
                      <w:color w:val="auto"/>
                      <w:szCs w:val="21"/>
                      <w:lang w:val="en-US" w:eastAsia="zh-CN"/>
                    </w:rPr>
                    <w:t>8</w:t>
                  </w:r>
                  <w:r>
                    <w:rPr>
                      <w:rFonts w:hint="eastAsia"/>
                      <w:color w:val="auto"/>
                      <w:szCs w:val="21"/>
                      <w:lang w:eastAsia="zh-CN"/>
                    </w:rPr>
                    <w:t>号</w:t>
                  </w:r>
                  <w:r>
                    <w:rPr>
                      <w:rFonts w:hint="eastAsia"/>
                      <w:color w:val="auto"/>
                      <w:szCs w:val="21"/>
                    </w:rPr>
                    <w:t>住宅</w:t>
                  </w:r>
                  <w:r>
                    <w:rPr>
                      <w:rFonts w:hint="eastAsia"/>
                      <w:color w:val="auto"/>
                      <w:szCs w:val="21"/>
                      <w:lang w:val="en-US" w:eastAsia="zh-CN"/>
                    </w:rPr>
                    <w:t>塔</w:t>
                  </w:r>
                  <w:r>
                    <w:rPr>
                      <w:rFonts w:hint="eastAsia"/>
                      <w:color w:val="auto"/>
                      <w:szCs w:val="21"/>
                    </w:rPr>
                    <w:t>楼</w:t>
                  </w:r>
                  <w:r>
                    <w:rPr>
                      <w:rFonts w:hint="eastAsia"/>
                      <w:color w:val="auto"/>
                      <w:szCs w:val="21"/>
                      <w:lang w:eastAsia="zh-CN"/>
                    </w:rPr>
                    <w:t>）</w:t>
                  </w:r>
                </w:p>
              </w:tc>
              <w:tc>
                <w:tcPr>
                  <w:tcW w:w="691" w:type="dxa"/>
                  <w:noWrap w:val="0"/>
                  <w:vAlign w:val="center"/>
                </w:tcPr>
                <w:p w14:paraId="1A1D420B">
                  <w:pPr>
                    <w:pStyle w:val="51"/>
                    <w:adjustRightInd w:val="0"/>
                    <w:snapToGrid w:val="0"/>
                    <w:spacing w:line="240" w:lineRule="auto"/>
                    <w:rPr>
                      <w:rFonts w:hint="eastAsia"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42</w:t>
                  </w:r>
                </w:p>
              </w:tc>
              <w:tc>
                <w:tcPr>
                  <w:tcW w:w="674" w:type="dxa"/>
                  <w:noWrap w:val="0"/>
                  <w:vAlign w:val="center"/>
                </w:tcPr>
                <w:p w14:paraId="7BBEA285">
                  <w:pPr>
                    <w:pStyle w:val="51"/>
                    <w:adjustRightInd w:val="0"/>
                    <w:snapToGrid w:val="0"/>
                    <w:spacing w:line="240" w:lineRule="auto"/>
                    <w:rPr>
                      <w:rFonts w:hint="eastAsia"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3</w:t>
                  </w:r>
                  <w:r>
                    <w:rPr>
                      <w:rFonts w:hint="eastAsia"/>
                      <w:b w:val="0"/>
                      <w:color w:val="auto"/>
                      <w:szCs w:val="21"/>
                    </w:rPr>
                    <w:t>0</w:t>
                  </w:r>
                </w:p>
              </w:tc>
              <w:tc>
                <w:tcPr>
                  <w:tcW w:w="870" w:type="dxa"/>
                  <w:noWrap w:val="0"/>
                  <w:vAlign w:val="center"/>
                </w:tcPr>
                <w:p w14:paraId="077507DA">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758397DC">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10</w:t>
                  </w:r>
                  <w:r>
                    <w:rPr>
                      <w:color w:val="auto"/>
                      <w:szCs w:val="21"/>
                      <w:lang w:bidi="ar"/>
                    </w:rPr>
                    <w:t>00人</w:t>
                  </w:r>
                </w:p>
              </w:tc>
              <w:tc>
                <w:tcPr>
                  <w:tcW w:w="1838" w:type="dxa"/>
                  <w:vMerge w:val="continue"/>
                  <w:noWrap w:val="0"/>
                  <w:vAlign w:val="center"/>
                </w:tcPr>
                <w:p w14:paraId="1B97AF8C">
                  <w:pPr>
                    <w:pStyle w:val="51"/>
                    <w:adjustRightInd w:val="0"/>
                    <w:snapToGrid w:val="0"/>
                    <w:spacing w:line="240" w:lineRule="auto"/>
                    <w:rPr>
                      <w:b w:val="0"/>
                      <w:color w:val="auto"/>
                      <w:szCs w:val="21"/>
                    </w:rPr>
                  </w:pPr>
                </w:p>
              </w:tc>
              <w:tc>
                <w:tcPr>
                  <w:tcW w:w="795" w:type="dxa"/>
                  <w:noWrap w:val="0"/>
                  <w:vAlign w:val="center"/>
                </w:tcPr>
                <w:p w14:paraId="68947E0F">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bCs/>
                      <w:color w:val="auto"/>
                      <w:szCs w:val="21"/>
                      <w:lang w:val="en-US" w:eastAsia="zh-CN" w:bidi="ar"/>
                    </w:rPr>
                    <w:t>E</w:t>
                  </w:r>
                </w:p>
              </w:tc>
              <w:tc>
                <w:tcPr>
                  <w:tcW w:w="851" w:type="dxa"/>
                  <w:noWrap w:val="0"/>
                  <w:vAlign w:val="center"/>
                </w:tcPr>
                <w:p w14:paraId="1643E0F9">
                  <w:pPr>
                    <w:tabs>
                      <w:tab w:val="left" w:pos="525"/>
                    </w:tabs>
                    <w:adjustRightInd w:val="0"/>
                    <w:snapToGrid w:val="0"/>
                    <w:jc w:val="center"/>
                    <w:rPr>
                      <w:rFonts w:hint="default" w:ascii="Times New Roman" w:hAnsi="Times New Roman" w:eastAsia="宋体" w:cs="Times New Roman"/>
                      <w:bCs/>
                      <w:color w:val="auto"/>
                      <w:kern w:val="2"/>
                      <w:sz w:val="21"/>
                      <w:szCs w:val="21"/>
                      <w:lang w:val="en-US" w:eastAsia="zh-CN" w:bidi="ar"/>
                    </w:rPr>
                  </w:pPr>
                  <w:r>
                    <w:rPr>
                      <w:rFonts w:hint="eastAsia"/>
                      <w:bCs/>
                      <w:color w:val="auto"/>
                      <w:szCs w:val="21"/>
                      <w:lang w:val="en-US" w:eastAsia="zh-CN" w:bidi="ar"/>
                    </w:rPr>
                    <w:t>23</w:t>
                  </w:r>
                </w:p>
              </w:tc>
            </w:tr>
            <w:tr w14:paraId="6BEE4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1115" w:type="dxa"/>
                  <w:noWrap w:val="0"/>
                  <w:vAlign w:val="center"/>
                </w:tcPr>
                <w:p w14:paraId="1DC775B8">
                  <w:pPr>
                    <w:tabs>
                      <w:tab w:val="left" w:pos="525"/>
                    </w:tabs>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eastAsia="zh-CN"/>
                    </w:rPr>
                    <w:t>鑫泰铭居</w:t>
                  </w:r>
                </w:p>
              </w:tc>
              <w:tc>
                <w:tcPr>
                  <w:tcW w:w="691" w:type="dxa"/>
                  <w:noWrap w:val="0"/>
                  <w:vAlign w:val="center"/>
                </w:tcPr>
                <w:p w14:paraId="7929D4FB">
                  <w:pPr>
                    <w:pStyle w:val="51"/>
                    <w:adjustRightInd w:val="0"/>
                    <w:snapToGrid w:val="0"/>
                    <w:spacing w:line="240" w:lineRule="auto"/>
                    <w:rPr>
                      <w:rFonts w:hint="default"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0</w:t>
                  </w:r>
                </w:p>
              </w:tc>
              <w:tc>
                <w:tcPr>
                  <w:tcW w:w="674" w:type="dxa"/>
                  <w:noWrap w:val="0"/>
                  <w:vAlign w:val="center"/>
                </w:tcPr>
                <w:p w14:paraId="3E281A19">
                  <w:pPr>
                    <w:pStyle w:val="51"/>
                    <w:adjustRightInd w:val="0"/>
                    <w:snapToGrid w:val="0"/>
                    <w:spacing w:line="240" w:lineRule="auto"/>
                    <w:rPr>
                      <w:rFonts w:hint="default"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-97</w:t>
                  </w:r>
                </w:p>
              </w:tc>
              <w:tc>
                <w:tcPr>
                  <w:tcW w:w="870" w:type="dxa"/>
                  <w:noWrap w:val="0"/>
                  <w:vAlign w:val="center"/>
                </w:tcPr>
                <w:p w14:paraId="4DBCB8C1">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6FF23460">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5</w:t>
                  </w:r>
                  <w:r>
                    <w:rPr>
                      <w:color w:val="auto"/>
                      <w:szCs w:val="21"/>
                      <w:lang w:bidi="ar"/>
                    </w:rPr>
                    <w:t>00人</w:t>
                  </w:r>
                </w:p>
              </w:tc>
              <w:tc>
                <w:tcPr>
                  <w:tcW w:w="1838" w:type="dxa"/>
                  <w:vMerge w:val="continue"/>
                  <w:noWrap w:val="0"/>
                  <w:vAlign w:val="center"/>
                </w:tcPr>
                <w:p w14:paraId="1075731C">
                  <w:pPr>
                    <w:pStyle w:val="51"/>
                    <w:adjustRightInd w:val="0"/>
                    <w:snapToGrid w:val="0"/>
                    <w:spacing w:line="240" w:lineRule="auto"/>
                    <w:rPr>
                      <w:b w:val="0"/>
                      <w:color w:val="auto"/>
                      <w:szCs w:val="21"/>
                    </w:rPr>
                  </w:pPr>
                </w:p>
              </w:tc>
              <w:tc>
                <w:tcPr>
                  <w:tcW w:w="795" w:type="dxa"/>
                  <w:noWrap w:val="0"/>
                  <w:vAlign w:val="center"/>
                </w:tcPr>
                <w:p w14:paraId="64F2DCAA">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bCs/>
                      <w:color w:val="auto"/>
                      <w:szCs w:val="21"/>
                      <w:lang w:val="en-US" w:eastAsia="zh-CN" w:bidi="ar"/>
                    </w:rPr>
                    <w:t>S</w:t>
                  </w:r>
                </w:p>
              </w:tc>
              <w:tc>
                <w:tcPr>
                  <w:tcW w:w="851" w:type="dxa"/>
                  <w:noWrap w:val="0"/>
                  <w:vAlign w:val="center"/>
                </w:tcPr>
                <w:p w14:paraId="460CCBF2">
                  <w:pPr>
                    <w:tabs>
                      <w:tab w:val="left" w:pos="525"/>
                    </w:tabs>
                    <w:adjustRightInd w:val="0"/>
                    <w:snapToGrid w:val="0"/>
                    <w:jc w:val="center"/>
                    <w:rPr>
                      <w:rFonts w:hint="default" w:ascii="Times New Roman" w:hAnsi="Times New Roman" w:eastAsia="宋体" w:cs="Times New Roman"/>
                      <w:bCs/>
                      <w:color w:val="auto"/>
                      <w:kern w:val="2"/>
                      <w:sz w:val="21"/>
                      <w:szCs w:val="21"/>
                      <w:lang w:val="en-US" w:eastAsia="zh-CN" w:bidi="ar"/>
                    </w:rPr>
                  </w:pPr>
                  <w:r>
                    <w:rPr>
                      <w:rFonts w:hint="eastAsia"/>
                      <w:bCs/>
                      <w:color w:val="auto"/>
                      <w:szCs w:val="21"/>
                      <w:lang w:val="en-US" w:eastAsia="zh-CN" w:bidi="ar"/>
                    </w:rPr>
                    <w:t>39</w:t>
                  </w:r>
                </w:p>
              </w:tc>
            </w:tr>
            <w:tr w14:paraId="4C2F4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64" w:type="dxa"/>
                  <w:gridSpan w:val="8"/>
                  <w:noWrap w:val="0"/>
                  <w:vAlign w:val="center"/>
                </w:tcPr>
                <w:p w14:paraId="19818697">
                  <w:pPr>
                    <w:tabs>
                      <w:tab w:val="left" w:pos="525"/>
                    </w:tabs>
                    <w:jc w:val="center"/>
                    <w:rPr>
                      <w:bCs/>
                      <w:color w:val="auto"/>
                      <w:szCs w:val="21"/>
                      <w:lang w:bidi="ar"/>
                    </w:rPr>
                  </w:pPr>
                  <w:r>
                    <w:rPr>
                      <w:rFonts w:hint="eastAsia"/>
                      <w:color w:val="auto"/>
                      <w:szCs w:val="21"/>
                      <w:lang w:bidi="ar"/>
                    </w:rPr>
                    <w:t>50~5</w:t>
                  </w:r>
                  <w:r>
                    <w:rPr>
                      <w:color w:val="auto"/>
                      <w:szCs w:val="21"/>
                      <w:lang w:bidi="ar"/>
                    </w:rPr>
                    <w:t>00范围</w:t>
                  </w:r>
                  <w:r>
                    <w:rPr>
                      <w:rFonts w:hint="eastAsia"/>
                      <w:color w:val="auto"/>
                      <w:szCs w:val="21"/>
                      <w:lang w:bidi="ar"/>
                    </w:rPr>
                    <w:t>内</w:t>
                  </w:r>
                </w:p>
              </w:tc>
            </w:tr>
            <w:tr w14:paraId="23DC7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5" w:type="dxa"/>
                  <w:noWrap w:val="0"/>
                  <w:vAlign w:val="center"/>
                </w:tcPr>
                <w:p w14:paraId="090F6735">
                  <w:pPr>
                    <w:tabs>
                      <w:tab w:val="left" w:pos="525"/>
                    </w:tabs>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eastAsia="zh-CN"/>
                    </w:rPr>
                    <w:t>雨田林园</w:t>
                  </w:r>
                </w:p>
              </w:tc>
              <w:tc>
                <w:tcPr>
                  <w:tcW w:w="691" w:type="dxa"/>
                  <w:noWrap w:val="0"/>
                  <w:vAlign w:val="center"/>
                </w:tcPr>
                <w:p w14:paraId="5DE8DD4D">
                  <w:pPr>
                    <w:pStyle w:val="51"/>
                    <w:adjustRightInd w:val="0"/>
                    <w:snapToGrid w:val="0"/>
                    <w:spacing w:line="240" w:lineRule="auto"/>
                    <w:rPr>
                      <w:rFonts w:hint="eastAsia"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86</w:t>
                  </w:r>
                </w:p>
              </w:tc>
              <w:tc>
                <w:tcPr>
                  <w:tcW w:w="674" w:type="dxa"/>
                  <w:noWrap w:val="0"/>
                  <w:vAlign w:val="center"/>
                </w:tcPr>
                <w:p w14:paraId="60D19ED2">
                  <w:pPr>
                    <w:pStyle w:val="51"/>
                    <w:adjustRightInd w:val="0"/>
                    <w:snapToGrid w:val="0"/>
                    <w:spacing w:line="240" w:lineRule="auto"/>
                    <w:rPr>
                      <w:rFonts w:hint="default"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-92</w:t>
                  </w:r>
                </w:p>
              </w:tc>
              <w:tc>
                <w:tcPr>
                  <w:tcW w:w="870" w:type="dxa"/>
                  <w:noWrap w:val="0"/>
                  <w:vAlign w:val="center"/>
                </w:tcPr>
                <w:p w14:paraId="3BB3EC3E">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2EBD503C">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4</w:t>
                  </w:r>
                  <w:r>
                    <w:rPr>
                      <w:color w:val="auto"/>
                      <w:szCs w:val="21"/>
                      <w:lang w:bidi="ar"/>
                    </w:rPr>
                    <w:t>00人</w:t>
                  </w:r>
                </w:p>
              </w:tc>
              <w:tc>
                <w:tcPr>
                  <w:tcW w:w="1838" w:type="dxa"/>
                  <w:vMerge w:val="restart"/>
                  <w:noWrap w:val="0"/>
                  <w:vAlign w:val="center"/>
                </w:tcPr>
                <w:p w14:paraId="2CDC8D2F">
                  <w:pPr>
                    <w:pStyle w:val="51"/>
                    <w:adjustRightInd w:val="0"/>
                    <w:snapToGrid w:val="0"/>
                    <w:spacing w:line="240" w:lineRule="auto"/>
                    <w:rPr>
                      <w:b w:val="0"/>
                      <w:color w:val="auto"/>
                      <w:szCs w:val="21"/>
                    </w:rPr>
                  </w:pPr>
                  <w:r>
                    <w:rPr>
                      <w:b w:val="0"/>
                      <w:bCs/>
                      <w:color w:val="auto"/>
                      <w:szCs w:val="21"/>
                    </w:rPr>
                    <w:t>《环境空气质量标准》（GB3095-2012）二类功能区</w:t>
                  </w:r>
                </w:p>
              </w:tc>
              <w:tc>
                <w:tcPr>
                  <w:tcW w:w="795" w:type="dxa"/>
                  <w:noWrap w:val="0"/>
                  <w:vAlign w:val="center"/>
                </w:tcPr>
                <w:p w14:paraId="5190960C">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bCs/>
                      <w:color w:val="auto"/>
                      <w:szCs w:val="21"/>
                      <w:lang w:bidi="ar"/>
                    </w:rPr>
                    <w:t>S</w:t>
                  </w:r>
                  <w:r>
                    <w:rPr>
                      <w:bCs/>
                      <w:color w:val="auto"/>
                      <w:szCs w:val="21"/>
                      <w:lang w:bidi="ar"/>
                    </w:rPr>
                    <w:t>E</w:t>
                  </w:r>
                </w:p>
              </w:tc>
              <w:tc>
                <w:tcPr>
                  <w:tcW w:w="851" w:type="dxa"/>
                  <w:noWrap w:val="0"/>
                  <w:vAlign w:val="center"/>
                </w:tcPr>
                <w:p w14:paraId="2C4F675F">
                  <w:pPr>
                    <w:tabs>
                      <w:tab w:val="left" w:pos="525"/>
                    </w:tabs>
                    <w:adjustRightInd w:val="0"/>
                    <w:snapToGrid w:val="0"/>
                    <w:jc w:val="center"/>
                    <w:rPr>
                      <w:rFonts w:hint="default" w:ascii="Times New Roman" w:hAnsi="Times New Roman" w:eastAsia="宋体" w:cs="Times New Roman"/>
                      <w:bCs/>
                      <w:color w:val="auto"/>
                      <w:kern w:val="2"/>
                      <w:sz w:val="21"/>
                      <w:szCs w:val="21"/>
                      <w:lang w:val="en-US" w:eastAsia="zh-CN" w:bidi="ar"/>
                    </w:rPr>
                  </w:pPr>
                  <w:r>
                    <w:rPr>
                      <w:rFonts w:hint="eastAsia"/>
                      <w:bCs/>
                      <w:color w:val="auto"/>
                      <w:szCs w:val="21"/>
                      <w:lang w:val="en-US" w:eastAsia="zh-CN" w:bidi="ar"/>
                    </w:rPr>
                    <w:t>52</w:t>
                  </w:r>
                </w:p>
              </w:tc>
            </w:tr>
            <w:tr w14:paraId="07204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5" w:type="dxa"/>
                  <w:noWrap w:val="0"/>
                  <w:vAlign w:val="center"/>
                </w:tcPr>
                <w:p w14:paraId="6FB47BC7">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eastAsia="宋体"/>
                      <w:bCs/>
                      <w:color w:val="auto"/>
                      <w:szCs w:val="21"/>
                      <w:lang w:eastAsia="zh-CN" w:bidi="ar"/>
                    </w:rPr>
                    <w:t>跃华花园</w:t>
                  </w:r>
                </w:p>
              </w:tc>
              <w:tc>
                <w:tcPr>
                  <w:tcW w:w="691" w:type="dxa"/>
                  <w:noWrap w:val="0"/>
                  <w:vAlign w:val="center"/>
                </w:tcPr>
                <w:p w14:paraId="43F3C760">
                  <w:pPr>
                    <w:pStyle w:val="51"/>
                    <w:adjustRightInd w:val="0"/>
                    <w:snapToGrid w:val="0"/>
                    <w:spacing w:line="240" w:lineRule="auto"/>
                    <w:rPr>
                      <w:rFonts w:hint="eastAsia"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0</w:t>
                  </w:r>
                </w:p>
              </w:tc>
              <w:tc>
                <w:tcPr>
                  <w:tcW w:w="674" w:type="dxa"/>
                  <w:noWrap w:val="0"/>
                  <w:vAlign w:val="center"/>
                </w:tcPr>
                <w:p w14:paraId="07BBCD8F">
                  <w:pPr>
                    <w:pStyle w:val="51"/>
                    <w:adjustRightInd w:val="0"/>
                    <w:snapToGrid w:val="0"/>
                    <w:spacing w:line="240" w:lineRule="auto"/>
                    <w:rPr>
                      <w:rFonts w:hint="eastAsia" w:ascii="Times New Roman" w:hAnsi="Times New Roman" w:eastAsia="宋体" w:cs="Times New Roman"/>
                      <w:b w:val="0"/>
                      <w:color w:val="auto"/>
                      <w:kern w:val="2"/>
                      <w:sz w:val="21"/>
                      <w:szCs w:val="21"/>
                      <w:lang w:val="en-US" w:eastAsia="zh-CN" w:bidi="ar-SA"/>
                    </w:rPr>
                  </w:pPr>
                  <w:r>
                    <w:rPr>
                      <w:rFonts w:hint="eastAsia"/>
                      <w:b w:val="0"/>
                      <w:color w:val="auto"/>
                      <w:szCs w:val="21"/>
                      <w:lang w:val="en-US" w:eastAsia="zh-CN"/>
                    </w:rPr>
                    <w:t>-205</w:t>
                  </w:r>
                </w:p>
              </w:tc>
              <w:tc>
                <w:tcPr>
                  <w:tcW w:w="870" w:type="dxa"/>
                  <w:noWrap w:val="0"/>
                  <w:vAlign w:val="center"/>
                </w:tcPr>
                <w:p w14:paraId="42C190C9">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62AB78AE">
                  <w:pPr>
                    <w:adjustRightInd w:val="0"/>
                    <w:snapToGrid w:val="0"/>
                    <w:jc w:val="center"/>
                    <w:rPr>
                      <w:rFonts w:ascii="Times New Roman" w:hAnsi="Times New Roman" w:eastAsia="宋体" w:cs="Times New Roman"/>
                      <w:color w:val="auto"/>
                      <w:kern w:val="2"/>
                      <w:sz w:val="21"/>
                      <w:szCs w:val="21"/>
                      <w:lang w:val="en-US" w:eastAsia="zh-CN" w:bidi="ar"/>
                    </w:rPr>
                  </w:pPr>
                  <w:r>
                    <w:rPr>
                      <w:color w:val="auto"/>
                      <w:szCs w:val="21"/>
                    </w:rPr>
                    <w:t>约</w:t>
                  </w:r>
                  <w:r>
                    <w:rPr>
                      <w:rFonts w:hint="eastAsia"/>
                      <w:color w:val="auto"/>
                      <w:szCs w:val="21"/>
                      <w:lang w:val="en-US" w:eastAsia="zh-CN"/>
                    </w:rPr>
                    <w:t>5</w:t>
                  </w:r>
                  <w:r>
                    <w:rPr>
                      <w:color w:val="auto"/>
                      <w:szCs w:val="21"/>
                    </w:rPr>
                    <w:t>00人</w:t>
                  </w:r>
                </w:p>
              </w:tc>
              <w:tc>
                <w:tcPr>
                  <w:tcW w:w="1838" w:type="dxa"/>
                  <w:vMerge w:val="continue"/>
                  <w:noWrap w:val="0"/>
                  <w:vAlign w:val="center"/>
                </w:tcPr>
                <w:p w14:paraId="659DABB0">
                  <w:pPr>
                    <w:pStyle w:val="51"/>
                    <w:adjustRightInd w:val="0"/>
                    <w:snapToGrid w:val="0"/>
                    <w:spacing w:line="240" w:lineRule="auto"/>
                    <w:rPr>
                      <w:b w:val="0"/>
                      <w:bCs/>
                      <w:color w:val="auto"/>
                      <w:szCs w:val="21"/>
                    </w:rPr>
                  </w:pPr>
                </w:p>
              </w:tc>
              <w:tc>
                <w:tcPr>
                  <w:tcW w:w="795" w:type="dxa"/>
                  <w:noWrap w:val="0"/>
                  <w:vAlign w:val="center"/>
                </w:tcPr>
                <w:p w14:paraId="0C7684B7">
                  <w:pPr>
                    <w:tabs>
                      <w:tab w:val="left" w:pos="525"/>
                    </w:tabs>
                    <w:adjustRightInd w:val="0"/>
                    <w:snapToGrid w:val="0"/>
                    <w:jc w:val="center"/>
                    <w:rPr>
                      <w:rFonts w:hint="eastAsia" w:ascii="Times New Roman" w:hAnsi="Times New Roman" w:eastAsia="宋体" w:cs="Times New Roman"/>
                      <w:bCs/>
                      <w:color w:val="auto"/>
                      <w:kern w:val="2"/>
                      <w:sz w:val="21"/>
                      <w:szCs w:val="21"/>
                      <w:lang w:val="en-US" w:eastAsia="zh-CN" w:bidi="ar"/>
                    </w:rPr>
                  </w:pPr>
                  <w:r>
                    <w:rPr>
                      <w:rFonts w:hint="eastAsia"/>
                      <w:bCs/>
                      <w:color w:val="auto"/>
                      <w:szCs w:val="21"/>
                      <w:lang w:val="en-US" w:eastAsia="zh-CN"/>
                    </w:rPr>
                    <w:t>S</w:t>
                  </w:r>
                </w:p>
              </w:tc>
              <w:tc>
                <w:tcPr>
                  <w:tcW w:w="851" w:type="dxa"/>
                  <w:noWrap w:val="0"/>
                  <w:vAlign w:val="center"/>
                </w:tcPr>
                <w:p w14:paraId="78232C1E">
                  <w:pPr>
                    <w:tabs>
                      <w:tab w:val="left" w:pos="525"/>
                    </w:tabs>
                    <w:adjustRightInd w:val="0"/>
                    <w:snapToGrid w:val="0"/>
                    <w:jc w:val="center"/>
                    <w:rPr>
                      <w:rFonts w:ascii="Times New Roman" w:hAnsi="Times New Roman" w:eastAsia="宋体" w:cs="Times New Roman"/>
                      <w:bCs/>
                      <w:color w:val="auto"/>
                      <w:kern w:val="2"/>
                      <w:sz w:val="21"/>
                      <w:szCs w:val="21"/>
                      <w:lang w:val="en-US" w:eastAsia="zh-CN" w:bidi="ar"/>
                    </w:rPr>
                  </w:pPr>
                  <w:r>
                    <w:rPr>
                      <w:bCs/>
                      <w:color w:val="auto"/>
                      <w:szCs w:val="21"/>
                    </w:rPr>
                    <w:t>1</w:t>
                  </w:r>
                  <w:r>
                    <w:rPr>
                      <w:rFonts w:hint="eastAsia"/>
                      <w:bCs/>
                      <w:color w:val="auto"/>
                      <w:szCs w:val="21"/>
                      <w:lang w:val="en-US" w:eastAsia="zh-CN"/>
                    </w:rPr>
                    <w:t>2</w:t>
                  </w:r>
                  <w:r>
                    <w:rPr>
                      <w:rFonts w:hint="eastAsia"/>
                      <w:bCs/>
                      <w:color w:val="auto"/>
                      <w:szCs w:val="21"/>
                    </w:rPr>
                    <w:t>5</w:t>
                  </w:r>
                </w:p>
              </w:tc>
            </w:tr>
            <w:tr w14:paraId="768BF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3F5309A6">
                  <w:pPr>
                    <w:tabs>
                      <w:tab w:val="left" w:pos="525"/>
                    </w:tabs>
                    <w:jc w:val="center"/>
                    <w:rPr>
                      <w:rFonts w:hint="default" w:eastAsia="宋体"/>
                      <w:bCs/>
                      <w:color w:val="auto"/>
                      <w:szCs w:val="21"/>
                      <w:lang w:val="en-US" w:eastAsia="zh-CN" w:bidi="ar"/>
                    </w:rPr>
                  </w:pPr>
                  <w:r>
                    <w:rPr>
                      <w:rFonts w:hint="eastAsia"/>
                      <w:color w:val="auto"/>
                      <w:szCs w:val="21"/>
                      <w:lang w:val="en-US" w:eastAsia="zh-CN"/>
                    </w:rPr>
                    <w:t>柳背桥小区</w:t>
                  </w:r>
                </w:p>
              </w:tc>
              <w:tc>
                <w:tcPr>
                  <w:tcW w:w="691" w:type="dxa"/>
                  <w:noWrap w:val="0"/>
                  <w:vAlign w:val="center"/>
                </w:tcPr>
                <w:p w14:paraId="2F4E7643">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-227</w:t>
                  </w:r>
                </w:p>
              </w:tc>
              <w:tc>
                <w:tcPr>
                  <w:tcW w:w="674" w:type="dxa"/>
                  <w:noWrap w:val="0"/>
                  <w:vAlign w:val="center"/>
                </w:tcPr>
                <w:p w14:paraId="7C70E93D">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rPr>
                    <w:t>-</w:t>
                  </w:r>
                  <w:r>
                    <w:rPr>
                      <w:rFonts w:hint="eastAsia"/>
                      <w:b w:val="0"/>
                      <w:color w:val="auto"/>
                      <w:szCs w:val="21"/>
                      <w:lang w:val="en-US" w:eastAsia="zh-CN"/>
                    </w:rPr>
                    <w:t>320</w:t>
                  </w:r>
                </w:p>
              </w:tc>
              <w:tc>
                <w:tcPr>
                  <w:tcW w:w="870" w:type="dxa"/>
                  <w:noWrap w:val="0"/>
                  <w:vAlign w:val="center"/>
                </w:tcPr>
                <w:p w14:paraId="352790D2">
                  <w:pPr>
                    <w:jc w:val="center"/>
                    <w:rPr>
                      <w:color w:val="auto"/>
                      <w:szCs w:val="21"/>
                      <w:lang w:bidi="ar"/>
                    </w:rPr>
                  </w:pPr>
                  <w:r>
                    <w:rPr>
                      <w:color w:val="auto"/>
                      <w:szCs w:val="21"/>
                      <w:lang w:bidi="ar"/>
                    </w:rPr>
                    <w:t>居民区</w:t>
                  </w:r>
                </w:p>
              </w:tc>
              <w:tc>
                <w:tcPr>
                  <w:tcW w:w="1130" w:type="dxa"/>
                  <w:noWrap w:val="0"/>
                  <w:vAlign w:val="center"/>
                </w:tcPr>
                <w:p w14:paraId="3EE03A82">
                  <w:pPr>
                    <w:jc w:val="center"/>
                    <w:rPr>
                      <w:color w:val="auto"/>
                      <w:szCs w:val="21"/>
                      <w:lang w:bidi="ar"/>
                    </w:rPr>
                  </w:pPr>
                  <w:r>
                    <w:rPr>
                      <w:color w:val="auto"/>
                      <w:szCs w:val="21"/>
                      <w:lang w:bidi="ar"/>
                    </w:rPr>
                    <w:t>约</w:t>
                  </w:r>
                  <w:r>
                    <w:rPr>
                      <w:rFonts w:hint="eastAsia"/>
                      <w:color w:val="auto"/>
                      <w:szCs w:val="21"/>
                      <w:lang w:val="en-US" w:eastAsia="zh-CN" w:bidi="ar"/>
                    </w:rPr>
                    <w:t>2</w:t>
                  </w:r>
                  <w:r>
                    <w:rPr>
                      <w:color w:val="auto"/>
                      <w:szCs w:val="21"/>
                      <w:lang w:bidi="ar"/>
                    </w:rPr>
                    <w:t>000人</w:t>
                  </w:r>
                </w:p>
              </w:tc>
              <w:tc>
                <w:tcPr>
                  <w:tcW w:w="1838" w:type="dxa"/>
                  <w:vMerge w:val="continue"/>
                  <w:noWrap w:val="0"/>
                  <w:vAlign w:val="center"/>
                </w:tcPr>
                <w:p w14:paraId="2ABF67F8">
                  <w:pPr>
                    <w:pStyle w:val="51"/>
                    <w:adjustRightInd w:val="0"/>
                    <w:snapToGrid w:val="0"/>
                    <w:spacing w:line="240" w:lineRule="auto"/>
                    <w:rPr>
                      <w:b w:val="0"/>
                      <w:color w:val="auto"/>
                      <w:szCs w:val="21"/>
                    </w:rPr>
                  </w:pPr>
                </w:p>
              </w:tc>
              <w:tc>
                <w:tcPr>
                  <w:tcW w:w="795" w:type="dxa"/>
                  <w:noWrap w:val="0"/>
                  <w:vAlign w:val="center"/>
                </w:tcPr>
                <w:p w14:paraId="6B2947EF">
                  <w:pPr>
                    <w:tabs>
                      <w:tab w:val="left" w:pos="525"/>
                    </w:tabs>
                    <w:jc w:val="center"/>
                    <w:rPr>
                      <w:rFonts w:hint="eastAsia" w:eastAsia="宋体"/>
                      <w:bCs/>
                      <w:color w:val="auto"/>
                      <w:szCs w:val="21"/>
                      <w:lang w:val="en-US" w:eastAsia="zh-CN" w:bidi="ar"/>
                    </w:rPr>
                  </w:pPr>
                  <w:r>
                    <w:rPr>
                      <w:rFonts w:hint="eastAsia"/>
                      <w:bCs/>
                      <w:color w:val="auto"/>
                      <w:szCs w:val="21"/>
                      <w:lang w:bidi="ar"/>
                    </w:rPr>
                    <w:t>S</w:t>
                  </w:r>
                  <w:r>
                    <w:rPr>
                      <w:rFonts w:hint="eastAsia"/>
                      <w:bCs/>
                      <w:color w:val="auto"/>
                      <w:szCs w:val="21"/>
                      <w:lang w:val="en-US" w:eastAsia="zh-CN" w:bidi="ar"/>
                    </w:rPr>
                    <w:t>W</w:t>
                  </w:r>
                </w:p>
              </w:tc>
              <w:tc>
                <w:tcPr>
                  <w:tcW w:w="851" w:type="dxa"/>
                  <w:noWrap w:val="0"/>
                  <w:vAlign w:val="center"/>
                </w:tcPr>
                <w:p w14:paraId="2C458D82">
                  <w:pPr>
                    <w:tabs>
                      <w:tab w:val="left" w:pos="525"/>
                    </w:tabs>
                    <w:jc w:val="center"/>
                    <w:rPr>
                      <w:rFonts w:hint="default" w:eastAsia="宋体"/>
                      <w:bCs/>
                      <w:color w:val="auto"/>
                      <w:szCs w:val="21"/>
                      <w:lang w:val="en-US" w:eastAsia="zh-CN" w:bidi="ar"/>
                    </w:rPr>
                  </w:pPr>
                  <w:r>
                    <w:rPr>
                      <w:rFonts w:hint="eastAsia"/>
                      <w:bCs/>
                      <w:color w:val="auto"/>
                      <w:szCs w:val="21"/>
                      <w:lang w:val="en-US" w:eastAsia="zh-CN" w:bidi="ar"/>
                    </w:rPr>
                    <w:t>204</w:t>
                  </w:r>
                </w:p>
              </w:tc>
            </w:tr>
            <w:tr w14:paraId="069E7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066C7231">
                  <w:pPr>
                    <w:tabs>
                      <w:tab w:val="left" w:pos="525"/>
                    </w:tabs>
                    <w:jc w:val="center"/>
                    <w:rPr>
                      <w:rFonts w:hint="default" w:eastAsia="宋体"/>
                      <w:bCs/>
                      <w:color w:val="auto"/>
                      <w:szCs w:val="21"/>
                      <w:lang w:val="en-US" w:eastAsia="zh-CN" w:bidi="ar"/>
                    </w:rPr>
                  </w:pPr>
                  <w:r>
                    <w:rPr>
                      <w:rFonts w:hint="eastAsia"/>
                      <w:bCs/>
                      <w:color w:val="auto"/>
                      <w:szCs w:val="21"/>
                      <w:lang w:val="en-US" w:eastAsia="zh-CN" w:bidi="ar"/>
                    </w:rPr>
                    <w:t>树语城</w:t>
                  </w:r>
                </w:p>
              </w:tc>
              <w:tc>
                <w:tcPr>
                  <w:tcW w:w="691" w:type="dxa"/>
                  <w:noWrap w:val="0"/>
                  <w:vAlign w:val="center"/>
                </w:tcPr>
                <w:p w14:paraId="68609519">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138</w:t>
                  </w:r>
                </w:p>
              </w:tc>
              <w:tc>
                <w:tcPr>
                  <w:tcW w:w="674" w:type="dxa"/>
                  <w:noWrap w:val="0"/>
                  <w:vAlign w:val="center"/>
                </w:tcPr>
                <w:p w14:paraId="31046140">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rPr>
                    <w:t>-</w:t>
                  </w:r>
                  <w:r>
                    <w:rPr>
                      <w:rFonts w:hint="eastAsia"/>
                      <w:b w:val="0"/>
                      <w:color w:val="auto"/>
                      <w:szCs w:val="21"/>
                      <w:lang w:val="en-US" w:eastAsia="zh-CN"/>
                    </w:rPr>
                    <w:t>367</w:t>
                  </w:r>
                </w:p>
              </w:tc>
              <w:tc>
                <w:tcPr>
                  <w:tcW w:w="870" w:type="dxa"/>
                  <w:noWrap w:val="0"/>
                  <w:vAlign w:val="center"/>
                </w:tcPr>
                <w:p w14:paraId="6CDEA7AD">
                  <w:pPr>
                    <w:jc w:val="center"/>
                    <w:rPr>
                      <w:color w:val="auto"/>
                      <w:szCs w:val="21"/>
                      <w:lang w:bidi="ar"/>
                    </w:rPr>
                  </w:pPr>
                  <w:r>
                    <w:rPr>
                      <w:color w:val="auto"/>
                      <w:szCs w:val="21"/>
                      <w:lang w:bidi="ar"/>
                    </w:rPr>
                    <w:t>居民区</w:t>
                  </w:r>
                </w:p>
              </w:tc>
              <w:tc>
                <w:tcPr>
                  <w:tcW w:w="1130" w:type="dxa"/>
                  <w:noWrap w:val="0"/>
                  <w:vAlign w:val="center"/>
                </w:tcPr>
                <w:p w14:paraId="7C550BA8">
                  <w:pPr>
                    <w:jc w:val="center"/>
                    <w:rPr>
                      <w:color w:val="auto"/>
                      <w:szCs w:val="21"/>
                      <w:lang w:bidi="ar"/>
                    </w:rPr>
                  </w:pPr>
                  <w:r>
                    <w:rPr>
                      <w:color w:val="auto"/>
                      <w:szCs w:val="21"/>
                      <w:lang w:bidi="ar"/>
                    </w:rPr>
                    <w:t>约</w:t>
                  </w:r>
                  <w:r>
                    <w:rPr>
                      <w:rFonts w:hint="eastAsia"/>
                      <w:color w:val="auto"/>
                      <w:szCs w:val="21"/>
                      <w:lang w:val="en-US" w:eastAsia="zh-CN" w:bidi="ar"/>
                    </w:rPr>
                    <w:t>3</w:t>
                  </w:r>
                  <w:r>
                    <w:rPr>
                      <w:color w:val="auto"/>
                      <w:szCs w:val="21"/>
                      <w:lang w:bidi="ar"/>
                    </w:rPr>
                    <w:t>000人</w:t>
                  </w:r>
                </w:p>
              </w:tc>
              <w:tc>
                <w:tcPr>
                  <w:tcW w:w="1838" w:type="dxa"/>
                  <w:vMerge w:val="continue"/>
                  <w:noWrap w:val="0"/>
                  <w:vAlign w:val="center"/>
                </w:tcPr>
                <w:p w14:paraId="2C7DD137">
                  <w:pPr>
                    <w:pStyle w:val="51"/>
                    <w:adjustRightInd w:val="0"/>
                    <w:snapToGrid w:val="0"/>
                    <w:spacing w:line="240" w:lineRule="auto"/>
                    <w:rPr>
                      <w:b w:val="0"/>
                      <w:color w:val="auto"/>
                      <w:szCs w:val="21"/>
                    </w:rPr>
                  </w:pPr>
                </w:p>
              </w:tc>
              <w:tc>
                <w:tcPr>
                  <w:tcW w:w="795" w:type="dxa"/>
                  <w:noWrap w:val="0"/>
                  <w:vAlign w:val="center"/>
                </w:tcPr>
                <w:p w14:paraId="305D8A48">
                  <w:pPr>
                    <w:tabs>
                      <w:tab w:val="left" w:pos="525"/>
                    </w:tabs>
                    <w:jc w:val="center"/>
                    <w:rPr>
                      <w:rFonts w:hint="eastAsia" w:eastAsia="宋体"/>
                      <w:bCs/>
                      <w:color w:val="auto"/>
                      <w:szCs w:val="21"/>
                      <w:lang w:eastAsia="zh-CN" w:bidi="ar"/>
                    </w:rPr>
                  </w:pPr>
                  <w:r>
                    <w:rPr>
                      <w:rFonts w:hint="eastAsia"/>
                      <w:bCs/>
                      <w:color w:val="auto"/>
                      <w:szCs w:val="21"/>
                      <w:lang w:bidi="ar"/>
                    </w:rPr>
                    <w:t>S</w:t>
                  </w:r>
                  <w:r>
                    <w:rPr>
                      <w:rFonts w:hint="eastAsia"/>
                      <w:bCs/>
                      <w:color w:val="auto"/>
                      <w:szCs w:val="21"/>
                      <w:lang w:val="en-US" w:eastAsia="zh-CN" w:bidi="ar"/>
                    </w:rPr>
                    <w:t>E</w:t>
                  </w:r>
                </w:p>
              </w:tc>
              <w:tc>
                <w:tcPr>
                  <w:tcW w:w="851" w:type="dxa"/>
                  <w:noWrap w:val="0"/>
                  <w:vAlign w:val="center"/>
                </w:tcPr>
                <w:p w14:paraId="2CE7157F">
                  <w:pPr>
                    <w:tabs>
                      <w:tab w:val="left" w:pos="525"/>
                    </w:tabs>
                    <w:jc w:val="center"/>
                    <w:rPr>
                      <w:rFonts w:hint="default"/>
                      <w:bCs/>
                      <w:color w:val="auto"/>
                      <w:szCs w:val="21"/>
                      <w:lang w:val="en-US" w:bidi="ar"/>
                    </w:rPr>
                  </w:pPr>
                  <w:r>
                    <w:rPr>
                      <w:rFonts w:hint="eastAsia"/>
                      <w:bCs/>
                      <w:color w:val="auto"/>
                      <w:szCs w:val="21"/>
                      <w:lang w:val="en-US" w:eastAsia="zh-CN" w:bidi="ar"/>
                    </w:rPr>
                    <w:t>162</w:t>
                  </w:r>
                </w:p>
              </w:tc>
            </w:tr>
            <w:tr w14:paraId="4BFE4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1B325AD0">
                  <w:pPr>
                    <w:tabs>
                      <w:tab w:val="left" w:pos="525"/>
                    </w:tabs>
                    <w:jc w:val="center"/>
                    <w:rPr>
                      <w:rFonts w:hint="default"/>
                      <w:bCs/>
                      <w:color w:val="auto"/>
                      <w:szCs w:val="21"/>
                      <w:lang w:val="en-US" w:eastAsia="zh-CN" w:bidi="ar"/>
                    </w:rPr>
                  </w:pPr>
                  <w:r>
                    <w:rPr>
                      <w:rFonts w:hint="eastAsia"/>
                      <w:bCs/>
                      <w:color w:val="auto"/>
                      <w:szCs w:val="21"/>
                      <w:lang w:val="en-US" w:eastAsia="zh-CN" w:bidi="ar"/>
                    </w:rPr>
                    <w:t>兰花苑</w:t>
                  </w:r>
                </w:p>
              </w:tc>
              <w:tc>
                <w:tcPr>
                  <w:tcW w:w="691" w:type="dxa"/>
                  <w:noWrap w:val="0"/>
                  <w:vAlign w:val="center"/>
                </w:tcPr>
                <w:p w14:paraId="110B4D93">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-115</w:t>
                  </w:r>
                </w:p>
              </w:tc>
              <w:tc>
                <w:tcPr>
                  <w:tcW w:w="674" w:type="dxa"/>
                  <w:noWrap w:val="0"/>
                  <w:vAlign w:val="center"/>
                </w:tcPr>
                <w:p w14:paraId="10C0597F">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-463</w:t>
                  </w:r>
                </w:p>
              </w:tc>
              <w:tc>
                <w:tcPr>
                  <w:tcW w:w="870" w:type="dxa"/>
                  <w:noWrap w:val="0"/>
                  <w:vAlign w:val="center"/>
                </w:tcPr>
                <w:p w14:paraId="6AEF951C">
                  <w:pPr>
                    <w:jc w:val="center"/>
                    <w:rPr>
                      <w:color w:val="auto"/>
                      <w:szCs w:val="21"/>
                      <w:lang w:bidi="ar"/>
                    </w:rPr>
                  </w:pPr>
                  <w:r>
                    <w:rPr>
                      <w:color w:val="auto"/>
                      <w:szCs w:val="21"/>
                      <w:lang w:bidi="ar"/>
                    </w:rPr>
                    <w:t>居民区</w:t>
                  </w:r>
                </w:p>
              </w:tc>
              <w:tc>
                <w:tcPr>
                  <w:tcW w:w="1130" w:type="dxa"/>
                  <w:noWrap w:val="0"/>
                  <w:vAlign w:val="center"/>
                </w:tcPr>
                <w:p w14:paraId="3E95E457">
                  <w:pPr>
                    <w:jc w:val="center"/>
                    <w:rPr>
                      <w:color w:val="auto"/>
                      <w:szCs w:val="21"/>
                      <w:lang w:bidi="ar"/>
                    </w:rPr>
                  </w:pPr>
                  <w:r>
                    <w:rPr>
                      <w:color w:val="auto"/>
                      <w:szCs w:val="21"/>
                      <w:lang w:bidi="ar"/>
                    </w:rPr>
                    <w:t>约</w:t>
                  </w:r>
                  <w:r>
                    <w:rPr>
                      <w:rFonts w:hint="eastAsia"/>
                      <w:color w:val="auto"/>
                      <w:szCs w:val="21"/>
                      <w:lang w:val="en-US" w:eastAsia="zh-CN" w:bidi="ar"/>
                    </w:rPr>
                    <w:t>5</w:t>
                  </w:r>
                  <w:r>
                    <w:rPr>
                      <w:color w:val="auto"/>
                      <w:szCs w:val="21"/>
                      <w:lang w:bidi="ar"/>
                    </w:rPr>
                    <w:t>00人</w:t>
                  </w:r>
                </w:p>
              </w:tc>
              <w:tc>
                <w:tcPr>
                  <w:tcW w:w="1838" w:type="dxa"/>
                  <w:vMerge w:val="continue"/>
                  <w:noWrap w:val="0"/>
                  <w:vAlign w:val="center"/>
                </w:tcPr>
                <w:p w14:paraId="2415589A">
                  <w:pPr>
                    <w:pStyle w:val="51"/>
                    <w:adjustRightInd w:val="0"/>
                    <w:snapToGrid w:val="0"/>
                    <w:spacing w:line="240" w:lineRule="auto"/>
                    <w:rPr>
                      <w:b w:val="0"/>
                      <w:color w:val="auto"/>
                      <w:szCs w:val="21"/>
                    </w:rPr>
                  </w:pPr>
                </w:p>
              </w:tc>
              <w:tc>
                <w:tcPr>
                  <w:tcW w:w="795" w:type="dxa"/>
                  <w:noWrap w:val="0"/>
                  <w:vAlign w:val="center"/>
                </w:tcPr>
                <w:p w14:paraId="5679EF45">
                  <w:pPr>
                    <w:tabs>
                      <w:tab w:val="left" w:pos="525"/>
                    </w:tabs>
                    <w:jc w:val="center"/>
                    <w:rPr>
                      <w:rFonts w:hint="eastAsia"/>
                      <w:bCs/>
                      <w:color w:val="auto"/>
                      <w:szCs w:val="21"/>
                      <w:lang w:val="en-US" w:eastAsia="zh-CN" w:bidi="ar"/>
                    </w:rPr>
                  </w:pPr>
                  <w:r>
                    <w:rPr>
                      <w:rFonts w:hint="eastAsia"/>
                      <w:bCs/>
                      <w:color w:val="auto"/>
                      <w:szCs w:val="21"/>
                      <w:lang w:bidi="ar"/>
                    </w:rPr>
                    <w:t>S</w:t>
                  </w:r>
                  <w:r>
                    <w:rPr>
                      <w:rFonts w:hint="eastAsia"/>
                      <w:bCs/>
                      <w:color w:val="auto"/>
                      <w:szCs w:val="21"/>
                      <w:lang w:val="en-US" w:eastAsia="zh-CN" w:bidi="ar"/>
                    </w:rPr>
                    <w:t>W</w:t>
                  </w:r>
                </w:p>
              </w:tc>
              <w:tc>
                <w:tcPr>
                  <w:tcW w:w="851" w:type="dxa"/>
                  <w:noWrap w:val="0"/>
                  <w:vAlign w:val="center"/>
                </w:tcPr>
                <w:p w14:paraId="78273FA6">
                  <w:pPr>
                    <w:tabs>
                      <w:tab w:val="left" w:pos="525"/>
                    </w:tabs>
                    <w:jc w:val="center"/>
                    <w:rPr>
                      <w:rFonts w:hint="default"/>
                      <w:bCs/>
                      <w:color w:val="auto"/>
                      <w:szCs w:val="21"/>
                      <w:lang w:val="en-US" w:eastAsia="zh-CN" w:bidi="ar"/>
                    </w:rPr>
                  </w:pPr>
                  <w:r>
                    <w:rPr>
                      <w:rFonts w:hint="eastAsia"/>
                      <w:bCs/>
                      <w:color w:val="auto"/>
                      <w:szCs w:val="21"/>
                      <w:lang w:val="en-US" w:eastAsia="zh-CN" w:bidi="ar"/>
                    </w:rPr>
                    <w:t>420</w:t>
                  </w:r>
                </w:p>
              </w:tc>
            </w:tr>
            <w:tr w14:paraId="4942C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74FAF7FA">
                  <w:pPr>
                    <w:tabs>
                      <w:tab w:val="left" w:pos="525"/>
                    </w:tabs>
                    <w:jc w:val="center"/>
                    <w:rPr>
                      <w:rFonts w:hint="default"/>
                      <w:bCs/>
                      <w:color w:val="auto"/>
                      <w:szCs w:val="21"/>
                      <w:lang w:val="en-US" w:eastAsia="zh-CN" w:bidi="ar"/>
                    </w:rPr>
                  </w:pPr>
                  <w:r>
                    <w:rPr>
                      <w:rFonts w:hint="eastAsia"/>
                      <w:bCs/>
                      <w:color w:val="auto"/>
                      <w:szCs w:val="21"/>
                      <w:lang w:val="en-US" w:eastAsia="zh-CN" w:bidi="ar"/>
                    </w:rPr>
                    <w:t>白鹤小区</w:t>
                  </w:r>
                </w:p>
              </w:tc>
              <w:tc>
                <w:tcPr>
                  <w:tcW w:w="691" w:type="dxa"/>
                  <w:noWrap w:val="0"/>
                  <w:vAlign w:val="center"/>
                </w:tcPr>
                <w:p w14:paraId="4F556758">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333</w:t>
                  </w:r>
                </w:p>
              </w:tc>
              <w:tc>
                <w:tcPr>
                  <w:tcW w:w="674" w:type="dxa"/>
                  <w:noWrap w:val="0"/>
                  <w:vAlign w:val="center"/>
                </w:tcPr>
                <w:p w14:paraId="3D711FC6">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-228</w:t>
                  </w:r>
                </w:p>
              </w:tc>
              <w:tc>
                <w:tcPr>
                  <w:tcW w:w="870" w:type="dxa"/>
                  <w:noWrap w:val="0"/>
                  <w:vAlign w:val="center"/>
                </w:tcPr>
                <w:p w14:paraId="42B58459">
                  <w:pPr>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61372224">
                  <w:pPr>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3</w:t>
                  </w:r>
                  <w:r>
                    <w:rPr>
                      <w:color w:val="auto"/>
                      <w:szCs w:val="21"/>
                      <w:lang w:bidi="ar"/>
                    </w:rPr>
                    <w:t>000人</w:t>
                  </w:r>
                </w:p>
              </w:tc>
              <w:tc>
                <w:tcPr>
                  <w:tcW w:w="1838" w:type="dxa"/>
                  <w:vMerge w:val="continue"/>
                  <w:noWrap w:val="0"/>
                  <w:vAlign w:val="center"/>
                </w:tcPr>
                <w:p w14:paraId="13D68CEB">
                  <w:pPr>
                    <w:pStyle w:val="51"/>
                    <w:adjustRightInd w:val="0"/>
                    <w:snapToGrid w:val="0"/>
                    <w:spacing w:line="240" w:lineRule="auto"/>
                    <w:rPr>
                      <w:b w:val="0"/>
                      <w:color w:val="auto"/>
                      <w:szCs w:val="21"/>
                    </w:rPr>
                  </w:pPr>
                </w:p>
              </w:tc>
              <w:tc>
                <w:tcPr>
                  <w:tcW w:w="795" w:type="dxa"/>
                  <w:noWrap w:val="0"/>
                  <w:vAlign w:val="center"/>
                </w:tcPr>
                <w:p w14:paraId="7DD6C341">
                  <w:pPr>
                    <w:tabs>
                      <w:tab w:val="left" w:pos="525"/>
                    </w:tabs>
                    <w:jc w:val="center"/>
                    <w:rPr>
                      <w:rFonts w:hint="eastAsia"/>
                      <w:bCs/>
                      <w:color w:val="auto"/>
                      <w:szCs w:val="21"/>
                      <w:lang w:bidi="ar"/>
                    </w:rPr>
                  </w:pPr>
                  <w:r>
                    <w:rPr>
                      <w:rFonts w:hint="eastAsia"/>
                      <w:bCs/>
                      <w:color w:val="auto"/>
                      <w:szCs w:val="21"/>
                      <w:lang w:val="en-US" w:eastAsia="zh-CN" w:bidi="ar"/>
                    </w:rPr>
                    <w:t>E</w:t>
                  </w:r>
                </w:p>
              </w:tc>
              <w:tc>
                <w:tcPr>
                  <w:tcW w:w="851" w:type="dxa"/>
                  <w:noWrap w:val="0"/>
                  <w:vAlign w:val="center"/>
                </w:tcPr>
                <w:p w14:paraId="07958FA0">
                  <w:pPr>
                    <w:tabs>
                      <w:tab w:val="left" w:pos="525"/>
                    </w:tabs>
                    <w:jc w:val="center"/>
                    <w:rPr>
                      <w:rFonts w:hint="default"/>
                      <w:bCs/>
                      <w:color w:val="auto"/>
                      <w:szCs w:val="21"/>
                      <w:lang w:val="en-US" w:eastAsia="zh-CN" w:bidi="ar"/>
                    </w:rPr>
                  </w:pPr>
                  <w:r>
                    <w:rPr>
                      <w:rFonts w:hint="eastAsia"/>
                      <w:bCs/>
                      <w:color w:val="auto"/>
                      <w:szCs w:val="21"/>
                      <w:lang w:val="en-US" w:eastAsia="zh-CN" w:bidi="ar"/>
                    </w:rPr>
                    <w:t>307</w:t>
                  </w:r>
                </w:p>
              </w:tc>
            </w:tr>
            <w:tr w14:paraId="7FC70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327C52F1">
                  <w:pPr>
                    <w:tabs>
                      <w:tab w:val="left" w:pos="525"/>
                    </w:tabs>
                    <w:jc w:val="center"/>
                    <w:rPr>
                      <w:rFonts w:hint="default"/>
                      <w:bCs/>
                      <w:color w:val="auto"/>
                      <w:szCs w:val="21"/>
                      <w:lang w:val="en-US" w:eastAsia="zh-CN" w:bidi="ar"/>
                    </w:rPr>
                  </w:pPr>
                  <w:r>
                    <w:rPr>
                      <w:rFonts w:hint="eastAsia"/>
                      <w:bCs/>
                      <w:color w:val="auto"/>
                      <w:szCs w:val="21"/>
                      <w:lang w:val="en-US" w:eastAsia="zh-CN" w:bidi="ar"/>
                    </w:rPr>
                    <w:t>南方花园名人苑</w:t>
                  </w:r>
                </w:p>
              </w:tc>
              <w:tc>
                <w:tcPr>
                  <w:tcW w:w="691" w:type="dxa"/>
                  <w:noWrap w:val="0"/>
                  <w:vAlign w:val="center"/>
                </w:tcPr>
                <w:p w14:paraId="66F854D3">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515</w:t>
                  </w:r>
                </w:p>
              </w:tc>
              <w:tc>
                <w:tcPr>
                  <w:tcW w:w="674" w:type="dxa"/>
                  <w:noWrap w:val="0"/>
                  <w:vAlign w:val="center"/>
                </w:tcPr>
                <w:p w14:paraId="7038FC39">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-76</w:t>
                  </w:r>
                </w:p>
              </w:tc>
              <w:tc>
                <w:tcPr>
                  <w:tcW w:w="870" w:type="dxa"/>
                  <w:noWrap w:val="0"/>
                  <w:vAlign w:val="center"/>
                </w:tcPr>
                <w:p w14:paraId="6C46AF90">
                  <w:pPr>
                    <w:jc w:val="center"/>
                    <w:rPr>
                      <w:rFonts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4F4A3FD8">
                  <w:pPr>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3</w:t>
                  </w:r>
                  <w:r>
                    <w:rPr>
                      <w:color w:val="auto"/>
                      <w:szCs w:val="21"/>
                      <w:lang w:bidi="ar"/>
                    </w:rPr>
                    <w:t>000人</w:t>
                  </w:r>
                </w:p>
              </w:tc>
              <w:tc>
                <w:tcPr>
                  <w:tcW w:w="1838" w:type="dxa"/>
                  <w:vMerge w:val="continue"/>
                  <w:noWrap w:val="0"/>
                  <w:vAlign w:val="center"/>
                </w:tcPr>
                <w:p w14:paraId="4A26A931">
                  <w:pPr>
                    <w:pStyle w:val="51"/>
                    <w:adjustRightInd w:val="0"/>
                    <w:snapToGrid w:val="0"/>
                    <w:spacing w:line="240" w:lineRule="auto"/>
                    <w:rPr>
                      <w:b w:val="0"/>
                      <w:color w:val="auto"/>
                      <w:szCs w:val="21"/>
                    </w:rPr>
                  </w:pPr>
                </w:p>
              </w:tc>
              <w:tc>
                <w:tcPr>
                  <w:tcW w:w="795" w:type="dxa"/>
                  <w:noWrap w:val="0"/>
                  <w:vAlign w:val="center"/>
                </w:tcPr>
                <w:p w14:paraId="0F5B032F">
                  <w:pPr>
                    <w:tabs>
                      <w:tab w:val="left" w:pos="525"/>
                    </w:tabs>
                    <w:jc w:val="center"/>
                    <w:rPr>
                      <w:rFonts w:hint="eastAsia"/>
                      <w:bCs/>
                      <w:color w:val="auto"/>
                      <w:szCs w:val="21"/>
                      <w:lang w:val="en-US" w:eastAsia="zh-CN" w:bidi="ar"/>
                    </w:rPr>
                  </w:pPr>
                  <w:r>
                    <w:rPr>
                      <w:rFonts w:hint="eastAsia"/>
                      <w:bCs/>
                      <w:color w:val="auto"/>
                      <w:szCs w:val="21"/>
                      <w:lang w:val="en-US" w:eastAsia="zh-CN" w:bidi="ar"/>
                    </w:rPr>
                    <w:t>E</w:t>
                  </w:r>
                </w:p>
              </w:tc>
              <w:tc>
                <w:tcPr>
                  <w:tcW w:w="851" w:type="dxa"/>
                  <w:noWrap w:val="0"/>
                  <w:vAlign w:val="center"/>
                </w:tcPr>
                <w:p w14:paraId="03CA8AAE">
                  <w:pPr>
                    <w:tabs>
                      <w:tab w:val="left" w:pos="525"/>
                    </w:tabs>
                    <w:jc w:val="center"/>
                    <w:rPr>
                      <w:rFonts w:hint="default"/>
                      <w:bCs/>
                      <w:color w:val="auto"/>
                      <w:szCs w:val="21"/>
                      <w:lang w:val="en-US" w:eastAsia="zh-CN" w:bidi="ar"/>
                    </w:rPr>
                  </w:pPr>
                  <w:r>
                    <w:rPr>
                      <w:rFonts w:hint="eastAsia"/>
                      <w:bCs/>
                      <w:color w:val="auto"/>
                      <w:szCs w:val="21"/>
                      <w:lang w:val="en-US" w:eastAsia="zh-CN" w:bidi="ar"/>
                    </w:rPr>
                    <w:t>424</w:t>
                  </w:r>
                </w:p>
              </w:tc>
            </w:tr>
            <w:tr w14:paraId="3B99F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09A9753E">
                  <w:pPr>
                    <w:tabs>
                      <w:tab w:val="left" w:pos="525"/>
                    </w:tabs>
                    <w:jc w:val="center"/>
                    <w:rPr>
                      <w:rFonts w:hint="default" w:eastAsia="宋体"/>
                      <w:bCs/>
                      <w:color w:val="auto"/>
                      <w:szCs w:val="21"/>
                      <w:lang w:val="en-US" w:eastAsia="zh-CN" w:bidi="ar"/>
                    </w:rPr>
                  </w:pPr>
                  <w:r>
                    <w:rPr>
                      <w:rFonts w:hint="eastAsia"/>
                      <w:bCs/>
                      <w:color w:val="auto"/>
                      <w:szCs w:val="21"/>
                      <w:lang w:val="en-US" w:eastAsia="zh-CN" w:bidi="ar"/>
                    </w:rPr>
                    <w:t>石桥铺小学</w:t>
                  </w:r>
                </w:p>
              </w:tc>
              <w:tc>
                <w:tcPr>
                  <w:tcW w:w="691" w:type="dxa"/>
                  <w:noWrap w:val="0"/>
                  <w:vAlign w:val="center"/>
                </w:tcPr>
                <w:p w14:paraId="1B72EA02">
                  <w:pPr>
                    <w:pStyle w:val="51"/>
                    <w:adjustRightInd w:val="0"/>
                    <w:snapToGrid w:val="0"/>
                    <w:spacing w:line="240" w:lineRule="auto"/>
                    <w:rPr>
                      <w:b w:val="0"/>
                      <w:color w:val="auto"/>
                      <w:szCs w:val="21"/>
                    </w:rPr>
                  </w:pPr>
                  <w:r>
                    <w:rPr>
                      <w:rFonts w:hint="eastAsia"/>
                      <w:b w:val="0"/>
                      <w:color w:val="auto"/>
                      <w:szCs w:val="21"/>
                    </w:rPr>
                    <w:t>3</w:t>
                  </w:r>
                  <w:r>
                    <w:rPr>
                      <w:rFonts w:hint="eastAsia"/>
                      <w:b w:val="0"/>
                      <w:color w:val="auto"/>
                      <w:szCs w:val="21"/>
                      <w:lang w:val="en-US" w:eastAsia="zh-CN"/>
                    </w:rPr>
                    <w:t>2</w:t>
                  </w:r>
                  <w:r>
                    <w:rPr>
                      <w:rFonts w:hint="eastAsia"/>
                      <w:b w:val="0"/>
                      <w:color w:val="auto"/>
                      <w:szCs w:val="21"/>
                    </w:rPr>
                    <w:t>5</w:t>
                  </w:r>
                </w:p>
              </w:tc>
              <w:tc>
                <w:tcPr>
                  <w:tcW w:w="674" w:type="dxa"/>
                  <w:noWrap w:val="0"/>
                  <w:vAlign w:val="center"/>
                </w:tcPr>
                <w:p w14:paraId="23582F7F">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220</w:t>
                  </w:r>
                </w:p>
              </w:tc>
              <w:tc>
                <w:tcPr>
                  <w:tcW w:w="870" w:type="dxa"/>
                  <w:noWrap w:val="0"/>
                  <w:vAlign w:val="center"/>
                </w:tcPr>
                <w:p w14:paraId="4BDC18A0">
                  <w:pPr>
                    <w:jc w:val="center"/>
                    <w:rPr>
                      <w:color w:val="auto"/>
                      <w:szCs w:val="21"/>
                      <w:lang w:bidi="ar"/>
                    </w:rPr>
                  </w:pPr>
                  <w:r>
                    <w:rPr>
                      <w:rFonts w:hint="eastAsia"/>
                      <w:color w:val="auto"/>
                      <w:szCs w:val="21"/>
                      <w:lang w:bidi="ar"/>
                    </w:rPr>
                    <w:t>学校</w:t>
                  </w:r>
                </w:p>
              </w:tc>
              <w:tc>
                <w:tcPr>
                  <w:tcW w:w="1130" w:type="dxa"/>
                  <w:noWrap w:val="0"/>
                  <w:vAlign w:val="center"/>
                </w:tcPr>
                <w:p w14:paraId="77010391">
                  <w:pPr>
                    <w:jc w:val="center"/>
                    <w:rPr>
                      <w:color w:val="auto"/>
                      <w:szCs w:val="21"/>
                      <w:lang w:bidi="ar"/>
                    </w:rPr>
                  </w:pPr>
                  <w:r>
                    <w:rPr>
                      <w:color w:val="auto"/>
                      <w:szCs w:val="21"/>
                      <w:lang w:bidi="ar"/>
                    </w:rPr>
                    <w:t>约</w:t>
                  </w:r>
                  <w:r>
                    <w:rPr>
                      <w:rFonts w:hint="eastAsia"/>
                      <w:color w:val="auto"/>
                      <w:szCs w:val="21"/>
                      <w:lang w:bidi="ar"/>
                    </w:rPr>
                    <w:t>1</w:t>
                  </w:r>
                  <w:r>
                    <w:rPr>
                      <w:color w:val="auto"/>
                      <w:szCs w:val="21"/>
                      <w:lang w:bidi="ar"/>
                    </w:rPr>
                    <w:t>000人</w:t>
                  </w:r>
                </w:p>
              </w:tc>
              <w:tc>
                <w:tcPr>
                  <w:tcW w:w="1838" w:type="dxa"/>
                  <w:vMerge w:val="continue"/>
                  <w:noWrap w:val="0"/>
                  <w:vAlign w:val="center"/>
                </w:tcPr>
                <w:p w14:paraId="632599A5">
                  <w:pPr>
                    <w:pStyle w:val="51"/>
                    <w:adjustRightInd w:val="0"/>
                    <w:snapToGrid w:val="0"/>
                    <w:spacing w:line="240" w:lineRule="auto"/>
                    <w:rPr>
                      <w:b w:val="0"/>
                      <w:color w:val="auto"/>
                      <w:szCs w:val="21"/>
                    </w:rPr>
                  </w:pPr>
                </w:p>
              </w:tc>
              <w:tc>
                <w:tcPr>
                  <w:tcW w:w="795" w:type="dxa"/>
                  <w:noWrap w:val="0"/>
                  <w:vAlign w:val="center"/>
                </w:tcPr>
                <w:p w14:paraId="098E599C">
                  <w:pPr>
                    <w:tabs>
                      <w:tab w:val="left" w:pos="525"/>
                    </w:tabs>
                    <w:jc w:val="center"/>
                    <w:rPr>
                      <w:bCs/>
                      <w:color w:val="auto"/>
                      <w:szCs w:val="21"/>
                      <w:lang w:bidi="ar"/>
                    </w:rPr>
                  </w:pPr>
                  <w:r>
                    <w:rPr>
                      <w:rFonts w:hint="eastAsia"/>
                      <w:bCs/>
                      <w:color w:val="auto"/>
                      <w:szCs w:val="21"/>
                      <w:lang w:val="en-US" w:eastAsia="zh-CN" w:bidi="ar"/>
                    </w:rPr>
                    <w:t>N</w:t>
                  </w:r>
                  <w:r>
                    <w:rPr>
                      <w:bCs/>
                      <w:color w:val="auto"/>
                      <w:szCs w:val="21"/>
                      <w:lang w:bidi="ar"/>
                    </w:rPr>
                    <w:t>E</w:t>
                  </w:r>
                </w:p>
              </w:tc>
              <w:tc>
                <w:tcPr>
                  <w:tcW w:w="851" w:type="dxa"/>
                  <w:noWrap w:val="0"/>
                  <w:vAlign w:val="center"/>
                </w:tcPr>
                <w:p w14:paraId="3ABEC7B1">
                  <w:pPr>
                    <w:tabs>
                      <w:tab w:val="left" w:pos="525"/>
                    </w:tabs>
                    <w:jc w:val="center"/>
                    <w:rPr>
                      <w:rFonts w:hint="eastAsia" w:eastAsia="宋体"/>
                      <w:bCs/>
                      <w:color w:val="auto"/>
                      <w:szCs w:val="21"/>
                      <w:lang w:eastAsia="zh-CN" w:bidi="ar"/>
                    </w:rPr>
                  </w:pPr>
                  <w:r>
                    <w:rPr>
                      <w:rFonts w:hint="eastAsia"/>
                      <w:bCs/>
                      <w:color w:val="auto"/>
                      <w:szCs w:val="21"/>
                      <w:lang w:bidi="ar"/>
                    </w:rPr>
                    <w:t>31</w:t>
                  </w:r>
                  <w:r>
                    <w:rPr>
                      <w:rFonts w:hint="eastAsia"/>
                      <w:bCs/>
                      <w:color w:val="auto"/>
                      <w:szCs w:val="21"/>
                      <w:lang w:val="en-US" w:eastAsia="zh-CN" w:bidi="ar"/>
                    </w:rPr>
                    <w:t>1</w:t>
                  </w:r>
                </w:p>
              </w:tc>
            </w:tr>
            <w:tr w14:paraId="70F6E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299B68C9">
                  <w:pPr>
                    <w:tabs>
                      <w:tab w:val="left" w:pos="525"/>
                    </w:tabs>
                    <w:jc w:val="center"/>
                    <w:rPr>
                      <w:rFonts w:hint="default"/>
                      <w:bCs/>
                      <w:color w:val="auto"/>
                      <w:szCs w:val="21"/>
                      <w:lang w:val="en-US" w:eastAsia="zh-CN" w:bidi="ar"/>
                    </w:rPr>
                  </w:pPr>
                  <w:r>
                    <w:rPr>
                      <w:rFonts w:hint="eastAsia"/>
                      <w:bCs/>
                      <w:color w:val="auto"/>
                      <w:szCs w:val="21"/>
                      <w:lang w:val="en-US" w:eastAsia="zh-CN" w:bidi="ar"/>
                    </w:rPr>
                    <w:t>重庆渝州医院</w:t>
                  </w:r>
                </w:p>
              </w:tc>
              <w:tc>
                <w:tcPr>
                  <w:tcW w:w="691" w:type="dxa"/>
                  <w:noWrap w:val="0"/>
                  <w:vAlign w:val="center"/>
                </w:tcPr>
                <w:p w14:paraId="388AAF29">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500</w:t>
                  </w:r>
                </w:p>
              </w:tc>
              <w:tc>
                <w:tcPr>
                  <w:tcW w:w="674" w:type="dxa"/>
                  <w:noWrap w:val="0"/>
                  <w:vAlign w:val="center"/>
                </w:tcPr>
                <w:p w14:paraId="587A9A27">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121</w:t>
                  </w:r>
                </w:p>
              </w:tc>
              <w:tc>
                <w:tcPr>
                  <w:tcW w:w="870" w:type="dxa"/>
                  <w:noWrap w:val="0"/>
                  <w:vAlign w:val="center"/>
                </w:tcPr>
                <w:p w14:paraId="5C286F0A">
                  <w:pPr>
                    <w:jc w:val="center"/>
                    <w:rPr>
                      <w:rFonts w:hint="eastAsia" w:eastAsia="宋体"/>
                      <w:color w:val="auto"/>
                      <w:szCs w:val="21"/>
                      <w:lang w:val="en-US" w:eastAsia="zh-CN" w:bidi="ar"/>
                    </w:rPr>
                  </w:pPr>
                  <w:r>
                    <w:rPr>
                      <w:rFonts w:hint="eastAsia"/>
                      <w:color w:val="auto"/>
                      <w:szCs w:val="21"/>
                      <w:lang w:val="en-US" w:eastAsia="zh-CN" w:bidi="ar"/>
                    </w:rPr>
                    <w:t>医院</w:t>
                  </w:r>
                </w:p>
              </w:tc>
              <w:tc>
                <w:tcPr>
                  <w:tcW w:w="1130" w:type="dxa"/>
                  <w:noWrap w:val="0"/>
                  <w:vAlign w:val="center"/>
                </w:tcPr>
                <w:p w14:paraId="79C6FEDA">
                  <w:pPr>
                    <w:jc w:val="center"/>
                    <w:rPr>
                      <w:rFonts w:hint="eastAsia" w:eastAsia="宋体"/>
                      <w:color w:val="auto"/>
                      <w:szCs w:val="21"/>
                      <w:lang w:val="en-US" w:eastAsia="zh-CN" w:bidi="ar"/>
                    </w:rPr>
                  </w:pPr>
                  <w:r>
                    <w:rPr>
                      <w:rFonts w:hint="eastAsia"/>
                      <w:color w:val="auto"/>
                      <w:szCs w:val="21"/>
                      <w:lang w:val="en-US" w:eastAsia="zh-CN" w:bidi="ar"/>
                    </w:rPr>
                    <w:t>/</w:t>
                  </w:r>
                </w:p>
              </w:tc>
              <w:tc>
                <w:tcPr>
                  <w:tcW w:w="1838" w:type="dxa"/>
                  <w:vMerge w:val="continue"/>
                  <w:noWrap w:val="0"/>
                  <w:vAlign w:val="center"/>
                </w:tcPr>
                <w:p w14:paraId="55C2E526">
                  <w:pPr>
                    <w:pStyle w:val="51"/>
                    <w:adjustRightInd w:val="0"/>
                    <w:snapToGrid w:val="0"/>
                    <w:spacing w:line="240" w:lineRule="auto"/>
                    <w:rPr>
                      <w:b w:val="0"/>
                      <w:color w:val="auto"/>
                      <w:szCs w:val="21"/>
                    </w:rPr>
                  </w:pPr>
                </w:p>
              </w:tc>
              <w:tc>
                <w:tcPr>
                  <w:tcW w:w="795" w:type="dxa"/>
                  <w:noWrap w:val="0"/>
                  <w:vAlign w:val="center"/>
                </w:tcPr>
                <w:p w14:paraId="6318FD5B">
                  <w:pPr>
                    <w:tabs>
                      <w:tab w:val="left" w:pos="525"/>
                    </w:tabs>
                    <w:jc w:val="center"/>
                    <w:rPr>
                      <w:rFonts w:hint="eastAsia"/>
                      <w:bCs/>
                      <w:color w:val="auto"/>
                      <w:szCs w:val="21"/>
                      <w:lang w:val="en-US" w:eastAsia="zh-CN" w:bidi="ar"/>
                    </w:rPr>
                  </w:pPr>
                  <w:r>
                    <w:rPr>
                      <w:rFonts w:hint="eastAsia"/>
                      <w:bCs/>
                      <w:color w:val="auto"/>
                      <w:szCs w:val="21"/>
                      <w:lang w:val="en-US" w:eastAsia="zh-CN" w:bidi="ar"/>
                    </w:rPr>
                    <w:t>N</w:t>
                  </w:r>
                  <w:r>
                    <w:rPr>
                      <w:bCs/>
                      <w:color w:val="auto"/>
                      <w:szCs w:val="21"/>
                      <w:lang w:bidi="ar"/>
                    </w:rPr>
                    <w:t>E</w:t>
                  </w:r>
                </w:p>
              </w:tc>
              <w:tc>
                <w:tcPr>
                  <w:tcW w:w="851" w:type="dxa"/>
                  <w:noWrap w:val="0"/>
                  <w:vAlign w:val="center"/>
                </w:tcPr>
                <w:p w14:paraId="453D553A">
                  <w:pPr>
                    <w:tabs>
                      <w:tab w:val="left" w:pos="525"/>
                    </w:tabs>
                    <w:jc w:val="center"/>
                    <w:rPr>
                      <w:rFonts w:hint="default" w:eastAsia="宋体"/>
                      <w:bCs/>
                      <w:color w:val="auto"/>
                      <w:szCs w:val="21"/>
                      <w:lang w:val="en-US" w:eastAsia="zh-CN" w:bidi="ar"/>
                    </w:rPr>
                  </w:pPr>
                  <w:r>
                    <w:rPr>
                      <w:rFonts w:hint="eastAsia"/>
                      <w:bCs/>
                      <w:color w:val="auto"/>
                      <w:szCs w:val="21"/>
                      <w:lang w:val="en-US" w:eastAsia="zh-CN" w:bidi="ar"/>
                    </w:rPr>
                    <w:t>457</w:t>
                  </w:r>
                </w:p>
              </w:tc>
            </w:tr>
            <w:tr w14:paraId="0E656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noWrap w:val="0"/>
                  <w:vAlign w:val="center"/>
                </w:tcPr>
                <w:p w14:paraId="625A607C">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新阳苑</w:t>
                  </w:r>
                </w:p>
              </w:tc>
              <w:tc>
                <w:tcPr>
                  <w:tcW w:w="691" w:type="dxa"/>
                  <w:noWrap w:val="0"/>
                  <w:vAlign w:val="center"/>
                </w:tcPr>
                <w:p w14:paraId="05D0C924">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456</w:t>
                  </w:r>
                </w:p>
              </w:tc>
              <w:tc>
                <w:tcPr>
                  <w:tcW w:w="674" w:type="dxa"/>
                  <w:noWrap w:val="0"/>
                  <w:vAlign w:val="center"/>
                </w:tcPr>
                <w:p w14:paraId="558A56DD">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212</w:t>
                  </w:r>
                </w:p>
              </w:tc>
              <w:tc>
                <w:tcPr>
                  <w:tcW w:w="870" w:type="dxa"/>
                  <w:noWrap w:val="0"/>
                  <w:vAlign w:val="center"/>
                </w:tcPr>
                <w:p w14:paraId="0D5FD80E">
                  <w:pPr>
                    <w:adjustRightInd w:val="0"/>
                    <w:snapToGrid w:val="0"/>
                    <w:jc w:val="center"/>
                    <w:rPr>
                      <w:color w:val="auto"/>
                      <w:szCs w:val="21"/>
                      <w:lang w:bidi="ar"/>
                    </w:rPr>
                  </w:pPr>
                  <w:r>
                    <w:rPr>
                      <w:color w:val="auto"/>
                      <w:szCs w:val="21"/>
                      <w:lang w:bidi="ar"/>
                    </w:rPr>
                    <w:t>居民区</w:t>
                  </w:r>
                </w:p>
              </w:tc>
              <w:tc>
                <w:tcPr>
                  <w:tcW w:w="1130" w:type="dxa"/>
                  <w:noWrap w:val="0"/>
                  <w:vAlign w:val="center"/>
                </w:tcPr>
                <w:p w14:paraId="675FF4D6">
                  <w:pPr>
                    <w:adjustRightInd w:val="0"/>
                    <w:snapToGrid w:val="0"/>
                    <w:jc w:val="center"/>
                    <w:rPr>
                      <w:color w:val="auto"/>
                      <w:szCs w:val="21"/>
                      <w:lang w:bidi="ar"/>
                    </w:rPr>
                  </w:pPr>
                  <w:r>
                    <w:rPr>
                      <w:color w:val="auto"/>
                      <w:szCs w:val="21"/>
                      <w:lang w:bidi="ar"/>
                    </w:rPr>
                    <w:t>约</w:t>
                  </w:r>
                  <w:r>
                    <w:rPr>
                      <w:rFonts w:hint="eastAsia"/>
                      <w:color w:val="auto"/>
                      <w:szCs w:val="21"/>
                      <w:lang w:val="en-US" w:eastAsia="zh-CN" w:bidi="ar"/>
                    </w:rPr>
                    <w:t>5</w:t>
                  </w:r>
                  <w:r>
                    <w:rPr>
                      <w:color w:val="auto"/>
                      <w:szCs w:val="21"/>
                      <w:lang w:bidi="ar"/>
                    </w:rPr>
                    <w:t>00人</w:t>
                  </w:r>
                </w:p>
              </w:tc>
              <w:tc>
                <w:tcPr>
                  <w:tcW w:w="1838" w:type="dxa"/>
                  <w:vMerge w:val="continue"/>
                  <w:noWrap w:val="0"/>
                  <w:vAlign w:val="center"/>
                </w:tcPr>
                <w:p w14:paraId="61382875">
                  <w:pPr>
                    <w:pStyle w:val="51"/>
                    <w:adjustRightInd w:val="0"/>
                    <w:snapToGrid w:val="0"/>
                    <w:spacing w:line="240" w:lineRule="auto"/>
                    <w:rPr>
                      <w:b w:val="0"/>
                      <w:color w:val="auto"/>
                      <w:szCs w:val="21"/>
                    </w:rPr>
                  </w:pPr>
                </w:p>
              </w:tc>
              <w:tc>
                <w:tcPr>
                  <w:tcW w:w="795" w:type="dxa"/>
                  <w:noWrap w:val="0"/>
                  <w:vAlign w:val="center"/>
                </w:tcPr>
                <w:p w14:paraId="17EDE3DB">
                  <w:pPr>
                    <w:tabs>
                      <w:tab w:val="left" w:pos="525"/>
                    </w:tabs>
                    <w:adjustRightInd w:val="0"/>
                    <w:snapToGrid w:val="0"/>
                    <w:jc w:val="center"/>
                    <w:rPr>
                      <w:bCs/>
                      <w:color w:val="auto"/>
                      <w:szCs w:val="21"/>
                      <w:lang w:bidi="ar"/>
                    </w:rPr>
                  </w:pPr>
                  <w:r>
                    <w:rPr>
                      <w:rFonts w:hint="eastAsia"/>
                      <w:bCs/>
                      <w:color w:val="auto"/>
                      <w:szCs w:val="21"/>
                      <w:lang w:val="en-US" w:eastAsia="zh-CN" w:bidi="ar"/>
                    </w:rPr>
                    <w:t>N</w:t>
                  </w:r>
                  <w:r>
                    <w:rPr>
                      <w:bCs/>
                      <w:color w:val="auto"/>
                      <w:szCs w:val="21"/>
                      <w:lang w:bidi="ar"/>
                    </w:rPr>
                    <w:t>E</w:t>
                  </w:r>
                </w:p>
              </w:tc>
              <w:tc>
                <w:tcPr>
                  <w:tcW w:w="851" w:type="dxa"/>
                  <w:noWrap w:val="0"/>
                  <w:vAlign w:val="center"/>
                </w:tcPr>
                <w:p w14:paraId="4AF67693">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433</w:t>
                  </w:r>
                </w:p>
              </w:tc>
            </w:tr>
            <w:tr w14:paraId="33260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115" w:type="dxa"/>
                  <w:noWrap w:val="0"/>
                  <w:vAlign w:val="center"/>
                </w:tcPr>
                <w:p w14:paraId="3D85E215">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重庆仁汇医院</w:t>
                  </w:r>
                </w:p>
              </w:tc>
              <w:tc>
                <w:tcPr>
                  <w:tcW w:w="691" w:type="dxa"/>
                  <w:noWrap w:val="0"/>
                  <w:vAlign w:val="center"/>
                </w:tcPr>
                <w:p w14:paraId="717E6541">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252</w:t>
                  </w:r>
                </w:p>
              </w:tc>
              <w:tc>
                <w:tcPr>
                  <w:tcW w:w="674" w:type="dxa"/>
                  <w:noWrap w:val="0"/>
                  <w:vAlign w:val="center"/>
                </w:tcPr>
                <w:p w14:paraId="26763618">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368</w:t>
                  </w:r>
                </w:p>
              </w:tc>
              <w:tc>
                <w:tcPr>
                  <w:tcW w:w="870" w:type="dxa"/>
                  <w:noWrap w:val="0"/>
                  <w:vAlign w:val="center"/>
                </w:tcPr>
                <w:p w14:paraId="22BD957A">
                  <w:pPr>
                    <w:jc w:val="center"/>
                    <w:rPr>
                      <w:color w:val="auto"/>
                      <w:szCs w:val="21"/>
                      <w:lang w:bidi="ar"/>
                    </w:rPr>
                  </w:pPr>
                  <w:r>
                    <w:rPr>
                      <w:rFonts w:hint="eastAsia"/>
                      <w:color w:val="auto"/>
                      <w:szCs w:val="21"/>
                      <w:lang w:val="en-US" w:eastAsia="zh-CN" w:bidi="ar"/>
                    </w:rPr>
                    <w:t>医院</w:t>
                  </w:r>
                </w:p>
              </w:tc>
              <w:tc>
                <w:tcPr>
                  <w:tcW w:w="1130" w:type="dxa"/>
                  <w:noWrap w:val="0"/>
                  <w:vAlign w:val="center"/>
                </w:tcPr>
                <w:p w14:paraId="68143057">
                  <w:pPr>
                    <w:jc w:val="center"/>
                    <w:rPr>
                      <w:color w:val="auto"/>
                      <w:szCs w:val="21"/>
                      <w:lang w:bidi="ar"/>
                    </w:rPr>
                  </w:pPr>
                  <w:r>
                    <w:rPr>
                      <w:rFonts w:hint="eastAsia"/>
                      <w:color w:val="auto"/>
                      <w:szCs w:val="21"/>
                      <w:lang w:val="en-US" w:eastAsia="zh-CN" w:bidi="ar"/>
                    </w:rPr>
                    <w:t>/</w:t>
                  </w:r>
                </w:p>
              </w:tc>
              <w:tc>
                <w:tcPr>
                  <w:tcW w:w="1838" w:type="dxa"/>
                  <w:vMerge w:val="continue"/>
                  <w:noWrap w:val="0"/>
                  <w:vAlign w:val="center"/>
                </w:tcPr>
                <w:p w14:paraId="756D297B">
                  <w:pPr>
                    <w:pStyle w:val="51"/>
                    <w:adjustRightInd w:val="0"/>
                    <w:snapToGrid w:val="0"/>
                    <w:spacing w:line="240" w:lineRule="auto"/>
                    <w:rPr>
                      <w:b w:val="0"/>
                      <w:color w:val="auto"/>
                      <w:szCs w:val="21"/>
                    </w:rPr>
                  </w:pPr>
                </w:p>
              </w:tc>
              <w:tc>
                <w:tcPr>
                  <w:tcW w:w="795" w:type="dxa"/>
                  <w:noWrap w:val="0"/>
                  <w:vAlign w:val="center"/>
                </w:tcPr>
                <w:p w14:paraId="152A109F">
                  <w:pPr>
                    <w:tabs>
                      <w:tab w:val="left" w:pos="525"/>
                    </w:tabs>
                    <w:adjustRightInd w:val="0"/>
                    <w:snapToGrid w:val="0"/>
                    <w:jc w:val="center"/>
                    <w:rPr>
                      <w:bCs/>
                      <w:color w:val="auto"/>
                      <w:szCs w:val="21"/>
                      <w:lang w:bidi="ar"/>
                    </w:rPr>
                  </w:pPr>
                  <w:r>
                    <w:rPr>
                      <w:bCs/>
                      <w:color w:val="auto"/>
                      <w:szCs w:val="21"/>
                      <w:lang w:bidi="ar"/>
                    </w:rPr>
                    <w:t>NE</w:t>
                  </w:r>
                </w:p>
              </w:tc>
              <w:tc>
                <w:tcPr>
                  <w:tcW w:w="851" w:type="dxa"/>
                  <w:noWrap w:val="0"/>
                  <w:vAlign w:val="center"/>
                </w:tcPr>
                <w:p w14:paraId="2364E520">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bidi="ar"/>
                    </w:rPr>
                    <w:t>3</w:t>
                  </w:r>
                  <w:r>
                    <w:rPr>
                      <w:rFonts w:hint="eastAsia"/>
                      <w:bCs/>
                      <w:color w:val="auto"/>
                      <w:szCs w:val="21"/>
                      <w:lang w:val="en-US" w:eastAsia="zh-CN" w:bidi="ar"/>
                    </w:rPr>
                    <w:t>48</w:t>
                  </w:r>
                </w:p>
              </w:tc>
            </w:tr>
            <w:tr w14:paraId="60E58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115" w:type="dxa"/>
                  <w:noWrap w:val="0"/>
                  <w:vAlign w:val="center"/>
                </w:tcPr>
                <w:p w14:paraId="298053D8">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石新路小学</w:t>
                  </w:r>
                </w:p>
              </w:tc>
              <w:tc>
                <w:tcPr>
                  <w:tcW w:w="691" w:type="dxa"/>
                  <w:noWrap w:val="0"/>
                  <w:vAlign w:val="center"/>
                </w:tcPr>
                <w:p w14:paraId="7822480B">
                  <w:pPr>
                    <w:pStyle w:val="51"/>
                    <w:adjustRightInd w:val="0"/>
                    <w:snapToGrid w:val="0"/>
                    <w:spacing w:line="240" w:lineRule="auto"/>
                    <w:rPr>
                      <w:rFonts w:hint="default" w:eastAsia="宋体"/>
                      <w:b w:val="0"/>
                      <w:color w:val="auto"/>
                      <w:szCs w:val="21"/>
                      <w:lang w:val="en-US" w:eastAsia="zh-CN"/>
                    </w:rPr>
                  </w:pPr>
                  <w:r>
                    <w:rPr>
                      <w:rFonts w:hint="eastAsia"/>
                      <w:b w:val="0"/>
                      <w:color w:val="auto"/>
                      <w:szCs w:val="21"/>
                      <w:lang w:val="en-US" w:eastAsia="zh-CN"/>
                    </w:rPr>
                    <w:t>-204</w:t>
                  </w:r>
                </w:p>
              </w:tc>
              <w:tc>
                <w:tcPr>
                  <w:tcW w:w="674" w:type="dxa"/>
                  <w:noWrap w:val="0"/>
                  <w:vAlign w:val="center"/>
                </w:tcPr>
                <w:p w14:paraId="03574D25">
                  <w:pPr>
                    <w:pStyle w:val="51"/>
                    <w:adjustRightInd w:val="0"/>
                    <w:snapToGrid w:val="0"/>
                    <w:spacing w:line="240" w:lineRule="auto"/>
                    <w:rPr>
                      <w:rFonts w:hint="eastAsia" w:eastAsia="宋体"/>
                      <w:b w:val="0"/>
                      <w:color w:val="auto"/>
                      <w:szCs w:val="21"/>
                      <w:lang w:eastAsia="zh-CN"/>
                    </w:rPr>
                  </w:pPr>
                  <w:r>
                    <w:rPr>
                      <w:rFonts w:hint="eastAsia"/>
                      <w:b w:val="0"/>
                      <w:color w:val="auto"/>
                      <w:szCs w:val="21"/>
                      <w:lang w:val="en-US" w:eastAsia="zh-CN"/>
                    </w:rPr>
                    <w:t>0</w:t>
                  </w:r>
                </w:p>
              </w:tc>
              <w:tc>
                <w:tcPr>
                  <w:tcW w:w="870" w:type="dxa"/>
                  <w:noWrap w:val="0"/>
                  <w:vAlign w:val="center"/>
                </w:tcPr>
                <w:p w14:paraId="63FDAEFD">
                  <w:pPr>
                    <w:jc w:val="center"/>
                    <w:rPr>
                      <w:color w:val="auto"/>
                      <w:szCs w:val="21"/>
                      <w:lang w:bidi="ar"/>
                    </w:rPr>
                  </w:pPr>
                  <w:r>
                    <w:rPr>
                      <w:rFonts w:hint="eastAsia"/>
                      <w:color w:val="auto"/>
                      <w:szCs w:val="21"/>
                      <w:lang w:bidi="ar"/>
                    </w:rPr>
                    <w:t>学校</w:t>
                  </w:r>
                </w:p>
              </w:tc>
              <w:tc>
                <w:tcPr>
                  <w:tcW w:w="1130" w:type="dxa"/>
                  <w:noWrap w:val="0"/>
                  <w:vAlign w:val="center"/>
                </w:tcPr>
                <w:p w14:paraId="3154DDEA">
                  <w:pPr>
                    <w:jc w:val="center"/>
                    <w:rPr>
                      <w:color w:val="auto"/>
                      <w:szCs w:val="21"/>
                      <w:lang w:bidi="ar"/>
                    </w:rPr>
                  </w:pPr>
                  <w:r>
                    <w:rPr>
                      <w:color w:val="auto"/>
                      <w:szCs w:val="21"/>
                      <w:lang w:bidi="ar"/>
                    </w:rPr>
                    <w:t>约</w:t>
                  </w:r>
                  <w:r>
                    <w:rPr>
                      <w:rFonts w:hint="eastAsia"/>
                      <w:color w:val="auto"/>
                      <w:szCs w:val="21"/>
                      <w:lang w:bidi="ar"/>
                    </w:rPr>
                    <w:t>1</w:t>
                  </w:r>
                  <w:r>
                    <w:rPr>
                      <w:color w:val="auto"/>
                      <w:szCs w:val="21"/>
                      <w:lang w:bidi="ar"/>
                    </w:rPr>
                    <w:t>000人</w:t>
                  </w:r>
                </w:p>
              </w:tc>
              <w:tc>
                <w:tcPr>
                  <w:tcW w:w="1838" w:type="dxa"/>
                  <w:vMerge w:val="continue"/>
                  <w:noWrap w:val="0"/>
                  <w:vAlign w:val="center"/>
                </w:tcPr>
                <w:p w14:paraId="6061CAB0">
                  <w:pPr>
                    <w:pStyle w:val="51"/>
                    <w:adjustRightInd w:val="0"/>
                    <w:snapToGrid w:val="0"/>
                    <w:spacing w:line="240" w:lineRule="auto"/>
                    <w:rPr>
                      <w:b w:val="0"/>
                      <w:color w:val="auto"/>
                      <w:szCs w:val="21"/>
                    </w:rPr>
                  </w:pPr>
                </w:p>
              </w:tc>
              <w:tc>
                <w:tcPr>
                  <w:tcW w:w="795" w:type="dxa"/>
                  <w:noWrap w:val="0"/>
                  <w:vAlign w:val="center"/>
                </w:tcPr>
                <w:p w14:paraId="4FD75235">
                  <w:pPr>
                    <w:tabs>
                      <w:tab w:val="left" w:pos="525"/>
                    </w:tabs>
                    <w:adjustRightInd w:val="0"/>
                    <w:snapToGrid w:val="0"/>
                    <w:jc w:val="center"/>
                    <w:rPr>
                      <w:bCs/>
                      <w:color w:val="auto"/>
                      <w:szCs w:val="21"/>
                      <w:lang w:bidi="ar"/>
                    </w:rPr>
                  </w:pPr>
                  <w:r>
                    <w:rPr>
                      <w:rFonts w:hint="eastAsia"/>
                      <w:bCs/>
                      <w:color w:val="auto"/>
                      <w:szCs w:val="21"/>
                      <w:lang w:val="en-US" w:eastAsia="zh-CN" w:bidi="ar"/>
                    </w:rPr>
                    <w:t>W</w:t>
                  </w:r>
                </w:p>
              </w:tc>
              <w:tc>
                <w:tcPr>
                  <w:tcW w:w="851" w:type="dxa"/>
                  <w:noWrap w:val="0"/>
                  <w:vAlign w:val="center"/>
                </w:tcPr>
                <w:p w14:paraId="232051B1">
                  <w:pPr>
                    <w:tabs>
                      <w:tab w:val="left" w:pos="525"/>
                    </w:tabs>
                    <w:adjustRightInd w:val="0"/>
                    <w:snapToGrid w:val="0"/>
                    <w:jc w:val="center"/>
                    <w:rPr>
                      <w:rFonts w:hint="default" w:eastAsia="宋体"/>
                      <w:bCs/>
                      <w:color w:val="auto"/>
                      <w:szCs w:val="21"/>
                      <w:lang w:val="en-US" w:eastAsia="zh-CN" w:bidi="ar"/>
                    </w:rPr>
                  </w:pPr>
                  <w:r>
                    <w:rPr>
                      <w:rFonts w:hint="eastAsia"/>
                      <w:bCs/>
                      <w:color w:val="auto"/>
                      <w:szCs w:val="21"/>
                      <w:lang w:val="en-US" w:eastAsia="zh-CN" w:bidi="ar"/>
                    </w:rPr>
                    <w:t>174</w:t>
                  </w:r>
                </w:p>
              </w:tc>
            </w:tr>
            <w:tr w14:paraId="4B6B8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115" w:type="dxa"/>
                  <w:noWrap w:val="0"/>
                  <w:vAlign w:val="center"/>
                </w:tcPr>
                <w:p w14:paraId="34427C9D">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重庆市高新区人民医院</w:t>
                  </w:r>
                </w:p>
              </w:tc>
              <w:tc>
                <w:tcPr>
                  <w:tcW w:w="691" w:type="dxa"/>
                  <w:noWrap w:val="0"/>
                  <w:vAlign w:val="center"/>
                </w:tcPr>
                <w:p w14:paraId="56CC9661">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-101</w:t>
                  </w:r>
                </w:p>
              </w:tc>
              <w:tc>
                <w:tcPr>
                  <w:tcW w:w="674" w:type="dxa"/>
                  <w:noWrap w:val="0"/>
                  <w:vAlign w:val="center"/>
                </w:tcPr>
                <w:p w14:paraId="24F46388">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97</w:t>
                  </w:r>
                </w:p>
              </w:tc>
              <w:tc>
                <w:tcPr>
                  <w:tcW w:w="870" w:type="dxa"/>
                  <w:noWrap w:val="0"/>
                  <w:vAlign w:val="center"/>
                </w:tcPr>
                <w:p w14:paraId="1304B6D5">
                  <w:pPr>
                    <w:jc w:val="center"/>
                    <w:rPr>
                      <w:rFonts w:hint="eastAsia" w:ascii="Times New Roman" w:hAnsi="Times New Roman" w:eastAsia="宋体" w:cs="Times New Roman"/>
                      <w:color w:val="auto"/>
                      <w:kern w:val="2"/>
                      <w:sz w:val="21"/>
                      <w:szCs w:val="21"/>
                      <w:lang w:val="en-US" w:eastAsia="zh-CN" w:bidi="ar"/>
                    </w:rPr>
                  </w:pPr>
                  <w:r>
                    <w:rPr>
                      <w:rFonts w:hint="eastAsia"/>
                      <w:color w:val="auto"/>
                      <w:szCs w:val="21"/>
                      <w:lang w:val="en-US" w:eastAsia="zh-CN" w:bidi="ar"/>
                    </w:rPr>
                    <w:t>医院</w:t>
                  </w:r>
                </w:p>
              </w:tc>
              <w:tc>
                <w:tcPr>
                  <w:tcW w:w="1130" w:type="dxa"/>
                  <w:noWrap w:val="0"/>
                  <w:vAlign w:val="center"/>
                </w:tcPr>
                <w:p w14:paraId="1A9B59A3">
                  <w:pPr>
                    <w:jc w:val="center"/>
                    <w:rPr>
                      <w:rFonts w:ascii="Times New Roman" w:hAnsi="Times New Roman" w:eastAsia="宋体" w:cs="Times New Roman"/>
                      <w:color w:val="auto"/>
                      <w:kern w:val="2"/>
                      <w:sz w:val="21"/>
                      <w:szCs w:val="21"/>
                      <w:lang w:val="en-US" w:eastAsia="zh-CN" w:bidi="ar"/>
                    </w:rPr>
                  </w:pPr>
                  <w:r>
                    <w:rPr>
                      <w:rFonts w:hint="eastAsia"/>
                      <w:color w:val="auto"/>
                      <w:szCs w:val="21"/>
                      <w:lang w:val="en-US" w:eastAsia="zh-CN" w:bidi="ar"/>
                    </w:rPr>
                    <w:t>/</w:t>
                  </w:r>
                </w:p>
              </w:tc>
              <w:tc>
                <w:tcPr>
                  <w:tcW w:w="1838" w:type="dxa"/>
                  <w:vMerge w:val="continue"/>
                  <w:noWrap w:val="0"/>
                  <w:vAlign w:val="center"/>
                </w:tcPr>
                <w:p w14:paraId="159AD55C">
                  <w:pPr>
                    <w:pStyle w:val="51"/>
                    <w:adjustRightInd w:val="0"/>
                    <w:snapToGrid w:val="0"/>
                    <w:spacing w:line="240" w:lineRule="auto"/>
                    <w:rPr>
                      <w:b w:val="0"/>
                      <w:color w:val="auto"/>
                      <w:szCs w:val="21"/>
                    </w:rPr>
                  </w:pPr>
                </w:p>
              </w:tc>
              <w:tc>
                <w:tcPr>
                  <w:tcW w:w="795" w:type="dxa"/>
                  <w:noWrap w:val="0"/>
                  <w:vAlign w:val="center"/>
                </w:tcPr>
                <w:p w14:paraId="01A1FC2D">
                  <w:pPr>
                    <w:tabs>
                      <w:tab w:val="left" w:pos="525"/>
                    </w:tabs>
                    <w:adjustRightInd w:val="0"/>
                    <w:snapToGrid w:val="0"/>
                    <w:jc w:val="center"/>
                    <w:rPr>
                      <w:rFonts w:hint="eastAsia"/>
                      <w:bCs/>
                      <w:color w:val="auto"/>
                      <w:szCs w:val="21"/>
                      <w:lang w:val="en-US" w:eastAsia="zh-CN" w:bidi="ar"/>
                    </w:rPr>
                  </w:pPr>
                  <w:r>
                    <w:rPr>
                      <w:rFonts w:hint="eastAsia"/>
                      <w:bCs/>
                      <w:color w:val="auto"/>
                      <w:szCs w:val="21"/>
                      <w:lang w:val="en-US" w:eastAsia="zh-CN" w:bidi="ar"/>
                    </w:rPr>
                    <w:t>NW</w:t>
                  </w:r>
                </w:p>
              </w:tc>
              <w:tc>
                <w:tcPr>
                  <w:tcW w:w="851" w:type="dxa"/>
                  <w:noWrap w:val="0"/>
                  <w:vAlign w:val="center"/>
                </w:tcPr>
                <w:p w14:paraId="526118C3">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127</w:t>
                  </w:r>
                </w:p>
              </w:tc>
            </w:tr>
            <w:tr w14:paraId="2C201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115" w:type="dxa"/>
                  <w:noWrap w:val="0"/>
                  <w:vAlign w:val="center"/>
                </w:tcPr>
                <w:p w14:paraId="32027CB2">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国窖明城北区</w:t>
                  </w:r>
                </w:p>
              </w:tc>
              <w:tc>
                <w:tcPr>
                  <w:tcW w:w="691" w:type="dxa"/>
                  <w:noWrap w:val="0"/>
                  <w:vAlign w:val="center"/>
                </w:tcPr>
                <w:p w14:paraId="1CC6F4CD">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-297</w:t>
                  </w:r>
                </w:p>
              </w:tc>
              <w:tc>
                <w:tcPr>
                  <w:tcW w:w="674" w:type="dxa"/>
                  <w:noWrap w:val="0"/>
                  <w:vAlign w:val="center"/>
                </w:tcPr>
                <w:p w14:paraId="0BC289B1">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0</w:t>
                  </w:r>
                </w:p>
              </w:tc>
              <w:tc>
                <w:tcPr>
                  <w:tcW w:w="870" w:type="dxa"/>
                  <w:noWrap w:val="0"/>
                  <w:vAlign w:val="center"/>
                </w:tcPr>
                <w:p w14:paraId="32A6A676">
                  <w:pPr>
                    <w:adjustRightInd w:val="0"/>
                    <w:snapToGrid w:val="0"/>
                    <w:jc w:val="center"/>
                    <w:rPr>
                      <w:rFonts w:hint="eastAsia" w:ascii="Times New Roman" w:hAnsi="Times New Roman" w:eastAsia="宋体" w:cs="Times New Roman"/>
                      <w:color w:val="auto"/>
                      <w:kern w:val="2"/>
                      <w:sz w:val="21"/>
                      <w:szCs w:val="21"/>
                      <w:lang w:val="en-US" w:eastAsia="zh-CN" w:bidi="ar"/>
                    </w:rPr>
                  </w:pPr>
                  <w:r>
                    <w:rPr>
                      <w:color w:val="auto"/>
                      <w:szCs w:val="21"/>
                      <w:lang w:bidi="ar"/>
                    </w:rPr>
                    <w:t>居民区</w:t>
                  </w:r>
                </w:p>
              </w:tc>
              <w:tc>
                <w:tcPr>
                  <w:tcW w:w="1130" w:type="dxa"/>
                  <w:noWrap w:val="0"/>
                  <w:vAlign w:val="center"/>
                </w:tcPr>
                <w:p w14:paraId="51B32FEF">
                  <w:pPr>
                    <w:adjustRightInd w:val="0"/>
                    <w:snapToGrid w:val="0"/>
                    <w:jc w:val="center"/>
                    <w:rPr>
                      <w:rFonts w:hint="eastAsia"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20</w:t>
                  </w:r>
                  <w:r>
                    <w:rPr>
                      <w:color w:val="auto"/>
                      <w:szCs w:val="21"/>
                      <w:lang w:bidi="ar"/>
                    </w:rPr>
                    <w:t>00人</w:t>
                  </w:r>
                </w:p>
              </w:tc>
              <w:tc>
                <w:tcPr>
                  <w:tcW w:w="1838" w:type="dxa"/>
                  <w:vMerge w:val="continue"/>
                  <w:noWrap w:val="0"/>
                  <w:vAlign w:val="center"/>
                </w:tcPr>
                <w:p w14:paraId="394741C4">
                  <w:pPr>
                    <w:pStyle w:val="51"/>
                    <w:adjustRightInd w:val="0"/>
                    <w:snapToGrid w:val="0"/>
                    <w:spacing w:line="240" w:lineRule="auto"/>
                    <w:rPr>
                      <w:b w:val="0"/>
                      <w:color w:val="auto"/>
                      <w:szCs w:val="21"/>
                    </w:rPr>
                  </w:pPr>
                </w:p>
              </w:tc>
              <w:tc>
                <w:tcPr>
                  <w:tcW w:w="795" w:type="dxa"/>
                  <w:noWrap w:val="0"/>
                  <w:vAlign w:val="center"/>
                </w:tcPr>
                <w:p w14:paraId="4B60DF10">
                  <w:pPr>
                    <w:tabs>
                      <w:tab w:val="left" w:pos="525"/>
                    </w:tabs>
                    <w:adjustRightInd w:val="0"/>
                    <w:snapToGrid w:val="0"/>
                    <w:jc w:val="center"/>
                    <w:rPr>
                      <w:rFonts w:hint="eastAsia"/>
                      <w:bCs/>
                      <w:color w:val="auto"/>
                      <w:szCs w:val="21"/>
                      <w:lang w:val="en-US" w:eastAsia="zh-CN" w:bidi="ar"/>
                    </w:rPr>
                  </w:pPr>
                  <w:r>
                    <w:rPr>
                      <w:rFonts w:hint="eastAsia"/>
                      <w:bCs/>
                      <w:color w:val="auto"/>
                      <w:szCs w:val="21"/>
                      <w:lang w:val="en-US" w:eastAsia="zh-CN" w:bidi="ar"/>
                    </w:rPr>
                    <w:t>W</w:t>
                  </w:r>
                </w:p>
              </w:tc>
              <w:tc>
                <w:tcPr>
                  <w:tcW w:w="851" w:type="dxa"/>
                  <w:noWrap w:val="0"/>
                  <w:vAlign w:val="center"/>
                </w:tcPr>
                <w:p w14:paraId="2844D961">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250</w:t>
                  </w:r>
                </w:p>
              </w:tc>
            </w:tr>
            <w:tr w14:paraId="51982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115" w:type="dxa"/>
                  <w:noWrap w:val="0"/>
                  <w:vAlign w:val="center"/>
                </w:tcPr>
                <w:p w14:paraId="181D07AF">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华国窖名人苑幼儿园</w:t>
                  </w:r>
                </w:p>
              </w:tc>
              <w:tc>
                <w:tcPr>
                  <w:tcW w:w="691" w:type="dxa"/>
                  <w:noWrap w:val="0"/>
                  <w:vAlign w:val="center"/>
                </w:tcPr>
                <w:p w14:paraId="4DA42ABF">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-225</w:t>
                  </w:r>
                </w:p>
              </w:tc>
              <w:tc>
                <w:tcPr>
                  <w:tcW w:w="674" w:type="dxa"/>
                  <w:noWrap w:val="0"/>
                  <w:vAlign w:val="center"/>
                </w:tcPr>
                <w:p w14:paraId="0470E576">
                  <w:pPr>
                    <w:pStyle w:val="51"/>
                    <w:adjustRightInd w:val="0"/>
                    <w:snapToGrid w:val="0"/>
                    <w:spacing w:line="240" w:lineRule="auto"/>
                    <w:rPr>
                      <w:rFonts w:hint="default"/>
                      <w:b w:val="0"/>
                      <w:color w:val="auto"/>
                      <w:szCs w:val="21"/>
                      <w:lang w:val="en-US" w:eastAsia="zh-CN"/>
                    </w:rPr>
                  </w:pPr>
                  <w:r>
                    <w:rPr>
                      <w:rFonts w:hint="eastAsia"/>
                      <w:b w:val="0"/>
                      <w:color w:val="auto"/>
                      <w:szCs w:val="21"/>
                      <w:lang w:val="en-US" w:eastAsia="zh-CN"/>
                    </w:rPr>
                    <w:t>0</w:t>
                  </w:r>
                </w:p>
              </w:tc>
              <w:tc>
                <w:tcPr>
                  <w:tcW w:w="870" w:type="dxa"/>
                  <w:noWrap w:val="0"/>
                  <w:vAlign w:val="center"/>
                </w:tcPr>
                <w:p w14:paraId="2495CFB7">
                  <w:pPr>
                    <w:jc w:val="center"/>
                    <w:rPr>
                      <w:rFonts w:ascii="Times New Roman" w:hAnsi="Times New Roman" w:eastAsia="宋体" w:cs="Times New Roman"/>
                      <w:color w:val="auto"/>
                      <w:kern w:val="2"/>
                      <w:sz w:val="21"/>
                      <w:szCs w:val="21"/>
                      <w:lang w:val="en-US" w:eastAsia="zh-CN" w:bidi="ar"/>
                    </w:rPr>
                  </w:pPr>
                  <w:r>
                    <w:rPr>
                      <w:rFonts w:hint="eastAsia"/>
                      <w:color w:val="auto"/>
                      <w:szCs w:val="21"/>
                      <w:lang w:bidi="ar"/>
                    </w:rPr>
                    <w:t>学校</w:t>
                  </w:r>
                </w:p>
              </w:tc>
              <w:tc>
                <w:tcPr>
                  <w:tcW w:w="1130" w:type="dxa"/>
                  <w:noWrap w:val="0"/>
                  <w:vAlign w:val="center"/>
                </w:tcPr>
                <w:p w14:paraId="37190037">
                  <w:pPr>
                    <w:jc w:val="center"/>
                    <w:rPr>
                      <w:rFonts w:ascii="Times New Roman" w:hAnsi="Times New Roman" w:eastAsia="宋体" w:cs="Times New Roman"/>
                      <w:color w:val="auto"/>
                      <w:kern w:val="2"/>
                      <w:sz w:val="21"/>
                      <w:szCs w:val="21"/>
                      <w:lang w:val="en-US" w:eastAsia="zh-CN" w:bidi="ar"/>
                    </w:rPr>
                  </w:pPr>
                  <w:r>
                    <w:rPr>
                      <w:color w:val="auto"/>
                      <w:szCs w:val="21"/>
                      <w:lang w:bidi="ar"/>
                    </w:rPr>
                    <w:t>约</w:t>
                  </w:r>
                  <w:r>
                    <w:rPr>
                      <w:rFonts w:hint="eastAsia"/>
                      <w:color w:val="auto"/>
                      <w:szCs w:val="21"/>
                      <w:lang w:val="en-US" w:eastAsia="zh-CN" w:bidi="ar"/>
                    </w:rPr>
                    <w:t>2</w:t>
                  </w:r>
                  <w:r>
                    <w:rPr>
                      <w:color w:val="auto"/>
                      <w:szCs w:val="21"/>
                      <w:lang w:bidi="ar"/>
                    </w:rPr>
                    <w:t>00人</w:t>
                  </w:r>
                </w:p>
              </w:tc>
              <w:tc>
                <w:tcPr>
                  <w:tcW w:w="1838" w:type="dxa"/>
                  <w:vMerge w:val="continue"/>
                  <w:noWrap w:val="0"/>
                  <w:vAlign w:val="center"/>
                </w:tcPr>
                <w:p w14:paraId="5F998BBD">
                  <w:pPr>
                    <w:pStyle w:val="51"/>
                    <w:adjustRightInd w:val="0"/>
                    <w:snapToGrid w:val="0"/>
                    <w:spacing w:line="240" w:lineRule="auto"/>
                    <w:rPr>
                      <w:b w:val="0"/>
                      <w:color w:val="auto"/>
                      <w:szCs w:val="21"/>
                    </w:rPr>
                  </w:pPr>
                </w:p>
              </w:tc>
              <w:tc>
                <w:tcPr>
                  <w:tcW w:w="795" w:type="dxa"/>
                  <w:noWrap w:val="0"/>
                  <w:vAlign w:val="center"/>
                </w:tcPr>
                <w:p w14:paraId="58CE9AD3">
                  <w:pPr>
                    <w:tabs>
                      <w:tab w:val="left" w:pos="525"/>
                    </w:tabs>
                    <w:adjustRightInd w:val="0"/>
                    <w:snapToGrid w:val="0"/>
                    <w:jc w:val="center"/>
                    <w:rPr>
                      <w:rFonts w:hint="eastAsia" w:eastAsia="宋体"/>
                      <w:bCs/>
                      <w:color w:val="auto"/>
                      <w:szCs w:val="21"/>
                      <w:lang w:val="en-US" w:eastAsia="zh-CN" w:bidi="ar"/>
                    </w:rPr>
                  </w:pPr>
                  <w:r>
                    <w:rPr>
                      <w:rFonts w:hint="eastAsia"/>
                      <w:bCs/>
                      <w:color w:val="auto"/>
                      <w:szCs w:val="21"/>
                      <w:lang w:val="en-US" w:eastAsia="zh-CN" w:bidi="ar"/>
                    </w:rPr>
                    <w:t>W</w:t>
                  </w:r>
                </w:p>
              </w:tc>
              <w:tc>
                <w:tcPr>
                  <w:tcW w:w="851" w:type="dxa"/>
                  <w:noWrap w:val="0"/>
                  <w:vAlign w:val="center"/>
                </w:tcPr>
                <w:p w14:paraId="5E5FDAEE">
                  <w:pPr>
                    <w:tabs>
                      <w:tab w:val="left" w:pos="525"/>
                    </w:tabs>
                    <w:adjustRightInd w:val="0"/>
                    <w:snapToGrid w:val="0"/>
                    <w:jc w:val="center"/>
                    <w:rPr>
                      <w:rFonts w:hint="default"/>
                      <w:bCs/>
                      <w:color w:val="auto"/>
                      <w:szCs w:val="21"/>
                      <w:lang w:val="en-US" w:eastAsia="zh-CN" w:bidi="ar"/>
                    </w:rPr>
                  </w:pPr>
                  <w:r>
                    <w:rPr>
                      <w:rFonts w:hint="eastAsia"/>
                      <w:bCs/>
                      <w:color w:val="auto"/>
                      <w:szCs w:val="21"/>
                      <w:lang w:val="en-US" w:eastAsia="zh-CN" w:bidi="ar"/>
                    </w:rPr>
                    <w:t>214</w:t>
                  </w:r>
                </w:p>
              </w:tc>
            </w:tr>
            <w:tr w14:paraId="5C520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964" w:type="dxa"/>
                  <w:gridSpan w:val="8"/>
                  <w:noWrap w:val="0"/>
                  <w:vAlign w:val="center"/>
                </w:tcPr>
                <w:p w14:paraId="670F65FF">
                  <w:pPr>
                    <w:keepNext w:val="0"/>
                    <w:keepLines w:val="0"/>
                    <w:widowControl/>
                    <w:suppressLineNumbers w:val="0"/>
                    <w:jc w:val="left"/>
                    <w:rPr>
                      <w:rFonts w:hint="eastAsia"/>
                      <w:bCs/>
                      <w:color w:val="auto"/>
                      <w:szCs w:val="21"/>
                      <w:lang w:bidi="ar"/>
                    </w:rPr>
                  </w:pPr>
                  <w:r>
                    <w:rPr>
                      <w:rFonts w:hint="eastAsia" w:ascii="宋体" w:hAnsi="宋体" w:eastAsia="宋体" w:cs="宋体"/>
                      <w:color w:val="auto"/>
                      <w:kern w:val="0"/>
                      <w:sz w:val="20"/>
                      <w:szCs w:val="20"/>
                      <w:lang w:val="en-US" w:eastAsia="zh-CN" w:bidi="ar"/>
                    </w:rPr>
                    <w:t>注：上表中坐标值以项目院区中心为坐标原点。</w:t>
                  </w:r>
                </w:p>
              </w:tc>
            </w:tr>
          </w:tbl>
          <w:p w14:paraId="3E5D130B">
            <w:pPr>
              <w:adjustRightInd w:val="0"/>
              <w:snapToGrid w:val="0"/>
              <w:jc w:val="center"/>
              <w:rPr>
                <w:color w:val="auto"/>
                <w:kern w:val="0"/>
                <w:szCs w:val="21"/>
              </w:rPr>
            </w:pPr>
          </w:p>
        </w:tc>
      </w:tr>
      <w:tr w14:paraId="27A770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0" w:hRule="atLeast"/>
          <w:jc w:val="center"/>
        </w:trPr>
        <w:tc>
          <w:tcPr>
            <w:tcW w:w="800" w:type="dxa"/>
            <w:noWrap w:val="0"/>
            <w:tcMar>
              <w:left w:w="28" w:type="dxa"/>
              <w:right w:w="28" w:type="dxa"/>
            </w:tcMar>
            <w:vAlign w:val="center"/>
          </w:tcPr>
          <w:p w14:paraId="211E8147">
            <w:pPr>
              <w:adjustRightInd w:val="0"/>
              <w:snapToGrid w:val="0"/>
              <w:jc w:val="center"/>
              <w:rPr>
                <w:color w:val="auto"/>
                <w:kern w:val="0"/>
                <w:szCs w:val="21"/>
              </w:rPr>
            </w:pPr>
            <w:r>
              <w:rPr>
                <w:color w:val="auto"/>
                <w:kern w:val="0"/>
                <w:szCs w:val="21"/>
              </w:rPr>
              <w:t>污染</w:t>
            </w:r>
          </w:p>
          <w:p w14:paraId="5C864D0F">
            <w:pPr>
              <w:adjustRightInd w:val="0"/>
              <w:snapToGrid w:val="0"/>
              <w:jc w:val="center"/>
              <w:rPr>
                <w:color w:val="auto"/>
                <w:kern w:val="0"/>
                <w:szCs w:val="21"/>
              </w:rPr>
            </w:pPr>
            <w:r>
              <w:rPr>
                <w:color w:val="auto"/>
                <w:kern w:val="0"/>
                <w:szCs w:val="21"/>
              </w:rPr>
              <w:t>物排</w:t>
            </w:r>
          </w:p>
          <w:p w14:paraId="25F70F99">
            <w:pPr>
              <w:adjustRightInd w:val="0"/>
              <w:snapToGrid w:val="0"/>
              <w:jc w:val="center"/>
              <w:rPr>
                <w:color w:val="auto"/>
                <w:kern w:val="0"/>
                <w:szCs w:val="21"/>
              </w:rPr>
            </w:pPr>
            <w:r>
              <w:rPr>
                <w:color w:val="auto"/>
                <w:kern w:val="0"/>
                <w:szCs w:val="21"/>
              </w:rPr>
              <w:t>放控</w:t>
            </w:r>
          </w:p>
          <w:p w14:paraId="662C162B">
            <w:pPr>
              <w:adjustRightInd w:val="0"/>
              <w:snapToGrid w:val="0"/>
              <w:jc w:val="center"/>
              <w:rPr>
                <w:color w:val="auto"/>
                <w:kern w:val="0"/>
                <w:szCs w:val="21"/>
              </w:rPr>
            </w:pPr>
            <w:r>
              <w:rPr>
                <w:color w:val="auto"/>
                <w:kern w:val="0"/>
                <w:szCs w:val="21"/>
              </w:rPr>
              <w:t>制标</w:t>
            </w:r>
          </w:p>
          <w:p w14:paraId="69E81D17">
            <w:pPr>
              <w:adjustRightInd w:val="0"/>
              <w:snapToGrid w:val="0"/>
              <w:jc w:val="center"/>
              <w:rPr>
                <w:color w:val="auto"/>
                <w:kern w:val="0"/>
                <w:szCs w:val="21"/>
              </w:rPr>
            </w:pPr>
            <w:r>
              <w:rPr>
                <w:color w:val="auto"/>
                <w:kern w:val="0"/>
                <w:szCs w:val="21"/>
              </w:rPr>
              <w:t>准</w:t>
            </w:r>
          </w:p>
        </w:tc>
        <w:tc>
          <w:tcPr>
            <w:tcW w:w="8190" w:type="dxa"/>
            <w:noWrap w:val="0"/>
            <w:vAlign w:val="center"/>
          </w:tcPr>
          <w:p w14:paraId="520C0659">
            <w:pPr>
              <w:pStyle w:val="31"/>
              <w:spacing w:line="360" w:lineRule="auto"/>
              <w:jc w:val="left"/>
              <w:rPr>
                <w:rFonts w:hint="eastAsia" w:ascii="Times New Roman" w:eastAsia="宋体" w:cs="Times New Roman"/>
                <w:b/>
                <w:color w:val="auto"/>
                <w:szCs w:val="21"/>
              </w:rPr>
            </w:pPr>
            <w:r>
              <w:rPr>
                <w:rFonts w:hint="eastAsia" w:ascii="Times New Roman" w:eastAsia="宋体" w:cs="Times New Roman"/>
                <w:b/>
                <w:color w:val="auto"/>
                <w:szCs w:val="21"/>
              </w:rPr>
              <w:t>3.8污染物排放控制标准</w:t>
            </w:r>
          </w:p>
          <w:p w14:paraId="29A7338D">
            <w:pPr>
              <w:pStyle w:val="31"/>
              <w:spacing w:line="360" w:lineRule="auto"/>
              <w:jc w:val="left"/>
              <w:rPr>
                <w:rFonts w:ascii="Times New Roman" w:eastAsia="宋体" w:cs="Times New Roman"/>
                <w:b/>
                <w:color w:val="auto"/>
                <w:szCs w:val="21"/>
              </w:rPr>
            </w:pPr>
            <w:r>
              <w:rPr>
                <w:rFonts w:hint="eastAsia" w:ascii="Times New Roman" w:eastAsia="宋体" w:cs="Times New Roman"/>
                <w:b/>
                <w:color w:val="auto"/>
                <w:szCs w:val="21"/>
              </w:rPr>
              <w:t>3.8.1</w:t>
            </w:r>
            <w:r>
              <w:rPr>
                <w:rFonts w:ascii="Times New Roman" w:eastAsia="宋体" w:cs="Times New Roman"/>
                <w:b/>
                <w:color w:val="auto"/>
                <w:szCs w:val="21"/>
              </w:rPr>
              <w:t>废气</w:t>
            </w:r>
          </w:p>
          <w:p w14:paraId="1EB73714">
            <w:pPr>
              <w:pStyle w:val="31"/>
              <w:spacing w:line="360" w:lineRule="auto"/>
              <w:ind w:firstLine="480" w:firstLineChars="200"/>
              <w:jc w:val="left"/>
              <w:rPr>
                <w:rFonts w:ascii="Times New Roman" w:eastAsia="宋体" w:cs="Times New Roman"/>
                <w:color w:val="auto"/>
              </w:rPr>
            </w:pPr>
            <w:r>
              <w:rPr>
                <w:rFonts w:ascii="Times New Roman" w:eastAsia="宋体" w:cs="Times New Roman"/>
                <w:color w:val="auto"/>
              </w:rPr>
              <w:t>1）施工期</w:t>
            </w:r>
          </w:p>
          <w:p w14:paraId="5095ADE1">
            <w:pPr>
              <w:spacing w:line="360" w:lineRule="auto"/>
              <w:ind w:firstLine="480" w:firstLineChars="200"/>
              <w:jc w:val="left"/>
              <w:rPr>
                <w:color w:val="auto"/>
                <w:sz w:val="24"/>
              </w:rPr>
            </w:pPr>
            <w:r>
              <w:rPr>
                <w:color w:val="auto"/>
                <w:sz w:val="24"/>
              </w:rPr>
              <w:t>扩</w:t>
            </w:r>
            <w:r>
              <w:rPr>
                <w:rFonts w:hint="eastAsia"/>
                <w:color w:val="auto"/>
                <w:sz w:val="24"/>
                <w:lang w:eastAsia="zh-CN"/>
              </w:rPr>
              <w:t>建项</w:t>
            </w:r>
            <w:r>
              <w:rPr>
                <w:color w:val="auto"/>
                <w:sz w:val="24"/>
              </w:rPr>
              <w:t>目施工期粉尘执行重庆市《大气污染物综合排放标准》（DB50/418-2016）中“主城区”要求。</w:t>
            </w:r>
          </w:p>
          <w:p w14:paraId="0CD9917E">
            <w:pPr>
              <w:pStyle w:val="31"/>
              <w:rPr>
                <w:rFonts w:ascii="Times New Roman" w:eastAsia="宋体" w:cs="Times New Roman"/>
                <w:b/>
                <w:bCs/>
                <w:color w:val="auto"/>
                <w:sz w:val="21"/>
                <w:szCs w:val="21"/>
              </w:rPr>
            </w:pPr>
            <w:r>
              <w:rPr>
                <w:rFonts w:ascii="Times New Roman" w:eastAsia="宋体" w:cs="Times New Roman"/>
                <w:b/>
                <w:bCs/>
                <w:color w:val="auto"/>
              </w:rPr>
              <w:t>表3-5项目施工期废气排放标准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71"/>
              <w:gridCol w:w="1422"/>
              <w:gridCol w:w="2467"/>
              <w:gridCol w:w="2304"/>
            </w:tblGrid>
            <w:tr w14:paraId="39A241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2" w:type="pct"/>
                  <w:vMerge w:val="restart"/>
                  <w:noWrap w:val="0"/>
                  <w:vAlign w:val="center"/>
                </w:tcPr>
                <w:p w14:paraId="1E0436B8">
                  <w:pPr>
                    <w:adjustRightInd w:val="0"/>
                    <w:snapToGrid w:val="0"/>
                    <w:jc w:val="center"/>
                    <w:rPr>
                      <w:b/>
                      <w:bCs/>
                      <w:color w:val="auto"/>
                      <w:szCs w:val="21"/>
                    </w:rPr>
                  </w:pPr>
                  <w:r>
                    <w:rPr>
                      <w:b/>
                      <w:bCs/>
                      <w:color w:val="auto"/>
                      <w:szCs w:val="21"/>
                    </w:rPr>
                    <w:t>污染源</w:t>
                  </w:r>
                </w:p>
              </w:tc>
              <w:tc>
                <w:tcPr>
                  <w:tcW w:w="893" w:type="pct"/>
                  <w:vMerge w:val="restart"/>
                  <w:tcBorders>
                    <w:right w:val="single" w:color="auto" w:sz="4" w:space="0"/>
                  </w:tcBorders>
                  <w:noWrap w:val="0"/>
                  <w:vAlign w:val="center"/>
                </w:tcPr>
                <w:p w14:paraId="716A6E47">
                  <w:pPr>
                    <w:adjustRightInd w:val="0"/>
                    <w:snapToGrid w:val="0"/>
                    <w:jc w:val="center"/>
                    <w:rPr>
                      <w:b/>
                      <w:bCs/>
                      <w:color w:val="auto"/>
                      <w:szCs w:val="21"/>
                    </w:rPr>
                  </w:pPr>
                  <w:r>
                    <w:rPr>
                      <w:b/>
                      <w:bCs/>
                      <w:color w:val="auto"/>
                      <w:szCs w:val="21"/>
                    </w:rPr>
                    <w:t>污染物</w:t>
                  </w:r>
                </w:p>
              </w:tc>
              <w:tc>
                <w:tcPr>
                  <w:tcW w:w="2995" w:type="pct"/>
                  <w:gridSpan w:val="2"/>
                  <w:tcBorders>
                    <w:left w:val="single" w:color="auto" w:sz="4" w:space="0"/>
                    <w:bottom w:val="single" w:color="auto" w:sz="4" w:space="0"/>
                    <w:right w:val="single" w:color="auto" w:sz="4" w:space="0"/>
                  </w:tcBorders>
                  <w:noWrap w:val="0"/>
                  <w:vAlign w:val="center"/>
                </w:tcPr>
                <w:p w14:paraId="6ADF4015">
                  <w:pPr>
                    <w:adjustRightInd w:val="0"/>
                    <w:snapToGrid w:val="0"/>
                    <w:jc w:val="center"/>
                    <w:rPr>
                      <w:b/>
                      <w:bCs/>
                      <w:color w:val="auto"/>
                      <w:szCs w:val="21"/>
                    </w:rPr>
                  </w:pPr>
                  <w:r>
                    <w:rPr>
                      <w:b/>
                      <w:bCs/>
                      <w:color w:val="auto"/>
                      <w:szCs w:val="21"/>
                    </w:rPr>
                    <w:t>无组织排放监控点浓度限值</w:t>
                  </w:r>
                </w:p>
              </w:tc>
            </w:tr>
            <w:tr w14:paraId="7C8CE1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2" w:type="pct"/>
                  <w:vMerge w:val="continue"/>
                  <w:noWrap w:val="0"/>
                  <w:vAlign w:val="center"/>
                </w:tcPr>
                <w:p w14:paraId="6E97EB37">
                  <w:pPr>
                    <w:adjustRightInd w:val="0"/>
                    <w:snapToGrid w:val="0"/>
                    <w:jc w:val="center"/>
                    <w:rPr>
                      <w:b/>
                      <w:bCs/>
                      <w:color w:val="auto"/>
                      <w:szCs w:val="21"/>
                    </w:rPr>
                  </w:pPr>
                </w:p>
              </w:tc>
              <w:tc>
                <w:tcPr>
                  <w:tcW w:w="893" w:type="pct"/>
                  <w:vMerge w:val="continue"/>
                  <w:tcBorders>
                    <w:right w:val="single" w:color="auto" w:sz="4" w:space="0"/>
                  </w:tcBorders>
                  <w:noWrap w:val="0"/>
                  <w:vAlign w:val="center"/>
                </w:tcPr>
                <w:p w14:paraId="2E3BF966">
                  <w:pPr>
                    <w:adjustRightInd w:val="0"/>
                    <w:snapToGrid w:val="0"/>
                    <w:jc w:val="center"/>
                    <w:rPr>
                      <w:b/>
                      <w:bCs/>
                      <w:color w:val="auto"/>
                      <w:szCs w:val="21"/>
                    </w:rPr>
                  </w:pPr>
                </w:p>
              </w:tc>
              <w:tc>
                <w:tcPr>
                  <w:tcW w:w="1549" w:type="pct"/>
                  <w:tcBorders>
                    <w:top w:val="single" w:color="auto" w:sz="4" w:space="0"/>
                    <w:left w:val="single" w:color="auto" w:sz="4" w:space="0"/>
                    <w:right w:val="single" w:color="auto" w:sz="4" w:space="0"/>
                  </w:tcBorders>
                  <w:noWrap w:val="0"/>
                  <w:vAlign w:val="center"/>
                </w:tcPr>
                <w:p w14:paraId="6AA54C8B">
                  <w:pPr>
                    <w:adjustRightInd w:val="0"/>
                    <w:snapToGrid w:val="0"/>
                    <w:jc w:val="center"/>
                    <w:rPr>
                      <w:b/>
                      <w:bCs/>
                      <w:color w:val="auto"/>
                      <w:szCs w:val="21"/>
                    </w:rPr>
                  </w:pPr>
                  <w:r>
                    <w:rPr>
                      <w:b/>
                      <w:bCs/>
                      <w:color w:val="auto"/>
                      <w:szCs w:val="21"/>
                    </w:rPr>
                    <w:t>监控点</w:t>
                  </w:r>
                </w:p>
              </w:tc>
              <w:tc>
                <w:tcPr>
                  <w:tcW w:w="1446" w:type="pct"/>
                  <w:tcBorders>
                    <w:top w:val="single" w:color="auto" w:sz="4" w:space="0"/>
                    <w:left w:val="single" w:color="auto" w:sz="4" w:space="0"/>
                    <w:right w:val="single" w:color="auto" w:sz="4" w:space="0"/>
                  </w:tcBorders>
                  <w:noWrap w:val="0"/>
                  <w:vAlign w:val="center"/>
                </w:tcPr>
                <w:p w14:paraId="65AA6741">
                  <w:pPr>
                    <w:adjustRightInd w:val="0"/>
                    <w:snapToGrid w:val="0"/>
                    <w:jc w:val="center"/>
                    <w:rPr>
                      <w:b/>
                      <w:bCs/>
                      <w:color w:val="auto"/>
                      <w:szCs w:val="21"/>
                    </w:rPr>
                  </w:pPr>
                  <w:r>
                    <w:rPr>
                      <w:b/>
                      <w:bCs/>
                      <w:color w:val="auto"/>
                      <w:szCs w:val="21"/>
                    </w:rPr>
                    <w:t>浓度（mg/m</w:t>
                  </w:r>
                  <w:r>
                    <w:rPr>
                      <w:b/>
                      <w:bCs/>
                      <w:color w:val="auto"/>
                      <w:szCs w:val="21"/>
                      <w:vertAlign w:val="superscript"/>
                    </w:rPr>
                    <w:t>3</w:t>
                  </w:r>
                  <w:r>
                    <w:rPr>
                      <w:b/>
                      <w:bCs/>
                      <w:color w:val="auto"/>
                      <w:szCs w:val="21"/>
                    </w:rPr>
                    <w:t>）</w:t>
                  </w:r>
                </w:p>
              </w:tc>
            </w:tr>
            <w:tr w14:paraId="2B8C62A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2" w:type="pct"/>
                  <w:noWrap w:val="0"/>
                  <w:vAlign w:val="center"/>
                </w:tcPr>
                <w:p w14:paraId="6E0E5C09">
                  <w:pPr>
                    <w:adjustRightInd w:val="0"/>
                    <w:snapToGrid w:val="0"/>
                    <w:jc w:val="center"/>
                    <w:rPr>
                      <w:color w:val="auto"/>
                      <w:szCs w:val="21"/>
                    </w:rPr>
                  </w:pPr>
                  <w:r>
                    <w:rPr>
                      <w:color w:val="auto"/>
                      <w:szCs w:val="21"/>
                    </w:rPr>
                    <w:t>施工期</w:t>
                  </w:r>
                </w:p>
              </w:tc>
              <w:tc>
                <w:tcPr>
                  <w:tcW w:w="893" w:type="pct"/>
                  <w:tcBorders>
                    <w:right w:val="single" w:color="auto" w:sz="4" w:space="0"/>
                  </w:tcBorders>
                  <w:noWrap w:val="0"/>
                  <w:vAlign w:val="center"/>
                </w:tcPr>
                <w:p w14:paraId="089C2BE2">
                  <w:pPr>
                    <w:adjustRightInd w:val="0"/>
                    <w:snapToGrid w:val="0"/>
                    <w:jc w:val="center"/>
                    <w:rPr>
                      <w:color w:val="auto"/>
                      <w:szCs w:val="21"/>
                    </w:rPr>
                  </w:pPr>
                  <w:r>
                    <w:rPr>
                      <w:color w:val="auto"/>
                      <w:szCs w:val="21"/>
                    </w:rPr>
                    <w:t>颗粒物</w:t>
                  </w:r>
                </w:p>
              </w:tc>
              <w:tc>
                <w:tcPr>
                  <w:tcW w:w="1549" w:type="pct"/>
                  <w:tcBorders>
                    <w:left w:val="single" w:color="auto" w:sz="4" w:space="0"/>
                    <w:right w:val="single" w:color="auto" w:sz="4" w:space="0"/>
                  </w:tcBorders>
                  <w:noWrap w:val="0"/>
                  <w:vAlign w:val="center"/>
                </w:tcPr>
                <w:p w14:paraId="4DE2D1E4">
                  <w:pPr>
                    <w:adjustRightInd w:val="0"/>
                    <w:snapToGrid w:val="0"/>
                    <w:jc w:val="center"/>
                    <w:rPr>
                      <w:color w:val="auto"/>
                      <w:szCs w:val="21"/>
                    </w:rPr>
                  </w:pPr>
                  <w:r>
                    <w:rPr>
                      <w:color w:val="auto"/>
                      <w:szCs w:val="21"/>
                    </w:rPr>
                    <w:t>场界外浓度最高点</w:t>
                  </w:r>
                </w:p>
              </w:tc>
              <w:tc>
                <w:tcPr>
                  <w:tcW w:w="1446" w:type="pct"/>
                  <w:tcBorders>
                    <w:left w:val="single" w:color="auto" w:sz="4" w:space="0"/>
                    <w:right w:val="single" w:color="auto" w:sz="4" w:space="0"/>
                  </w:tcBorders>
                  <w:noWrap w:val="0"/>
                  <w:vAlign w:val="center"/>
                </w:tcPr>
                <w:p w14:paraId="5DCB9163">
                  <w:pPr>
                    <w:adjustRightInd w:val="0"/>
                    <w:snapToGrid w:val="0"/>
                    <w:jc w:val="center"/>
                    <w:rPr>
                      <w:color w:val="auto"/>
                      <w:szCs w:val="21"/>
                    </w:rPr>
                  </w:pPr>
                  <w:r>
                    <w:rPr>
                      <w:color w:val="auto"/>
                      <w:szCs w:val="21"/>
                    </w:rPr>
                    <w:t>1.0</w:t>
                  </w:r>
                </w:p>
              </w:tc>
            </w:tr>
          </w:tbl>
          <w:p w14:paraId="1A9EC415">
            <w:pPr>
              <w:pStyle w:val="7"/>
              <w:spacing w:before="120" w:beforeLines="50" w:line="360" w:lineRule="auto"/>
              <w:ind w:left="0" w:firstLine="480" w:firstLineChars="200"/>
              <w:rPr>
                <w:color w:val="auto"/>
              </w:rPr>
            </w:pPr>
            <w:r>
              <w:rPr>
                <w:color w:val="auto"/>
              </w:rPr>
              <w:t>2）服务期</w:t>
            </w:r>
          </w:p>
          <w:p w14:paraId="4A4008DB">
            <w:pPr>
              <w:spacing w:line="360" w:lineRule="auto"/>
              <w:ind w:firstLine="480" w:firstLineChars="200"/>
              <w:rPr>
                <w:bCs/>
                <w:color w:val="auto"/>
                <w:sz w:val="24"/>
              </w:rPr>
            </w:pPr>
            <w:r>
              <w:rPr>
                <w:bCs/>
                <w:color w:val="auto"/>
                <w:sz w:val="24"/>
              </w:rPr>
              <w:t>扩建项目服务期</w:t>
            </w:r>
            <w:r>
              <w:rPr>
                <w:rFonts w:hint="default" w:ascii="Times New Roman" w:hAnsi="Times New Roman" w:eastAsia="宋体" w:cs="Times New Roman"/>
                <w:color w:val="auto"/>
                <w:sz w:val="24"/>
                <w:szCs w:val="24"/>
                <w:lang w:val="en-US" w:eastAsia="zh-CN"/>
              </w:rPr>
              <w:t>污水处理设施周边空气中污染物达到《医疗机构水污染物排放标准》（GB18466-2005）中表3要求</w:t>
            </w:r>
            <w:r>
              <w:rPr>
                <w:bCs/>
                <w:color w:val="auto"/>
                <w:sz w:val="24"/>
              </w:rPr>
              <w:t>的规定，详见表3-6。</w:t>
            </w:r>
          </w:p>
          <w:p w14:paraId="78CFC7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auto"/>
              </w:rPr>
            </w:pPr>
            <w:r>
              <w:rPr>
                <w:b/>
                <w:bCs/>
                <w:color w:val="auto"/>
              </w:rPr>
              <w:t>表</w:t>
            </w:r>
            <w:r>
              <w:rPr>
                <w:rFonts w:hint="eastAsia"/>
                <w:b/>
                <w:bCs/>
                <w:color w:val="auto"/>
                <w:lang w:val="en-US" w:eastAsia="zh-CN"/>
              </w:rPr>
              <w:t>3</w:t>
            </w:r>
            <w:r>
              <w:rPr>
                <w:b/>
                <w:bCs/>
                <w:color w:val="auto"/>
              </w:rPr>
              <w:t>-</w:t>
            </w:r>
            <w:r>
              <w:rPr>
                <w:rFonts w:hint="eastAsia"/>
                <w:b/>
                <w:bCs/>
                <w:color w:val="auto"/>
                <w:lang w:val="en-US" w:eastAsia="zh-CN"/>
              </w:rPr>
              <w:t>6</w:t>
            </w:r>
            <w:r>
              <w:rPr>
                <w:b/>
                <w:bCs/>
                <w:color w:val="auto"/>
              </w:rPr>
              <w:t xml:space="preserve">   废水处理站周边大气污染物最高允许浓度</w:t>
            </w:r>
          </w:p>
          <w:tbl>
            <w:tblPr>
              <w:tblStyle w:val="25"/>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5"/>
              <w:gridCol w:w="4970"/>
              <w:gridCol w:w="2061"/>
            </w:tblGrid>
            <w:tr w14:paraId="145B6B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581" w:type="pct"/>
                  <w:noWrap w:val="0"/>
                  <w:vAlign w:val="center"/>
                </w:tcPr>
                <w:p w14:paraId="2AB25EEF">
                  <w:pPr>
                    <w:pStyle w:val="45"/>
                    <w:rPr>
                      <w:rFonts w:hint="default" w:ascii="Times New Roman" w:hAnsi="Times New Roman" w:cs="Times New Roman"/>
                      <w:b/>
                      <w:color w:val="auto"/>
                      <w:kern w:val="2"/>
                    </w:rPr>
                  </w:pPr>
                  <w:r>
                    <w:rPr>
                      <w:rFonts w:hint="default" w:ascii="Times New Roman" w:hAnsi="Times New Roman" w:cs="Times New Roman"/>
                      <w:b/>
                      <w:color w:val="auto"/>
                      <w:kern w:val="2"/>
                    </w:rPr>
                    <w:t>序号</w:t>
                  </w:r>
                </w:p>
              </w:tc>
              <w:tc>
                <w:tcPr>
                  <w:tcW w:w="3123" w:type="pct"/>
                  <w:noWrap w:val="0"/>
                  <w:vAlign w:val="center"/>
                </w:tcPr>
                <w:p w14:paraId="26DC9011">
                  <w:pPr>
                    <w:pStyle w:val="45"/>
                    <w:rPr>
                      <w:rFonts w:hint="default" w:ascii="Times New Roman" w:hAnsi="Times New Roman" w:cs="Times New Roman"/>
                      <w:b/>
                      <w:color w:val="auto"/>
                      <w:kern w:val="2"/>
                    </w:rPr>
                  </w:pPr>
                  <w:r>
                    <w:rPr>
                      <w:rFonts w:hint="default" w:ascii="Times New Roman" w:hAnsi="Times New Roman" w:cs="Times New Roman"/>
                      <w:b/>
                      <w:color w:val="auto"/>
                      <w:kern w:val="2"/>
                    </w:rPr>
                    <w:t>控制项目</w:t>
                  </w:r>
                </w:p>
              </w:tc>
              <w:tc>
                <w:tcPr>
                  <w:tcW w:w="1295" w:type="pct"/>
                  <w:noWrap w:val="0"/>
                  <w:vAlign w:val="center"/>
                </w:tcPr>
                <w:p w14:paraId="5492E62F">
                  <w:pPr>
                    <w:pStyle w:val="45"/>
                    <w:rPr>
                      <w:rFonts w:hint="default" w:ascii="Times New Roman" w:hAnsi="Times New Roman" w:cs="Times New Roman"/>
                      <w:b/>
                      <w:color w:val="auto"/>
                      <w:kern w:val="2"/>
                    </w:rPr>
                  </w:pPr>
                  <w:r>
                    <w:rPr>
                      <w:rFonts w:hint="default" w:ascii="Times New Roman" w:hAnsi="Times New Roman" w:cs="Times New Roman"/>
                      <w:b/>
                      <w:color w:val="auto"/>
                      <w:kern w:val="2"/>
                    </w:rPr>
                    <w:t>标准值</w:t>
                  </w:r>
                </w:p>
              </w:tc>
            </w:tr>
            <w:tr w14:paraId="061558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581" w:type="pct"/>
                  <w:noWrap w:val="0"/>
                  <w:vAlign w:val="center"/>
                </w:tcPr>
                <w:p w14:paraId="05454C45">
                  <w:pPr>
                    <w:pStyle w:val="45"/>
                    <w:rPr>
                      <w:rFonts w:hint="default" w:ascii="Times New Roman" w:hAnsi="Times New Roman" w:cs="Times New Roman"/>
                      <w:color w:val="auto"/>
                      <w:kern w:val="2"/>
                    </w:rPr>
                  </w:pPr>
                  <w:r>
                    <w:rPr>
                      <w:rFonts w:hint="default" w:ascii="Times New Roman" w:hAnsi="Times New Roman" w:cs="Times New Roman"/>
                      <w:color w:val="auto"/>
                      <w:kern w:val="2"/>
                    </w:rPr>
                    <w:t>1</w:t>
                  </w:r>
                </w:p>
              </w:tc>
              <w:tc>
                <w:tcPr>
                  <w:tcW w:w="3123" w:type="pct"/>
                  <w:noWrap w:val="0"/>
                  <w:vAlign w:val="center"/>
                </w:tcPr>
                <w:p w14:paraId="4135649B">
                  <w:pPr>
                    <w:pStyle w:val="45"/>
                    <w:rPr>
                      <w:rFonts w:hint="default" w:ascii="Times New Roman" w:hAnsi="Times New Roman" w:cs="Times New Roman"/>
                      <w:color w:val="auto"/>
                      <w:kern w:val="2"/>
                    </w:rPr>
                  </w:pPr>
                  <w:r>
                    <w:rPr>
                      <w:rFonts w:hint="default" w:ascii="Times New Roman" w:hAnsi="Times New Roman" w:cs="Times New Roman"/>
                      <w:color w:val="auto"/>
                      <w:kern w:val="2"/>
                    </w:rPr>
                    <w:t>氨（mg/m</w:t>
                  </w:r>
                  <w:r>
                    <w:rPr>
                      <w:rFonts w:hint="default" w:ascii="Times New Roman" w:hAnsi="Times New Roman" w:cs="Times New Roman"/>
                      <w:color w:val="auto"/>
                      <w:kern w:val="2"/>
                      <w:vertAlign w:val="superscript"/>
                    </w:rPr>
                    <w:t>3</w:t>
                  </w:r>
                  <w:r>
                    <w:rPr>
                      <w:rFonts w:hint="default" w:ascii="Times New Roman" w:hAnsi="Times New Roman" w:cs="Times New Roman"/>
                      <w:color w:val="auto"/>
                      <w:kern w:val="2"/>
                    </w:rPr>
                    <w:t>）</w:t>
                  </w:r>
                </w:p>
              </w:tc>
              <w:tc>
                <w:tcPr>
                  <w:tcW w:w="1295" w:type="pct"/>
                  <w:noWrap w:val="0"/>
                  <w:vAlign w:val="center"/>
                </w:tcPr>
                <w:p w14:paraId="76A6C7A6">
                  <w:pPr>
                    <w:pStyle w:val="45"/>
                    <w:rPr>
                      <w:rFonts w:hint="default" w:ascii="Times New Roman" w:hAnsi="Times New Roman" w:cs="Times New Roman"/>
                      <w:color w:val="auto"/>
                      <w:kern w:val="2"/>
                    </w:rPr>
                  </w:pPr>
                  <w:r>
                    <w:rPr>
                      <w:rFonts w:hint="default" w:ascii="Times New Roman" w:hAnsi="Times New Roman" w:cs="Times New Roman"/>
                      <w:color w:val="auto"/>
                      <w:kern w:val="2"/>
                    </w:rPr>
                    <w:t>1.0</w:t>
                  </w:r>
                </w:p>
              </w:tc>
            </w:tr>
            <w:tr w14:paraId="3E92DC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581" w:type="pct"/>
                  <w:noWrap w:val="0"/>
                  <w:vAlign w:val="center"/>
                </w:tcPr>
                <w:p w14:paraId="6FFAC697">
                  <w:pPr>
                    <w:pStyle w:val="45"/>
                    <w:rPr>
                      <w:rFonts w:hint="default" w:ascii="Times New Roman" w:hAnsi="Times New Roman" w:cs="Times New Roman"/>
                      <w:color w:val="auto"/>
                      <w:kern w:val="2"/>
                    </w:rPr>
                  </w:pPr>
                  <w:r>
                    <w:rPr>
                      <w:rFonts w:hint="default" w:ascii="Times New Roman" w:hAnsi="Times New Roman" w:cs="Times New Roman"/>
                      <w:color w:val="auto"/>
                      <w:kern w:val="2"/>
                    </w:rPr>
                    <w:t>2</w:t>
                  </w:r>
                </w:p>
              </w:tc>
              <w:tc>
                <w:tcPr>
                  <w:tcW w:w="3123" w:type="pct"/>
                  <w:noWrap w:val="0"/>
                  <w:vAlign w:val="center"/>
                </w:tcPr>
                <w:p w14:paraId="2BAC7077">
                  <w:pPr>
                    <w:pStyle w:val="45"/>
                    <w:rPr>
                      <w:rFonts w:hint="default" w:ascii="Times New Roman" w:hAnsi="Times New Roman" w:cs="Times New Roman"/>
                      <w:color w:val="auto"/>
                      <w:kern w:val="2"/>
                    </w:rPr>
                  </w:pPr>
                  <w:r>
                    <w:rPr>
                      <w:rFonts w:hint="default" w:ascii="Times New Roman" w:hAnsi="Times New Roman" w:cs="Times New Roman"/>
                      <w:color w:val="auto"/>
                      <w:kern w:val="2"/>
                    </w:rPr>
                    <w:t>硫化氢（mg/m</w:t>
                  </w:r>
                  <w:r>
                    <w:rPr>
                      <w:rFonts w:hint="default" w:ascii="Times New Roman" w:hAnsi="Times New Roman" w:cs="Times New Roman"/>
                      <w:color w:val="auto"/>
                      <w:kern w:val="2"/>
                      <w:vertAlign w:val="superscript"/>
                    </w:rPr>
                    <w:t>3</w:t>
                  </w:r>
                  <w:r>
                    <w:rPr>
                      <w:rFonts w:hint="default" w:ascii="Times New Roman" w:hAnsi="Times New Roman" w:cs="Times New Roman"/>
                      <w:color w:val="auto"/>
                      <w:kern w:val="2"/>
                    </w:rPr>
                    <w:t>）</w:t>
                  </w:r>
                </w:p>
              </w:tc>
              <w:tc>
                <w:tcPr>
                  <w:tcW w:w="1295" w:type="pct"/>
                  <w:noWrap w:val="0"/>
                  <w:vAlign w:val="center"/>
                </w:tcPr>
                <w:p w14:paraId="16992C30">
                  <w:pPr>
                    <w:pStyle w:val="45"/>
                    <w:rPr>
                      <w:rFonts w:hint="default" w:ascii="Times New Roman" w:hAnsi="Times New Roman" w:cs="Times New Roman"/>
                      <w:color w:val="auto"/>
                      <w:kern w:val="2"/>
                    </w:rPr>
                  </w:pPr>
                  <w:r>
                    <w:rPr>
                      <w:rFonts w:hint="default" w:ascii="Times New Roman" w:hAnsi="Times New Roman" w:cs="Times New Roman"/>
                      <w:color w:val="auto"/>
                      <w:kern w:val="2"/>
                    </w:rPr>
                    <w:t>0.03</w:t>
                  </w:r>
                </w:p>
              </w:tc>
            </w:tr>
            <w:tr w14:paraId="5DADE1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581" w:type="pct"/>
                  <w:noWrap w:val="0"/>
                  <w:vAlign w:val="center"/>
                </w:tcPr>
                <w:p w14:paraId="38E250FB">
                  <w:pPr>
                    <w:pStyle w:val="45"/>
                    <w:rPr>
                      <w:rFonts w:hint="default" w:ascii="Times New Roman" w:hAnsi="Times New Roman" w:cs="Times New Roman"/>
                      <w:color w:val="auto"/>
                      <w:kern w:val="2"/>
                    </w:rPr>
                  </w:pPr>
                  <w:r>
                    <w:rPr>
                      <w:rFonts w:hint="default" w:ascii="Times New Roman" w:hAnsi="Times New Roman" w:cs="Times New Roman"/>
                      <w:color w:val="auto"/>
                      <w:kern w:val="2"/>
                    </w:rPr>
                    <w:t>3</w:t>
                  </w:r>
                </w:p>
              </w:tc>
              <w:tc>
                <w:tcPr>
                  <w:tcW w:w="3123" w:type="pct"/>
                  <w:noWrap w:val="0"/>
                  <w:vAlign w:val="center"/>
                </w:tcPr>
                <w:p w14:paraId="14B4FDAC">
                  <w:pPr>
                    <w:pStyle w:val="45"/>
                    <w:rPr>
                      <w:rFonts w:hint="default" w:ascii="Times New Roman" w:hAnsi="Times New Roman" w:cs="Times New Roman"/>
                      <w:color w:val="auto"/>
                      <w:kern w:val="2"/>
                    </w:rPr>
                  </w:pPr>
                  <w:r>
                    <w:rPr>
                      <w:rFonts w:hint="default" w:ascii="Times New Roman" w:hAnsi="Times New Roman" w:cs="Times New Roman"/>
                      <w:color w:val="auto"/>
                      <w:kern w:val="2"/>
                    </w:rPr>
                    <w:t>臭气浓度（无量纲）</w:t>
                  </w:r>
                </w:p>
              </w:tc>
              <w:tc>
                <w:tcPr>
                  <w:tcW w:w="1295" w:type="pct"/>
                  <w:noWrap w:val="0"/>
                  <w:vAlign w:val="center"/>
                </w:tcPr>
                <w:p w14:paraId="0CB7CE82">
                  <w:pPr>
                    <w:pStyle w:val="45"/>
                    <w:rPr>
                      <w:rFonts w:hint="default" w:ascii="Times New Roman" w:hAnsi="Times New Roman" w:cs="Times New Roman"/>
                      <w:color w:val="auto"/>
                      <w:kern w:val="2"/>
                    </w:rPr>
                  </w:pPr>
                  <w:r>
                    <w:rPr>
                      <w:rFonts w:hint="default" w:ascii="Times New Roman" w:hAnsi="Times New Roman" w:cs="Times New Roman"/>
                      <w:color w:val="auto"/>
                      <w:kern w:val="2"/>
                    </w:rPr>
                    <w:t>10</w:t>
                  </w:r>
                </w:p>
              </w:tc>
            </w:tr>
            <w:tr w14:paraId="093989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5" w:hRule="atLeast"/>
                <w:jc w:val="center"/>
              </w:trPr>
              <w:tc>
                <w:tcPr>
                  <w:tcW w:w="581" w:type="pct"/>
                  <w:noWrap w:val="0"/>
                  <w:vAlign w:val="center"/>
                </w:tcPr>
                <w:p w14:paraId="59B70D09">
                  <w:pPr>
                    <w:pStyle w:val="45"/>
                    <w:rPr>
                      <w:rFonts w:hint="default" w:ascii="Times New Roman" w:hAnsi="Times New Roman" w:cs="Times New Roman"/>
                      <w:color w:val="auto"/>
                      <w:kern w:val="2"/>
                    </w:rPr>
                  </w:pPr>
                  <w:r>
                    <w:rPr>
                      <w:rFonts w:hint="default" w:ascii="Times New Roman" w:hAnsi="Times New Roman" w:cs="Times New Roman"/>
                      <w:color w:val="auto"/>
                      <w:kern w:val="2"/>
                    </w:rPr>
                    <w:t>4</w:t>
                  </w:r>
                </w:p>
              </w:tc>
              <w:tc>
                <w:tcPr>
                  <w:tcW w:w="3123" w:type="pct"/>
                  <w:noWrap w:val="0"/>
                  <w:vAlign w:val="center"/>
                </w:tcPr>
                <w:p w14:paraId="434C5E8B">
                  <w:pPr>
                    <w:pStyle w:val="45"/>
                    <w:rPr>
                      <w:rFonts w:hint="default" w:ascii="Times New Roman" w:hAnsi="Times New Roman" w:cs="Times New Roman"/>
                      <w:color w:val="auto"/>
                      <w:kern w:val="2"/>
                    </w:rPr>
                  </w:pPr>
                  <w:r>
                    <w:rPr>
                      <w:rFonts w:hint="default" w:ascii="Times New Roman" w:hAnsi="Times New Roman" w:cs="Times New Roman"/>
                      <w:color w:val="auto"/>
                      <w:kern w:val="2"/>
                    </w:rPr>
                    <w:t>氯气（mg/m</w:t>
                  </w:r>
                  <w:r>
                    <w:rPr>
                      <w:rFonts w:hint="default" w:ascii="Times New Roman" w:hAnsi="Times New Roman" w:cs="Times New Roman"/>
                      <w:color w:val="auto"/>
                      <w:kern w:val="2"/>
                      <w:vertAlign w:val="superscript"/>
                    </w:rPr>
                    <w:t>3</w:t>
                  </w:r>
                  <w:r>
                    <w:rPr>
                      <w:rFonts w:hint="default" w:ascii="Times New Roman" w:hAnsi="Times New Roman" w:cs="Times New Roman"/>
                      <w:color w:val="auto"/>
                      <w:kern w:val="2"/>
                    </w:rPr>
                    <w:t>）</w:t>
                  </w:r>
                </w:p>
              </w:tc>
              <w:tc>
                <w:tcPr>
                  <w:tcW w:w="1295" w:type="pct"/>
                  <w:noWrap w:val="0"/>
                  <w:vAlign w:val="center"/>
                </w:tcPr>
                <w:p w14:paraId="6F9D21EE">
                  <w:pPr>
                    <w:pStyle w:val="45"/>
                    <w:rPr>
                      <w:rFonts w:hint="default" w:ascii="Times New Roman" w:hAnsi="Times New Roman" w:cs="Times New Roman"/>
                      <w:color w:val="auto"/>
                      <w:kern w:val="2"/>
                    </w:rPr>
                  </w:pPr>
                  <w:r>
                    <w:rPr>
                      <w:rFonts w:hint="default" w:ascii="Times New Roman" w:hAnsi="Times New Roman" w:cs="Times New Roman"/>
                      <w:color w:val="auto"/>
                      <w:kern w:val="2"/>
                    </w:rPr>
                    <w:t>0.1</w:t>
                  </w:r>
                </w:p>
              </w:tc>
            </w:tr>
            <w:tr w14:paraId="552E6E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5" w:hRule="atLeast"/>
                <w:jc w:val="center"/>
              </w:trPr>
              <w:tc>
                <w:tcPr>
                  <w:tcW w:w="581" w:type="pct"/>
                  <w:noWrap w:val="0"/>
                  <w:vAlign w:val="center"/>
                </w:tcPr>
                <w:p w14:paraId="19011C27">
                  <w:pPr>
                    <w:pStyle w:val="45"/>
                    <w:rPr>
                      <w:rFonts w:hint="default" w:ascii="Times New Roman" w:hAnsi="Times New Roman" w:cs="Times New Roman"/>
                      <w:color w:val="auto"/>
                      <w:kern w:val="2"/>
                    </w:rPr>
                  </w:pPr>
                  <w:r>
                    <w:rPr>
                      <w:rFonts w:hint="default" w:ascii="Times New Roman" w:hAnsi="Times New Roman" w:cs="Times New Roman"/>
                      <w:color w:val="auto"/>
                      <w:kern w:val="2"/>
                    </w:rPr>
                    <w:t>5</w:t>
                  </w:r>
                </w:p>
              </w:tc>
              <w:tc>
                <w:tcPr>
                  <w:tcW w:w="3123" w:type="pct"/>
                  <w:noWrap w:val="0"/>
                  <w:vAlign w:val="center"/>
                </w:tcPr>
                <w:p w14:paraId="64A7B8D2">
                  <w:pPr>
                    <w:pStyle w:val="45"/>
                    <w:rPr>
                      <w:rFonts w:hint="default" w:ascii="Times New Roman" w:hAnsi="Times New Roman" w:cs="Times New Roman"/>
                      <w:color w:val="auto"/>
                      <w:kern w:val="2"/>
                    </w:rPr>
                  </w:pPr>
                  <w:r>
                    <w:rPr>
                      <w:rFonts w:hint="default" w:ascii="Times New Roman" w:hAnsi="Times New Roman" w:cs="Times New Roman"/>
                      <w:color w:val="auto"/>
                      <w:kern w:val="2"/>
                    </w:rPr>
                    <w:t>甲烷（指处理站内最高体积百分数%）</w:t>
                  </w:r>
                </w:p>
              </w:tc>
              <w:tc>
                <w:tcPr>
                  <w:tcW w:w="1295" w:type="pct"/>
                  <w:noWrap w:val="0"/>
                  <w:vAlign w:val="center"/>
                </w:tcPr>
                <w:p w14:paraId="4843B7F5">
                  <w:pPr>
                    <w:pStyle w:val="45"/>
                    <w:rPr>
                      <w:rFonts w:hint="default" w:ascii="Times New Roman" w:hAnsi="Times New Roman" w:cs="Times New Roman"/>
                      <w:color w:val="auto"/>
                      <w:kern w:val="2"/>
                    </w:rPr>
                  </w:pPr>
                  <w:r>
                    <w:rPr>
                      <w:rFonts w:hint="default" w:ascii="Times New Roman" w:hAnsi="Times New Roman" w:cs="Times New Roman"/>
                      <w:color w:val="auto"/>
                      <w:kern w:val="2"/>
                    </w:rPr>
                    <w:t>1</w:t>
                  </w:r>
                </w:p>
              </w:tc>
            </w:tr>
          </w:tbl>
          <w:p w14:paraId="70C4B400">
            <w:pPr>
              <w:spacing w:before="120" w:beforeLines="50" w:line="360" w:lineRule="auto"/>
              <w:rPr>
                <w:b/>
                <w:bCs/>
                <w:color w:val="auto"/>
                <w:kern w:val="0"/>
                <w:sz w:val="24"/>
              </w:rPr>
            </w:pPr>
            <w:r>
              <w:rPr>
                <w:rFonts w:hint="eastAsia"/>
                <w:b/>
                <w:bCs/>
                <w:color w:val="auto"/>
                <w:kern w:val="0"/>
                <w:sz w:val="24"/>
              </w:rPr>
              <w:t>3.8.2</w:t>
            </w:r>
            <w:r>
              <w:rPr>
                <w:b/>
                <w:bCs/>
                <w:color w:val="auto"/>
                <w:kern w:val="0"/>
                <w:sz w:val="24"/>
              </w:rPr>
              <w:t>废水</w:t>
            </w:r>
          </w:p>
          <w:p w14:paraId="38378BAC">
            <w:pPr>
              <w:spacing w:line="360" w:lineRule="auto"/>
              <w:ind w:firstLine="480" w:firstLineChars="200"/>
              <w:rPr>
                <w:bCs/>
                <w:color w:val="auto"/>
                <w:sz w:val="24"/>
              </w:rPr>
            </w:pPr>
            <w:r>
              <w:rPr>
                <w:bCs/>
                <w:color w:val="auto"/>
                <w:sz w:val="24"/>
              </w:rPr>
              <w:t>扩建项目为综合医院，扩建后共计</w:t>
            </w:r>
            <w:r>
              <w:rPr>
                <w:rFonts w:hint="eastAsia"/>
                <w:bCs/>
                <w:color w:val="auto"/>
                <w:sz w:val="24"/>
              </w:rPr>
              <w:t>1</w:t>
            </w:r>
            <w:r>
              <w:rPr>
                <w:rFonts w:hint="eastAsia"/>
                <w:bCs/>
                <w:color w:val="auto"/>
                <w:sz w:val="24"/>
                <w:lang w:val="en-US" w:eastAsia="zh-CN"/>
              </w:rPr>
              <w:t>50</w:t>
            </w:r>
            <w:r>
              <w:rPr>
                <w:bCs/>
                <w:color w:val="auto"/>
                <w:sz w:val="24"/>
              </w:rPr>
              <w:t>张床位，</w:t>
            </w:r>
            <w:r>
              <w:rPr>
                <w:rFonts w:hint="eastAsia"/>
                <w:bCs/>
                <w:color w:val="auto"/>
                <w:sz w:val="24"/>
              </w:rPr>
              <w:t>生活废水</w:t>
            </w:r>
            <w:r>
              <w:rPr>
                <w:bCs/>
                <w:color w:val="auto"/>
                <w:sz w:val="24"/>
              </w:rPr>
              <w:t>与</w:t>
            </w:r>
            <w:r>
              <w:rPr>
                <w:snapToGrid w:val="0"/>
                <w:color w:val="auto"/>
                <w:kern w:val="0"/>
                <w:sz w:val="24"/>
              </w:rPr>
              <w:t>医疗废水一起进入扩容后的污水处理站处理，处理达标后达</w:t>
            </w:r>
            <w:r>
              <w:rPr>
                <w:color w:val="auto"/>
                <w:sz w:val="24"/>
              </w:rPr>
              <w:t>《医疗机构水污染物排放标准》（GB18466-2005）表2综合医疗机构和其他医疗机构水污染物排放限值中的预处理标准后排入市政污水管网（由于《医疗机构水污染物排放标准》（GB18466-2005）表2预处理标准未规定NH</w:t>
            </w:r>
            <w:r>
              <w:rPr>
                <w:color w:val="auto"/>
                <w:sz w:val="24"/>
                <w:vertAlign w:val="subscript"/>
              </w:rPr>
              <w:t>3</w:t>
            </w:r>
            <w:r>
              <w:rPr>
                <w:color w:val="auto"/>
                <w:sz w:val="24"/>
              </w:rPr>
              <w:t>-N排放限值，故本项目污水处理站出水浓度中NH</w:t>
            </w:r>
            <w:r>
              <w:rPr>
                <w:color w:val="auto"/>
                <w:sz w:val="24"/>
                <w:vertAlign w:val="subscript"/>
              </w:rPr>
              <w:t>3</w:t>
            </w:r>
            <w:r>
              <w:rPr>
                <w:color w:val="auto"/>
                <w:sz w:val="24"/>
              </w:rPr>
              <w:t>-N参照</w:t>
            </w:r>
            <w:r>
              <w:rPr>
                <w:color w:val="auto"/>
                <w:kern w:val="0"/>
                <w:sz w:val="24"/>
              </w:rPr>
              <w:t>《污水排入城镇下水道水质标准》（GB/T31962-2015）表1</w:t>
            </w:r>
            <w:r>
              <w:rPr>
                <w:color w:val="auto"/>
                <w:sz w:val="24"/>
              </w:rPr>
              <w:t>执行）；废水最终均进入</w:t>
            </w:r>
            <w:r>
              <w:rPr>
                <w:rFonts w:hint="eastAsia"/>
                <w:color w:val="auto"/>
                <w:sz w:val="24"/>
                <w:lang w:eastAsia="zh-CN"/>
              </w:rPr>
              <w:t>鸡冠石污水处理厂</w:t>
            </w:r>
            <w:r>
              <w:rPr>
                <w:color w:val="auto"/>
                <w:sz w:val="24"/>
              </w:rPr>
              <w:t>处理达到《城镇污水处理厂排放标准》（GB18918-2002）一级A标后</w:t>
            </w:r>
            <w:r>
              <w:rPr>
                <w:rFonts w:hint="eastAsia"/>
                <w:color w:val="auto"/>
                <w:sz w:val="24"/>
              </w:rPr>
              <w:t>排入</w:t>
            </w:r>
            <w:r>
              <w:rPr>
                <w:color w:val="auto"/>
                <w:sz w:val="24"/>
              </w:rPr>
              <w:t>长江。</w:t>
            </w:r>
            <w:r>
              <w:rPr>
                <w:bCs/>
                <w:color w:val="auto"/>
                <w:sz w:val="24"/>
              </w:rPr>
              <w:t>相关标准详见表3-</w:t>
            </w:r>
            <w:r>
              <w:rPr>
                <w:rFonts w:hint="eastAsia"/>
                <w:bCs/>
                <w:color w:val="auto"/>
                <w:sz w:val="24"/>
              </w:rPr>
              <w:t>7</w:t>
            </w:r>
            <w:r>
              <w:rPr>
                <w:bCs/>
                <w:color w:val="auto"/>
                <w:sz w:val="24"/>
              </w:rPr>
              <w:t>和表3-</w:t>
            </w:r>
            <w:r>
              <w:rPr>
                <w:rFonts w:hint="eastAsia"/>
                <w:bCs/>
                <w:color w:val="auto"/>
                <w:sz w:val="24"/>
              </w:rPr>
              <w:t>8</w:t>
            </w:r>
            <w:r>
              <w:rPr>
                <w:bCs/>
                <w:color w:val="auto"/>
                <w:sz w:val="24"/>
              </w:rPr>
              <w:t>。</w:t>
            </w:r>
          </w:p>
          <w:p w14:paraId="44AE98AC">
            <w:pPr>
              <w:spacing w:line="240" w:lineRule="auto"/>
              <w:jc w:val="center"/>
              <w:rPr>
                <w:rFonts w:hint="default" w:ascii="Times New Roman" w:hAnsi="Times New Roman" w:eastAsia="宋体" w:cs="Times New Roman"/>
                <w:b/>
                <w:color w:val="auto"/>
                <w:sz w:val="21"/>
                <w:szCs w:val="21"/>
              </w:rPr>
            </w:pPr>
          </w:p>
          <w:p w14:paraId="46DF7DDA">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w:t>
            </w:r>
            <w:r>
              <w:rPr>
                <w:rFonts w:hint="default" w:ascii="Times New Roman" w:hAnsi="Times New Roman" w:eastAsia="宋体" w:cs="Times New Roman"/>
                <w:b/>
                <w:color w:val="auto"/>
                <w:sz w:val="21"/>
                <w:szCs w:val="21"/>
                <w:lang w:val="en-US" w:eastAsia="zh-CN"/>
              </w:rPr>
              <w:t>3-</w:t>
            </w:r>
            <w:r>
              <w:rPr>
                <w:rFonts w:hint="eastAsia" w:ascii="Times New Roman" w:hAnsi="Times New Roman" w:eastAsia="宋体" w:cs="Times New Roman"/>
                <w:b/>
                <w:color w:val="auto"/>
                <w:sz w:val="21"/>
                <w:szCs w:val="21"/>
                <w:lang w:val="en-US" w:eastAsia="zh-CN"/>
              </w:rPr>
              <w:t xml:space="preserve">7 </w:t>
            </w:r>
            <w:r>
              <w:rPr>
                <w:rFonts w:hint="default" w:ascii="Times New Roman" w:hAnsi="Times New Roman" w:eastAsia="宋体" w:cs="Times New Roman"/>
                <w:b/>
                <w:color w:val="auto"/>
                <w:sz w:val="21"/>
                <w:szCs w:val="21"/>
              </w:rPr>
              <w:t>医疗机构水污染物排放限值  单位：mg/L</w:t>
            </w:r>
          </w:p>
          <w:tbl>
            <w:tblPr>
              <w:tblStyle w:val="25"/>
              <w:tblW w:w="4998"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12"/>
              <w:gridCol w:w="2517"/>
              <w:gridCol w:w="2133"/>
              <w:gridCol w:w="2289"/>
            </w:tblGrid>
            <w:tr w14:paraId="3FF6E2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628A7CDB">
                  <w:pPr>
                    <w:widowControl/>
                    <w:spacing w:line="320" w:lineRule="exact"/>
                    <w:jc w:val="center"/>
                    <w:rPr>
                      <w:color w:val="auto"/>
                      <w:kern w:val="0"/>
                      <w:szCs w:val="21"/>
                    </w:rPr>
                  </w:pPr>
                  <w:r>
                    <w:rPr>
                      <w:color w:val="auto"/>
                      <w:kern w:val="0"/>
                      <w:szCs w:val="21"/>
                    </w:rPr>
                    <w:t>序号</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422B2A2B">
                  <w:pPr>
                    <w:widowControl/>
                    <w:spacing w:line="320" w:lineRule="exact"/>
                    <w:jc w:val="center"/>
                    <w:rPr>
                      <w:color w:val="auto"/>
                      <w:kern w:val="0"/>
                      <w:szCs w:val="21"/>
                    </w:rPr>
                  </w:pPr>
                  <w:r>
                    <w:rPr>
                      <w:color w:val="auto"/>
                      <w:kern w:val="0"/>
                      <w:szCs w:val="21"/>
                    </w:rPr>
                    <w:t>污染物名称</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1F8A146F">
                  <w:pPr>
                    <w:widowControl/>
                    <w:spacing w:line="320" w:lineRule="exact"/>
                    <w:jc w:val="center"/>
                    <w:rPr>
                      <w:color w:val="auto"/>
                      <w:kern w:val="0"/>
                      <w:szCs w:val="21"/>
                    </w:rPr>
                  </w:pPr>
                  <w:r>
                    <w:rPr>
                      <w:color w:val="auto"/>
                      <w:kern w:val="0"/>
                      <w:szCs w:val="21"/>
                    </w:rPr>
                    <w:t>预处理标准</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6EE20A00">
                  <w:pPr>
                    <w:widowControl/>
                    <w:spacing w:line="320" w:lineRule="exact"/>
                    <w:jc w:val="center"/>
                    <w:rPr>
                      <w:color w:val="auto"/>
                      <w:kern w:val="0"/>
                      <w:szCs w:val="21"/>
                    </w:rPr>
                  </w:pPr>
                  <w:r>
                    <w:rPr>
                      <w:color w:val="auto"/>
                      <w:kern w:val="0"/>
                      <w:szCs w:val="21"/>
                    </w:rPr>
                    <w:t>单位</w:t>
                  </w:r>
                </w:p>
              </w:tc>
            </w:tr>
            <w:tr w14:paraId="3FC683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6720D6D5">
                  <w:pPr>
                    <w:widowControl/>
                    <w:spacing w:line="320" w:lineRule="exact"/>
                    <w:jc w:val="center"/>
                    <w:rPr>
                      <w:color w:val="auto"/>
                      <w:kern w:val="0"/>
                      <w:szCs w:val="21"/>
                    </w:rPr>
                  </w:pPr>
                  <w:r>
                    <w:rPr>
                      <w:color w:val="auto"/>
                      <w:kern w:val="0"/>
                      <w:szCs w:val="21"/>
                    </w:rPr>
                    <w:t>1</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03686F29">
                  <w:pPr>
                    <w:widowControl/>
                    <w:spacing w:line="320" w:lineRule="exact"/>
                    <w:jc w:val="center"/>
                    <w:rPr>
                      <w:color w:val="auto"/>
                      <w:kern w:val="0"/>
                      <w:szCs w:val="21"/>
                    </w:rPr>
                  </w:pPr>
                  <w:r>
                    <w:rPr>
                      <w:color w:val="auto"/>
                      <w:kern w:val="0"/>
                      <w:szCs w:val="21"/>
                    </w:rPr>
                    <w:t>粪大肠菌群数</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5BC53286">
                  <w:pPr>
                    <w:widowControl/>
                    <w:spacing w:line="320" w:lineRule="exact"/>
                    <w:jc w:val="center"/>
                    <w:rPr>
                      <w:color w:val="auto"/>
                      <w:kern w:val="0"/>
                      <w:szCs w:val="21"/>
                    </w:rPr>
                  </w:pPr>
                  <w:r>
                    <w:rPr>
                      <w:color w:val="auto"/>
                      <w:kern w:val="0"/>
                      <w:szCs w:val="21"/>
                    </w:rPr>
                    <w:t>500</w:t>
                  </w:r>
                  <w:r>
                    <w:rPr>
                      <w:rFonts w:hint="eastAsia"/>
                      <w:color w:val="auto"/>
                      <w:kern w:val="0"/>
                      <w:szCs w:val="21"/>
                    </w:rPr>
                    <w:t>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2A68D331">
                  <w:pPr>
                    <w:widowControl/>
                    <w:spacing w:line="320" w:lineRule="exact"/>
                    <w:jc w:val="center"/>
                    <w:rPr>
                      <w:color w:val="auto"/>
                      <w:kern w:val="0"/>
                      <w:szCs w:val="21"/>
                    </w:rPr>
                  </w:pPr>
                  <w:r>
                    <w:rPr>
                      <w:color w:val="auto"/>
                      <w:kern w:val="0"/>
                      <w:szCs w:val="21"/>
                    </w:rPr>
                    <w:t>（MPN/</w:t>
                  </w:r>
                  <w:r>
                    <w:rPr>
                      <w:rFonts w:hint="eastAsia"/>
                      <w:color w:val="auto"/>
                      <w:kern w:val="0"/>
                      <w:szCs w:val="21"/>
                    </w:rPr>
                    <w:t>L</w:t>
                  </w:r>
                  <w:r>
                    <w:rPr>
                      <w:color w:val="auto"/>
                      <w:kern w:val="0"/>
                      <w:szCs w:val="21"/>
                    </w:rPr>
                    <w:t xml:space="preserve">） </w:t>
                  </w:r>
                </w:p>
              </w:tc>
            </w:tr>
            <w:tr w14:paraId="355B00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6ABF28A9">
                  <w:pPr>
                    <w:widowControl/>
                    <w:spacing w:line="320" w:lineRule="exact"/>
                    <w:jc w:val="center"/>
                    <w:rPr>
                      <w:color w:val="auto"/>
                      <w:kern w:val="0"/>
                      <w:szCs w:val="21"/>
                    </w:rPr>
                  </w:pPr>
                  <w:r>
                    <w:rPr>
                      <w:color w:val="auto"/>
                      <w:kern w:val="0"/>
                      <w:szCs w:val="21"/>
                    </w:rPr>
                    <w:t>2</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79BE1A79">
                  <w:pPr>
                    <w:widowControl/>
                    <w:spacing w:line="320" w:lineRule="exact"/>
                    <w:jc w:val="center"/>
                    <w:rPr>
                      <w:color w:val="auto"/>
                      <w:kern w:val="0"/>
                      <w:szCs w:val="21"/>
                    </w:rPr>
                  </w:pPr>
                  <w:r>
                    <w:rPr>
                      <w:color w:val="auto"/>
                      <w:kern w:val="0"/>
                      <w:szCs w:val="21"/>
                    </w:rPr>
                    <w:t>肠道致病菌</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7DDB1A69">
                  <w:pPr>
                    <w:widowControl/>
                    <w:spacing w:line="320" w:lineRule="exact"/>
                    <w:jc w:val="center"/>
                    <w:rPr>
                      <w:color w:val="auto"/>
                      <w:kern w:val="0"/>
                      <w:szCs w:val="21"/>
                    </w:rPr>
                  </w:pPr>
                  <w:r>
                    <w:rPr>
                      <w:color w:val="auto"/>
                      <w:kern w:val="0"/>
                      <w:szCs w:val="21"/>
                    </w:rPr>
                    <w:t>-</w:t>
                  </w:r>
                  <w:r>
                    <w:rPr>
                      <w:color w:val="auto"/>
                      <w:kern w:val="0"/>
                      <w:szCs w:val="21"/>
                    </w:rPr>
                    <w:cr/>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338C1B9B">
                  <w:pPr>
                    <w:widowControl/>
                    <w:spacing w:line="320" w:lineRule="exact"/>
                    <w:jc w:val="center"/>
                    <w:rPr>
                      <w:color w:val="auto"/>
                      <w:kern w:val="0"/>
                      <w:szCs w:val="21"/>
                    </w:rPr>
                  </w:pPr>
                  <w:r>
                    <w:rPr>
                      <w:color w:val="auto"/>
                      <w:kern w:val="0"/>
                      <w:szCs w:val="21"/>
                    </w:rPr>
                    <w:t>/</w:t>
                  </w:r>
                </w:p>
              </w:tc>
            </w:tr>
            <w:tr w14:paraId="524E45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4520EDD8">
                  <w:pPr>
                    <w:widowControl/>
                    <w:spacing w:line="320" w:lineRule="exact"/>
                    <w:jc w:val="center"/>
                    <w:rPr>
                      <w:color w:val="auto"/>
                      <w:kern w:val="0"/>
                      <w:szCs w:val="21"/>
                    </w:rPr>
                  </w:pPr>
                  <w:r>
                    <w:rPr>
                      <w:color w:val="auto"/>
                      <w:kern w:val="0"/>
                      <w:szCs w:val="21"/>
                    </w:rPr>
                    <w:t>3</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669A7FE">
                  <w:pPr>
                    <w:widowControl/>
                    <w:spacing w:line="320" w:lineRule="exact"/>
                    <w:jc w:val="center"/>
                    <w:rPr>
                      <w:color w:val="auto"/>
                      <w:kern w:val="0"/>
                      <w:szCs w:val="21"/>
                    </w:rPr>
                  </w:pPr>
                  <w:r>
                    <w:rPr>
                      <w:color w:val="auto"/>
                      <w:kern w:val="0"/>
                      <w:szCs w:val="21"/>
                    </w:rPr>
                    <w:t>肠道病毒</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4B70CBBE">
                  <w:pPr>
                    <w:widowControl/>
                    <w:spacing w:line="320" w:lineRule="exact"/>
                    <w:jc w:val="center"/>
                    <w:rPr>
                      <w:color w:val="auto"/>
                      <w:kern w:val="0"/>
                      <w:szCs w:val="21"/>
                    </w:rPr>
                  </w:pPr>
                  <w:r>
                    <w:rPr>
                      <w:color w:val="auto"/>
                      <w:kern w:val="0"/>
                      <w:szCs w:val="21"/>
                    </w:rPr>
                    <w:t>--</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1248C571">
                  <w:pPr>
                    <w:widowControl/>
                    <w:spacing w:line="320" w:lineRule="exact"/>
                    <w:jc w:val="center"/>
                    <w:rPr>
                      <w:color w:val="auto"/>
                      <w:kern w:val="0"/>
                      <w:szCs w:val="21"/>
                    </w:rPr>
                  </w:pPr>
                  <w:r>
                    <w:rPr>
                      <w:color w:val="auto"/>
                      <w:kern w:val="0"/>
                      <w:szCs w:val="21"/>
                    </w:rPr>
                    <w:t>/</w:t>
                  </w:r>
                </w:p>
              </w:tc>
            </w:tr>
            <w:tr w14:paraId="38116E0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3698D562">
                  <w:pPr>
                    <w:widowControl/>
                    <w:spacing w:line="320" w:lineRule="exact"/>
                    <w:jc w:val="center"/>
                    <w:rPr>
                      <w:color w:val="auto"/>
                      <w:kern w:val="0"/>
                      <w:szCs w:val="21"/>
                    </w:rPr>
                  </w:pPr>
                  <w:r>
                    <w:rPr>
                      <w:color w:val="auto"/>
                      <w:kern w:val="0"/>
                      <w:szCs w:val="21"/>
                    </w:rPr>
                    <w:t>4</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01AC5EB">
                  <w:pPr>
                    <w:widowControl/>
                    <w:spacing w:line="320" w:lineRule="exact"/>
                    <w:jc w:val="center"/>
                    <w:rPr>
                      <w:color w:val="auto"/>
                      <w:kern w:val="0"/>
                      <w:szCs w:val="21"/>
                    </w:rPr>
                  </w:pPr>
                  <w:r>
                    <w:rPr>
                      <w:color w:val="auto"/>
                      <w:kern w:val="0"/>
                      <w:szCs w:val="21"/>
                    </w:rPr>
                    <w:t>pH</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05233E88">
                  <w:pPr>
                    <w:widowControl/>
                    <w:spacing w:line="320" w:lineRule="exact"/>
                    <w:jc w:val="center"/>
                    <w:rPr>
                      <w:color w:val="auto"/>
                      <w:kern w:val="0"/>
                      <w:szCs w:val="21"/>
                    </w:rPr>
                  </w:pPr>
                  <w:r>
                    <w:rPr>
                      <w:color w:val="auto"/>
                      <w:kern w:val="0"/>
                      <w:szCs w:val="21"/>
                    </w:rPr>
                    <w:t>6～9</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4A7781AD">
                  <w:pPr>
                    <w:widowControl/>
                    <w:spacing w:line="320" w:lineRule="exact"/>
                    <w:jc w:val="center"/>
                    <w:rPr>
                      <w:color w:val="auto"/>
                      <w:kern w:val="0"/>
                      <w:szCs w:val="21"/>
                    </w:rPr>
                  </w:pPr>
                  <w:r>
                    <w:rPr>
                      <w:color w:val="auto"/>
                      <w:kern w:val="0"/>
                      <w:szCs w:val="21"/>
                    </w:rPr>
                    <w:t>/</w:t>
                  </w:r>
                </w:p>
              </w:tc>
            </w:tr>
            <w:tr w14:paraId="238A3F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4" w:space="0"/>
                    <w:right w:val="single" w:color="auto" w:sz="2" w:space="0"/>
                  </w:tcBorders>
                  <w:noWrap w:val="0"/>
                  <w:vAlign w:val="center"/>
                </w:tcPr>
                <w:p w14:paraId="6FD235EC">
                  <w:pPr>
                    <w:widowControl/>
                    <w:spacing w:line="320" w:lineRule="exact"/>
                    <w:jc w:val="center"/>
                    <w:rPr>
                      <w:color w:val="auto"/>
                      <w:kern w:val="0"/>
                      <w:szCs w:val="21"/>
                    </w:rPr>
                  </w:pPr>
                  <w:r>
                    <w:rPr>
                      <w:color w:val="auto"/>
                      <w:kern w:val="0"/>
                      <w:szCs w:val="21"/>
                    </w:rPr>
                    <w:t>5</w:t>
                  </w:r>
                </w:p>
              </w:tc>
              <w:tc>
                <w:tcPr>
                  <w:tcW w:w="1582" w:type="pct"/>
                  <w:tcBorders>
                    <w:top w:val="single" w:color="auto" w:sz="2" w:space="0"/>
                    <w:left w:val="single" w:color="auto" w:sz="2" w:space="0"/>
                    <w:bottom w:val="single" w:color="auto" w:sz="4" w:space="0"/>
                    <w:right w:val="single" w:color="auto" w:sz="2" w:space="0"/>
                  </w:tcBorders>
                  <w:noWrap w:val="0"/>
                  <w:vAlign w:val="center"/>
                </w:tcPr>
                <w:p w14:paraId="6B08F8F4">
                  <w:pPr>
                    <w:widowControl/>
                    <w:spacing w:line="320" w:lineRule="exact"/>
                    <w:jc w:val="center"/>
                    <w:rPr>
                      <w:color w:val="auto"/>
                      <w:kern w:val="0"/>
                      <w:szCs w:val="21"/>
                    </w:rPr>
                  </w:pPr>
                  <w:r>
                    <w:rPr>
                      <w:color w:val="auto"/>
                      <w:kern w:val="0"/>
                      <w:szCs w:val="21"/>
                    </w:rPr>
                    <w:t>COD</w:t>
                  </w:r>
                </w:p>
              </w:tc>
              <w:tc>
                <w:tcPr>
                  <w:tcW w:w="1341" w:type="pct"/>
                  <w:tcBorders>
                    <w:top w:val="single" w:color="auto" w:sz="2" w:space="0"/>
                    <w:left w:val="single" w:color="auto" w:sz="2" w:space="0"/>
                    <w:bottom w:val="single" w:color="auto" w:sz="4" w:space="0"/>
                    <w:right w:val="single" w:color="auto" w:sz="2" w:space="0"/>
                  </w:tcBorders>
                  <w:noWrap w:val="0"/>
                  <w:vAlign w:val="top"/>
                </w:tcPr>
                <w:p w14:paraId="3BE986AC">
                  <w:pPr>
                    <w:widowControl/>
                    <w:spacing w:line="320" w:lineRule="exact"/>
                    <w:jc w:val="center"/>
                    <w:rPr>
                      <w:color w:val="auto"/>
                      <w:kern w:val="0"/>
                      <w:szCs w:val="21"/>
                    </w:rPr>
                  </w:pPr>
                  <w:r>
                    <w:rPr>
                      <w:color w:val="auto"/>
                      <w:kern w:val="0"/>
                      <w:szCs w:val="21"/>
                    </w:rPr>
                    <w:t>250</w:t>
                  </w:r>
                </w:p>
              </w:tc>
              <w:tc>
                <w:tcPr>
                  <w:tcW w:w="1439" w:type="pct"/>
                  <w:tcBorders>
                    <w:top w:val="single" w:color="auto" w:sz="2" w:space="0"/>
                    <w:left w:val="single" w:color="auto" w:sz="2" w:space="0"/>
                    <w:bottom w:val="single" w:color="auto" w:sz="4" w:space="0"/>
                    <w:right w:val="single" w:color="auto" w:sz="4" w:space="0"/>
                  </w:tcBorders>
                  <w:noWrap w:val="0"/>
                  <w:vAlign w:val="center"/>
                </w:tcPr>
                <w:p w14:paraId="328EE0C6">
                  <w:pPr>
                    <w:widowControl/>
                    <w:spacing w:line="320" w:lineRule="exact"/>
                    <w:jc w:val="center"/>
                    <w:rPr>
                      <w:color w:val="auto"/>
                      <w:kern w:val="0"/>
                      <w:szCs w:val="21"/>
                    </w:rPr>
                  </w:pPr>
                  <w:r>
                    <w:rPr>
                      <w:color w:val="auto"/>
                      <w:kern w:val="0"/>
                      <w:szCs w:val="21"/>
                    </w:rPr>
                    <w:t>m</w:t>
                  </w:r>
                  <w:r>
                    <w:rPr>
                      <w:rFonts w:hint="eastAsia"/>
                      <w:color w:val="auto"/>
                      <w:kern w:val="0"/>
                      <w:szCs w:val="21"/>
                    </w:rPr>
                    <w:t>g</w:t>
                  </w:r>
                  <w:r>
                    <w:rPr>
                      <w:color w:val="auto"/>
                      <w:kern w:val="0"/>
                      <w:szCs w:val="21"/>
                    </w:rPr>
                    <w:t>/L</w:t>
                  </w:r>
                </w:p>
              </w:tc>
            </w:tr>
            <w:tr w14:paraId="58EA62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4" w:space="0"/>
                    <w:left w:val="single" w:color="auto" w:sz="4" w:space="0"/>
                    <w:bottom w:val="single" w:color="auto" w:sz="2" w:space="0"/>
                    <w:right w:val="single" w:color="auto" w:sz="2" w:space="0"/>
                  </w:tcBorders>
                  <w:noWrap w:val="0"/>
                  <w:vAlign w:val="center"/>
                </w:tcPr>
                <w:p w14:paraId="766FC0E6">
                  <w:pPr>
                    <w:widowControl/>
                    <w:spacing w:line="320" w:lineRule="exact"/>
                    <w:jc w:val="center"/>
                    <w:rPr>
                      <w:color w:val="auto"/>
                      <w:kern w:val="0"/>
                      <w:szCs w:val="21"/>
                    </w:rPr>
                  </w:pPr>
                  <w:r>
                    <w:rPr>
                      <w:color w:val="auto"/>
                      <w:kern w:val="0"/>
                      <w:szCs w:val="21"/>
                    </w:rPr>
                    <w:t>6</w:t>
                  </w:r>
                </w:p>
              </w:tc>
              <w:tc>
                <w:tcPr>
                  <w:tcW w:w="1582" w:type="pct"/>
                  <w:tcBorders>
                    <w:top w:val="single" w:color="auto" w:sz="4" w:space="0"/>
                    <w:left w:val="single" w:color="auto" w:sz="2" w:space="0"/>
                    <w:bottom w:val="single" w:color="auto" w:sz="2" w:space="0"/>
                    <w:right w:val="single" w:color="auto" w:sz="2" w:space="0"/>
                  </w:tcBorders>
                  <w:noWrap w:val="0"/>
                  <w:vAlign w:val="center"/>
                </w:tcPr>
                <w:p w14:paraId="306B561A">
                  <w:pPr>
                    <w:widowControl/>
                    <w:spacing w:line="320" w:lineRule="exact"/>
                    <w:jc w:val="center"/>
                    <w:rPr>
                      <w:color w:val="auto"/>
                      <w:kern w:val="0"/>
                      <w:szCs w:val="21"/>
                    </w:rPr>
                  </w:pPr>
                  <w:r>
                    <w:rPr>
                      <w:color w:val="auto"/>
                      <w:kern w:val="0"/>
                      <w:szCs w:val="21"/>
                    </w:rPr>
                    <w:t>BOD</w:t>
                  </w:r>
                  <w:r>
                    <w:rPr>
                      <w:color w:val="auto"/>
                      <w:kern w:val="0"/>
                      <w:szCs w:val="21"/>
                      <w:vertAlign w:val="subscript"/>
                    </w:rPr>
                    <w:t>5</w:t>
                  </w:r>
                </w:p>
              </w:tc>
              <w:tc>
                <w:tcPr>
                  <w:tcW w:w="1341" w:type="pct"/>
                  <w:tcBorders>
                    <w:top w:val="single" w:color="auto" w:sz="4" w:space="0"/>
                    <w:left w:val="single" w:color="auto" w:sz="2" w:space="0"/>
                    <w:bottom w:val="single" w:color="auto" w:sz="2" w:space="0"/>
                    <w:right w:val="single" w:color="auto" w:sz="2" w:space="0"/>
                  </w:tcBorders>
                  <w:noWrap w:val="0"/>
                  <w:vAlign w:val="top"/>
                </w:tcPr>
                <w:p w14:paraId="37449126">
                  <w:pPr>
                    <w:widowControl/>
                    <w:spacing w:line="320" w:lineRule="exact"/>
                    <w:jc w:val="center"/>
                    <w:rPr>
                      <w:color w:val="auto"/>
                      <w:kern w:val="0"/>
                      <w:szCs w:val="21"/>
                    </w:rPr>
                  </w:pPr>
                  <w:r>
                    <w:rPr>
                      <w:color w:val="auto"/>
                      <w:kern w:val="0"/>
                      <w:szCs w:val="21"/>
                    </w:rPr>
                    <w:t>100</w:t>
                  </w:r>
                </w:p>
              </w:tc>
              <w:tc>
                <w:tcPr>
                  <w:tcW w:w="1439" w:type="pct"/>
                  <w:tcBorders>
                    <w:top w:val="single" w:color="auto" w:sz="4" w:space="0"/>
                    <w:left w:val="single" w:color="auto" w:sz="2" w:space="0"/>
                    <w:bottom w:val="single" w:color="auto" w:sz="2" w:space="0"/>
                    <w:right w:val="single" w:color="auto" w:sz="4" w:space="0"/>
                  </w:tcBorders>
                  <w:noWrap w:val="0"/>
                  <w:vAlign w:val="center"/>
                </w:tcPr>
                <w:p w14:paraId="038B93B4">
                  <w:pPr>
                    <w:widowControl/>
                    <w:spacing w:line="320" w:lineRule="exact"/>
                    <w:jc w:val="center"/>
                    <w:rPr>
                      <w:color w:val="auto"/>
                      <w:kern w:val="0"/>
                      <w:szCs w:val="21"/>
                    </w:rPr>
                  </w:pPr>
                  <w:r>
                    <w:rPr>
                      <w:color w:val="auto"/>
                      <w:kern w:val="0"/>
                      <w:szCs w:val="21"/>
                    </w:rPr>
                    <w:t>mg/L</w:t>
                  </w:r>
                </w:p>
              </w:tc>
            </w:tr>
            <w:tr w14:paraId="2875F5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01D77E51">
                  <w:pPr>
                    <w:widowControl/>
                    <w:spacing w:line="320" w:lineRule="exact"/>
                    <w:jc w:val="center"/>
                    <w:rPr>
                      <w:color w:val="auto"/>
                      <w:kern w:val="0"/>
                      <w:szCs w:val="21"/>
                    </w:rPr>
                  </w:pPr>
                  <w:r>
                    <w:rPr>
                      <w:color w:val="auto"/>
                      <w:kern w:val="0"/>
                      <w:szCs w:val="21"/>
                    </w:rPr>
                    <w:t>7</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74619258">
                  <w:pPr>
                    <w:widowControl/>
                    <w:spacing w:line="320" w:lineRule="exact"/>
                    <w:jc w:val="center"/>
                    <w:rPr>
                      <w:color w:val="auto"/>
                      <w:kern w:val="0"/>
                      <w:szCs w:val="21"/>
                    </w:rPr>
                  </w:pPr>
                  <w:r>
                    <w:rPr>
                      <w:color w:val="auto"/>
                      <w:kern w:val="0"/>
                      <w:szCs w:val="21"/>
                    </w:rPr>
                    <w:t>SS</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790BE3E9">
                  <w:pPr>
                    <w:widowControl/>
                    <w:spacing w:line="320" w:lineRule="exact"/>
                    <w:jc w:val="center"/>
                    <w:rPr>
                      <w:color w:val="auto"/>
                      <w:kern w:val="0"/>
                      <w:szCs w:val="21"/>
                    </w:rPr>
                  </w:pPr>
                  <w:r>
                    <w:rPr>
                      <w:color w:val="auto"/>
                      <w:kern w:val="0"/>
                      <w:szCs w:val="21"/>
                    </w:rPr>
                    <w:t>60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1DC7AE8E">
                  <w:pPr>
                    <w:widowControl/>
                    <w:spacing w:line="320" w:lineRule="exact"/>
                    <w:jc w:val="center"/>
                    <w:rPr>
                      <w:color w:val="auto"/>
                      <w:kern w:val="0"/>
                      <w:szCs w:val="21"/>
                    </w:rPr>
                  </w:pPr>
                  <w:r>
                    <w:rPr>
                      <w:color w:val="auto"/>
                      <w:kern w:val="0"/>
                      <w:szCs w:val="21"/>
                    </w:rPr>
                    <w:t>mg/L</w:t>
                  </w:r>
                </w:p>
              </w:tc>
            </w:tr>
            <w:tr w14:paraId="2815F6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1DAF62CA">
                  <w:pPr>
                    <w:widowControl/>
                    <w:spacing w:line="320" w:lineRule="exact"/>
                    <w:jc w:val="center"/>
                    <w:rPr>
                      <w:color w:val="auto"/>
                      <w:kern w:val="0"/>
                      <w:szCs w:val="21"/>
                    </w:rPr>
                  </w:pPr>
                  <w:r>
                    <w:rPr>
                      <w:color w:val="auto"/>
                      <w:kern w:val="0"/>
                      <w:szCs w:val="21"/>
                    </w:rPr>
                    <w:t>8</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0B9F666D">
                  <w:pPr>
                    <w:widowControl/>
                    <w:spacing w:line="320" w:lineRule="exact"/>
                    <w:jc w:val="center"/>
                    <w:rPr>
                      <w:color w:val="auto"/>
                      <w:kern w:val="0"/>
                      <w:szCs w:val="21"/>
                    </w:rPr>
                  </w:pPr>
                  <w:r>
                    <w:rPr>
                      <w:color w:val="auto"/>
                      <w:kern w:val="0"/>
                      <w:szCs w:val="21"/>
                    </w:rPr>
                    <w:t>NH</w:t>
                  </w:r>
                  <w:r>
                    <w:rPr>
                      <w:color w:val="auto"/>
                      <w:kern w:val="0"/>
                      <w:szCs w:val="21"/>
                      <w:vertAlign w:val="subscript"/>
                    </w:rPr>
                    <w:t>3</w:t>
                  </w:r>
                  <w:r>
                    <w:rPr>
                      <w:color w:val="auto"/>
                      <w:kern w:val="0"/>
                      <w:szCs w:val="21"/>
                    </w:rPr>
                    <w:t>-N</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13720AA1">
                  <w:pPr>
                    <w:widowControl/>
                    <w:spacing w:line="320" w:lineRule="exact"/>
                    <w:jc w:val="center"/>
                    <w:rPr>
                      <w:color w:val="auto"/>
                      <w:kern w:val="0"/>
                      <w:szCs w:val="21"/>
                    </w:rPr>
                  </w:pPr>
                  <w:r>
                    <w:rPr>
                      <w:color w:val="auto"/>
                      <w:kern w:val="0"/>
                      <w:szCs w:val="21"/>
                    </w:rPr>
                    <w:t>45*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787F7FA1">
                  <w:pPr>
                    <w:widowControl/>
                    <w:spacing w:line="320" w:lineRule="exact"/>
                    <w:jc w:val="center"/>
                    <w:rPr>
                      <w:color w:val="auto"/>
                      <w:kern w:val="0"/>
                      <w:szCs w:val="21"/>
                    </w:rPr>
                  </w:pPr>
                  <w:r>
                    <w:rPr>
                      <w:color w:val="auto"/>
                      <w:kern w:val="0"/>
                      <w:szCs w:val="21"/>
                    </w:rPr>
                    <w:t>mg/L</w:t>
                  </w:r>
                </w:p>
              </w:tc>
            </w:tr>
            <w:tr w14:paraId="327EDD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468614A7">
                  <w:pPr>
                    <w:widowControl/>
                    <w:spacing w:line="320" w:lineRule="exact"/>
                    <w:jc w:val="center"/>
                    <w:rPr>
                      <w:color w:val="auto"/>
                      <w:kern w:val="0"/>
                      <w:szCs w:val="21"/>
                    </w:rPr>
                  </w:pPr>
                  <w:r>
                    <w:rPr>
                      <w:color w:val="auto"/>
                      <w:kern w:val="0"/>
                      <w:szCs w:val="21"/>
                    </w:rPr>
                    <w:t>9</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4485319F">
                  <w:pPr>
                    <w:widowControl/>
                    <w:spacing w:line="320" w:lineRule="exact"/>
                    <w:jc w:val="center"/>
                    <w:rPr>
                      <w:color w:val="auto"/>
                      <w:kern w:val="0"/>
                      <w:szCs w:val="21"/>
                    </w:rPr>
                  </w:pPr>
                  <w:r>
                    <w:rPr>
                      <w:color w:val="auto"/>
                      <w:kern w:val="0"/>
                      <w:szCs w:val="21"/>
                    </w:rPr>
                    <w:t>动植物油</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3EB0D736">
                  <w:pPr>
                    <w:widowControl/>
                    <w:spacing w:line="320" w:lineRule="exact"/>
                    <w:jc w:val="center"/>
                    <w:rPr>
                      <w:color w:val="auto"/>
                      <w:kern w:val="0"/>
                      <w:szCs w:val="21"/>
                    </w:rPr>
                  </w:pPr>
                  <w:r>
                    <w:rPr>
                      <w:color w:val="auto"/>
                      <w:kern w:val="0"/>
                      <w:szCs w:val="21"/>
                    </w:rPr>
                    <w:t>20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06F37AF2">
                  <w:pPr>
                    <w:widowControl/>
                    <w:spacing w:line="320" w:lineRule="exact"/>
                    <w:jc w:val="center"/>
                    <w:rPr>
                      <w:color w:val="auto"/>
                      <w:kern w:val="0"/>
                      <w:szCs w:val="21"/>
                    </w:rPr>
                  </w:pPr>
                  <w:r>
                    <w:rPr>
                      <w:color w:val="auto"/>
                      <w:kern w:val="0"/>
                      <w:szCs w:val="21"/>
                    </w:rPr>
                    <w:t>mg/L</w:t>
                  </w:r>
                </w:p>
              </w:tc>
            </w:tr>
            <w:tr w14:paraId="0903B0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0E6FDDED">
                  <w:pPr>
                    <w:widowControl/>
                    <w:spacing w:line="320" w:lineRule="exact"/>
                    <w:jc w:val="center"/>
                    <w:rPr>
                      <w:color w:val="auto"/>
                      <w:kern w:val="0"/>
                      <w:szCs w:val="21"/>
                    </w:rPr>
                  </w:pPr>
                  <w:r>
                    <w:rPr>
                      <w:color w:val="auto"/>
                      <w:kern w:val="0"/>
                      <w:szCs w:val="21"/>
                    </w:rPr>
                    <w:t>10</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0CE53D1">
                  <w:pPr>
                    <w:widowControl/>
                    <w:spacing w:line="320" w:lineRule="exact"/>
                    <w:jc w:val="center"/>
                    <w:rPr>
                      <w:color w:val="auto"/>
                      <w:kern w:val="0"/>
                      <w:szCs w:val="21"/>
                    </w:rPr>
                  </w:pPr>
                  <w:r>
                    <w:rPr>
                      <w:color w:val="auto"/>
                      <w:kern w:val="0"/>
                      <w:szCs w:val="21"/>
                    </w:rPr>
                    <w:t>石油类</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1D1EAE7B">
                  <w:pPr>
                    <w:widowControl/>
                    <w:spacing w:line="320" w:lineRule="exact"/>
                    <w:jc w:val="center"/>
                    <w:rPr>
                      <w:color w:val="auto"/>
                      <w:kern w:val="0"/>
                      <w:szCs w:val="21"/>
                    </w:rPr>
                  </w:pPr>
                  <w:r>
                    <w:rPr>
                      <w:color w:val="auto"/>
                      <w:kern w:val="0"/>
                      <w:szCs w:val="21"/>
                    </w:rPr>
                    <w:t>20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43AE0F04">
                  <w:pPr>
                    <w:widowControl/>
                    <w:spacing w:line="320" w:lineRule="exact"/>
                    <w:jc w:val="center"/>
                    <w:rPr>
                      <w:color w:val="auto"/>
                      <w:kern w:val="0"/>
                      <w:szCs w:val="21"/>
                    </w:rPr>
                  </w:pPr>
                  <w:r>
                    <w:rPr>
                      <w:color w:val="auto"/>
                      <w:kern w:val="0"/>
                      <w:szCs w:val="21"/>
                    </w:rPr>
                    <w:t>mg/L</w:t>
                  </w:r>
                </w:p>
              </w:tc>
            </w:tr>
            <w:tr w14:paraId="195384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4647898D">
                  <w:pPr>
                    <w:widowControl/>
                    <w:spacing w:line="320" w:lineRule="exact"/>
                    <w:jc w:val="center"/>
                    <w:rPr>
                      <w:color w:val="auto"/>
                      <w:kern w:val="0"/>
                      <w:szCs w:val="21"/>
                    </w:rPr>
                  </w:pPr>
                  <w:r>
                    <w:rPr>
                      <w:color w:val="auto"/>
                      <w:kern w:val="0"/>
                      <w:szCs w:val="21"/>
                    </w:rPr>
                    <w:t>11</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46CE1C1E">
                  <w:pPr>
                    <w:widowControl/>
                    <w:spacing w:line="320" w:lineRule="exact"/>
                    <w:jc w:val="center"/>
                    <w:rPr>
                      <w:color w:val="auto"/>
                      <w:kern w:val="0"/>
                      <w:szCs w:val="21"/>
                    </w:rPr>
                  </w:pPr>
                  <w:r>
                    <w:rPr>
                      <w:color w:val="auto"/>
                      <w:kern w:val="0"/>
                      <w:szCs w:val="21"/>
                    </w:rPr>
                    <w:t>阴离子表面活性剂(LAS)</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3C0555E9">
                  <w:pPr>
                    <w:widowControl/>
                    <w:spacing w:line="320" w:lineRule="exact"/>
                    <w:jc w:val="center"/>
                    <w:rPr>
                      <w:color w:val="auto"/>
                      <w:kern w:val="0"/>
                      <w:szCs w:val="21"/>
                    </w:rPr>
                  </w:pPr>
                  <w:r>
                    <w:rPr>
                      <w:color w:val="auto"/>
                      <w:kern w:val="0"/>
                      <w:szCs w:val="21"/>
                    </w:rPr>
                    <w:t>10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65AFE5F7">
                  <w:pPr>
                    <w:widowControl/>
                    <w:spacing w:line="320" w:lineRule="exact"/>
                    <w:jc w:val="center"/>
                    <w:rPr>
                      <w:color w:val="auto"/>
                      <w:kern w:val="0"/>
                      <w:szCs w:val="21"/>
                    </w:rPr>
                  </w:pPr>
                  <w:r>
                    <w:rPr>
                      <w:color w:val="auto"/>
                      <w:kern w:val="0"/>
                      <w:szCs w:val="21"/>
                    </w:rPr>
                    <w:t>mg/L</w:t>
                  </w:r>
                </w:p>
              </w:tc>
            </w:tr>
            <w:tr w14:paraId="1EE7B4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702EE64B">
                  <w:pPr>
                    <w:widowControl/>
                    <w:spacing w:line="320" w:lineRule="exact"/>
                    <w:jc w:val="center"/>
                    <w:rPr>
                      <w:color w:val="auto"/>
                      <w:kern w:val="0"/>
                      <w:szCs w:val="21"/>
                    </w:rPr>
                  </w:pPr>
                  <w:r>
                    <w:rPr>
                      <w:color w:val="auto"/>
                      <w:kern w:val="0"/>
                      <w:szCs w:val="21"/>
                    </w:rPr>
                    <w:t>12</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43FA1786">
                  <w:pPr>
                    <w:widowControl/>
                    <w:spacing w:line="320" w:lineRule="exact"/>
                    <w:jc w:val="center"/>
                    <w:rPr>
                      <w:color w:val="auto"/>
                      <w:kern w:val="0"/>
                      <w:szCs w:val="21"/>
                    </w:rPr>
                  </w:pPr>
                  <w:r>
                    <w:rPr>
                      <w:color w:val="auto"/>
                      <w:kern w:val="0"/>
                      <w:szCs w:val="21"/>
                    </w:rPr>
                    <w:t>色度</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131A1BF2">
                  <w:pPr>
                    <w:widowControl/>
                    <w:spacing w:line="320" w:lineRule="exact"/>
                    <w:jc w:val="center"/>
                    <w:rPr>
                      <w:color w:val="auto"/>
                      <w:kern w:val="0"/>
                      <w:szCs w:val="21"/>
                    </w:rPr>
                  </w:pPr>
                  <w:r>
                    <w:rPr>
                      <w:color w:val="auto"/>
                      <w:kern w:val="0"/>
                      <w:szCs w:val="21"/>
                    </w:rPr>
                    <w:t>--</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45C0F4BA">
                  <w:pPr>
                    <w:widowControl/>
                    <w:spacing w:line="320" w:lineRule="exact"/>
                    <w:jc w:val="center"/>
                    <w:rPr>
                      <w:color w:val="auto"/>
                      <w:kern w:val="0"/>
                      <w:szCs w:val="21"/>
                    </w:rPr>
                  </w:pPr>
                  <w:r>
                    <w:rPr>
                      <w:color w:val="auto"/>
                      <w:kern w:val="0"/>
                      <w:szCs w:val="21"/>
                    </w:rPr>
                    <w:t>稀释倍数</w:t>
                  </w:r>
                </w:p>
              </w:tc>
            </w:tr>
            <w:tr w14:paraId="3C7AC9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6A47F997">
                  <w:pPr>
                    <w:widowControl/>
                    <w:spacing w:line="320" w:lineRule="exact"/>
                    <w:jc w:val="center"/>
                    <w:rPr>
                      <w:color w:val="auto"/>
                      <w:kern w:val="0"/>
                      <w:szCs w:val="21"/>
                    </w:rPr>
                  </w:pPr>
                  <w:r>
                    <w:rPr>
                      <w:color w:val="auto"/>
                      <w:kern w:val="0"/>
                      <w:szCs w:val="21"/>
                    </w:rPr>
                    <w:t>13</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400C6D8E">
                  <w:pPr>
                    <w:widowControl/>
                    <w:spacing w:line="320" w:lineRule="exact"/>
                    <w:jc w:val="center"/>
                    <w:rPr>
                      <w:color w:val="auto"/>
                      <w:kern w:val="0"/>
                      <w:szCs w:val="21"/>
                    </w:rPr>
                  </w:pPr>
                  <w:r>
                    <w:rPr>
                      <w:color w:val="auto"/>
                      <w:kern w:val="0"/>
                      <w:szCs w:val="21"/>
                    </w:rPr>
                    <w:t>挥发酚</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5E54934D">
                  <w:pPr>
                    <w:widowControl/>
                    <w:spacing w:line="320" w:lineRule="exact"/>
                    <w:jc w:val="center"/>
                    <w:rPr>
                      <w:color w:val="auto"/>
                      <w:kern w:val="0"/>
                      <w:szCs w:val="21"/>
                    </w:rPr>
                  </w:pPr>
                  <w:r>
                    <w:rPr>
                      <w:color w:val="auto"/>
                      <w:kern w:val="0"/>
                      <w:szCs w:val="21"/>
                    </w:rPr>
                    <w:t>1.0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00B90CD4">
                  <w:pPr>
                    <w:widowControl/>
                    <w:spacing w:line="320" w:lineRule="exact"/>
                    <w:jc w:val="center"/>
                    <w:rPr>
                      <w:color w:val="auto"/>
                      <w:kern w:val="0"/>
                      <w:szCs w:val="21"/>
                    </w:rPr>
                  </w:pPr>
                  <w:r>
                    <w:rPr>
                      <w:color w:val="auto"/>
                      <w:kern w:val="0"/>
                      <w:szCs w:val="21"/>
                    </w:rPr>
                    <w:t>mg/L</w:t>
                  </w:r>
                </w:p>
              </w:tc>
            </w:tr>
            <w:tr w14:paraId="0BDF541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5142CF2E">
                  <w:pPr>
                    <w:widowControl/>
                    <w:spacing w:line="320" w:lineRule="exact"/>
                    <w:jc w:val="center"/>
                    <w:rPr>
                      <w:color w:val="auto"/>
                      <w:kern w:val="0"/>
                      <w:szCs w:val="21"/>
                    </w:rPr>
                  </w:pPr>
                  <w:r>
                    <w:rPr>
                      <w:color w:val="auto"/>
                      <w:kern w:val="0"/>
                      <w:szCs w:val="21"/>
                    </w:rPr>
                    <w:t>14</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1030422F">
                  <w:pPr>
                    <w:widowControl/>
                    <w:spacing w:line="320" w:lineRule="exact"/>
                    <w:jc w:val="center"/>
                    <w:rPr>
                      <w:color w:val="auto"/>
                      <w:kern w:val="0"/>
                      <w:szCs w:val="21"/>
                    </w:rPr>
                  </w:pPr>
                  <w:r>
                    <w:rPr>
                      <w:color w:val="auto"/>
                      <w:kern w:val="0"/>
                      <w:szCs w:val="21"/>
                    </w:rPr>
                    <w:t>总氰化物</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6E087289">
                  <w:pPr>
                    <w:widowControl/>
                    <w:spacing w:line="320" w:lineRule="exact"/>
                    <w:jc w:val="center"/>
                    <w:rPr>
                      <w:color w:val="auto"/>
                      <w:kern w:val="0"/>
                      <w:szCs w:val="21"/>
                    </w:rPr>
                  </w:pPr>
                  <w:r>
                    <w:rPr>
                      <w:color w:val="auto"/>
                      <w:kern w:val="0"/>
                      <w:szCs w:val="21"/>
                    </w:rPr>
                    <w:t>0.5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5084B1CA">
                  <w:pPr>
                    <w:widowControl/>
                    <w:spacing w:line="320" w:lineRule="exact"/>
                    <w:jc w:val="center"/>
                    <w:rPr>
                      <w:color w:val="auto"/>
                      <w:kern w:val="0"/>
                      <w:szCs w:val="21"/>
                    </w:rPr>
                  </w:pPr>
                  <w:r>
                    <w:rPr>
                      <w:color w:val="auto"/>
                      <w:kern w:val="0"/>
                      <w:szCs w:val="21"/>
                    </w:rPr>
                    <w:cr/>
                  </w:r>
                  <w:r>
                    <w:rPr>
                      <w:color w:val="auto"/>
                      <w:kern w:val="0"/>
                      <w:szCs w:val="21"/>
                    </w:rPr>
                    <w:t>g/L</w:t>
                  </w:r>
                </w:p>
              </w:tc>
            </w:tr>
            <w:tr w14:paraId="62CC42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736521A0">
                  <w:pPr>
                    <w:widowControl/>
                    <w:spacing w:line="320" w:lineRule="exact"/>
                    <w:jc w:val="center"/>
                    <w:rPr>
                      <w:color w:val="auto"/>
                      <w:kern w:val="0"/>
                      <w:szCs w:val="21"/>
                    </w:rPr>
                  </w:pPr>
                  <w:r>
                    <w:rPr>
                      <w:color w:val="auto"/>
                      <w:kern w:val="0"/>
                      <w:szCs w:val="21"/>
                    </w:rPr>
                    <w:t>15</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661DCB66">
                  <w:pPr>
                    <w:widowControl/>
                    <w:spacing w:line="320" w:lineRule="exact"/>
                    <w:jc w:val="center"/>
                    <w:rPr>
                      <w:color w:val="auto"/>
                      <w:kern w:val="0"/>
                      <w:szCs w:val="21"/>
                    </w:rPr>
                  </w:pPr>
                  <w:r>
                    <w:rPr>
                      <w:color w:val="auto"/>
                      <w:kern w:val="0"/>
                      <w:szCs w:val="21"/>
                    </w:rPr>
                    <w:t>总汞</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404DC3CA">
                  <w:pPr>
                    <w:widowControl/>
                    <w:spacing w:line="320" w:lineRule="exact"/>
                    <w:jc w:val="center"/>
                    <w:rPr>
                      <w:color w:val="auto"/>
                      <w:kern w:val="0"/>
                      <w:szCs w:val="21"/>
                    </w:rPr>
                  </w:pPr>
                  <w:r>
                    <w:rPr>
                      <w:color w:val="auto"/>
                      <w:kern w:val="0"/>
                      <w:szCs w:val="21"/>
                    </w:rPr>
                    <w:t>0.05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54ED7459">
                  <w:pPr>
                    <w:widowControl/>
                    <w:spacing w:line="320" w:lineRule="exact"/>
                    <w:jc w:val="center"/>
                    <w:rPr>
                      <w:color w:val="auto"/>
                      <w:kern w:val="0"/>
                      <w:szCs w:val="21"/>
                    </w:rPr>
                  </w:pPr>
                  <w:r>
                    <w:rPr>
                      <w:color w:val="auto"/>
                      <w:kern w:val="0"/>
                      <w:szCs w:val="21"/>
                    </w:rPr>
                    <w:t>mg/L</w:t>
                  </w:r>
                </w:p>
              </w:tc>
            </w:tr>
            <w:tr w14:paraId="0F3A9A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7A468DE3">
                  <w:pPr>
                    <w:widowControl/>
                    <w:spacing w:line="320" w:lineRule="exact"/>
                    <w:jc w:val="center"/>
                    <w:rPr>
                      <w:color w:val="auto"/>
                      <w:kern w:val="0"/>
                      <w:szCs w:val="21"/>
                    </w:rPr>
                  </w:pPr>
                  <w:r>
                    <w:rPr>
                      <w:color w:val="auto"/>
                      <w:kern w:val="0"/>
                      <w:szCs w:val="21"/>
                    </w:rPr>
                    <w:t>16</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7D7F9F7">
                  <w:pPr>
                    <w:widowControl/>
                    <w:spacing w:line="320" w:lineRule="exact"/>
                    <w:jc w:val="center"/>
                    <w:rPr>
                      <w:color w:val="auto"/>
                      <w:kern w:val="0"/>
                      <w:szCs w:val="21"/>
                    </w:rPr>
                  </w:pPr>
                  <w:r>
                    <w:rPr>
                      <w:color w:val="auto"/>
                      <w:kern w:val="0"/>
                      <w:szCs w:val="21"/>
                    </w:rPr>
                    <w:t>总镉</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0C53909A">
                  <w:pPr>
                    <w:widowControl/>
                    <w:spacing w:line="320" w:lineRule="exact"/>
                    <w:jc w:val="center"/>
                    <w:rPr>
                      <w:color w:val="auto"/>
                      <w:kern w:val="0"/>
                      <w:szCs w:val="21"/>
                    </w:rPr>
                  </w:pPr>
                  <w:r>
                    <w:rPr>
                      <w:color w:val="auto"/>
                      <w:kern w:val="0"/>
                      <w:szCs w:val="21"/>
                    </w:rPr>
                    <w:t>0.1</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28B2F48D">
                  <w:pPr>
                    <w:widowControl/>
                    <w:spacing w:line="320" w:lineRule="exact"/>
                    <w:jc w:val="center"/>
                    <w:rPr>
                      <w:color w:val="auto"/>
                      <w:kern w:val="0"/>
                      <w:szCs w:val="21"/>
                    </w:rPr>
                  </w:pPr>
                  <w:r>
                    <w:rPr>
                      <w:color w:val="auto"/>
                      <w:kern w:val="0"/>
                      <w:szCs w:val="21"/>
                    </w:rPr>
                    <w:t>mg/L</w:t>
                  </w:r>
                </w:p>
              </w:tc>
            </w:tr>
            <w:tr w14:paraId="3D78C0F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473FF040">
                  <w:pPr>
                    <w:widowControl/>
                    <w:spacing w:line="320" w:lineRule="exact"/>
                    <w:jc w:val="center"/>
                    <w:rPr>
                      <w:color w:val="auto"/>
                      <w:kern w:val="0"/>
                      <w:szCs w:val="21"/>
                    </w:rPr>
                  </w:pPr>
                  <w:r>
                    <w:rPr>
                      <w:color w:val="auto"/>
                      <w:kern w:val="0"/>
                      <w:szCs w:val="21"/>
                    </w:rPr>
                    <w:t>17</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5993418">
                  <w:pPr>
                    <w:widowControl/>
                    <w:spacing w:line="320" w:lineRule="exact"/>
                    <w:jc w:val="center"/>
                    <w:rPr>
                      <w:color w:val="auto"/>
                      <w:kern w:val="0"/>
                      <w:szCs w:val="21"/>
                    </w:rPr>
                  </w:pPr>
                  <w:r>
                    <w:rPr>
                      <w:color w:val="auto"/>
                      <w:kern w:val="0"/>
                      <w:szCs w:val="21"/>
                    </w:rPr>
                    <w:t>总铬</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29CFF85A">
                  <w:pPr>
                    <w:widowControl/>
                    <w:spacing w:line="320" w:lineRule="exact"/>
                    <w:jc w:val="center"/>
                    <w:rPr>
                      <w:color w:val="auto"/>
                      <w:kern w:val="0"/>
                      <w:szCs w:val="21"/>
                    </w:rPr>
                  </w:pPr>
                  <w:r>
                    <w:rPr>
                      <w:color w:val="auto"/>
                      <w:kern w:val="0"/>
                      <w:szCs w:val="21"/>
                    </w:rPr>
                    <w:t>1.5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605C8A92">
                  <w:pPr>
                    <w:widowControl/>
                    <w:spacing w:line="320" w:lineRule="exact"/>
                    <w:jc w:val="center"/>
                    <w:rPr>
                      <w:color w:val="auto"/>
                      <w:kern w:val="0"/>
                      <w:szCs w:val="21"/>
                    </w:rPr>
                  </w:pPr>
                  <w:r>
                    <w:rPr>
                      <w:color w:val="auto"/>
                      <w:kern w:val="0"/>
                      <w:szCs w:val="21"/>
                    </w:rPr>
                    <w:t>mg/L</w:t>
                  </w:r>
                </w:p>
              </w:tc>
            </w:tr>
            <w:tr w14:paraId="799FACF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6926B2AF">
                  <w:pPr>
                    <w:widowControl/>
                    <w:spacing w:line="320" w:lineRule="exact"/>
                    <w:jc w:val="center"/>
                    <w:rPr>
                      <w:color w:val="auto"/>
                      <w:kern w:val="0"/>
                      <w:szCs w:val="21"/>
                    </w:rPr>
                  </w:pPr>
                  <w:r>
                    <w:rPr>
                      <w:color w:val="auto"/>
                      <w:kern w:val="0"/>
                      <w:szCs w:val="21"/>
                    </w:rPr>
                    <w:t>18</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032CC8AC">
                  <w:pPr>
                    <w:widowControl/>
                    <w:spacing w:line="320" w:lineRule="exact"/>
                    <w:jc w:val="center"/>
                    <w:rPr>
                      <w:color w:val="auto"/>
                      <w:kern w:val="0"/>
                      <w:szCs w:val="21"/>
                    </w:rPr>
                  </w:pPr>
                  <w:r>
                    <w:rPr>
                      <w:color w:val="auto"/>
                      <w:kern w:val="0"/>
                      <w:szCs w:val="21"/>
                    </w:rPr>
                    <w:t>六价铬</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25D306D1">
                  <w:pPr>
                    <w:widowControl/>
                    <w:spacing w:line="320" w:lineRule="exact"/>
                    <w:jc w:val="center"/>
                    <w:rPr>
                      <w:color w:val="auto"/>
                      <w:kern w:val="0"/>
                      <w:szCs w:val="21"/>
                    </w:rPr>
                  </w:pPr>
                  <w:r>
                    <w:rPr>
                      <w:color w:val="auto"/>
                      <w:kern w:val="0"/>
                      <w:szCs w:val="21"/>
                    </w:rPr>
                    <w:t>0.5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6A3D886F">
                  <w:pPr>
                    <w:widowControl/>
                    <w:spacing w:line="320" w:lineRule="exact"/>
                    <w:jc w:val="center"/>
                    <w:rPr>
                      <w:color w:val="auto"/>
                      <w:kern w:val="0"/>
                      <w:szCs w:val="21"/>
                    </w:rPr>
                  </w:pPr>
                  <w:r>
                    <w:rPr>
                      <w:color w:val="auto"/>
                      <w:kern w:val="0"/>
                      <w:szCs w:val="21"/>
                    </w:rPr>
                    <w:t>mg/L</w:t>
                  </w:r>
                </w:p>
              </w:tc>
            </w:tr>
            <w:tr w14:paraId="4161F80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0A8E69E1">
                  <w:pPr>
                    <w:widowControl/>
                    <w:spacing w:line="320" w:lineRule="exact"/>
                    <w:jc w:val="center"/>
                    <w:rPr>
                      <w:color w:val="auto"/>
                      <w:kern w:val="0"/>
                      <w:szCs w:val="21"/>
                    </w:rPr>
                  </w:pPr>
                  <w:r>
                    <w:rPr>
                      <w:color w:val="auto"/>
                      <w:kern w:val="0"/>
                      <w:szCs w:val="21"/>
                    </w:rPr>
                    <w:t>19</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5ED86431">
                  <w:pPr>
                    <w:widowControl/>
                    <w:spacing w:line="320" w:lineRule="exact"/>
                    <w:jc w:val="center"/>
                    <w:rPr>
                      <w:color w:val="auto"/>
                      <w:kern w:val="0"/>
                      <w:szCs w:val="21"/>
                    </w:rPr>
                  </w:pPr>
                  <w:r>
                    <w:rPr>
                      <w:color w:val="auto"/>
                      <w:kern w:val="0"/>
                      <w:szCs w:val="21"/>
                    </w:rPr>
                    <w:t>总砷</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10EFC0E0">
                  <w:pPr>
                    <w:widowControl/>
                    <w:spacing w:line="320" w:lineRule="exact"/>
                    <w:jc w:val="center"/>
                    <w:rPr>
                      <w:color w:val="auto"/>
                      <w:kern w:val="0"/>
                      <w:szCs w:val="21"/>
                    </w:rPr>
                  </w:pPr>
                  <w:r>
                    <w:rPr>
                      <w:color w:val="auto"/>
                      <w:kern w:val="0"/>
                      <w:szCs w:val="21"/>
                    </w:rPr>
                    <w:t>0.5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418CDB74">
                  <w:pPr>
                    <w:widowControl/>
                    <w:spacing w:line="320" w:lineRule="exact"/>
                    <w:jc w:val="center"/>
                    <w:rPr>
                      <w:color w:val="auto"/>
                      <w:kern w:val="0"/>
                      <w:szCs w:val="21"/>
                    </w:rPr>
                  </w:pPr>
                  <w:r>
                    <w:rPr>
                      <w:color w:val="auto"/>
                      <w:kern w:val="0"/>
                      <w:szCs w:val="21"/>
                    </w:rPr>
                    <w:t>mg/L</w:t>
                  </w:r>
                </w:p>
              </w:tc>
            </w:tr>
            <w:tr w14:paraId="09855F9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33F43D9C">
                  <w:pPr>
                    <w:widowControl/>
                    <w:spacing w:line="320" w:lineRule="exact"/>
                    <w:jc w:val="center"/>
                    <w:rPr>
                      <w:color w:val="auto"/>
                      <w:kern w:val="0"/>
                      <w:szCs w:val="21"/>
                    </w:rPr>
                  </w:pPr>
                  <w:r>
                    <w:rPr>
                      <w:color w:val="auto"/>
                      <w:kern w:val="0"/>
                      <w:szCs w:val="21"/>
                    </w:rPr>
                    <w:t>20</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54F0310A">
                  <w:pPr>
                    <w:widowControl/>
                    <w:spacing w:line="320" w:lineRule="exact"/>
                    <w:jc w:val="center"/>
                    <w:rPr>
                      <w:color w:val="auto"/>
                      <w:kern w:val="0"/>
                      <w:szCs w:val="21"/>
                    </w:rPr>
                  </w:pPr>
                  <w:r>
                    <w:rPr>
                      <w:color w:val="auto"/>
                      <w:kern w:val="0"/>
                      <w:szCs w:val="21"/>
                    </w:rPr>
                    <w:t>总铅</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59BCBC13">
                  <w:pPr>
                    <w:widowControl/>
                    <w:spacing w:line="320" w:lineRule="exact"/>
                    <w:jc w:val="center"/>
                    <w:rPr>
                      <w:color w:val="auto"/>
                      <w:kern w:val="0"/>
                      <w:szCs w:val="21"/>
                    </w:rPr>
                  </w:pPr>
                  <w:r>
                    <w:rPr>
                      <w:color w:val="auto"/>
                      <w:kern w:val="0"/>
                      <w:szCs w:val="21"/>
                    </w:rPr>
                    <w:t>1.0</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6C77193F">
                  <w:pPr>
                    <w:widowControl/>
                    <w:spacing w:line="320" w:lineRule="exact"/>
                    <w:jc w:val="center"/>
                    <w:rPr>
                      <w:color w:val="auto"/>
                      <w:kern w:val="0"/>
                      <w:szCs w:val="21"/>
                    </w:rPr>
                  </w:pPr>
                  <w:r>
                    <w:rPr>
                      <w:color w:val="auto"/>
                      <w:kern w:val="0"/>
                      <w:szCs w:val="21"/>
                    </w:rPr>
                    <w:t>mg/L</w:t>
                  </w:r>
                </w:p>
              </w:tc>
            </w:tr>
            <w:tr w14:paraId="0C79917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378BC331">
                  <w:pPr>
                    <w:widowControl/>
                    <w:spacing w:line="320" w:lineRule="exact"/>
                    <w:jc w:val="center"/>
                    <w:rPr>
                      <w:color w:val="auto"/>
                      <w:kern w:val="0"/>
                      <w:szCs w:val="21"/>
                    </w:rPr>
                  </w:pPr>
                  <w:r>
                    <w:rPr>
                      <w:color w:val="auto"/>
                      <w:kern w:val="0"/>
                      <w:szCs w:val="21"/>
                    </w:rPr>
                    <w:t>21</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231C3780">
                  <w:pPr>
                    <w:widowControl/>
                    <w:spacing w:line="320" w:lineRule="exact"/>
                    <w:jc w:val="center"/>
                    <w:rPr>
                      <w:color w:val="auto"/>
                      <w:kern w:val="0"/>
                      <w:szCs w:val="21"/>
                    </w:rPr>
                  </w:pPr>
                  <w:r>
                    <w:rPr>
                      <w:color w:val="auto"/>
                      <w:kern w:val="0"/>
                      <w:szCs w:val="21"/>
                    </w:rPr>
                    <w:t>总银</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276A8C0F">
                  <w:pPr>
                    <w:widowControl/>
                    <w:spacing w:line="320" w:lineRule="exact"/>
                    <w:jc w:val="center"/>
                    <w:rPr>
                      <w:color w:val="auto"/>
                      <w:kern w:val="0"/>
                      <w:szCs w:val="21"/>
                    </w:rPr>
                  </w:pPr>
                  <w:r>
                    <w:rPr>
                      <w:color w:val="auto"/>
                      <w:kern w:val="0"/>
                      <w:szCs w:val="21"/>
                    </w:rPr>
                    <w:t>0.5</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3C35F032">
                  <w:pPr>
                    <w:widowControl/>
                    <w:spacing w:line="320" w:lineRule="exact"/>
                    <w:jc w:val="center"/>
                    <w:rPr>
                      <w:color w:val="auto"/>
                      <w:kern w:val="0"/>
                      <w:szCs w:val="21"/>
                    </w:rPr>
                  </w:pPr>
                  <w:r>
                    <w:rPr>
                      <w:color w:val="auto"/>
                      <w:kern w:val="0"/>
                      <w:szCs w:val="21"/>
                    </w:rPr>
                    <w:t>mg/L</w:t>
                  </w:r>
                </w:p>
              </w:tc>
            </w:tr>
            <w:tr w14:paraId="0DC652E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00" w:hRule="atLeast"/>
              </w:trPr>
              <w:tc>
                <w:tcPr>
                  <w:tcW w:w="636" w:type="pct"/>
                  <w:tcBorders>
                    <w:top w:val="single" w:color="auto" w:sz="2" w:space="0"/>
                    <w:left w:val="single" w:color="auto" w:sz="4" w:space="0"/>
                    <w:bottom w:val="single" w:color="auto" w:sz="2" w:space="0"/>
                    <w:right w:val="single" w:color="auto" w:sz="2" w:space="0"/>
                  </w:tcBorders>
                  <w:noWrap w:val="0"/>
                  <w:vAlign w:val="center"/>
                </w:tcPr>
                <w:p w14:paraId="415AE542">
                  <w:pPr>
                    <w:widowControl/>
                    <w:spacing w:line="320" w:lineRule="exact"/>
                    <w:jc w:val="center"/>
                    <w:rPr>
                      <w:color w:val="auto"/>
                      <w:kern w:val="0"/>
                      <w:szCs w:val="21"/>
                    </w:rPr>
                  </w:pPr>
                  <w:r>
                    <w:rPr>
                      <w:color w:val="auto"/>
                      <w:kern w:val="0"/>
                      <w:szCs w:val="21"/>
                    </w:rPr>
                    <w:t>22</w:t>
                  </w:r>
                </w:p>
              </w:tc>
              <w:tc>
                <w:tcPr>
                  <w:tcW w:w="1582" w:type="pct"/>
                  <w:tcBorders>
                    <w:top w:val="single" w:color="auto" w:sz="2" w:space="0"/>
                    <w:left w:val="single" w:color="auto" w:sz="2" w:space="0"/>
                    <w:bottom w:val="single" w:color="auto" w:sz="2" w:space="0"/>
                    <w:right w:val="single" w:color="auto" w:sz="2" w:space="0"/>
                  </w:tcBorders>
                  <w:noWrap w:val="0"/>
                  <w:vAlign w:val="center"/>
                </w:tcPr>
                <w:p w14:paraId="0740CD82">
                  <w:pPr>
                    <w:widowControl/>
                    <w:spacing w:line="320" w:lineRule="exact"/>
                    <w:jc w:val="center"/>
                    <w:rPr>
                      <w:color w:val="auto"/>
                      <w:kern w:val="0"/>
                      <w:szCs w:val="21"/>
                    </w:rPr>
                  </w:pPr>
                  <w:r>
                    <w:rPr>
                      <w:color w:val="auto"/>
                      <w:kern w:val="0"/>
                      <w:szCs w:val="21"/>
                    </w:rPr>
                    <w:t>总余氯</w:t>
                  </w:r>
                </w:p>
              </w:tc>
              <w:tc>
                <w:tcPr>
                  <w:tcW w:w="1341" w:type="pct"/>
                  <w:tcBorders>
                    <w:top w:val="single" w:color="auto" w:sz="2" w:space="0"/>
                    <w:left w:val="single" w:color="auto" w:sz="2" w:space="0"/>
                    <w:bottom w:val="single" w:color="auto" w:sz="2" w:space="0"/>
                    <w:right w:val="single" w:color="auto" w:sz="2" w:space="0"/>
                  </w:tcBorders>
                  <w:noWrap w:val="0"/>
                  <w:vAlign w:val="top"/>
                </w:tcPr>
                <w:p w14:paraId="25279B79">
                  <w:pPr>
                    <w:widowControl/>
                    <w:spacing w:line="320" w:lineRule="exact"/>
                    <w:jc w:val="center"/>
                    <w:rPr>
                      <w:color w:val="auto"/>
                      <w:kern w:val="0"/>
                      <w:szCs w:val="21"/>
                    </w:rPr>
                  </w:pPr>
                  <w:r>
                    <w:rPr>
                      <w:rFonts w:hint="eastAsia"/>
                      <w:color w:val="auto"/>
                      <w:kern w:val="0"/>
                      <w:szCs w:val="21"/>
                    </w:rPr>
                    <w:t>2-8（项目使用含氯消毒剂）</w:t>
                  </w:r>
                </w:p>
              </w:tc>
              <w:tc>
                <w:tcPr>
                  <w:tcW w:w="1439" w:type="pct"/>
                  <w:tcBorders>
                    <w:top w:val="single" w:color="auto" w:sz="2" w:space="0"/>
                    <w:left w:val="single" w:color="auto" w:sz="2" w:space="0"/>
                    <w:bottom w:val="single" w:color="auto" w:sz="2" w:space="0"/>
                    <w:right w:val="single" w:color="auto" w:sz="4" w:space="0"/>
                  </w:tcBorders>
                  <w:noWrap w:val="0"/>
                  <w:vAlign w:val="center"/>
                </w:tcPr>
                <w:p w14:paraId="5A393023">
                  <w:pPr>
                    <w:widowControl/>
                    <w:spacing w:line="320" w:lineRule="exact"/>
                    <w:jc w:val="center"/>
                    <w:rPr>
                      <w:color w:val="auto"/>
                      <w:kern w:val="0"/>
                      <w:szCs w:val="21"/>
                    </w:rPr>
                  </w:pPr>
                  <w:r>
                    <w:rPr>
                      <w:color w:val="auto"/>
                      <w:kern w:val="0"/>
                      <w:szCs w:val="21"/>
                    </w:rPr>
                    <w:t>mg/L</w:t>
                  </w:r>
                </w:p>
              </w:tc>
            </w:tr>
          </w:tbl>
          <w:p w14:paraId="32CFAD65">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both"/>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bCs/>
                <w:color w:val="auto"/>
                <w:kern w:val="0"/>
                <w:sz w:val="21"/>
                <w:szCs w:val="21"/>
                <w:lang w:eastAsia="zh-CN"/>
              </w:rPr>
              <w:t>注：</w:t>
            </w:r>
            <w:r>
              <w:rPr>
                <w:color w:val="auto"/>
                <w:sz w:val="21"/>
                <w:szCs w:val="21"/>
              </w:rPr>
              <w:t>①</w:t>
            </w:r>
            <w:r>
              <w:rPr>
                <w:rFonts w:hint="default" w:ascii="Times New Roman" w:hAnsi="Times New Roman" w:eastAsia="宋体" w:cs="Times New Roman"/>
                <w:b w:val="0"/>
                <w:bCs w:val="0"/>
                <w:color w:val="auto"/>
                <w:sz w:val="21"/>
                <w:szCs w:val="21"/>
                <w:lang w:val="en-US" w:eastAsia="zh-CN"/>
              </w:rPr>
              <w:t>*标记指标执行</w:t>
            </w:r>
            <w:r>
              <w:rPr>
                <w:rFonts w:hint="default" w:ascii="Times New Roman" w:hAnsi="Times New Roman" w:eastAsia="宋体" w:cs="Times New Roman"/>
                <w:b w:val="0"/>
                <w:bCs w:val="0"/>
                <w:color w:val="auto"/>
                <w:kern w:val="0"/>
                <w:sz w:val="21"/>
                <w:szCs w:val="21"/>
              </w:rPr>
              <w:t>《污水排入城镇下水道水质标准》（GB/T31962-2015）</w:t>
            </w:r>
            <w:r>
              <w:rPr>
                <w:rFonts w:hint="default" w:ascii="Times New Roman" w:hAnsi="Times New Roman" w:eastAsia="宋体" w:cs="Times New Roman"/>
                <w:b w:val="0"/>
                <w:bCs w:val="0"/>
                <w:color w:val="auto"/>
                <w:kern w:val="0"/>
                <w:sz w:val="21"/>
                <w:szCs w:val="21"/>
                <w:lang w:eastAsia="zh-CN"/>
              </w:rPr>
              <w:t>表</w:t>
            </w:r>
            <w:r>
              <w:rPr>
                <w:rFonts w:hint="default" w:ascii="Times New Roman" w:hAnsi="Times New Roman" w:eastAsia="宋体" w:cs="Times New Roman"/>
                <w:b w:val="0"/>
                <w:bCs w:val="0"/>
                <w:color w:val="auto"/>
                <w:kern w:val="0"/>
                <w:sz w:val="21"/>
                <w:szCs w:val="21"/>
                <w:lang w:val="en-US" w:eastAsia="zh-CN"/>
              </w:rPr>
              <w:t>1B级标准。</w:t>
            </w:r>
          </w:p>
          <w:p w14:paraId="263097A6">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 xml:space="preserve">采用含氯消毒剂消毒的工艺控制要求为：排放标准：消毒接触池接触时间≥1h，接触池出口总余氯3~10mg/L。预处理标准：消毒接触池接触时间≥1h，接触池出口总余氯 2~8mg/L。 </w:t>
            </w:r>
          </w:p>
          <w:p w14:paraId="5936E94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color w:val="auto"/>
              </w:rPr>
            </w:pPr>
            <w:r>
              <w:rPr>
                <w:color w:val="auto"/>
                <w:szCs w:val="21"/>
              </w:rPr>
              <w:t>②采用其他消毒剂对总余氯不作要求。</w:t>
            </w:r>
          </w:p>
          <w:p w14:paraId="26518225">
            <w:pPr>
              <w:spacing w:before="120" w:beforeLines="50"/>
              <w:jc w:val="center"/>
              <w:rPr>
                <w:b/>
                <w:bCs/>
                <w:color w:val="auto"/>
                <w:kern w:val="0"/>
                <w:sz w:val="21"/>
                <w:szCs w:val="21"/>
              </w:rPr>
            </w:pPr>
            <w:r>
              <w:rPr>
                <w:b/>
                <w:bCs/>
                <w:color w:val="auto"/>
                <w:kern w:val="0"/>
                <w:sz w:val="21"/>
                <w:szCs w:val="21"/>
              </w:rPr>
              <w:t>表3-</w:t>
            </w:r>
            <w:r>
              <w:rPr>
                <w:rFonts w:hint="eastAsia"/>
                <w:b/>
                <w:bCs/>
                <w:color w:val="auto"/>
                <w:kern w:val="0"/>
                <w:sz w:val="21"/>
                <w:szCs w:val="21"/>
              </w:rPr>
              <w:t>8</w:t>
            </w:r>
            <w:r>
              <w:rPr>
                <w:b/>
                <w:bCs/>
                <w:color w:val="auto"/>
                <w:sz w:val="21"/>
                <w:szCs w:val="21"/>
              </w:rPr>
              <w:t>《城镇污水处理厂污染物排放标准》</w:t>
            </w:r>
            <w:r>
              <w:rPr>
                <w:b/>
                <w:bCs/>
                <w:color w:val="auto"/>
                <w:kern w:val="0"/>
                <w:sz w:val="21"/>
                <w:szCs w:val="21"/>
              </w:rPr>
              <w:t xml:space="preserve"> 单位：mg/L，pH无量纲</w:t>
            </w:r>
          </w:p>
          <w:tbl>
            <w:tblPr>
              <w:tblStyle w:val="25"/>
              <w:tblW w:w="49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234"/>
              <w:gridCol w:w="583"/>
              <w:gridCol w:w="692"/>
              <w:gridCol w:w="749"/>
              <w:gridCol w:w="543"/>
              <w:gridCol w:w="751"/>
              <w:gridCol w:w="710"/>
              <w:gridCol w:w="1019"/>
              <w:gridCol w:w="635"/>
            </w:tblGrid>
            <w:tr w14:paraId="06CB0F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pct"/>
                  <w:tcBorders>
                    <w:top w:val="single" w:color="auto" w:sz="4" w:space="0"/>
                    <w:left w:val="single" w:color="auto" w:sz="4" w:space="0"/>
                  </w:tcBorders>
                  <w:noWrap w:val="0"/>
                  <w:vAlign w:val="center"/>
                </w:tcPr>
                <w:p w14:paraId="1F71BC5D">
                  <w:pPr>
                    <w:adjustRightInd w:val="0"/>
                    <w:snapToGrid w:val="0"/>
                    <w:jc w:val="center"/>
                    <w:rPr>
                      <w:b/>
                      <w:bCs/>
                      <w:color w:val="auto"/>
                      <w:szCs w:val="21"/>
                    </w:rPr>
                  </w:pPr>
                  <w:r>
                    <w:rPr>
                      <w:b/>
                      <w:bCs/>
                      <w:color w:val="auto"/>
                      <w:szCs w:val="21"/>
                    </w:rPr>
                    <w:t>项目</w:t>
                  </w:r>
                </w:p>
              </w:tc>
              <w:tc>
                <w:tcPr>
                  <w:tcW w:w="368" w:type="pct"/>
                  <w:tcBorders>
                    <w:top w:val="single" w:color="auto" w:sz="4" w:space="0"/>
                  </w:tcBorders>
                  <w:noWrap w:val="0"/>
                  <w:vAlign w:val="center"/>
                </w:tcPr>
                <w:p w14:paraId="4E422D53">
                  <w:pPr>
                    <w:adjustRightInd w:val="0"/>
                    <w:snapToGrid w:val="0"/>
                    <w:jc w:val="center"/>
                    <w:rPr>
                      <w:b/>
                      <w:bCs/>
                      <w:color w:val="auto"/>
                      <w:szCs w:val="21"/>
                    </w:rPr>
                  </w:pPr>
                  <w:r>
                    <w:rPr>
                      <w:b/>
                      <w:bCs/>
                      <w:color w:val="auto"/>
                      <w:szCs w:val="21"/>
                    </w:rPr>
                    <w:t>pH</w:t>
                  </w:r>
                </w:p>
              </w:tc>
              <w:tc>
                <w:tcPr>
                  <w:tcW w:w="437" w:type="pct"/>
                  <w:tcBorders>
                    <w:top w:val="single" w:color="auto" w:sz="4" w:space="0"/>
                  </w:tcBorders>
                  <w:noWrap w:val="0"/>
                  <w:vAlign w:val="center"/>
                </w:tcPr>
                <w:p w14:paraId="1BA96AEF">
                  <w:pPr>
                    <w:adjustRightInd w:val="0"/>
                    <w:snapToGrid w:val="0"/>
                    <w:jc w:val="center"/>
                    <w:rPr>
                      <w:b/>
                      <w:bCs/>
                      <w:color w:val="auto"/>
                      <w:szCs w:val="21"/>
                    </w:rPr>
                  </w:pPr>
                  <w:r>
                    <w:rPr>
                      <w:b/>
                      <w:bCs/>
                      <w:color w:val="auto"/>
                      <w:szCs w:val="21"/>
                    </w:rPr>
                    <w:t>COD</w:t>
                  </w:r>
                </w:p>
              </w:tc>
              <w:tc>
                <w:tcPr>
                  <w:tcW w:w="473" w:type="pct"/>
                  <w:tcBorders>
                    <w:top w:val="single" w:color="auto" w:sz="4" w:space="0"/>
                    <w:right w:val="single" w:color="auto" w:sz="4" w:space="0"/>
                  </w:tcBorders>
                  <w:noWrap w:val="0"/>
                  <w:vAlign w:val="center"/>
                </w:tcPr>
                <w:p w14:paraId="6335C36F">
                  <w:pPr>
                    <w:adjustRightInd w:val="0"/>
                    <w:snapToGrid w:val="0"/>
                    <w:jc w:val="center"/>
                    <w:rPr>
                      <w:b/>
                      <w:bCs/>
                      <w:color w:val="auto"/>
                      <w:szCs w:val="21"/>
                    </w:rPr>
                  </w:pPr>
                  <w:r>
                    <w:rPr>
                      <w:b/>
                      <w:bCs/>
                      <w:color w:val="auto"/>
                      <w:szCs w:val="21"/>
                    </w:rPr>
                    <w:t>BOD</w:t>
                  </w:r>
                  <w:r>
                    <w:rPr>
                      <w:b/>
                      <w:bCs/>
                      <w:color w:val="auto"/>
                      <w:szCs w:val="21"/>
                      <w:vertAlign w:val="subscript"/>
                    </w:rPr>
                    <w:t>5</w:t>
                  </w:r>
                </w:p>
              </w:tc>
              <w:tc>
                <w:tcPr>
                  <w:tcW w:w="343" w:type="pct"/>
                  <w:tcBorders>
                    <w:top w:val="single" w:color="auto" w:sz="4" w:space="0"/>
                  </w:tcBorders>
                  <w:noWrap w:val="0"/>
                  <w:vAlign w:val="center"/>
                </w:tcPr>
                <w:p w14:paraId="04506FF6">
                  <w:pPr>
                    <w:adjustRightInd w:val="0"/>
                    <w:snapToGrid w:val="0"/>
                    <w:jc w:val="center"/>
                    <w:rPr>
                      <w:b/>
                      <w:bCs/>
                      <w:color w:val="auto"/>
                      <w:szCs w:val="21"/>
                    </w:rPr>
                  </w:pPr>
                  <w:r>
                    <w:rPr>
                      <w:b/>
                      <w:bCs/>
                      <w:color w:val="auto"/>
                      <w:szCs w:val="21"/>
                    </w:rPr>
                    <w:t>SS</w:t>
                  </w:r>
                </w:p>
              </w:tc>
              <w:tc>
                <w:tcPr>
                  <w:tcW w:w="474" w:type="pct"/>
                  <w:tcBorders>
                    <w:top w:val="single" w:color="auto" w:sz="4" w:space="0"/>
                  </w:tcBorders>
                  <w:noWrap w:val="0"/>
                  <w:vAlign w:val="center"/>
                </w:tcPr>
                <w:p w14:paraId="0DCA90BF">
                  <w:pPr>
                    <w:adjustRightInd w:val="0"/>
                    <w:snapToGrid w:val="0"/>
                    <w:jc w:val="center"/>
                    <w:rPr>
                      <w:b/>
                      <w:bCs/>
                      <w:color w:val="auto"/>
                      <w:szCs w:val="21"/>
                    </w:rPr>
                  </w:pPr>
                  <w:r>
                    <w:rPr>
                      <w:b/>
                      <w:bCs/>
                      <w:color w:val="auto"/>
                      <w:szCs w:val="21"/>
                    </w:rPr>
                    <w:t>NH</w:t>
                  </w:r>
                  <w:r>
                    <w:rPr>
                      <w:b/>
                      <w:bCs/>
                      <w:color w:val="auto"/>
                      <w:szCs w:val="21"/>
                      <w:vertAlign w:val="subscript"/>
                    </w:rPr>
                    <w:t>3</w:t>
                  </w:r>
                  <w:r>
                    <w:rPr>
                      <w:b/>
                      <w:bCs/>
                      <w:color w:val="auto"/>
                      <w:szCs w:val="21"/>
                    </w:rPr>
                    <w:t>-N</w:t>
                  </w:r>
                </w:p>
              </w:tc>
              <w:tc>
                <w:tcPr>
                  <w:tcW w:w="448" w:type="pct"/>
                  <w:tcBorders>
                    <w:top w:val="single" w:color="auto" w:sz="4" w:space="0"/>
                    <w:right w:val="single" w:color="auto" w:sz="4" w:space="0"/>
                  </w:tcBorders>
                  <w:noWrap w:val="0"/>
                  <w:vAlign w:val="center"/>
                </w:tcPr>
                <w:p w14:paraId="52F38E97">
                  <w:pPr>
                    <w:adjustRightInd w:val="0"/>
                    <w:snapToGrid w:val="0"/>
                    <w:jc w:val="center"/>
                    <w:rPr>
                      <w:b/>
                      <w:bCs/>
                      <w:color w:val="auto"/>
                      <w:szCs w:val="21"/>
                    </w:rPr>
                  </w:pPr>
                  <w:r>
                    <w:rPr>
                      <w:b/>
                      <w:bCs/>
                      <w:color w:val="auto"/>
                      <w:szCs w:val="21"/>
                    </w:rPr>
                    <w:t>动植物油</w:t>
                  </w:r>
                </w:p>
              </w:tc>
              <w:tc>
                <w:tcPr>
                  <w:tcW w:w="643" w:type="pct"/>
                  <w:tcBorders>
                    <w:top w:val="single" w:color="auto" w:sz="4" w:space="0"/>
                    <w:right w:val="single" w:color="auto" w:sz="4" w:space="0"/>
                  </w:tcBorders>
                  <w:noWrap w:val="0"/>
                  <w:vAlign w:val="center"/>
                </w:tcPr>
                <w:p w14:paraId="7C1561C1">
                  <w:pPr>
                    <w:adjustRightInd w:val="0"/>
                    <w:snapToGrid w:val="0"/>
                    <w:jc w:val="center"/>
                    <w:rPr>
                      <w:b/>
                      <w:bCs/>
                      <w:color w:val="auto"/>
                      <w:szCs w:val="21"/>
                    </w:rPr>
                  </w:pPr>
                  <w:r>
                    <w:rPr>
                      <w:b/>
                      <w:bCs/>
                      <w:color w:val="auto"/>
                      <w:szCs w:val="21"/>
                    </w:rPr>
                    <w:t>粪大肠菌数（个/L）</w:t>
                  </w:r>
                </w:p>
              </w:tc>
              <w:tc>
                <w:tcPr>
                  <w:tcW w:w="400" w:type="pct"/>
                  <w:tcBorders>
                    <w:top w:val="single" w:color="auto" w:sz="4" w:space="0"/>
                    <w:right w:val="single" w:color="auto" w:sz="4" w:space="0"/>
                  </w:tcBorders>
                  <w:noWrap w:val="0"/>
                  <w:vAlign w:val="center"/>
                </w:tcPr>
                <w:p w14:paraId="558B8F3D">
                  <w:pPr>
                    <w:adjustRightInd w:val="0"/>
                    <w:snapToGrid w:val="0"/>
                    <w:jc w:val="center"/>
                    <w:rPr>
                      <w:b/>
                      <w:bCs/>
                      <w:color w:val="auto"/>
                      <w:szCs w:val="21"/>
                    </w:rPr>
                  </w:pPr>
                  <w:r>
                    <w:rPr>
                      <w:b/>
                      <w:bCs/>
                      <w:color w:val="auto"/>
                      <w:szCs w:val="21"/>
                    </w:rPr>
                    <w:t>LAS</w:t>
                  </w:r>
                </w:p>
              </w:tc>
            </w:tr>
            <w:tr w14:paraId="71410C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0" w:type="pct"/>
                  <w:tcBorders>
                    <w:left w:val="single" w:color="auto" w:sz="4" w:space="0"/>
                    <w:bottom w:val="single" w:color="auto" w:sz="4" w:space="0"/>
                  </w:tcBorders>
                  <w:noWrap w:val="0"/>
                  <w:vAlign w:val="center"/>
                </w:tcPr>
                <w:p w14:paraId="28DF68FB">
                  <w:pPr>
                    <w:adjustRightInd w:val="0"/>
                    <w:snapToGrid w:val="0"/>
                    <w:jc w:val="center"/>
                    <w:rPr>
                      <w:color w:val="auto"/>
                      <w:szCs w:val="21"/>
                    </w:rPr>
                  </w:pPr>
                  <w:r>
                    <w:rPr>
                      <w:color w:val="auto"/>
                      <w:szCs w:val="21"/>
                    </w:rPr>
                    <w:t>《城镇污水处理厂污染物排放标准》（GB18918-2002）一级A标</w:t>
                  </w:r>
                </w:p>
              </w:tc>
              <w:tc>
                <w:tcPr>
                  <w:tcW w:w="368" w:type="pct"/>
                  <w:tcBorders>
                    <w:bottom w:val="single" w:color="auto" w:sz="4" w:space="0"/>
                  </w:tcBorders>
                  <w:noWrap w:val="0"/>
                  <w:vAlign w:val="center"/>
                </w:tcPr>
                <w:p w14:paraId="720E6299">
                  <w:pPr>
                    <w:adjustRightInd w:val="0"/>
                    <w:snapToGrid w:val="0"/>
                    <w:jc w:val="center"/>
                    <w:rPr>
                      <w:color w:val="auto"/>
                      <w:szCs w:val="21"/>
                    </w:rPr>
                  </w:pPr>
                  <w:r>
                    <w:rPr>
                      <w:color w:val="auto"/>
                      <w:szCs w:val="21"/>
                    </w:rPr>
                    <w:t>6~9</w:t>
                  </w:r>
                </w:p>
              </w:tc>
              <w:tc>
                <w:tcPr>
                  <w:tcW w:w="437" w:type="pct"/>
                  <w:tcBorders>
                    <w:bottom w:val="single" w:color="auto" w:sz="4" w:space="0"/>
                  </w:tcBorders>
                  <w:noWrap w:val="0"/>
                  <w:vAlign w:val="center"/>
                </w:tcPr>
                <w:p w14:paraId="2DD9AF7E">
                  <w:pPr>
                    <w:adjustRightInd w:val="0"/>
                    <w:snapToGrid w:val="0"/>
                    <w:jc w:val="center"/>
                    <w:rPr>
                      <w:color w:val="auto"/>
                      <w:szCs w:val="21"/>
                    </w:rPr>
                  </w:pPr>
                  <w:r>
                    <w:rPr>
                      <w:color w:val="auto"/>
                      <w:szCs w:val="21"/>
                    </w:rPr>
                    <w:t>50</w:t>
                  </w:r>
                </w:p>
              </w:tc>
              <w:tc>
                <w:tcPr>
                  <w:tcW w:w="473" w:type="pct"/>
                  <w:tcBorders>
                    <w:bottom w:val="single" w:color="auto" w:sz="4" w:space="0"/>
                    <w:right w:val="single" w:color="auto" w:sz="4" w:space="0"/>
                  </w:tcBorders>
                  <w:noWrap w:val="0"/>
                  <w:vAlign w:val="center"/>
                </w:tcPr>
                <w:p w14:paraId="7FE95908">
                  <w:pPr>
                    <w:adjustRightInd w:val="0"/>
                    <w:snapToGrid w:val="0"/>
                    <w:jc w:val="center"/>
                    <w:rPr>
                      <w:color w:val="auto"/>
                      <w:szCs w:val="21"/>
                    </w:rPr>
                  </w:pPr>
                  <w:r>
                    <w:rPr>
                      <w:color w:val="auto"/>
                      <w:szCs w:val="21"/>
                    </w:rPr>
                    <w:t>10</w:t>
                  </w:r>
                </w:p>
              </w:tc>
              <w:tc>
                <w:tcPr>
                  <w:tcW w:w="343" w:type="pct"/>
                  <w:tcBorders>
                    <w:bottom w:val="single" w:color="auto" w:sz="4" w:space="0"/>
                  </w:tcBorders>
                  <w:noWrap w:val="0"/>
                  <w:vAlign w:val="center"/>
                </w:tcPr>
                <w:p w14:paraId="48256969">
                  <w:pPr>
                    <w:adjustRightInd w:val="0"/>
                    <w:snapToGrid w:val="0"/>
                    <w:jc w:val="center"/>
                    <w:rPr>
                      <w:color w:val="auto"/>
                      <w:szCs w:val="21"/>
                    </w:rPr>
                  </w:pPr>
                  <w:r>
                    <w:rPr>
                      <w:color w:val="auto"/>
                      <w:szCs w:val="21"/>
                    </w:rPr>
                    <w:t>10</w:t>
                  </w:r>
                </w:p>
              </w:tc>
              <w:tc>
                <w:tcPr>
                  <w:tcW w:w="474" w:type="pct"/>
                  <w:tcBorders>
                    <w:bottom w:val="single" w:color="auto" w:sz="4" w:space="0"/>
                  </w:tcBorders>
                  <w:noWrap w:val="0"/>
                  <w:vAlign w:val="center"/>
                </w:tcPr>
                <w:p w14:paraId="733F90F8">
                  <w:pPr>
                    <w:adjustRightInd w:val="0"/>
                    <w:snapToGrid w:val="0"/>
                    <w:jc w:val="center"/>
                    <w:rPr>
                      <w:color w:val="auto"/>
                      <w:szCs w:val="21"/>
                    </w:rPr>
                  </w:pPr>
                  <w:r>
                    <w:rPr>
                      <w:color w:val="auto"/>
                      <w:szCs w:val="21"/>
                    </w:rPr>
                    <w:t>5（8）</w:t>
                  </w:r>
                </w:p>
              </w:tc>
              <w:tc>
                <w:tcPr>
                  <w:tcW w:w="448" w:type="pct"/>
                  <w:tcBorders>
                    <w:bottom w:val="single" w:color="auto" w:sz="4" w:space="0"/>
                    <w:right w:val="single" w:color="auto" w:sz="4" w:space="0"/>
                  </w:tcBorders>
                  <w:noWrap w:val="0"/>
                  <w:vAlign w:val="center"/>
                </w:tcPr>
                <w:p w14:paraId="33986F87">
                  <w:pPr>
                    <w:adjustRightInd w:val="0"/>
                    <w:snapToGrid w:val="0"/>
                    <w:jc w:val="center"/>
                    <w:rPr>
                      <w:color w:val="auto"/>
                      <w:szCs w:val="21"/>
                    </w:rPr>
                  </w:pPr>
                  <w:r>
                    <w:rPr>
                      <w:color w:val="auto"/>
                      <w:szCs w:val="21"/>
                    </w:rPr>
                    <w:t>1</w:t>
                  </w:r>
                </w:p>
              </w:tc>
              <w:tc>
                <w:tcPr>
                  <w:tcW w:w="643" w:type="pct"/>
                  <w:tcBorders>
                    <w:bottom w:val="single" w:color="auto" w:sz="4" w:space="0"/>
                    <w:right w:val="single" w:color="auto" w:sz="4" w:space="0"/>
                  </w:tcBorders>
                  <w:noWrap w:val="0"/>
                  <w:vAlign w:val="center"/>
                </w:tcPr>
                <w:p w14:paraId="513FF454">
                  <w:pPr>
                    <w:adjustRightInd w:val="0"/>
                    <w:snapToGrid w:val="0"/>
                    <w:jc w:val="center"/>
                    <w:rPr>
                      <w:color w:val="auto"/>
                      <w:szCs w:val="21"/>
                    </w:rPr>
                  </w:pPr>
                  <w:r>
                    <w:rPr>
                      <w:color w:val="auto"/>
                      <w:szCs w:val="21"/>
                    </w:rPr>
                    <w:t>1000</w:t>
                  </w:r>
                </w:p>
              </w:tc>
              <w:tc>
                <w:tcPr>
                  <w:tcW w:w="400" w:type="pct"/>
                  <w:tcBorders>
                    <w:bottom w:val="single" w:color="auto" w:sz="4" w:space="0"/>
                    <w:right w:val="single" w:color="auto" w:sz="4" w:space="0"/>
                  </w:tcBorders>
                  <w:noWrap w:val="0"/>
                  <w:vAlign w:val="center"/>
                </w:tcPr>
                <w:p w14:paraId="613BA3A9">
                  <w:pPr>
                    <w:adjustRightInd w:val="0"/>
                    <w:snapToGrid w:val="0"/>
                    <w:jc w:val="center"/>
                    <w:rPr>
                      <w:color w:val="auto"/>
                      <w:szCs w:val="21"/>
                    </w:rPr>
                  </w:pPr>
                  <w:r>
                    <w:rPr>
                      <w:color w:val="auto"/>
                      <w:szCs w:val="21"/>
                    </w:rPr>
                    <w:t>0.5</w:t>
                  </w:r>
                </w:p>
              </w:tc>
            </w:tr>
          </w:tbl>
          <w:p w14:paraId="36B60D58">
            <w:pPr>
              <w:spacing w:before="120" w:beforeLines="50" w:line="360" w:lineRule="auto"/>
              <w:rPr>
                <w:b/>
                <w:bCs/>
                <w:color w:val="auto"/>
                <w:kern w:val="0"/>
                <w:sz w:val="24"/>
              </w:rPr>
            </w:pPr>
            <w:r>
              <w:rPr>
                <w:rFonts w:hint="eastAsia"/>
                <w:b/>
                <w:bCs/>
                <w:color w:val="auto"/>
                <w:kern w:val="0"/>
                <w:sz w:val="24"/>
              </w:rPr>
              <w:t>3.8.3</w:t>
            </w:r>
            <w:r>
              <w:rPr>
                <w:b/>
                <w:bCs/>
                <w:color w:val="auto"/>
                <w:kern w:val="0"/>
                <w:sz w:val="24"/>
              </w:rPr>
              <w:t>噪声</w:t>
            </w:r>
          </w:p>
          <w:p w14:paraId="24E733D7">
            <w:pPr>
              <w:spacing w:line="360" w:lineRule="auto"/>
              <w:ind w:firstLine="480" w:firstLineChars="200"/>
              <w:rPr>
                <w:color w:val="auto"/>
                <w:kern w:val="0"/>
                <w:sz w:val="24"/>
              </w:rPr>
            </w:pPr>
            <w:r>
              <w:rPr>
                <w:color w:val="auto"/>
                <w:kern w:val="0"/>
                <w:sz w:val="24"/>
              </w:rPr>
              <w:t>施工期噪声执行《建筑施工场界环境噪声排放标准》（GB12523-2011）。</w:t>
            </w:r>
          </w:p>
          <w:p w14:paraId="41350F16">
            <w:pPr>
              <w:widowControl/>
              <w:adjustRightInd w:val="0"/>
              <w:snapToGrid w:val="0"/>
              <w:jc w:val="center"/>
              <w:outlineLvl w:val="0"/>
              <w:rPr>
                <w:b/>
                <w:bCs/>
                <w:color w:val="auto"/>
                <w:sz w:val="21"/>
                <w:szCs w:val="21"/>
              </w:rPr>
            </w:pPr>
            <w:r>
              <w:rPr>
                <w:b/>
                <w:bCs/>
                <w:color w:val="auto"/>
                <w:sz w:val="21"/>
                <w:szCs w:val="21"/>
              </w:rPr>
              <w:t>表3-</w:t>
            </w:r>
            <w:r>
              <w:rPr>
                <w:rFonts w:hint="eastAsia"/>
                <w:b/>
                <w:bCs/>
                <w:color w:val="auto"/>
                <w:sz w:val="21"/>
                <w:szCs w:val="21"/>
              </w:rPr>
              <w:t>9</w:t>
            </w:r>
            <w:r>
              <w:rPr>
                <w:b/>
                <w:bCs/>
                <w:color w:val="auto"/>
                <w:sz w:val="21"/>
                <w:szCs w:val="21"/>
              </w:rPr>
              <w:t>建筑施工场界环境噪声排放限值（GB12523-2011）单位：dB（A）</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9"/>
              <w:gridCol w:w="4103"/>
            </w:tblGrid>
            <w:tr w14:paraId="2D173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423" w:type="pct"/>
                  <w:noWrap w:val="0"/>
                  <w:vAlign w:val="center"/>
                </w:tcPr>
                <w:p w14:paraId="1E6191B8">
                  <w:pPr>
                    <w:snapToGrid w:val="0"/>
                    <w:spacing w:line="320" w:lineRule="exact"/>
                    <w:jc w:val="center"/>
                    <w:rPr>
                      <w:color w:val="auto"/>
                      <w:sz w:val="22"/>
                      <w:szCs w:val="22"/>
                    </w:rPr>
                  </w:pPr>
                  <w:r>
                    <w:rPr>
                      <w:color w:val="auto"/>
                      <w:sz w:val="22"/>
                      <w:szCs w:val="22"/>
                    </w:rPr>
                    <w:t>昼间</w:t>
                  </w:r>
                </w:p>
              </w:tc>
              <w:tc>
                <w:tcPr>
                  <w:tcW w:w="2576" w:type="pct"/>
                  <w:noWrap w:val="0"/>
                  <w:vAlign w:val="center"/>
                </w:tcPr>
                <w:p w14:paraId="55B3BAF0">
                  <w:pPr>
                    <w:snapToGrid w:val="0"/>
                    <w:spacing w:line="320" w:lineRule="exact"/>
                    <w:jc w:val="center"/>
                    <w:rPr>
                      <w:color w:val="auto"/>
                      <w:sz w:val="22"/>
                      <w:szCs w:val="22"/>
                    </w:rPr>
                  </w:pPr>
                  <w:r>
                    <w:rPr>
                      <w:color w:val="auto"/>
                      <w:sz w:val="22"/>
                      <w:szCs w:val="22"/>
                    </w:rPr>
                    <w:t>夜间</w:t>
                  </w:r>
                </w:p>
              </w:tc>
            </w:tr>
            <w:tr w14:paraId="09512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423" w:type="pct"/>
                  <w:noWrap w:val="0"/>
                  <w:vAlign w:val="center"/>
                </w:tcPr>
                <w:p w14:paraId="5D05144B">
                  <w:pPr>
                    <w:snapToGrid w:val="0"/>
                    <w:spacing w:line="320" w:lineRule="exact"/>
                    <w:jc w:val="center"/>
                    <w:rPr>
                      <w:color w:val="auto"/>
                      <w:sz w:val="22"/>
                      <w:szCs w:val="22"/>
                    </w:rPr>
                  </w:pPr>
                  <w:r>
                    <w:rPr>
                      <w:color w:val="auto"/>
                      <w:sz w:val="22"/>
                      <w:szCs w:val="22"/>
                    </w:rPr>
                    <w:t>70</w:t>
                  </w:r>
                </w:p>
              </w:tc>
              <w:tc>
                <w:tcPr>
                  <w:tcW w:w="2576" w:type="pct"/>
                  <w:noWrap w:val="0"/>
                  <w:vAlign w:val="center"/>
                </w:tcPr>
                <w:p w14:paraId="45D9B590">
                  <w:pPr>
                    <w:snapToGrid w:val="0"/>
                    <w:spacing w:line="320" w:lineRule="exact"/>
                    <w:jc w:val="center"/>
                    <w:rPr>
                      <w:color w:val="auto"/>
                      <w:sz w:val="22"/>
                      <w:szCs w:val="22"/>
                    </w:rPr>
                  </w:pPr>
                  <w:r>
                    <w:rPr>
                      <w:color w:val="auto"/>
                      <w:sz w:val="22"/>
                      <w:szCs w:val="22"/>
                    </w:rPr>
                    <w:t>55</w:t>
                  </w:r>
                </w:p>
              </w:tc>
            </w:tr>
          </w:tbl>
          <w:p w14:paraId="69464084">
            <w:pPr>
              <w:spacing w:before="120" w:beforeLines="50" w:line="360" w:lineRule="auto"/>
              <w:ind w:firstLine="480" w:firstLineChars="200"/>
              <w:rPr>
                <w:color w:val="auto"/>
                <w:kern w:val="0"/>
                <w:sz w:val="24"/>
              </w:rPr>
            </w:pPr>
            <w:r>
              <w:rPr>
                <w:rFonts w:hint="eastAsia"/>
                <w:color w:val="auto"/>
                <w:kern w:val="0"/>
                <w:sz w:val="24"/>
                <w:lang w:val="en-US" w:eastAsia="zh-CN"/>
              </w:rPr>
              <w:t>根据《重庆市中心城区声环境功能区划分方案（2023年）》（渝环〔2023〕61号），</w:t>
            </w:r>
            <w:r>
              <w:rPr>
                <w:color w:val="auto"/>
                <w:kern w:val="0"/>
                <w:sz w:val="24"/>
              </w:rPr>
              <w:t>服务期噪声临近</w:t>
            </w:r>
            <w:r>
              <w:rPr>
                <w:rFonts w:hint="eastAsia"/>
                <w:color w:val="auto"/>
                <w:kern w:val="0"/>
                <w:sz w:val="24"/>
                <w:lang w:val="en-US" w:eastAsia="zh-CN"/>
              </w:rPr>
              <w:t>石新路</w:t>
            </w:r>
            <w:r>
              <w:rPr>
                <w:color w:val="auto"/>
                <w:kern w:val="0"/>
                <w:sz w:val="24"/>
              </w:rPr>
              <w:t>一侧（</w:t>
            </w:r>
            <w:r>
              <w:rPr>
                <w:rFonts w:hint="eastAsia"/>
                <w:color w:val="auto"/>
                <w:kern w:val="0"/>
                <w:sz w:val="24"/>
                <w:lang w:val="en-US" w:eastAsia="zh-CN"/>
              </w:rPr>
              <w:t>西</w:t>
            </w:r>
            <w:r>
              <w:rPr>
                <w:color w:val="auto"/>
                <w:kern w:val="0"/>
                <w:sz w:val="24"/>
              </w:rPr>
              <w:t>侧）执行《工业企业厂界环境噪声排放标准》（GB12348-2008）中的4类标准、其他区域执行2类标准，见表3-1</w:t>
            </w:r>
            <w:r>
              <w:rPr>
                <w:rFonts w:hint="eastAsia"/>
                <w:color w:val="auto"/>
                <w:kern w:val="0"/>
                <w:sz w:val="24"/>
                <w:lang w:val="en-US" w:eastAsia="zh-CN"/>
              </w:rPr>
              <w:t>0</w:t>
            </w:r>
            <w:r>
              <w:rPr>
                <w:color w:val="auto"/>
                <w:kern w:val="0"/>
                <w:sz w:val="24"/>
              </w:rPr>
              <w:t>。</w:t>
            </w:r>
          </w:p>
          <w:p w14:paraId="016CCD4F">
            <w:pPr>
              <w:ind w:firstLine="482" w:firstLineChars="200"/>
              <w:jc w:val="center"/>
              <w:rPr>
                <w:b/>
                <w:bCs/>
                <w:color w:val="auto"/>
                <w:kern w:val="0"/>
                <w:sz w:val="24"/>
              </w:rPr>
            </w:pPr>
            <w:r>
              <w:rPr>
                <w:b/>
                <w:bCs/>
                <w:color w:val="auto"/>
                <w:kern w:val="0"/>
                <w:sz w:val="24"/>
              </w:rPr>
              <w:t>表3-1</w:t>
            </w:r>
            <w:r>
              <w:rPr>
                <w:rFonts w:hint="eastAsia"/>
                <w:b/>
                <w:bCs/>
                <w:color w:val="auto"/>
                <w:kern w:val="0"/>
                <w:sz w:val="24"/>
                <w:lang w:val="en-US" w:eastAsia="zh-CN"/>
              </w:rPr>
              <w:t xml:space="preserve">0 </w:t>
            </w:r>
            <w:r>
              <w:rPr>
                <w:b/>
                <w:bCs/>
                <w:color w:val="auto"/>
                <w:kern w:val="0"/>
                <w:sz w:val="24"/>
              </w:rPr>
              <w:t>工业企业厂界环境噪声排放标准  单位：dB（A）</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919"/>
              <w:gridCol w:w="2273"/>
              <w:gridCol w:w="1763"/>
              <w:gridCol w:w="2879"/>
            </w:tblGrid>
            <w:tr w14:paraId="07AED42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1919" w:type="dxa"/>
                  <w:noWrap w:val="0"/>
                  <w:vAlign w:val="center"/>
                </w:tcPr>
                <w:p w14:paraId="11D6D3CC">
                  <w:pPr>
                    <w:jc w:val="center"/>
                    <w:rPr>
                      <w:b/>
                      <w:bCs/>
                      <w:color w:val="auto"/>
                      <w:szCs w:val="21"/>
                    </w:rPr>
                  </w:pPr>
                  <w:r>
                    <w:rPr>
                      <w:b/>
                      <w:bCs/>
                      <w:color w:val="auto"/>
                      <w:szCs w:val="21"/>
                    </w:rPr>
                    <w:t>执行标准</w:t>
                  </w:r>
                </w:p>
              </w:tc>
              <w:tc>
                <w:tcPr>
                  <w:tcW w:w="2273" w:type="dxa"/>
                  <w:noWrap w:val="0"/>
                  <w:vAlign w:val="center"/>
                </w:tcPr>
                <w:p w14:paraId="1050CC4E">
                  <w:pPr>
                    <w:jc w:val="center"/>
                    <w:rPr>
                      <w:b/>
                      <w:bCs/>
                      <w:color w:val="auto"/>
                      <w:szCs w:val="21"/>
                    </w:rPr>
                  </w:pPr>
                  <w:r>
                    <w:rPr>
                      <w:b/>
                      <w:bCs/>
                      <w:color w:val="auto"/>
                      <w:szCs w:val="21"/>
                    </w:rPr>
                    <w:t>昼间</w:t>
                  </w:r>
                </w:p>
              </w:tc>
              <w:tc>
                <w:tcPr>
                  <w:tcW w:w="1763" w:type="dxa"/>
                  <w:noWrap w:val="0"/>
                  <w:vAlign w:val="center"/>
                </w:tcPr>
                <w:p w14:paraId="73906A8B">
                  <w:pPr>
                    <w:jc w:val="center"/>
                    <w:rPr>
                      <w:b/>
                      <w:bCs/>
                      <w:color w:val="auto"/>
                      <w:szCs w:val="21"/>
                    </w:rPr>
                  </w:pPr>
                  <w:r>
                    <w:rPr>
                      <w:b/>
                      <w:bCs/>
                      <w:color w:val="auto"/>
                      <w:szCs w:val="21"/>
                    </w:rPr>
                    <w:t>夜间</w:t>
                  </w:r>
                </w:p>
              </w:tc>
              <w:tc>
                <w:tcPr>
                  <w:tcW w:w="2879" w:type="dxa"/>
                  <w:noWrap w:val="0"/>
                  <w:vAlign w:val="center"/>
                </w:tcPr>
                <w:p w14:paraId="1498AFA5">
                  <w:pPr>
                    <w:jc w:val="center"/>
                    <w:rPr>
                      <w:b/>
                      <w:bCs/>
                      <w:color w:val="auto"/>
                      <w:szCs w:val="21"/>
                    </w:rPr>
                  </w:pPr>
                  <w:r>
                    <w:rPr>
                      <w:b/>
                      <w:bCs/>
                      <w:color w:val="auto"/>
                      <w:szCs w:val="21"/>
                    </w:rPr>
                    <w:t>备注</w:t>
                  </w:r>
                </w:p>
              </w:tc>
            </w:tr>
            <w:tr w14:paraId="09F0E2B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6" w:hRule="atLeast"/>
                <w:jc w:val="center"/>
              </w:trPr>
              <w:tc>
                <w:tcPr>
                  <w:tcW w:w="1919" w:type="dxa"/>
                  <w:noWrap w:val="0"/>
                  <w:vAlign w:val="center"/>
                </w:tcPr>
                <w:p w14:paraId="712836B8">
                  <w:pPr>
                    <w:jc w:val="center"/>
                    <w:rPr>
                      <w:color w:val="auto"/>
                      <w:szCs w:val="21"/>
                    </w:rPr>
                  </w:pPr>
                  <w:r>
                    <w:rPr>
                      <w:color w:val="auto"/>
                      <w:szCs w:val="21"/>
                    </w:rPr>
                    <w:t>2类</w:t>
                  </w:r>
                </w:p>
              </w:tc>
              <w:tc>
                <w:tcPr>
                  <w:tcW w:w="2273" w:type="dxa"/>
                  <w:noWrap w:val="0"/>
                  <w:vAlign w:val="center"/>
                </w:tcPr>
                <w:p w14:paraId="01CDFD0C">
                  <w:pPr>
                    <w:jc w:val="center"/>
                    <w:rPr>
                      <w:color w:val="auto"/>
                      <w:szCs w:val="21"/>
                    </w:rPr>
                  </w:pPr>
                  <w:r>
                    <w:rPr>
                      <w:color w:val="auto"/>
                      <w:szCs w:val="21"/>
                    </w:rPr>
                    <w:t>60</w:t>
                  </w:r>
                </w:p>
              </w:tc>
              <w:tc>
                <w:tcPr>
                  <w:tcW w:w="1763" w:type="dxa"/>
                  <w:noWrap w:val="0"/>
                  <w:vAlign w:val="center"/>
                </w:tcPr>
                <w:p w14:paraId="6EA6C9FB">
                  <w:pPr>
                    <w:jc w:val="center"/>
                    <w:rPr>
                      <w:color w:val="auto"/>
                      <w:szCs w:val="21"/>
                    </w:rPr>
                  </w:pPr>
                  <w:r>
                    <w:rPr>
                      <w:color w:val="auto"/>
                      <w:szCs w:val="21"/>
                    </w:rPr>
                    <w:t>50</w:t>
                  </w:r>
                </w:p>
              </w:tc>
              <w:tc>
                <w:tcPr>
                  <w:tcW w:w="2879" w:type="dxa"/>
                  <w:noWrap w:val="0"/>
                  <w:vAlign w:val="center"/>
                </w:tcPr>
                <w:p w14:paraId="748A4519">
                  <w:pPr>
                    <w:jc w:val="center"/>
                    <w:rPr>
                      <w:color w:val="auto"/>
                      <w:szCs w:val="21"/>
                    </w:rPr>
                  </w:pPr>
                  <w:r>
                    <w:rPr>
                      <w:color w:val="auto"/>
                      <w:szCs w:val="21"/>
                    </w:rPr>
                    <w:t>其余</w:t>
                  </w:r>
                  <w:r>
                    <w:rPr>
                      <w:rFonts w:hint="eastAsia"/>
                      <w:color w:val="auto"/>
                      <w:szCs w:val="21"/>
                    </w:rPr>
                    <w:t>场</w:t>
                  </w:r>
                  <w:r>
                    <w:rPr>
                      <w:color w:val="auto"/>
                      <w:szCs w:val="21"/>
                    </w:rPr>
                    <w:t>界</w:t>
                  </w:r>
                </w:p>
              </w:tc>
            </w:tr>
            <w:tr w14:paraId="768DAE0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919" w:type="dxa"/>
                  <w:noWrap w:val="0"/>
                  <w:vAlign w:val="center"/>
                </w:tcPr>
                <w:p w14:paraId="125C1571">
                  <w:pPr>
                    <w:jc w:val="center"/>
                    <w:rPr>
                      <w:color w:val="auto"/>
                      <w:szCs w:val="21"/>
                    </w:rPr>
                  </w:pPr>
                  <w:r>
                    <w:rPr>
                      <w:color w:val="auto"/>
                      <w:szCs w:val="21"/>
                    </w:rPr>
                    <w:t>4类</w:t>
                  </w:r>
                </w:p>
              </w:tc>
              <w:tc>
                <w:tcPr>
                  <w:tcW w:w="2273" w:type="dxa"/>
                  <w:noWrap w:val="0"/>
                  <w:vAlign w:val="center"/>
                </w:tcPr>
                <w:p w14:paraId="341E97D4">
                  <w:pPr>
                    <w:jc w:val="center"/>
                    <w:rPr>
                      <w:color w:val="auto"/>
                      <w:szCs w:val="21"/>
                    </w:rPr>
                  </w:pPr>
                  <w:r>
                    <w:rPr>
                      <w:color w:val="auto"/>
                      <w:szCs w:val="21"/>
                    </w:rPr>
                    <w:t>70</w:t>
                  </w:r>
                </w:p>
              </w:tc>
              <w:tc>
                <w:tcPr>
                  <w:tcW w:w="1763" w:type="dxa"/>
                  <w:noWrap w:val="0"/>
                  <w:vAlign w:val="center"/>
                </w:tcPr>
                <w:p w14:paraId="17135FA2">
                  <w:pPr>
                    <w:jc w:val="center"/>
                    <w:rPr>
                      <w:color w:val="auto"/>
                      <w:szCs w:val="21"/>
                    </w:rPr>
                  </w:pPr>
                  <w:r>
                    <w:rPr>
                      <w:color w:val="auto"/>
                      <w:szCs w:val="21"/>
                    </w:rPr>
                    <w:t>55</w:t>
                  </w:r>
                </w:p>
              </w:tc>
              <w:tc>
                <w:tcPr>
                  <w:tcW w:w="2879" w:type="dxa"/>
                  <w:noWrap w:val="0"/>
                  <w:vAlign w:val="center"/>
                </w:tcPr>
                <w:p w14:paraId="206AB751">
                  <w:pPr>
                    <w:jc w:val="center"/>
                    <w:rPr>
                      <w:color w:val="auto"/>
                      <w:szCs w:val="21"/>
                    </w:rPr>
                  </w:pPr>
                  <w:r>
                    <w:rPr>
                      <w:rFonts w:hint="eastAsia"/>
                      <w:color w:val="auto"/>
                      <w:szCs w:val="21"/>
                      <w:lang w:val="en-US" w:eastAsia="zh-CN"/>
                    </w:rPr>
                    <w:t>西</w:t>
                  </w:r>
                  <w:r>
                    <w:rPr>
                      <w:color w:val="auto"/>
                      <w:szCs w:val="21"/>
                    </w:rPr>
                    <w:t>侧</w:t>
                  </w:r>
                </w:p>
              </w:tc>
            </w:tr>
          </w:tbl>
          <w:p w14:paraId="39388CF5">
            <w:pPr>
              <w:adjustRightInd w:val="0"/>
              <w:snapToGrid w:val="0"/>
              <w:spacing w:before="120" w:beforeLines="50" w:line="360" w:lineRule="auto"/>
              <w:rPr>
                <w:b/>
                <w:bCs/>
                <w:color w:val="auto"/>
                <w:kern w:val="0"/>
                <w:sz w:val="24"/>
              </w:rPr>
            </w:pPr>
            <w:r>
              <w:rPr>
                <w:rFonts w:hint="eastAsia"/>
                <w:b/>
                <w:bCs/>
                <w:color w:val="auto"/>
                <w:kern w:val="0"/>
                <w:sz w:val="24"/>
              </w:rPr>
              <w:t>3.8.4</w:t>
            </w:r>
            <w:r>
              <w:rPr>
                <w:b/>
                <w:bCs/>
                <w:color w:val="auto"/>
                <w:kern w:val="0"/>
                <w:sz w:val="24"/>
              </w:rPr>
              <w:t>固体废物</w:t>
            </w:r>
          </w:p>
          <w:p w14:paraId="27BBA354">
            <w:pPr>
              <w:spacing w:line="360" w:lineRule="auto"/>
              <w:ind w:firstLine="480" w:firstLineChars="200"/>
              <w:rPr>
                <w:color w:val="auto"/>
                <w:kern w:val="0"/>
                <w:sz w:val="24"/>
              </w:rPr>
            </w:pPr>
            <w:r>
              <w:rPr>
                <w:snapToGrid w:val="0"/>
                <w:color w:val="auto"/>
                <w:kern w:val="0"/>
                <w:sz w:val="24"/>
              </w:rPr>
              <w:t>普通生活垃圾实行分类收集，由环卫部门统一收集处置；医疗废物按《医疗废物管理条例》和《重庆市人民政府关于进一步加强医疗废物管理的通告》（渝府发〔2007〕71号）要求进行收集处置；其贮存按《医疗废物集中处置技术规范（试行）》（环发</w:t>
            </w:r>
            <w:r>
              <w:rPr>
                <w:rFonts w:hint="eastAsia"/>
                <w:snapToGrid w:val="0"/>
                <w:color w:val="auto"/>
                <w:kern w:val="0"/>
                <w:sz w:val="24"/>
                <w:lang w:eastAsia="zh-CN"/>
              </w:rPr>
              <w:t>〔</w:t>
            </w:r>
            <w:r>
              <w:rPr>
                <w:snapToGrid w:val="0"/>
                <w:color w:val="auto"/>
                <w:kern w:val="0"/>
                <w:sz w:val="24"/>
              </w:rPr>
              <w:t>2003</w:t>
            </w:r>
            <w:r>
              <w:rPr>
                <w:rFonts w:hint="eastAsia"/>
                <w:snapToGrid w:val="0"/>
                <w:color w:val="auto"/>
                <w:kern w:val="0"/>
                <w:sz w:val="24"/>
                <w:lang w:eastAsia="zh-CN"/>
              </w:rPr>
              <w:t>〕</w:t>
            </w:r>
            <w:r>
              <w:rPr>
                <w:snapToGrid w:val="0"/>
                <w:color w:val="auto"/>
                <w:kern w:val="0"/>
                <w:sz w:val="24"/>
              </w:rPr>
              <w:t>206号）执行；危险废物执行</w:t>
            </w:r>
            <w:r>
              <w:rPr>
                <w:color w:val="auto"/>
                <w:kern w:val="0"/>
                <w:sz w:val="24"/>
              </w:rPr>
              <w:t>《</w:t>
            </w:r>
            <w:r>
              <w:rPr>
                <w:rFonts w:hint="default" w:ascii="Times New Roman" w:hAnsi="Times New Roman" w:eastAsia="宋体" w:cs="Times New Roman"/>
                <w:color w:val="auto"/>
                <w:kern w:val="0"/>
                <w:sz w:val="24"/>
                <w:szCs w:val="24"/>
              </w:rPr>
              <w:t>危险废物贮存污染控制标准</w:t>
            </w:r>
            <w:r>
              <w:rPr>
                <w:color w:val="auto"/>
                <w:kern w:val="0"/>
                <w:sz w:val="24"/>
              </w:rPr>
              <w:t>》（GB18597-20</w:t>
            </w:r>
            <w:r>
              <w:rPr>
                <w:rFonts w:hint="eastAsia"/>
                <w:color w:val="auto"/>
                <w:kern w:val="0"/>
                <w:sz w:val="24"/>
                <w:lang w:val="en-US" w:eastAsia="zh-CN"/>
              </w:rPr>
              <w:t>23</w:t>
            </w:r>
            <w:r>
              <w:rPr>
                <w:color w:val="auto"/>
                <w:kern w:val="0"/>
                <w:sz w:val="24"/>
              </w:rPr>
              <w:t>）；</w:t>
            </w:r>
            <w:r>
              <w:rPr>
                <w:color w:val="auto"/>
                <w:sz w:val="24"/>
              </w:rPr>
              <w:t>项目污水处理设施污泥委托专业资质单位定期清掏和处置，并应进行消毒处理。</w:t>
            </w:r>
            <w:r>
              <w:rPr>
                <w:color w:val="auto"/>
                <w:kern w:val="0"/>
                <w:sz w:val="24"/>
              </w:rPr>
              <w:t>污泥执行《医</w:t>
            </w:r>
            <w:r>
              <w:rPr>
                <w:rFonts w:hint="eastAsia"/>
                <w:color w:val="auto"/>
                <w:kern w:val="0"/>
                <w:sz w:val="24"/>
                <w:lang w:eastAsia="zh-CN"/>
              </w:rPr>
              <w:t>疗</w:t>
            </w:r>
            <w:r>
              <w:rPr>
                <w:color w:val="auto"/>
                <w:kern w:val="0"/>
                <w:sz w:val="24"/>
              </w:rPr>
              <w:t>机构水污染排放标准》（GB18466-2005）中表4医疗机构污泥控制排放标准要求。具体标准值列于表3-1</w:t>
            </w:r>
            <w:r>
              <w:rPr>
                <w:rFonts w:hint="eastAsia"/>
                <w:color w:val="auto"/>
                <w:kern w:val="0"/>
                <w:sz w:val="24"/>
                <w:lang w:val="en-US" w:eastAsia="zh-CN"/>
              </w:rPr>
              <w:t>1</w:t>
            </w:r>
            <w:r>
              <w:rPr>
                <w:color w:val="auto"/>
                <w:kern w:val="0"/>
                <w:sz w:val="24"/>
              </w:rPr>
              <w:t>。</w:t>
            </w:r>
          </w:p>
          <w:p w14:paraId="44A5E75C">
            <w:pPr>
              <w:ind w:firstLine="482" w:firstLineChars="200"/>
              <w:jc w:val="center"/>
              <w:rPr>
                <w:b/>
                <w:bCs/>
                <w:snapToGrid w:val="0"/>
                <w:color w:val="auto"/>
                <w:kern w:val="0"/>
                <w:sz w:val="24"/>
              </w:rPr>
            </w:pPr>
            <w:r>
              <w:rPr>
                <w:b/>
                <w:bCs/>
                <w:color w:val="auto"/>
                <w:kern w:val="0"/>
                <w:sz w:val="24"/>
              </w:rPr>
              <w:t>表3-1</w:t>
            </w:r>
            <w:r>
              <w:rPr>
                <w:rFonts w:hint="eastAsia"/>
                <w:b/>
                <w:bCs/>
                <w:color w:val="auto"/>
                <w:kern w:val="0"/>
                <w:sz w:val="24"/>
                <w:lang w:val="en-US" w:eastAsia="zh-CN"/>
              </w:rPr>
              <w:t xml:space="preserve">1 </w:t>
            </w:r>
            <w:r>
              <w:rPr>
                <w:b/>
                <w:bCs/>
                <w:color w:val="auto"/>
                <w:kern w:val="0"/>
                <w:sz w:val="24"/>
              </w:rPr>
              <w:t>医疗机构污泥控制标准</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7"/>
              <w:gridCol w:w="1903"/>
              <w:gridCol w:w="1242"/>
              <w:gridCol w:w="921"/>
              <w:gridCol w:w="779"/>
              <w:gridCol w:w="1327"/>
            </w:tblGrid>
            <w:tr w14:paraId="44301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2" w:type="pct"/>
                  <w:noWrap w:val="0"/>
                  <w:vAlign w:val="center"/>
                </w:tcPr>
                <w:p w14:paraId="040293F5">
                  <w:pPr>
                    <w:adjustRightInd w:val="0"/>
                    <w:snapToGrid w:val="0"/>
                    <w:jc w:val="center"/>
                    <w:rPr>
                      <w:b/>
                      <w:bCs/>
                      <w:snapToGrid w:val="0"/>
                      <w:color w:val="auto"/>
                      <w:kern w:val="0"/>
                      <w:szCs w:val="21"/>
                    </w:rPr>
                  </w:pPr>
                  <w:r>
                    <w:rPr>
                      <w:b/>
                      <w:bCs/>
                      <w:snapToGrid w:val="0"/>
                      <w:color w:val="auto"/>
                      <w:kern w:val="0"/>
                      <w:szCs w:val="21"/>
                    </w:rPr>
                    <w:t>医疗机构类别</w:t>
                  </w:r>
                </w:p>
              </w:tc>
              <w:tc>
                <w:tcPr>
                  <w:tcW w:w="1195" w:type="pct"/>
                  <w:noWrap w:val="0"/>
                  <w:vAlign w:val="center"/>
                </w:tcPr>
                <w:p w14:paraId="5F372B7C">
                  <w:pPr>
                    <w:adjustRightInd w:val="0"/>
                    <w:snapToGrid w:val="0"/>
                    <w:jc w:val="center"/>
                    <w:rPr>
                      <w:b/>
                      <w:bCs/>
                      <w:snapToGrid w:val="0"/>
                      <w:color w:val="auto"/>
                      <w:kern w:val="0"/>
                      <w:szCs w:val="21"/>
                    </w:rPr>
                  </w:pPr>
                  <w:r>
                    <w:rPr>
                      <w:b/>
                      <w:bCs/>
                      <w:snapToGrid w:val="0"/>
                      <w:color w:val="auto"/>
                      <w:kern w:val="0"/>
                      <w:szCs w:val="21"/>
                    </w:rPr>
                    <w:t>粪大肠菌群（MPN/g）</w:t>
                  </w:r>
                </w:p>
              </w:tc>
              <w:tc>
                <w:tcPr>
                  <w:tcW w:w="780" w:type="pct"/>
                  <w:noWrap w:val="0"/>
                  <w:vAlign w:val="center"/>
                </w:tcPr>
                <w:p w14:paraId="3E92D55D">
                  <w:pPr>
                    <w:adjustRightInd w:val="0"/>
                    <w:snapToGrid w:val="0"/>
                    <w:jc w:val="center"/>
                    <w:rPr>
                      <w:b/>
                      <w:bCs/>
                      <w:snapToGrid w:val="0"/>
                      <w:color w:val="auto"/>
                      <w:kern w:val="0"/>
                      <w:szCs w:val="21"/>
                    </w:rPr>
                  </w:pPr>
                  <w:r>
                    <w:rPr>
                      <w:b/>
                      <w:bCs/>
                      <w:snapToGrid w:val="0"/>
                      <w:color w:val="auto"/>
                      <w:kern w:val="0"/>
                      <w:szCs w:val="21"/>
                    </w:rPr>
                    <w:t>肠道致病菌</w:t>
                  </w:r>
                </w:p>
              </w:tc>
              <w:tc>
                <w:tcPr>
                  <w:tcW w:w="578" w:type="pct"/>
                  <w:noWrap w:val="0"/>
                  <w:vAlign w:val="center"/>
                </w:tcPr>
                <w:p w14:paraId="402A2463">
                  <w:pPr>
                    <w:adjustRightInd w:val="0"/>
                    <w:snapToGrid w:val="0"/>
                    <w:jc w:val="center"/>
                    <w:rPr>
                      <w:b/>
                      <w:bCs/>
                      <w:snapToGrid w:val="0"/>
                      <w:color w:val="auto"/>
                      <w:kern w:val="0"/>
                      <w:szCs w:val="21"/>
                    </w:rPr>
                  </w:pPr>
                  <w:r>
                    <w:rPr>
                      <w:b/>
                      <w:bCs/>
                      <w:snapToGrid w:val="0"/>
                      <w:color w:val="auto"/>
                      <w:kern w:val="0"/>
                      <w:szCs w:val="21"/>
                    </w:rPr>
                    <w:t>肠道病毒</w:t>
                  </w:r>
                </w:p>
              </w:tc>
              <w:tc>
                <w:tcPr>
                  <w:tcW w:w="489" w:type="pct"/>
                  <w:noWrap w:val="0"/>
                  <w:vAlign w:val="center"/>
                </w:tcPr>
                <w:p w14:paraId="1CBDFAEF">
                  <w:pPr>
                    <w:adjustRightInd w:val="0"/>
                    <w:snapToGrid w:val="0"/>
                    <w:jc w:val="center"/>
                    <w:rPr>
                      <w:b/>
                      <w:bCs/>
                      <w:snapToGrid w:val="0"/>
                      <w:color w:val="auto"/>
                      <w:kern w:val="0"/>
                      <w:szCs w:val="21"/>
                    </w:rPr>
                  </w:pPr>
                  <w:r>
                    <w:rPr>
                      <w:b/>
                      <w:bCs/>
                      <w:snapToGrid w:val="0"/>
                      <w:color w:val="auto"/>
                      <w:kern w:val="0"/>
                      <w:szCs w:val="21"/>
                    </w:rPr>
                    <w:t>结核杆菌</w:t>
                  </w:r>
                </w:p>
              </w:tc>
              <w:tc>
                <w:tcPr>
                  <w:tcW w:w="833" w:type="pct"/>
                  <w:noWrap w:val="0"/>
                  <w:vAlign w:val="center"/>
                </w:tcPr>
                <w:p w14:paraId="6DE43979">
                  <w:pPr>
                    <w:adjustRightInd w:val="0"/>
                    <w:snapToGrid w:val="0"/>
                    <w:jc w:val="center"/>
                    <w:rPr>
                      <w:b/>
                      <w:bCs/>
                      <w:snapToGrid w:val="0"/>
                      <w:color w:val="auto"/>
                      <w:kern w:val="0"/>
                      <w:szCs w:val="21"/>
                    </w:rPr>
                  </w:pPr>
                  <w:r>
                    <w:rPr>
                      <w:b/>
                      <w:bCs/>
                      <w:snapToGrid w:val="0"/>
                      <w:color w:val="auto"/>
                      <w:kern w:val="0"/>
                      <w:szCs w:val="21"/>
                    </w:rPr>
                    <w:t>蛔虫卵死亡率（%）</w:t>
                  </w:r>
                </w:p>
              </w:tc>
            </w:tr>
            <w:tr w14:paraId="74800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2" w:type="pct"/>
                  <w:noWrap w:val="0"/>
                  <w:vAlign w:val="center"/>
                </w:tcPr>
                <w:p w14:paraId="72741D6B">
                  <w:pPr>
                    <w:adjustRightInd w:val="0"/>
                    <w:snapToGrid w:val="0"/>
                    <w:jc w:val="center"/>
                    <w:rPr>
                      <w:snapToGrid w:val="0"/>
                      <w:color w:val="auto"/>
                      <w:kern w:val="0"/>
                      <w:szCs w:val="21"/>
                    </w:rPr>
                  </w:pPr>
                  <w:r>
                    <w:rPr>
                      <w:snapToGrid w:val="0"/>
                      <w:color w:val="auto"/>
                      <w:kern w:val="0"/>
                      <w:szCs w:val="21"/>
                    </w:rPr>
                    <w:t>综合医疗机构和其他医疗机构</w:t>
                  </w:r>
                </w:p>
              </w:tc>
              <w:tc>
                <w:tcPr>
                  <w:tcW w:w="1195" w:type="pct"/>
                  <w:noWrap w:val="0"/>
                  <w:vAlign w:val="center"/>
                </w:tcPr>
                <w:p w14:paraId="3AFBCF31">
                  <w:pPr>
                    <w:adjustRightInd w:val="0"/>
                    <w:snapToGrid w:val="0"/>
                    <w:jc w:val="center"/>
                    <w:rPr>
                      <w:snapToGrid w:val="0"/>
                      <w:color w:val="auto"/>
                      <w:kern w:val="0"/>
                      <w:szCs w:val="21"/>
                    </w:rPr>
                  </w:pPr>
                  <w:r>
                    <w:rPr>
                      <w:snapToGrid w:val="0"/>
                      <w:color w:val="auto"/>
                      <w:kern w:val="0"/>
                      <w:szCs w:val="21"/>
                    </w:rPr>
                    <w:t>≤100</w:t>
                  </w:r>
                </w:p>
              </w:tc>
              <w:tc>
                <w:tcPr>
                  <w:tcW w:w="780" w:type="pct"/>
                  <w:noWrap w:val="0"/>
                  <w:vAlign w:val="center"/>
                </w:tcPr>
                <w:p w14:paraId="7A3426CE">
                  <w:pPr>
                    <w:adjustRightInd w:val="0"/>
                    <w:snapToGrid w:val="0"/>
                    <w:jc w:val="center"/>
                    <w:rPr>
                      <w:snapToGrid w:val="0"/>
                      <w:color w:val="auto"/>
                      <w:kern w:val="0"/>
                      <w:szCs w:val="21"/>
                    </w:rPr>
                  </w:pPr>
                  <w:r>
                    <w:rPr>
                      <w:snapToGrid w:val="0"/>
                      <w:color w:val="auto"/>
                      <w:kern w:val="0"/>
                      <w:szCs w:val="21"/>
                    </w:rPr>
                    <w:t>-</w:t>
                  </w:r>
                </w:p>
              </w:tc>
              <w:tc>
                <w:tcPr>
                  <w:tcW w:w="578" w:type="pct"/>
                  <w:noWrap w:val="0"/>
                  <w:vAlign w:val="center"/>
                </w:tcPr>
                <w:p w14:paraId="065E16F9">
                  <w:pPr>
                    <w:adjustRightInd w:val="0"/>
                    <w:snapToGrid w:val="0"/>
                    <w:jc w:val="center"/>
                    <w:rPr>
                      <w:snapToGrid w:val="0"/>
                      <w:color w:val="auto"/>
                      <w:kern w:val="0"/>
                      <w:szCs w:val="21"/>
                    </w:rPr>
                  </w:pPr>
                  <w:r>
                    <w:rPr>
                      <w:snapToGrid w:val="0"/>
                      <w:color w:val="auto"/>
                      <w:kern w:val="0"/>
                      <w:szCs w:val="21"/>
                    </w:rPr>
                    <w:t>-</w:t>
                  </w:r>
                </w:p>
              </w:tc>
              <w:tc>
                <w:tcPr>
                  <w:tcW w:w="489" w:type="pct"/>
                  <w:noWrap w:val="0"/>
                  <w:vAlign w:val="center"/>
                </w:tcPr>
                <w:p w14:paraId="46731326">
                  <w:pPr>
                    <w:adjustRightInd w:val="0"/>
                    <w:snapToGrid w:val="0"/>
                    <w:jc w:val="center"/>
                    <w:rPr>
                      <w:snapToGrid w:val="0"/>
                      <w:color w:val="auto"/>
                      <w:kern w:val="0"/>
                      <w:szCs w:val="21"/>
                    </w:rPr>
                  </w:pPr>
                  <w:r>
                    <w:rPr>
                      <w:snapToGrid w:val="0"/>
                      <w:color w:val="auto"/>
                      <w:kern w:val="0"/>
                      <w:szCs w:val="21"/>
                    </w:rPr>
                    <w:t>-</w:t>
                  </w:r>
                </w:p>
              </w:tc>
              <w:tc>
                <w:tcPr>
                  <w:tcW w:w="833" w:type="pct"/>
                  <w:noWrap w:val="0"/>
                  <w:vAlign w:val="center"/>
                </w:tcPr>
                <w:p w14:paraId="03EE7559">
                  <w:pPr>
                    <w:adjustRightInd w:val="0"/>
                    <w:snapToGrid w:val="0"/>
                    <w:jc w:val="center"/>
                    <w:rPr>
                      <w:snapToGrid w:val="0"/>
                      <w:color w:val="auto"/>
                      <w:kern w:val="0"/>
                      <w:szCs w:val="21"/>
                    </w:rPr>
                  </w:pPr>
                  <w:r>
                    <w:rPr>
                      <w:snapToGrid w:val="0"/>
                      <w:color w:val="auto"/>
                      <w:kern w:val="0"/>
                      <w:szCs w:val="21"/>
                    </w:rPr>
                    <w:t>＞95</w:t>
                  </w:r>
                </w:p>
              </w:tc>
            </w:tr>
          </w:tbl>
          <w:p w14:paraId="43D4DFE1">
            <w:pPr>
              <w:adjustRightInd w:val="0"/>
              <w:snapToGrid w:val="0"/>
              <w:rPr>
                <w:color w:val="auto"/>
                <w:kern w:val="0"/>
                <w:szCs w:val="21"/>
              </w:rPr>
            </w:pPr>
          </w:p>
        </w:tc>
      </w:tr>
      <w:tr w14:paraId="7A7588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8" w:hRule="atLeast"/>
          <w:jc w:val="center"/>
        </w:trPr>
        <w:tc>
          <w:tcPr>
            <w:tcW w:w="800" w:type="dxa"/>
            <w:noWrap w:val="0"/>
            <w:vAlign w:val="center"/>
          </w:tcPr>
          <w:p w14:paraId="3B23236E">
            <w:pPr>
              <w:adjustRightInd w:val="0"/>
              <w:snapToGrid w:val="0"/>
              <w:jc w:val="center"/>
              <w:rPr>
                <w:color w:val="auto"/>
                <w:kern w:val="0"/>
                <w:szCs w:val="21"/>
              </w:rPr>
            </w:pPr>
            <w:r>
              <w:rPr>
                <w:color w:val="auto"/>
                <w:kern w:val="0"/>
                <w:szCs w:val="21"/>
              </w:rPr>
              <w:t>总量</w:t>
            </w:r>
          </w:p>
          <w:p w14:paraId="7B9401F0">
            <w:pPr>
              <w:adjustRightInd w:val="0"/>
              <w:snapToGrid w:val="0"/>
              <w:jc w:val="center"/>
              <w:rPr>
                <w:color w:val="auto"/>
                <w:kern w:val="0"/>
                <w:szCs w:val="21"/>
              </w:rPr>
            </w:pPr>
            <w:r>
              <w:rPr>
                <w:color w:val="auto"/>
                <w:kern w:val="0"/>
                <w:szCs w:val="21"/>
              </w:rPr>
              <w:t>控制</w:t>
            </w:r>
          </w:p>
          <w:p w14:paraId="2321E9D7">
            <w:pPr>
              <w:adjustRightInd w:val="0"/>
              <w:snapToGrid w:val="0"/>
              <w:jc w:val="center"/>
              <w:rPr>
                <w:color w:val="auto"/>
                <w:kern w:val="0"/>
                <w:szCs w:val="21"/>
              </w:rPr>
            </w:pPr>
            <w:r>
              <w:rPr>
                <w:color w:val="auto"/>
                <w:kern w:val="0"/>
                <w:szCs w:val="21"/>
              </w:rPr>
              <w:t>指标</w:t>
            </w:r>
          </w:p>
        </w:tc>
        <w:tc>
          <w:tcPr>
            <w:tcW w:w="8190" w:type="dxa"/>
            <w:noWrap w:val="0"/>
            <w:vAlign w:val="center"/>
          </w:tcPr>
          <w:p w14:paraId="7EBF9C29">
            <w:pPr>
              <w:snapToGrid w:val="0"/>
              <w:spacing w:line="360" w:lineRule="auto"/>
              <w:ind w:firstLine="480" w:firstLineChars="200"/>
              <w:rPr>
                <w:color w:val="auto"/>
                <w:sz w:val="24"/>
              </w:rPr>
            </w:pPr>
            <w:r>
              <w:rPr>
                <w:color w:val="auto"/>
                <w:sz w:val="24"/>
              </w:rPr>
              <w:t>扩建项目</w:t>
            </w:r>
            <w:r>
              <w:rPr>
                <w:rFonts w:hint="eastAsia"/>
                <w:color w:val="auto"/>
                <w:sz w:val="24"/>
                <w:lang w:val="en-US" w:eastAsia="zh-CN"/>
              </w:rPr>
              <w:t>完成后全院区</w:t>
            </w:r>
            <w:r>
              <w:rPr>
                <w:color w:val="auto"/>
                <w:sz w:val="24"/>
              </w:rPr>
              <w:t>主要污染物排放量见表3-1</w:t>
            </w:r>
            <w:r>
              <w:rPr>
                <w:rFonts w:hint="eastAsia"/>
                <w:color w:val="auto"/>
                <w:sz w:val="24"/>
                <w:lang w:val="en-US" w:eastAsia="zh-CN"/>
              </w:rPr>
              <w:t>2</w:t>
            </w:r>
            <w:r>
              <w:rPr>
                <w:color w:val="auto"/>
                <w:sz w:val="24"/>
              </w:rPr>
              <w:t>。</w:t>
            </w:r>
          </w:p>
          <w:p w14:paraId="4D8E5418">
            <w:pPr>
              <w:ind w:firstLine="482" w:firstLineChars="200"/>
              <w:jc w:val="center"/>
              <w:rPr>
                <w:b/>
                <w:color w:val="auto"/>
                <w:sz w:val="22"/>
                <w:szCs w:val="22"/>
              </w:rPr>
            </w:pPr>
            <w:r>
              <w:rPr>
                <w:b/>
                <w:color w:val="auto"/>
                <w:sz w:val="24"/>
              </w:rPr>
              <w:t>表3-1</w:t>
            </w:r>
            <w:r>
              <w:rPr>
                <w:rFonts w:hint="eastAsia"/>
                <w:b/>
                <w:color w:val="auto"/>
                <w:sz w:val="24"/>
                <w:lang w:val="en-US" w:eastAsia="zh-CN"/>
              </w:rPr>
              <w:t>2</w:t>
            </w:r>
            <w:r>
              <w:rPr>
                <w:b/>
                <w:color w:val="auto"/>
                <w:sz w:val="24"/>
              </w:rPr>
              <w:t>废水主要污染物排放量汇总表  单位：t/a</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99"/>
              <w:gridCol w:w="1756"/>
              <w:gridCol w:w="1753"/>
              <w:gridCol w:w="1754"/>
            </w:tblGrid>
            <w:tr w14:paraId="0BA55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695" w:type="pct"/>
                  <w:noWrap w:val="0"/>
                  <w:vAlign w:val="center"/>
                </w:tcPr>
                <w:p w14:paraId="63F4DFAE">
                  <w:pPr>
                    <w:adjustRightInd w:val="0"/>
                    <w:snapToGrid w:val="0"/>
                    <w:jc w:val="center"/>
                    <w:rPr>
                      <w:b/>
                      <w:color w:val="auto"/>
                      <w:szCs w:val="21"/>
                      <w:lang w:val="fr-FR"/>
                    </w:rPr>
                  </w:pPr>
                  <w:r>
                    <w:rPr>
                      <w:b/>
                      <w:color w:val="auto"/>
                      <w:szCs w:val="21"/>
                      <w:lang w:val="fr-FR"/>
                    </w:rPr>
                    <w:t>污染物种类</w:t>
                  </w:r>
                </w:p>
              </w:tc>
              <w:tc>
                <w:tcPr>
                  <w:tcW w:w="1754" w:type="dxa"/>
                  <w:noWrap w:val="0"/>
                  <w:vAlign w:val="center"/>
                </w:tcPr>
                <w:p w14:paraId="6EDD2D66">
                  <w:pPr>
                    <w:adjustRightInd w:val="0"/>
                    <w:snapToGrid w:val="0"/>
                    <w:jc w:val="center"/>
                    <w:rPr>
                      <w:b/>
                      <w:color w:val="auto"/>
                      <w:szCs w:val="21"/>
                      <w:lang w:val="fr-FR"/>
                    </w:rPr>
                  </w:pPr>
                  <w:r>
                    <w:rPr>
                      <w:b/>
                      <w:color w:val="auto"/>
                      <w:szCs w:val="21"/>
                      <w:lang w:val="fr-FR"/>
                    </w:rPr>
                    <w:t>排放方式</w:t>
                  </w:r>
                </w:p>
              </w:tc>
              <w:tc>
                <w:tcPr>
                  <w:tcW w:w="1101" w:type="pct"/>
                  <w:noWrap w:val="0"/>
                  <w:vAlign w:val="center"/>
                </w:tcPr>
                <w:p w14:paraId="5FE5425E">
                  <w:pPr>
                    <w:adjustRightInd w:val="0"/>
                    <w:snapToGrid w:val="0"/>
                    <w:jc w:val="center"/>
                    <w:rPr>
                      <w:b/>
                      <w:color w:val="auto"/>
                      <w:szCs w:val="21"/>
                    </w:rPr>
                  </w:pPr>
                  <w:r>
                    <w:rPr>
                      <w:b/>
                      <w:color w:val="auto"/>
                      <w:szCs w:val="21"/>
                    </w:rPr>
                    <w:t>COD</w:t>
                  </w:r>
                </w:p>
              </w:tc>
              <w:tc>
                <w:tcPr>
                  <w:tcW w:w="1101" w:type="pct"/>
                  <w:noWrap w:val="0"/>
                  <w:vAlign w:val="center"/>
                </w:tcPr>
                <w:p w14:paraId="7B7DE69B">
                  <w:pPr>
                    <w:adjustRightInd w:val="0"/>
                    <w:snapToGrid w:val="0"/>
                    <w:jc w:val="center"/>
                    <w:rPr>
                      <w:b/>
                      <w:color w:val="auto"/>
                      <w:szCs w:val="21"/>
                      <w:lang w:val="fr-FR"/>
                    </w:rPr>
                  </w:pPr>
                  <w:r>
                    <w:rPr>
                      <w:b/>
                      <w:color w:val="auto"/>
                      <w:szCs w:val="21"/>
                      <w:lang w:val="fr-FR"/>
                    </w:rPr>
                    <w:t>氨氮</w:t>
                  </w:r>
                </w:p>
              </w:tc>
            </w:tr>
            <w:tr w14:paraId="39C98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695" w:type="pct"/>
                  <w:noWrap w:val="0"/>
                  <w:vAlign w:val="center"/>
                </w:tcPr>
                <w:p w14:paraId="0A4839AF">
                  <w:pPr>
                    <w:adjustRightInd w:val="0"/>
                    <w:snapToGrid w:val="0"/>
                    <w:jc w:val="center"/>
                    <w:rPr>
                      <w:color w:val="auto"/>
                      <w:szCs w:val="21"/>
                      <w:lang w:val="fr-FR"/>
                    </w:rPr>
                  </w:pPr>
                  <w:r>
                    <w:rPr>
                      <w:color w:val="auto"/>
                      <w:szCs w:val="21"/>
                      <w:lang w:val="fr-FR"/>
                    </w:rPr>
                    <w:t>废水</w:t>
                  </w:r>
                </w:p>
              </w:tc>
              <w:tc>
                <w:tcPr>
                  <w:tcW w:w="1754" w:type="dxa"/>
                  <w:noWrap w:val="0"/>
                  <w:vAlign w:val="center"/>
                </w:tcPr>
                <w:p w14:paraId="7DCF3BA9">
                  <w:pPr>
                    <w:adjustRightInd w:val="0"/>
                    <w:snapToGrid w:val="0"/>
                    <w:jc w:val="center"/>
                    <w:rPr>
                      <w:color w:val="auto"/>
                      <w:szCs w:val="21"/>
                      <w:lang w:val="fr-FR"/>
                    </w:rPr>
                  </w:pPr>
                  <w:r>
                    <w:rPr>
                      <w:color w:val="auto"/>
                      <w:szCs w:val="21"/>
                      <w:lang w:val="fr-FR"/>
                    </w:rPr>
                    <w:t>间接排放</w:t>
                  </w:r>
                </w:p>
              </w:tc>
              <w:tc>
                <w:tcPr>
                  <w:tcW w:w="1101" w:type="pct"/>
                  <w:noWrap w:val="0"/>
                  <w:vAlign w:val="center"/>
                </w:tcPr>
                <w:p w14:paraId="5EE81282">
                  <w:pPr>
                    <w:jc w:val="center"/>
                    <w:rPr>
                      <w:rFonts w:hint="default" w:eastAsia="宋体"/>
                      <w:color w:val="auto"/>
                      <w:szCs w:val="21"/>
                      <w:lang w:val="en-US" w:eastAsia="zh-CN"/>
                    </w:rPr>
                  </w:pPr>
                  <w:r>
                    <w:rPr>
                      <w:rFonts w:hint="default" w:eastAsia="宋体"/>
                      <w:color w:val="auto"/>
                      <w:szCs w:val="21"/>
                      <w:lang w:val="en-US" w:eastAsia="zh-CN"/>
                    </w:rPr>
                    <w:t>1.</w:t>
                  </w:r>
                  <w:r>
                    <w:rPr>
                      <w:rFonts w:hint="eastAsia"/>
                      <w:color w:val="auto"/>
                      <w:szCs w:val="21"/>
                      <w:lang w:val="en-US" w:eastAsia="zh-CN"/>
                    </w:rPr>
                    <w:t>6754</w:t>
                  </w:r>
                </w:p>
              </w:tc>
              <w:tc>
                <w:tcPr>
                  <w:tcW w:w="1101" w:type="pct"/>
                  <w:noWrap w:val="0"/>
                  <w:vAlign w:val="center"/>
                </w:tcPr>
                <w:p w14:paraId="5FB41B75">
                  <w:pPr>
                    <w:jc w:val="center"/>
                    <w:rPr>
                      <w:rFonts w:hint="default" w:eastAsia="宋体"/>
                      <w:color w:val="auto"/>
                      <w:szCs w:val="21"/>
                      <w:lang w:val="en-US" w:eastAsia="zh-CN"/>
                    </w:rPr>
                  </w:pPr>
                  <w:r>
                    <w:rPr>
                      <w:rFonts w:hint="default" w:eastAsia="宋体"/>
                      <w:color w:val="auto"/>
                      <w:szCs w:val="21"/>
                      <w:lang w:val="en-US" w:eastAsia="zh-CN"/>
                    </w:rPr>
                    <w:t>0.1</w:t>
                  </w:r>
                  <w:r>
                    <w:rPr>
                      <w:rFonts w:hint="eastAsia"/>
                      <w:color w:val="auto"/>
                      <w:szCs w:val="21"/>
                      <w:lang w:val="en-US" w:eastAsia="zh-CN"/>
                    </w:rPr>
                    <w:t>676</w:t>
                  </w:r>
                </w:p>
              </w:tc>
            </w:tr>
          </w:tbl>
          <w:p w14:paraId="3AE943A8">
            <w:pPr>
              <w:adjustRightInd w:val="0"/>
              <w:snapToGrid w:val="0"/>
              <w:jc w:val="both"/>
              <w:rPr>
                <w:color w:val="auto"/>
                <w:kern w:val="0"/>
                <w:szCs w:val="21"/>
              </w:rPr>
            </w:pPr>
          </w:p>
          <w:p w14:paraId="623CC319">
            <w:pPr>
              <w:adjustRightInd w:val="0"/>
              <w:snapToGrid w:val="0"/>
              <w:rPr>
                <w:color w:val="auto"/>
                <w:kern w:val="0"/>
                <w:szCs w:val="21"/>
              </w:rPr>
            </w:pPr>
          </w:p>
        </w:tc>
      </w:tr>
    </w:tbl>
    <w:p w14:paraId="061A3F39">
      <w:pPr>
        <w:pStyle w:val="23"/>
        <w:adjustRightInd w:val="0"/>
        <w:snapToGrid w:val="0"/>
        <w:jc w:val="center"/>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r>
        <w:rPr>
          <w:rFonts w:ascii="Times New Roman" w:hAnsi="Times New Roman"/>
          <w:snapToGrid w:val="0"/>
          <w:color w:val="auto"/>
          <w:sz w:val="30"/>
          <w:szCs w:val="30"/>
        </w:rPr>
        <w:t>四、主要环境影响和保护措施</w:t>
      </w:r>
    </w:p>
    <w:tbl>
      <w:tblPr>
        <w:tblStyle w:val="25"/>
        <w:tblW w:w="93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09"/>
        <w:gridCol w:w="9051"/>
      </w:tblGrid>
      <w:tr w14:paraId="3962B0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06" w:hRule="atLeast"/>
          <w:jc w:val="center"/>
        </w:trPr>
        <w:tc>
          <w:tcPr>
            <w:tcW w:w="309" w:type="dxa"/>
            <w:noWrap w:val="0"/>
            <w:tcMar>
              <w:left w:w="28" w:type="dxa"/>
              <w:right w:w="28" w:type="dxa"/>
            </w:tcMar>
            <w:vAlign w:val="center"/>
          </w:tcPr>
          <w:p w14:paraId="0137F56A">
            <w:pPr>
              <w:pStyle w:val="23"/>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施工</w:t>
            </w:r>
          </w:p>
          <w:p w14:paraId="1BE7E87F">
            <w:pPr>
              <w:pStyle w:val="23"/>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期环</w:t>
            </w:r>
          </w:p>
          <w:p w14:paraId="283667D0">
            <w:pPr>
              <w:pStyle w:val="23"/>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境保</w:t>
            </w:r>
          </w:p>
          <w:p w14:paraId="5AF809E2">
            <w:pPr>
              <w:pStyle w:val="23"/>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护措</w:t>
            </w:r>
          </w:p>
          <w:p w14:paraId="5E890D56">
            <w:pPr>
              <w:pStyle w:val="23"/>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1"/>
                <w:szCs w:val="21"/>
              </w:rPr>
              <w:t>施</w:t>
            </w:r>
          </w:p>
        </w:tc>
        <w:tc>
          <w:tcPr>
            <w:tcW w:w="9051" w:type="dxa"/>
            <w:noWrap w:val="0"/>
            <w:vAlign w:val="center"/>
          </w:tcPr>
          <w:p w14:paraId="7027B837">
            <w:pPr>
              <w:spacing w:line="360" w:lineRule="auto"/>
              <w:rPr>
                <w:rFonts w:hint="eastAsia"/>
                <w:b/>
                <w:color w:val="auto"/>
                <w:spacing w:val="-10"/>
                <w:sz w:val="24"/>
              </w:rPr>
            </w:pPr>
            <w:r>
              <w:rPr>
                <w:rFonts w:hint="eastAsia"/>
                <w:b/>
                <w:color w:val="auto"/>
                <w:spacing w:val="-10"/>
                <w:sz w:val="24"/>
              </w:rPr>
              <w:t>4.1施工期环境保护措施</w:t>
            </w:r>
          </w:p>
          <w:p w14:paraId="0A7BB9A9">
            <w:pPr>
              <w:spacing w:line="360" w:lineRule="auto"/>
              <w:rPr>
                <w:b/>
                <w:bCs/>
                <w:color w:val="auto"/>
                <w:sz w:val="24"/>
              </w:rPr>
            </w:pPr>
            <w:r>
              <w:rPr>
                <w:rFonts w:hint="eastAsia"/>
                <w:b/>
                <w:color w:val="auto"/>
                <w:spacing w:val="-10"/>
                <w:sz w:val="24"/>
              </w:rPr>
              <w:t>4.1.1</w:t>
            </w:r>
            <w:r>
              <w:rPr>
                <w:b/>
                <w:bCs/>
                <w:color w:val="auto"/>
                <w:sz w:val="24"/>
              </w:rPr>
              <w:t>施工期大气环境防治措施</w:t>
            </w:r>
          </w:p>
          <w:p w14:paraId="1697BA9A">
            <w:pPr>
              <w:spacing w:line="360" w:lineRule="auto"/>
              <w:ind w:firstLine="480" w:firstLineChars="200"/>
              <w:rPr>
                <w:color w:val="auto"/>
                <w:sz w:val="24"/>
              </w:rPr>
            </w:pPr>
            <w:r>
              <w:rPr>
                <w:color w:val="auto"/>
                <w:sz w:val="24"/>
              </w:rPr>
              <w:t>项目通过采取</w:t>
            </w:r>
            <w:r>
              <w:rPr>
                <w:rFonts w:hint="eastAsia"/>
                <w:color w:val="auto"/>
                <w:sz w:val="24"/>
                <w:lang w:val="en-US" w:eastAsia="zh-CN"/>
              </w:rPr>
              <w:t>污水处理站</w:t>
            </w:r>
            <w:r>
              <w:rPr>
                <w:color w:val="auto"/>
                <w:sz w:val="24"/>
              </w:rPr>
              <w:t>现场架设隔档封闭施工现场。</w:t>
            </w:r>
            <w:r>
              <w:rPr>
                <w:color w:val="auto"/>
                <w:kern w:val="0"/>
                <w:sz w:val="24"/>
              </w:rPr>
              <w:t>为尽量减轻扬尘影响，本环评特要求：合理安排施工时间，施工期必须湿法作业、必须打围作业、必须定时清扫施工现场。</w:t>
            </w:r>
          </w:p>
          <w:p w14:paraId="19FC69C1">
            <w:pPr>
              <w:spacing w:line="360" w:lineRule="auto"/>
              <w:ind w:firstLine="480"/>
              <w:jc w:val="left"/>
              <w:rPr>
                <w:color w:val="auto"/>
                <w:sz w:val="24"/>
              </w:rPr>
            </w:pPr>
            <w:r>
              <w:rPr>
                <w:color w:val="auto"/>
                <w:sz w:val="24"/>
              </w:rPr>
              <w:t>项目在做到以上扬尘控制治理措施后，不会对项目周围环境造成明显的影响。</w:t>
            </w:r>
          </w:p>
          <w:p w14:paraId="53D87F20">
            <w:pPr>
              <w:spacing w:line="360" w:lineRule="auto"/>
              <w:rPr>
                <w:b/>
                <w:bCs/>
                <w:color w:val="auto"/>
                <w:sz w:val="24"/>
              </w:rPr>
            </w:pPr>
            <w:r>
              <w:rPr>
                <w:rFonts w:hint="eastAsia"/>
                <w:b/>
                <w:bCs/>
                <w:color w:val="auto"/>
                <w:sz w:val="24"/>
              </w:rPr>
              <w:t>4.1.2</w:t>
            </w:r>
            <w:r>
              <w:rPr>
                <w:b/>
                <w:bCs/>
                <w:color w:val="auto"/>
                <w:sz w:val="24"/>
              </w:rPr>
              <w:t>施工期水环境防治措施</w:t>
            </w:r>
          </w:p>
          <w:p w14:paraId="3414393E">
            <w:pPr>
              <w:spacing w:line="360" w:lineRule="auto"/>
              <w:ind w:firstLine="480" w:firstLineChars="200"/>
              <w:rPr>
                <w:color w:val="auto"/>
                <w:sz w:val="24"/>
              </w:rPr>
            </w:pPr>
            <w:r>
              <w:rPr>
                <w:rFonts w:hint="eastAsia"/>
                <w:color w:val="auto"/>
                <w:kern w:val="0"/>
                <w:sz w:val="24"/>
                <w:lang w:val="en-US" w:eastAsia="zh-CN"/>
              </w:rPr>
              <w:t>施工期废水主要是施工人员的生活污水，</w:t>
            </w:r>
            <w:r>
              <w:rPr>
                <w:color w:val="auto"/>
                <w:kern w:val="0"/>
                <w:sz w:val="24"/>
              </w:rPr>
              <w:t>依托</w:t>
            </w:r>
            <w:r>
              <w:rPr>
                <w:rFonts w:hint="eastAsia"/>
                <w:color w:val="auto"/>
                <w:sz w:val="24"/>
                <w:lang w:eastAsia="zh-CN"/>
              </w:rPr>
              <w:t>重庆同心医院</w:t>
            </w:r>
            <w:r>
              <w:rPr>
                <w:color w:val="auto"/>
                <w:kern w:val="0"/>
                <w:sz w:val="24"/>
              </w:rPr>
              <w:t>已建成的污水处理站处理达</w:t>
            </w:r>
            <w:r>
              <w:rPr>
                <w:color w:val="auto"/>
                <w:sz w:val="24"/>
              </w:rPr>
              <w:t>《医疗机构水污染物排放标准》（GB18466-2005）表2综合医疗机构和其他医疗机构水污染物排放限值中的预处理标准</w:t>
            </w:r>
            <w:r>
              <w:rPr>
                <w:color w:val="auto"/>
                <w:kern w:val="0"/>
                <w:sz w:val="24"/>
              </w:rPr>
              <w:t>后进入污水管网，排入</w:t>
            </w:r>
            <w:r>
              <w:rPr>
                <w:rFonts w:hint="eastAsia"/>
                <w:color w:val="auto"/>
                <w:sz w:val="24"/>
                <w:lang w:eastAsia="zh-CN"/>
              </w:rPr>
              <w:t>鸡冠石污水处理厂</w:t>
            </w:r>
            <w:r>
              <w:rPr>
                <w:color w:val="auto"/>
                <w:sz w:val="24"/>
              </w:rPr>
              <w:t>处理达到《城镇污水处理厂排放标准》（GB18918-2002）一级A标后进入</w:t>
            </w:r>
            <w:r>
              <w:rPr>
                <w:rFonts w:hint="eastAsia"/>
                <w:color w:val="auto"/>
                <w:sz w:val="24"/>
                <w:lang w:val="en-US" w:eastAsia="zh-CN"/>
              </w:rPr>
              <w:t>长江</w:t>
            </w:r>
            <w:r>
              <w:rPr>
                <w:rFonts w:hint="eastAsia"/>
                <w:color w:val="auto"/>
                <w:kern w:val="0"/>
                <w:sz w:val="24"/>
                <w:lang w:eastAsia="zh-CN"/>
              </w:rPr>
              <w:t>，</w:t>
            </w:r>
            <w:r>
              <w:rPr>
                <w:color w:val="auto"/>
                <w:sz w:val="24"/>
              </w:rPr>
              <w:t>对周边水环境影响较小。</w:t>
            </w:r>
          </w:p>
          <w:p w14:paraId="5A100880">
            <w:pPr>
              <w:spacing w:line="360" w:lineRule="auto"/>
              <w:rPr>
                <w:b/>
                <w:bCs/>
                <w:color w:val="auto"/>
                <w:sz w:val="24"/>
              </w:rPr>
            </w:pPr>
            <w:r>
              <w:rPr>
                <w:rFonts w:hint="eastAsia"/>
                <w:b/>
                <w:bCs/>
                <w:color w:val="auto"/>
                <w:sz w:val="24"/>
              </w:rPr>
              <w:t>4.1.3</w:t>
            </w:r>
            <w:r>
              <w:rPr>
                <w:b/>
                <w:bCs/>
                <w:color w:val="auto"/>
                <w:sz w:val="24"/>
              </w:rPr>
              <w:t>施工期噪声防治措施</w:t>
            </w:r>
          </w:p>
          <w:p w14:paraId="5259F4E1">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项目施工期以小型机械和人工操作为主，无需大型燃油动力机械，施工机械噪声较小，且施工期短，夜间不施工，故施工期噪声对周边居民影响不大。 </w:t>
            </w:r>
          </w:p>
          <w:p w14:paraId="37F7E5B5">
            <w:pPr>
              <w:spacing w:line="360" w:lineRule="auto"/>
              <w:rPr>
                <w:b/>
                <w:bCs/>
                <w:color w:val="auto"/>
                <w:sz w:val="24"/>
              </w:rPr>
            </w:pPr>
            <w:r>
              <w:rPr>
                <w:rFonts w:hint="eastAsia"/>
                <w:b/>
                <w:color w:val="auto"/>
                <w:spacing w:val="-10"/>
                <w:sz w:val="24"/>
              </w:rPr>
              <w:t>4.1.4</w:t>
            </w:r>
            <w:r>
              <w:rPr>
                <w:b/>
                <w:color w:val="auto"/>
                <w:kern w:val="0"/>
                <w:sz w:val="24"/>
              </w:rPr>
              <w:t>施工期固体废物</w:t>
            </w:r>
            <w:r>
              <w:rPr>
                <w:b/>
                <w:bCs/>
                <w:color w:val="auto"/>
                <w:sz w:val="24"/>
              </w:rPr>
              <w:t>防治措施</w:t>
            </w:r>
          </w:p>
          <w:p w14:paraId="6114E55C">
            <w:pPr>
              <w:spacing w:line="360" w:lineRule="auto"/>
              <w:ind w:firstLine="480" w:firstLineChars="200"/>
              <w:rPr>
                <w:bCs/>
                <w:color w:val="auto"/>
                <w:spacing w:val="-10"/>
                <w:szCs w:val="21"/>
              </w:rPr>
            </w:pPr>
            <w:r>
              <w:rPr>
                <w:color w:val="auto"/>
                <w:kern w:val="0"/>
                <w:sz w:val="24"/>
              </w:rPr>
              <w:t>项目施工期产生的固体废弃物为</w:t>
            </w:r>
            <w:r>
              <w:rPr>
                <w:rFonts w:hint="eastAsia"/>
                <w:color w:val="auto"/>
                <w:sz w:val="24"/>
                <w:lang w:val="en-US" w:eastAsia="zh-CN"/>
              </w:rPr>
              <w:t>污水处理站</w:t>
            </w:r>
            <w:r>
              <w:rPr>
                <w:color w:val="auto"/>
                <w:kern w:val="0"/>
                <w:sz w:val="24"/>
              </w:rPr>
              <w:t>开挖废土石方、废包装材料和工人生活垃圾，施工过程中产生的废包材量较小</w:t>
            </w:r>
            <w:r>
              <w:rPr>
                <w:color w:val="auto"/>
                <w:sz w:val="24"/>
              </w:rPr>
              <w:t>，</w:t>
            </w:r>
            <w:r>
              <w:rPr>
                <w:color w:val="auto"/>
                <w:kern w:val="0"/>
                <w:sz w:val="24"/>
              </w:rPr>
              <w:t>外售废品回收站处置；</w:t>
            </w:r>
            <w:r>
              <w:rPr>
                <w:color w:val="auto"/>
                <w:sz w:val="24"/>
              </w:rPr>
              <w:t>施工人员及管理人员约5人，由环卫部门统一进行处理，对周围环境影响较小；施工期土石方</w:t>
            </w:r>
            <w:r>
              <w:rPr>
                <w:rFonts w:hint="eastAsia"/>
                <w:color w:val="auto"/>
                <w:sz w:val="24"/>
                <w:lang w:val="en-US" w:eastAsia="zh-CN"/>
              </w:rPr>
              <w:t>平衡，无弃土</w:t>
            </w:r>
            <w:r>
              <w:rPr>
                <w:bCs/>
                <w:color w:val="auto"/>
                <w:sz w:val="24"/>
              </w:rPr>
              <w:t>。</w:t>
            </w:r>
          </w:p>
        </w:tc>
      </w:tr>
      <w:tr w14:paraId="03A1BF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0" w:hRule="atLeast"/>
          <w:jc w:val="center"/>
        </w:trPr>
        <w:tc>
          <w:tcPr>
            <w:tcW w:w="309" w:type="dxa"/>
            <w:noWrap w:val="0"/>
            <w:tcMar>
              <w:left w:w="28" w:type="dxa"/>
              <w:right w:w="28" w:type="dxa"/>
            </w:tcMar>
            <w:vAlign w:val="center"/>
          </w:tcPr>
          <w:p w14:paraId="7C175EDE">
            <w:pPr>
              <w:adjustRightInd w:val="0"/>
              <w:snapToGrid w:val="0"/>
              <w:jc w:val="center"/>
              <w:rPr>
                <w:bCs/>
                <w:color w:val="auto"/>
                <w:sz w:val="24"/>
              </w:rPr>
            </w:pPr>
            <w:r>
              <w:rPr>
                <w:bCs/>
                <w:color w:val="auto"/>
                <w:sz w:val="24"/>
              </w:rPr>
              <w:t>运营</w:t>
            </w:r>
          </w:p>
          <w:p w14:paraId="1BAC4BE4">
            <w:pPr>
              <w:adjustRightInd w:val="0"/>
              <w:snapToGrid w:val="0"/>
              <w:jc w:val="center"/>
              <w:rPr>
                <w:bCs/>
                <w:color w:val="auto"/>
                <w:sz w:val="24"/>
              </w:rPr>
            </w:pPr>
            <w:r>
              <w:rPr>
                <w:bCs/>
                <w:color w:val="auto"/>
                <w:sz w:val="24"/>
              </w:rPr>
              <w:t>期环</w:t>
            </w:r>
          </w:p>
          <w:p w14:paraId="6AB3BE46">
            <w:pPr>
              <w:adjustRightInd w:val="0"/>
              <w:snapToGrid w:val="0"/>
              <w:jc w:val="center"/>
              <w:rPr>
                <w:bCs/>
                <w:color w:val="auto"/>
                <w:sz w:val="24"/>
              </w:rPr>
            </w:pPr>
            <w:r>
              <w:rPr>
                <w:bCs/>
                <w:color w:val="auto"/>
                <w:sz w:val="24"/>
              </w:rPr>
              <w:t>境影</w:t>
            </w:r>
          </w:p>
          <w:p w14:paraId="6B7643DC">
            <w:pPr>
              <w:adjustRightInd w:val="0"/>
              <w:snapToGrid w:val="0"/>
              <w:jc w:val="center"/>
              <w:rPr>
                <w:bCs/>
                <w:color w:val="auto"/>
                <w:sz w:val="24"/>
              </w:rPr>
            </w:pPr>
            <w:r>
              <w:rPr>
                <w:bCs/>
                <w:color w:val="auto"/>
                <w:sz w:val="24"/>
              </w:rPr>
              <w:t>响和</w:t>
            </w:r>
          </w:p>
          <w:p w14:paraId="74323FED">
            <w:pPr>
              <w:adjustRightInd w:val="0"/>
              <w:snapToGrid w:val="0"/>
              <w:jc w:val="center"/>
              <w:rPr>
                <w:bCs/>
                <w:color w:val="auto"/>
                <w:sz w:val="24"/>
              </w:rPr>
            </w:pPr>
            <w:r>
              <w:rPr>
                <w:bCs/>
                <w:color w:val="auto"/>
                <w:sz w:val="24"/>
              </w:rPr>
              <w:t>保护</w:t>
            </w:r>
          </w:p>
          <w:p w14:paraId="15DCDE03">
            <w:pPr>
              <w:adjustRightInd w:val="0"/>
              <w:snapToGrid w:val="0"/>
              <w:jc w:val="center"/>
              <w:rPr>
                <w:bCs/>
                <w:color w:val="auto"/>
                <w:szCs w:val="21"/>
              </w:rPr>
            </w:pPr>
            <w:r>
              <w:rPr>
                <w:bCs/>
                <w:color w:val="auto"/>
                <w:sz w:val="24"/>
              </w:rPr>
              <w:t>措施</w:t>
            </w:r>
          </w:p>
        </w:tc>
        <w:tc>
          <w:tcPr>
            <w:tcW w:w="9051" w:type="dxa"/>
            <w:noWrap w:val="0"/>
            <w:vAlign w:val="center"/>
          </w:tcPr>
          <w:p w14:paraId="6130AD4A">
            <w:pPr>
              <w:adjustRightInd w:val="0"/>
              <w:snapToGrid w:val="0"/>
              <w:spacing w:line="360" w:lineRule="auto"/>
              <w:rPr>
                <w:rFonts w:hint="eastAsia"/>
                <w:b/>
                <w:color w:val="auto"/>
                <w:spacing w:val="-10"/>
                <w:sz w:val="24"/>
              </w:rPr>
            </w:pPr>
            <w:r>
              <w:rPr>
                <w:rFonts w:hint="eastAsia"/>
                <w:b/>
                <w:color w:val="auto"/>
                <w:spacing w:val="-10"/>
                <w:sz w:val="24"/>
              </w:rPr>
              <w:t>4.2运营期环境影响和保护措施</w:t>
            </w:r>
          </w:p>
          <w:p w14:paraId="1D4F6E0A">
            <w:pPr>
              <w:adjustRightInd w:val="0"/>
              <w:snapToGrid w:val="0"/>
              <w:spacing w:line="360" w:lineRule="auto"/>
              <w:rPr>
                <w:b/>
                <w:color w:val="auto"/>
                <w:spacing w:val="-10"/>
                <w:sz w:val="24"/>
              </w:rPr>
            </w:pPr>
            <w:r>
              <w:rPr>
                <w:rFonts w:hint="eastAsia"/>
                <w:b/>
                <w:color w:val="auto"/>
                <w:spacing w:val="-10"/>
                <w:sz w:val="24"/>
              </w:rPr>
              <w:t>4.2.1</w:t>
            </w:r>
            <w:r>
              <w:rPr>
                <w:b/>
                <w:color w:val="auto"/>
                <w:spacing w:val="-10"/>
                <w:sz w:val="24"/>
              </w:rPr>
              <w:t>运营期大气环境影响和保护措施</w:t>
            </w:r>
          </w:p>
          <w:p w14:paraId="7EDB0F0C">
            <w:pPr>
              <w:adjustRightInd w:val="0"/>
              <w:snapToGrid w:val="0"/>
              <w:spacing w:line="360" w:lineRule="auto"/>
              <w:ind w:firstLine="482" w:firstLineChars="200"/>
              <w:rPr>
                <w:b/>
                <w:bCs/>
                <w:color w:val="auto"/>
                <w:sz w:val="24"/>
              </w:rPr>
            </w:pPr>
            <w:r>
              <w:rPr>
                <w:b/>
                <w:bCs/>
                <w:color w:val="auto"/>
                <w:sz w:val="24"/>
              </w:rPr>
              <w:t>1）污染工序及源强分析</w:t>
            </w:r>
          </w:p>
          <w:p w14:paraId="4CA75603">
            <w:pPr>
              <w:adjustRightInd w:val="0"/>
              <w:snapToGrid w:val="0"/>
              <w:spacing w:line="360" w:lineRule="auto"/>
              <w:ind w:firstLine="480" w:firstLineChars="200"/>
              <w:rPr>
                <w:color w:val="auto"/>
                <w:sz w:val="24"/>
              </w:rPr>
            </w:pPr>
            <w:r>
              <w:rPr>
                <w:color w:val="auto"/>
                <w:sz w:val="24"/>
              </w:rPr>
              <w:t>扩建项目服务期废气主要为污水处理站臭气、医疗固废暂存间臭气、病房等异味气体。</w:t>
            </w:r>
          </w:p>
          <w:p w14:paraId="27BA0F1E">
            <w:pPr>
              <w:adjustRightInd w:val="0"/>
              <w:snapToGrid w:val="0"/>
              <w:spacing w:line="360" w:lineRule="auto"/>
              <w:ind w:firstLine="482" w:firstLineChars="200"/>
              <w:rPr>
                <w:b/>
                <w:bCs/>
                <w:color w:val="auto"/>
                <w:sz w:val="24"/>
              </w:rPr>
            </w:pPr>
            <w:r>
              <w:rPr>
                <w:b/>
                <w:bCs/>
                <w:color w:val="auto"/>
                <w:sz w:val="24"/>
              </w:rPr>
              <w:t>（1）医疗污水处理站臭气</w:t>
            </w:r>
          </w:p>
          <w:p w14:paraId="42D12FD1">
            <w:pPr>
              <w:adjustRightInd w:val="0"/>
              <w:snapToGrid w:val="0"/>
              <w:spacing w:line="360" w:lineRule="auto"/>
              <w:ind w:firstLine="480" w:firstLineChars="200"/>
              <w:rPr>
                <w:color w:val="auto"/>
                <w:sz w:val="24"/>
              </w:rPr>
            </w:pPr>
            <w:r>
              <w:rPr>
                <w:snapToGrid w:val="0"/>
                <w:color w:val="auto"/>
                <w:kern w:val="0"/>
                <w:sz w:val="24"/>
                <w:lang w:bidi="ar"/>
              </w:rPr>
              <w:t>项目污水处理站运营过程会产生少量臭气，恶臭气体包括氨气、硫化氢等。根据《环境恶臭评价方法的新探讨》（重庆环境科学，18（15））的臭气强度分级以及对同类项目的调查，项目污水处理站属于很容易感觉到气味这个级别因此将本项目污水处理站1m处臭气强度定为3级，上述气体刺激人的嗅觉器官，影响现场和周边环境空气质量，降低周围居民的生活环境质量。</w:t>
            </w:r>
          </w:p>
          <w:p w14:paraId="51A41A22">
            <w:pPr>
              <w:adjustRightInd w:val="0"/>
              <w:snapToGrid w:val="0"/>
              <w:spacing w:line="360" w:lineRule="auto"/>
              <w:ind w:firstLine="480" w:firstLineChars="200"/>
              <w:rPr>
                <w:bCs/>
                <w:color w:val="auto"/>
                <w:sz w:val="24"/>
              </w:rPr>
            </w:pPr>
            <w:r>
              <w:rPr>
                <w:snapToGrid w:val="0"/>
                <w:color w:val="auto"/>
                <w:kern w:val="0"/>
                <w:sz w:val="24"/>
                <w:lang w:bidi="ar"/>
              </w:rPr>
              <w:t>项目污水处理站</w:t>
            </w:r>
            <w:r>
              <w:rPr>
                <w:rFonts w:hint="eastAsia"/>
                <w:snapToGrid w:val="0"/>
                <w:color w:val="auto"/>
                <w:kern w:val="0"/>
                <w:sz w:val="24"/>
                <w:lang w:eastAsia="zh-CN" w:bidi="ar"/>
              </w:rPr>
              <w:t>位于</w:t>
            </w:r>
            <w:r>
              <w:rPr>
                <w:snapToGrid w:val="0"/>
                <w:color w:val="auto"/>
                <w:kern w:val="0"/>
                <w:sz w:val="24"/>
                <w:lang w:bidi="ar"/>
              </w:rPr>
              <w:t>院区</w:t>
            </w:r>
            <w:r>
              <w:rPr>
                <w:rFonts w:hint="eastAsia"/>
                <w:snapToGrid w:val="0"/>
                <w:color w:val="auto"/>
                <w:kern w:val="0"/>
                <w:sz w:val="24"/>
                <w:lang w:val="en-US" w:eastAsia="zh-CN" w:bidi="ar"/>
              </w:rPr>
              <w:t>西</w:t>
            </w:r>
            <w:r>
              <w:rPr>
                <w:snapToGrid w:val="0"/>
                <w:color w:val="auto"/>
                <w:kern w:val="0"/>
                <w:sz w:val="24"/>
                <w:lang w:bidi="ar"/>
              </w:rPr>
              <w:t>侧，地势处于低处，周围有绿地植物，对恶臭有一定的吸附作用</w:t>
            </w:r>
            <w:r>
              <w:rPr>
                <w:bCs/>
                <w:color w:val="auto"/>
                <w:sz w:val="24"/>
              </w:rPr>
              <w:t>。</w:t>
            </w:r>
            <w:r>
              <w:rPr>
                <w:rFonts w:hint="eastAsia"/>
                <w:bCs/>
                <w:color w:val="auto"/>
                <w:sz w:val="24"/>
                <w:lang w:val="en-US" w:eastAsia="zh-CN"/>
              </w:rPr>
              <w:t>污水处理站密封加盖、依托原导气管将污水处理装置溢出臭气收集后经活性炭吸附装置处理后引至绿化带排放。</w:t>
            </w:r>
          </w:p>
          <w:p w14:paraId="5DC6B2FD">
            <w:pPr>
              <w:adjustRightInd w:val="0"/>
              <w:snapToGrid w:val="0"/>
              <w:spacing w:line="360" w:lineRule="auto"/>
              <w:ind w:firstLine="482" w:firstLineChars="200"/>
              <w:jc w:val="left"/>
              <w:rPr>
                <w:b/>
                <w:bCs/>
                <w:color w:val="auto"/>
                <w:sz w:val="24"/>
              </w:rPr>
            </w:pPr>
            <w:r>
              <w:rPr>
                <w:b/>
                <w:bCs/>
                <w:color w:val="auto"/>
                <w:sz w:val="24"/>
              </w:rPr>
              <w:t>（2）医疗废物暂存间臭气</w:t>
            </w:r>
          </w:p>
          <w:p w14:paraId="7181F589">
            <w:pPr>
              <w:adjustRightInd w:val="0"/>
              <w:snapToGrid w:val="0"/>
              <w:spacing w:line="360" w:lineRule="auto"/>
              <w:ind w:firstLine="480" w:firstLineChars="200"/>
              <w:rPr>
                <w:color w:val="auto"/>
                <w:sz w:val="24"/>
              </w:rPr>
            </w:pPr>
            <w:r>
              <w:rPr>
                <w:rFonts w:hint="eastAsia"/>
                <w:color w:val="auto"/>
                <w:sz w:val="24"/>
                <w:lang w:val="en-US" w:eastAsia="zh-CN"/>
              </w:rPr>
              <w:t>医疗垃圾暂存间设置换气扇和空调设备进行通风换气保持恒定温度，</w:t>
            </w:r>
            <w:r>
              <w:rPr>
                <w:color w:val="auto"/>
                <w:sz w:val="24"/>
              </w:rPr>
              <w:t>换气次数15次/h，</w:t>
            </w:r>
            <w:r>
              <w:rPr>
                <w:rFonts w:hint="eastAsia"/>
                <w:color w:val="auto"/>
                <w:sz w:val="24"/>
                <w:lang w:val="en-US" w:eastAsia="zh-CN"/>
              </w:rPr>
              <w:t>医疗废物按照类别分置于防渗漏、防锐器穿透的专用包装物或者密闭的容器内，在医疗垃圾暂存间停留的时间不超过</w:t>
            </w:r>
            <w:r>
              <w:rPr>
                <w:rFonts w:hint="default"/>
                <w:color w:val="auto"/>
                <w:sz w:val="24"/>
                <w:lang w:val="en-US" w:eastAsia="zh-CN"/>
              </w:rPr>
              <w:t>48</w:t>
            </w:r>
            <w:r>
              <w:rPr>
                <w:rFonts w:hint="eastAsia"/>
                <w:color w:val="auto"/>
                <w:sz w:val="24"/>
                <w:lang w:val="en-US" w:eastAsia="zh-CN"/>
              </w:rPr>
              <w:t>小时，尽量做到日产日清，避免腐败发臭。因此，医疗垃圾暂存间通过采取密闭措施，及时清运，设置换气扇和空调设备进行通风换气保持恒定温度，产生的臭气对周围环境影响不大。</w:t>
            </w:r>
          </w:p>
          <w:p w14:paraId="2BC7B9C4">
            <w:pPr>
              <w:adjustRightInd w:val="0"/>
              <w:snapToGrid w:val="0"/>
              <w:spacing w:line="360" w:lineRule="auto"/>
              <w:ind w:firstLine="482" w:firstLineChars="200"/>
              <w:rPr>
                <w:b/>
                <w:bCs/>
                <w:color w:val="auto"/>
                <w:sz w:val="24"/>
              </w:rPr>
            </w:pPr>
            <w:r>
              <w:rPr>
                <w:b/>
                <w:bCs/>
                <w:color w:val="auto"/>
                <w:sz w:val="24"/>
              </w:rPr>
              <w:t>（3）各</w:t>
            </w:r>
            <w:r>
              <w:rPr>
                <w:rFonts w:hint="eastAsia"/>
                <w:b/>
                <w:bCs/>
                <w:color w:val="auto"/>
                <w:sz w:val="24"/>
                <w:lang w:val="en-US" w:eastAsia="zh-CN"/>
              </w:rPr>
              <w:t>科室</w:t>
            </w:r>
            <w:r>
              <w:rPr>
                <w:b/>
                <w:bCs/>
                <w:color w:val="auto"/>
                <w:sz w:val="24"/>
              </w:rPr>
              <w:t>病房等异味气体</w:t>
            </w:r>
          </w:p>
          <w:p w14:paraId="5C4DFB22">
            <w:pPr>
              <w:adjustRightInd w:val="0"/>
              <w:snapToGrid w:val="0"/>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项</w:t>
            </w:r>
            <w:r>
              <w:rPr>
                <w:rFonts w:hint="default" w:ascii="Times New Roman" w:hAnsi="Times New Roman" w:eastAsia="宋体" w:cs="Times New Roman"/>
                <w:color w:val="auto"/>
                <w:sz w:val="24"/>
                <w:lang w:eastAsia="zh-CN"/>
              </w:rPr>
              <w:t>目</w:t>
            </w:r>
            <w:r>
              <w:rPr>
                <w:rFonts w:hint="default" w:ascii="Times New Roman" w:hAnsi="Times New Roman" w:eastAsia="宋体" w:cs="Times New Roman"/>
                <w:color w:val="auto"/>
                <w:sz w:val="24"/>
              </w:rPr>
              <w:t>各诊室、病房</w:t>
            </w:r>
            <w:r>
              <w:rPr>
                <w:rFonts w:hint="default" w:ascii="Times New Roman" w:hAnsi="Times New Roman" w:eastAsia="宋体" w:cs="Times New Roman"/>
                <w:color w:val="auto"/>
                <w:sz w:val="24"/>
                <w:lang w:eastAsia="zh-CN"/>
              </w:rPr>
              <w:t>、污物间</w:t>
            </w:r>
            <w:r>
              <w:rPr>
                <w:rFonts w:hint="default" w:ascii="Times New Roman" w:hAnsi="Times New Roman" w:eastAsia="宋体" w:cs="Times New Roman"/>
                <w:color w:val="auto"/>
                <w:sz w:val="24"/>
              </w:rPr>
              <w:t>等会产生异味，</w:t>
            </w:r>
            <w:r>
              <w:rPr>
                <w:rFonts w:hint="default" w:ascii="Times New Roman" w:hAnsi="Times New Roman" w:eastAsia="宋体" w:cs="Times New Roman"/>
                <w:color w:val="auto"/>
                <w:sz w:val="24"/>
                <w:lang w:eastAsia="zh-CN"/>
              </w:rPr>
              <w:t>院区消毒剂</w:t>
            </w:r>
            <w:r>
              <w:rPr>
                <w:rFonts w:hint="default" w:ascii="Times New Roman" w:hAnsi="Times New Roman" w:eastAsia="宋体" w:cs="Times New Roman"/>
                <w:color w:val="auto"/>
                <w:sz w:val="24"/>
              </w:rPr>
              <w:t>主要为</w:t>
            </w:r>
            <w:r>
              <w:rPr>
                <w:rFonts w:hint="default" w:ascii="Times New Roman" w:hAnsi="Times New Roman" w:eastAsia="宋体" w:cs="Times New Roman"/>
                <w:color w:val="auto"/>
                <w:sz w:val="24"/>
                <w:lang w:val="en-US" w:eastAsia="zh-CN"/>
              </w:rPr>
              <w:t>84消毒液</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次氯酸钠</w:t>
            </w:r>
            <w:r>
              <w:rPr>
                <w:rFonts w:hint="default" w:ascii="Times New Roman" w:hAnsi="Times New Roman" w:eastAsia="宋体" w:cs="Times New Roman"/>
                <w:color w:val="auto"/>
                <w:sz w:val="24"/>
                <w:lang w:eastAsia="zh-CN"/>
              </w:rPr>
              <w:t>、乙醇</w:t>
            </w:r>
            <w:r>
              <w:rPr>
                <w:rFonts w:hint="default" w:ascii="Times New Roman" w:hAnsi="Times New Roman" w:eastAsia="宋体" w:cs="Times New Roman"/>
                <w:color w:val="auto"/>
                <w:sz w:val="24"/>
              </w:rPr>
              <w:t>等消毒液</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各个诊室、病房等主要通过空调系统进行</w:t>
            </w:r>
            <w:r>
              <w:rPr>
                <w:rFonts w:hint="default" w:ascii="Times New Roman" w:hAnsi="Times New Roman" w:eastAsia="宋体" w:cs="Times New Roman"/>
                <w:color w:val="auto"/>
                <w:sz w:val="24"/>
                <w:lang w:eastAsia="zh-CN"/>
              </w:rPr>
              <w:t>换气</w:t>
            </w:r>
            <w:r>
              <w:rPr>
                <w:rFonts w:hint="default" w:ascii="Times New Roman" w:hAnsi="Times New Roman" w:eastAsia="宋体" w:cs="Times New Roman"/>
                <w:color w:val="auto"/>
                <w:sz w:val="24"/>
              </w:rPr>
              <w:t>，此外，诊室、病房等加强管理，保持清洁。</w:t>
            </w:r>
          </w:p>
          <w:p w14:paraId="41F11F0A">
            <w:pPr>
              <w:keepNext w:val="0"/>
              <w:keepLines w:val="0"/>
              <w:pageBreakBefore w:val="0"/>
              <w:widowControl/>
              <w:suppressLineNumbers w:val="0"/>
              <w:kinsoku/>
              <w:wordWrap/>
              <w:overflowPunct/>
              <w:topLinePunct w:val="0"/>
              <w:autoSpaceDE/>
              <w:autoSpaceDN/>
              <w:bidi w:val="0"/>
              <w:adjustRightInd/>
              <w:snapToGrid w:val="0"/>
              <w:spacing w:line="360" w:lineRule="auto"/>
              <w:ind w:firstLine="482" w:firstLineChars="200"/>
              <w:jc w:val="left"/>
              <w:textAlignment w:val="auto"/>
              <w:rPr>
                <w:rFonts w:hint="default" w:ascii="Times New Roman" w:hAnsi="Times New Roman" w:eastAsia="宋体" w:cs="Times New Roman"/>
                <w:color w:val="auto"/>
                <w:sz w:val="24"/>
                <w:szCs w:val="24"/>
              </w:rPr>
            </w:pPr>
            <w:r>
              <w:rPr>
                <w:b/>
                <w:bCs/>
                <w:color w:val="auto"/>
                <w:sz w:val="24"/>
              </w:rPr>
              <w:t>（</w:t>
            </w:r>
            <w:r>
              <w:rPr>
                <w:rFonts w:hint="eastAsia"/>
                <w:b/>
                <w:bCs/>
                <w:color w:val="auto"/>
                <w:sz w:val="24"/>
                <w:lang w:val="en-US" w:eastAsia="zh-CN"/>
              </w:rPr>
              <w:t>4</w:t>
            </w:r>
            <w:r>
              <w:rPr>
                <w:b/>
                <w:bCs/>
                <w:color w:val="auto"/>
                <w:sz w:val="24"/>
              </w:rPr>
              <w:t>）</w:t>
            </w:r>
            <w:r>
              <w:rPr>
                <w:rFonts w:hint="default" w:ascii="Times New Roman" w:hAnsi="Times New Roman" w:eastAsia="宋体" w:cs="Times New Roman"/>
                <w:b/>
                <w:bCs/>
                <w:color w:val="auto"/>
                <w:kern w:val="0"/>
                <w:sz w:val="24"/>
                <w:szCs w:val="24"/>
                <w:lang w:val="en-US" w:eastAsia="zh-CN" w:bidi="ar"/>
              </w:rPr>
              <w:t xml:space="preserve">检验废气 </w:t>
            </w:r>
          </w:p>
          <w:p w14:paraId="37FC178D">
            <w:pPr>
              <w:adjustRightInd w:val="0"/>
              <w:snapToGrid w:val="0"/>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项目检验废气增量较少，依托现有化验能力，生物安全柜对项目产生化验废气进行处理，</w:t>
            </w:r>
            <w:r>
              <w:rPr>
                <w:rFonts w:hint="default" w:ascii="Times New Roman" w:hAnsi="Times New Roman" w:eastAsia="宋体" w:cs="Times New Roman"/>
                <w:color w:val="auto"/>
                <w:sz w:val="24"/>
                <w:lang w:val="en-US" w:eastAsia="zh-CN"/>
              </w:rPr>
              <w:t>70%</w:t>
            </w:r>
            <w:r>
              <w:rPr>
                <w:rFonts w:hint="eastAsia" w:ascii="Times New Roman" w:hAnsi="Times New Roman" w:eastAsia="宋体" w:cs="Times New Roman"/>
                <w:color w:val="auto"/>
                <w:sz w:val="24"/>
                <w:lang w:val="en-US" w:eastAsia="zh-CN"/>
              </w:rPr>
              <w:t>废气体通过高效过滤装置处理后再循环至工作区，</w:t>
            </w:r>
            <w:r>
              <w:rPr>
                <w:rFonts w:hint="default" w:ascii="Times New Roman" w:hAnsi="Times New Roman" w:eastAsia="宋体" w:cs="Times New Roman"/>
                <w:color w:val="auto"/>
                <w:sz w:val="24"/>
                <w:lang w:val="en-US" w:eastAsia="zh-CN"/>
              </w:rPr>
              <w:t>30%</w:t>
            </w:r>
            <w:r>
              <w:rPr>
                <w:rFonts w:hint="eastAsia" w:ascii="Times New Roman" w:hAnsi="Times New Roman" w:eastAsia="宋体" w:cs="Times New Roman"/>
                <w:color w:val="auto"/>
                <w:sz w:val="24"/>
                <w:lang w:val="en-US" w:eastAsia="zh-CN"/>
              </w:rPr>
              <w:t>的气体通过高效过滤处理后排出室外，对周围环境空气影响较小。</w:t>
            </w:r>
          </w:p>
          <w:p w14:paraId="5B83B737">
            <w:pPr>
              <w:spacing w:line="360" w:lineRule="auto"/>
              <w:ind w:firstLine="482" w:firstLineChars="200"/>
              <w:rPr>
                <w:rFonts w:hint="default"/>
                <w:color w:val="auto"/>
                <w:sz w:val="24"/>
              </w:rPr>
            </w:pPr>
            <w:r>
              <w:rPr>
                <w:rFonts w:hint="eastAsia"/>
                <w:b/>
                <w:bCs/>
                <w:color w:val="auto"/>
                <w:sz w:val="24"/>
                <w:lang w:val="en-US" w:eastAsia="zh-CN"/>
              </w:rPr>
              <w:t>2</w:t>
            </w:r>
            <w:r>
              <w:rPr>
                <w:b/>
                <w:bCs/>
                <w:color w:val="auto"/>
                <w:sz w:val="24"/>
              </w:rPr>
              <w:t>）</w:t>
            </w:r>
            <w:r>
              <w:rPr>
                <w:rFonts w:hint="default"/>
                <w:b/>
                <w:bCs/>
                <w:color w:val="auto"/>
                <w:sz w:val="24"/>
                <w:lang w:val="en-US" w:eastAsia="zh-CN"/>
              </w:rPr>
              <w:t>废气治理措施及其可行性分析</w:t>
            </w:r>
          </w:p>
          <w:p w14:paraId="1D56C701">
            <w:pPr>
              <w:spacing w:line="360" w:lineRule="auto"/>
              <w:ind w:firstLine="480" w:firstLineChars="200"/>
              <w:rPr>
                <w:color w:val="auto"/>
                <w:sz w:val="24"/>
              </w:rPr>
            </w:pPr>
            <w:r>
              <w:rPr>
                <w:color w:val="auto"/>
                <w:sz w:val="24"/>
              </w:rPr>
              <w:t>（1）污水处理</w:t>
            </w:r>
            <w:r>
              <w:rPr>
                <w:rFonts w:hint="eastAsia"/>
                <w:color w:val="auto"/>
                <w:sz w:val="24"/>
              </w:rPr>
              <w:t>站</w:t>
            </w:r>
            <w:r>
              <w:rPr>
                <w:color w:val="auto"/>
                <w:sz w:val="24"/>
              </w:rPr>
              <w:t>臭气</w:t>
            </w:r>
          </w:p>
          <w:p w14:paraId="6574ECB7">
            <w:pPr>
              <w:spacing w:line="360" w:lineRule="auto"/>
              <w:ind w:firstLine="480" w:firstLineChars="200"/>
              <w:rPr>
                <w:color w:val="auto"/>
                <w:sz w:val="24"/>
              </w:rPr>
            </w:pPr>
            <w:r>
              <w:rPr>
                <w:color w:val="auto"/>
                <w:sz w:val="24"/>
              </w:rPr>
              <w:t>扩建</w:t>
            </w:r>
            <w:r>
              <w:rPr>
                <w:rFonts w:hint="eastAsia"/>
                <w:color w:val="auto"/>
                <w:sz w:val="24"/>
                <w:lang w:val="en-US" w:eastAsia="zh-CN"/>
              </w:rPr>
              <w:t>项目</w:t>
            </w:r>
            <w:r>
              <w:rPr>
                <w:color w:val="auto"/>
                <w:sz w:val="24"/>
              </w:rPr>
              <w:t>采用对污水处理站加盖密封，并设导气管将污水处理站溢出臭气导出</w:t>
            </w:r>
            <w:r>
              <w:rPr>
                <w:rFonts w:hint="eastAsia"/>
                <w:color w:val="auto"/>
                <w:sz w:val="24"/>
              </w:rPr>
              <w:t>经</w:t>
            </w:r>
            <w:r>
              <w:rPr>
                <w:color w:val="auto"/>
                <w:sz w:val="24"/>
              </w:rPr>
              <w:t>活性炭吸附装置处理后</w:t>
            </w:r>
            <w:r>
              <w:rPr>
                <w:rFonts w:hint="eastAsia"/>
                <w:color w:val="auto"/>
                <w:sz w:val="24"/>
                <w:lang w:val="en-US" w:eastAsia="zh-CN"/>
              </w:rPr>
              <w:t>绿化带</w:t>
            </w:r>
            <w:r>
              <w:rPr>
                <w:color w:val="auto"/>
                <w:sz w:val="24"/>
              </w:rPr>
              <w:t>排放，满足</w:t>
            </w:r>
            <w:r>
              <w:rPr>
                <w:bCs/>
                <w:color w:val="auto"/>
                <w:sz w:val="24"/>
              </w:rPr>
              <w:t>《医疗机构水污染排放标准》（GB18466-2005）中关于废气排放要求的规定，</w:t>
            </w:r>
            <w:r>
              <w:rPr>
                <w:color w:val="auto"/>
                <w:sz w:val="24"/>
              </w:rPr>
              <w:t>对大气环境影响较小。</w:t>
            </w:r>
          </w:p>
          <w:p w14:paraId="5E19242C">
            <w:pPr>
              <w:bidi w:val="0"/>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根据《排污许可证申请与核发技术规范医疗机构》（HJ1105-2020）附录表A.1，医疗机构排污单位废气治理可行技术如下表。</w:t>
            </w:r>
          </w:p>
          <w:p w14:paraId="7A0D8948">
            <w:pPr>
              <w:pStyle w:val="75"/>
              <w:bidi w:val="0"/>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ascii="Times New Roman" w:hAnsi="Times New Roman" w:cs="Times New Roman"/>
                <w:b/>
                <w:bCs/>
                <w:color w:val="auto"/>
                <w:lang w:val="en-US" w:eastAsia="zh-CN"/>
              </w:rPr>
              <w:t>.2</w:t>
            </w:r>
            <w:r>
              <w:rPr>
                <w:rFonts w:hint="default" w:ascii="Times New Roman" w:hAnsi="Times New Roman" w:cs="Times New Roman"/>
                <w:b/>
                <w:bCs/>
                <w:color w:val="auto"/>
              </w:rPr>
              <w:t>-</w:t>
            </w:r>
            <w:r>
              <w:rPr>
                <w:rFonts w:hint="eastAsia" w:ascii="Times New Roman" w:hAnsi="Times New Roman" w:cs="Times New Roman"/>
                <w:b/>
                <w:bCs/>
                <w:color w:val="auto"/>
                <w:lang w:val="en-US" w:eastAsia="zh-CN"/>
              </w:rPr>
              <w:t>1</w:t>
            </w:r>
            <w:r>
              <w:rPr>
                <w:rFonts w:hint="default" w:ascii="Times New Roman" w:hAnsi="Times New Roman" w:cs="Times New Roman"/>
                <w:b/>
                <w:bCs/>
                <w:color w:val="auto"/>
              </w:rPr>
              <w:tab/>
            </w:r>
            <w:r>
              <w:rPr>
                <w:rFonts w:hint="default" w:ascii="Times New Roman" w:hAnsi="Times New Roman" w:cs="Times New Roman"/>
                <w:b/>
                <w:bCs/>
                <w:color w:val="auto"/>
              </w:rPr>
              <w:t>医疗机构排污单位废气治理可行技术参照表</w:t>
            </w:r>
          </w:p>
          <w:tbl>
            <w:tblPr>
              <w:tblStyle w:val="25"/>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95"/>
              <w:gridCol w:w="2187"/>
              <w:gridCol w:w="873"/>
              <w:gridCol w:w="4323"/>
            </w:tblGrid>
            <w:tr w14:paraId="776716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0" w:hRule="atLeast"/>
                <w:jc w:val="center"/>
              </w:trPr>
              <w:tc>
                <w:tcPr>
                  <w:tcW w:w="1195" w:type="dxa"/>
                  <w:noWrap w:val="0"/>
                  <w:vAlign w:val="center"/>
                </w:tcPr>
                <w:p w14:paraId="4EA50652">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污染物产</w:t>
                  </w:r>
                </w:p>
                <w:p w14:paraId="1C03F289">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生设施</w:t>
                  </w:r>
                </w:p>
              </w:tc>
              <w:tc>
                <w:tcPr>
                  <w:tcW w:w="2187" w:type="dxa"/>
                  <w:noWrap w:val="0"/>
                  <w:vAlign w:val="center"/>
                </w:tcPr>
                <w:p w14:paraId="0233EE31">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污染物种类</w:t>
                  </w:r>
                </w:p>
              </w:tc>
              <w:tc>
                <w:tcPr>
                  <w:tcW w:w="873" w:type="dxa"/>
                  <w:noWrap w:val="0"/>
                  <w:vAlign w:val="center"/>
                </w:tcPr>
                <w:p w14:paraId="0366B95B">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排放</w:t>
                  </w:r>
                </w:p>
                <w:p w14:paraId="2D61C53C">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形式</w:t>
                  </w:r>
                </w:p>
              </w:tc>
              <w:tc>
                <w:tcPr>
                  <w:tcW w:w="4323" w:type="dxa"/>
                  <w:noWrap w:val="0"/>
                  <w:vAlign w:val="center"/>
                </w:tcPr>
                <w:p w14:paraId="2DFB81CD">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可行技术</w:t>
                  </w:r>
                </w:p>
              </w:tc>
            </w:tr>
            <w:tr w14:paraId="1A1201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3" w:hRule="atLeast"/>
                <w:jc w:val="center"/>
              </w:trPr>
              <w:tc>
                <w:tcPr>
                  <w:tcW w:w="1195" w:type="dxa"/>
                  <w:vMerge w:val="restart"/>
                  <w:noWrap w:val="0"/>
                  <w:vAlign w:val="center"/>
                </w:tcPr>
                <w:p w14:paraId="183A7469">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污水处理站</w:t>
                  </w:r>
                </w:p>
              </w:tc>
              <w:tc>
                <w:tcPr>
                  <w:tcW w:w="2187" w:type="dxa"/>
                  <w:noWrap w:val="0"/>
                  <w:vAlign w:val="center"/>
                </w:tcPr>
                <w:p w14:paraId="471C9CB6">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氨、硫化氢、臭气</w:t>
                  </w:r>
                </w:p>
                <w:p w14:paraId="41EF63D3">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浓度</w:t>
                  </w:r>
                </w:p>
              </w:tc>
              <w:tc>
                <w:tcPr>
                  <w:tcW w:w="873" w:type="dxa"/>
                  <w:noWrap w:val="0"/>
                  <w:vAlign w:val="center"/>
                </w:tcPr>
                <w:p w14:paraId="2E95660B">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无组织</w:t>
                  </w:r>
                </w:p>
              </w:tc>
              <w:tc>
                <w:tcPr>
                  <w:tcW w:w="4323" w:type="dxa"/>
                  <w:noWrap w:val="0"/>
                  <w:vAlign w:val="center"/>
                </w:tcPr>
                <w:p w14:paraId="4470ABE5">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产生恶臭区域加罩或加盖，投放除臭剂；</w:t>
                  </w:r>
                </w:p>
              </w:tc>
            </w:tr>
            <w:tr w14:paraId="171F85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4" w:hRule="atLeast"/>
                <w:jc w:val="center"/>
              </w:trPr>
              <w:tc>
                <w:tcPr>
                  <w:tcW w:w="1195" w:type="dxa"/>
                  <w:vMerge w:val="continue"/>
                  <w:tcBorders>
                    <w:top w:val="nil"/>
                  </w:tcBorders>
                  <w:noWrap w:val="0"/>
                  <w:vAlign w:val="center"/>
                </w:tcPr>
                <w:p w14:paraId="42AD59D4">
                  <w:pPr>
                    <w:pStyle w:val="68"/>
                    <w:bidi w:val="0"/>
                    <w:jc w:val="center"/>
                    <w:rPr>
                      <w:rFonts w:hint="default" w:ascii="Times New Roman" w:hAnsi="Times New Roman" w:eastAsia="宋体" w:cs="Times New Roman"/>
                      <w:color w:val="auto"/>
                    </w:rPr>
                  </w:pPr>
                </w:p>
              </w:tc>
              <w:tc>
                <w:tcPr>
                  <w:tcW w:w="2187" w:type="dxa"/>
                  <w:noWrap w:val="0"/>
                  <w:vAlign w:val="center"/>
                </w:tcPr>
                <w:p w14:paraId="379FBB54">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氨、硫化氢、臭气浓度</w:t>
                  </w:r>
                </w:p>
              </w:tc>
              <w:tc>
                <w:tcPr>
                  <w:tcW w:w="873" w:type="dxa"/>
                  <w:noWrap w:val="0"/>
                  <w:vAlign w:val="center"/>
                </w:tcPr>
                <w:p w14:paraId="3B6C7838">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有组织</w:t>
                  </w:r>
                </w:p>
              </w:tc>
              <w:tc>
                <w:tcPr>
                  <w:tcW w:w="4323" w:type="dxa"/>
                  <w:noWrap w:val="0"/>
                  <w:vAlign w:val="center"/>
                </w:tcPr>
                <w:p w14:paraId="31306BDF">
                  <w:pPr>
                    <w:pStyle w:val="68"/>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集中收集恶臭气体经处理（喷淋塔除臭、活性炭吸附、生物除臭等）后经排气筒排放。</w:t>
                  </w:r>
                </w:p>
              </w:tc>
            </w:tr>
          </w:tbl>
          <w:p w14:paraId="1C42720B">
            <w:pPr>
              <w:bidi w:val="0"/>
              <w:spacing w:line="360" w:lineRule="auto"/>
              <w:ind w:firstLine="480" w:firstLineChars="200"/>
              <w:rPr>
                <w:rFonts w:hint="eastAsia" w:cs="Times New Roman"/>
                <w:color w:val="auto"/>
                <w:sz w:val="24"/>
                <w:szCs w:val="24"/>
                <w:lang w:val="en-US" w:eastAsia="zh-CN"/>
              </w:rPr>
            </w:pPr>
            <w:r>
              <w:rPr>
                <w:rFonts w:hint="eastAsia" w:cs="Times New Roman"/>
                <w:color w:val="auto"/>
                <w:sz w:val="24"/>
                <w:szCs w:val="24"/>
                <w:lang w:eastAsia="zh-CN"/>
              </w:rPr>
              <w:t>扩建项目污水处理过程中臭气</w:t>
            </w:r>
            <w:r>
              <w:rPr>
                <w:rFonts w:hint="eastAsia" w:cs="Times New Roman"/>
                <w:color w:val="auto"/>
                <w:sz w:val="24"/>
                <w:szCs w:val="24"/>
                <w:lang w:val="en-US" w:eastAsia="zh-CN"/>
              </w:rPr>
              <w:t>通过活性炭去除臭味后</w:t>
            </w:r>
            <w:r>
              <w:rPr>
                <w:rFonts w:hint="eastAsia" w:cs="Times New Roman"/>
                <w:color w:val="auto"/>
                <w:sz w:val="24"/>
                <w:szCs w:val="24"/>
                <w:lang w:eastAsia="zh-CN"/>
              </w:rPr>
              <w:t>通过</w:t>
            </w:r>
            <w:r>
              <w:rPr>
                <w:color w:val="auto"/>
                <w:sz w:val="24"/>
              </w:rPr>
              <w:t>导气管</w:t>
            </w:r>
            <w:r>
              <w:rPr>
                <w:rFonts w:hint="eastAsia" w:cs="Times New Roman"/>
                <w:color w:val="auto"/>
                <w:sz w:val="24"/>
                <w:szCs w:val="24"/>
                <w:lang w:val="en-US" w:eastAsia="zh-CN"/>
              </w:rPr>
              <w:t>引至绿化带排放。因此符合可行性技术要求。</w:t>
            </w:r>
          </w:p>
          <w:p w14:paraId="20F9290E">
            <w:pPr>
              <w:widowControl/>
              <w:numPr>
                <w:ilvl w:val="0"/>
                <w:numId w:val="6"/>
              </w:numPr>
              <w:spacing w:line="360" w:lineRule="auto"/>
              <w:ind w:firstLine="480" w:firstLineChars="200"/>
              <w:jc w:val="left"/>
              <w:rPr>
                <w:color w:val="auto"/>
                <w:sz w:val="24"/>
              </w:rPr>
            </w:pPr>
            <w:r>
              <w:rPr>
                <w:color w:val="auto"/>
                <w:sz w:val="24"/>
              </w:rPr>
              <w:t>医疗废物暂存间废气</w:t>
            </w:r>
          </w:p>
          <w:p w14:paraId="7F174894">
            <w:pPr>
              <w:adjustRightInd w:val="0"/>
              <w:snapToGrid w:val="0"/>
              <w:spacing w:line="360" w:lineRule="auto"/>
              <w:ind w:firstLine="480" w:firstLineChars="200"/>
              <w:rPr>
                <w:color w:val="auto"/>
              </w:rPr>
            </w:pPr>
            <w:r>
              <w:rPr>
                <w:color w:val="auto"/>
                <w:sz w:val="24"/>
              </w:rPr>
              <w:t>医疗废物暂存间</w:t>
            </w:r>
            <w:r>
              <w:rPr>
                <w:rFonts w:hint="eastAsia"/>
                <w:color w:val="auto"/>
                <w:sz w:val="24"/>
                <w:lang w:val="en-US" w:eastAsia="zh-CN"/>
              </w:rPr>
              <w:t>废气</w:t>
            </w:r>
            <w:r>
              <w:rPr>
                <w:color w:val="auto"/>
                <w:sz w:val="24"/>
              </w:rPr>
              <w:t>依托原有排风扇，且保持恒定温度，换气次数15次/h，医疗垃圾通过采取密闭贮存，及时清运，可减缓臭气的产生，满足《恶臭污染物排放标准》（GB14554-93）要求。</w:t>
            </w:r>
          </w:p>
          <w:p w14:paraId="7B69C59C">
            <w:pPr>
              <w:spacing w:line="360" w:lineRule="auto"/>
              <w:ind w:firstLine="482" w:firstLineChars="200"/>
              <w:rPr>
                <w:b/>
                <w:color w:val="auto"/>
                <w:sz w:val="24"/>
              </w:rPr>
            </w:pPr>
            <w:r>
              <w:rPr>
                <w:rFonts w:hint="eastAsia"/>
                <w:b/>
                <w:color w:val="auto"/>
                <w:sz w:val="24"/>
              </w:rPr>
              <w:t>3</w:t>
            </w:r>
            <w:r>
              <w:rPr>
                <w:b/>
                <w:color w:val="auto"/>
                <w:sz w:val="24"/>
              </w:rPr>
              <w:t>）</w:t>
            </w:r>
            <w:r>
              <w:rPr>
                <w:rFonts w:hint="eastAsia"/>
                <w:b/>
                <w:color w:val="auto"/>
                <w:sz w:val="24"/>
              </w:rPr>
              <w:t>污染源</w:t>
            </w:r>
            <w:r>
              <w:rPr>
                <w:b/>
                <w:color w:val="auto"/>
                <w:sz w:val="24"/>
              </w:rPr>
              <w:t>监测计划</w:t>
            </w:r>
          </w:p>
          <w:p w14:paraId="2780DD85">
            <w:pPr>
              <w:spacing w:line="360" w:lineRule="auto"/>
              <w:ind w:firstLine="480" w:firstLineChars="200"/>
              <w:rPr>
                <w:bCs/>
                <w:color w:val="auto"/>
                <w:sz w:val="24"/>
              </w:rPr>
            </w:pPr>
            <w:r>
              <w:rPr>
                <w:bCs/>
                <w:color w:val="auto"/>
                <w:sz w:val="24"/>
              </w:rPr>
              <w:t>按照《建设项目竣工环境保护验收技术规范 医疗机构》（HJ794-2016）、《排污单位自行监测技术指南</w:t>
            </w:r>
            <w:r>
              <w:rPr>
                <w:rFonts w:hint="eastAsia"/>
                <w:bCs/>
                <w:color w:val="auto"/>
                <w:sz w:val="24"/>
                <w:lang w:eastAsia="zh-CN"/>
              </w:rPr>
              <w:t>－</w:t>
            </w:r>
            <w:r>
              <w:rPr>
                <w:bCs/>
                <w:color w:val="auto"/>
                <w:sz w:val="24"/>
              </w:rPr>
              <w:t>总则》（HJ819-2017）</w:t>
            </w:r>
            <w:r>
              <w:rPr>
                <w:rFonts w:hint="eastAsia"/>
                <w:bCs/>
                <w:color w:val="auto"/>
                <w:sz w:val="24"/>
                <w:lang w:eastAsia="zh-CN"/>
              </w:rPr>
              <w:t>、《排污许可证申请与核发技术规范医疗机构》（HJ1105-2020）附录表A.1</w:t>
            </w:r>
            <w:r>
              <w:rPr>
                <w:bCs/>
                <w:color w:val="auto"/>
                <w:sz w:val="24"/>
              </w:rPr>
              <w:t>相关要求</w:t>
            </w:r>
            <w:r>
              <w:rPr>
                <w:rFonts w:hint="eastAsia"/>
                <w:bCs/>
                <w:color w:val="auto"/>
                <w:sz w:val="24"/>
              </w:rPr>
              <w:t>制定污染源监测计划</w:t>
            </w:r>
            <w:r>
              <w:rPr>
                <w:bCs/>
                <w:color w:val="auto"/>
                <w:sz w:val="24"/>
              </w:rPr>
              <w:t>，监测计划详见表4</w:t>
            </w:r>
            <w:r>
              <w:rPr>
                <w:rFonts w:hint="eastAsia"/>
                <w:bCs/>
                <w:color w:val="auto"/>
                <w:sz w:val="24"/>
                <w:lang w:val="en-US" w:eastAsia="zh-CN"/>
              </w:rPr>
              <w:t>.2</w:t>
            </w:r>
            <w:r>
              <w:rPr>
                <w:bCs/>
                <w:color w:val="auto"/>
                <w:sz w:val="24"/>
              </w:rPr>
              <w:t>-2。</w:t>
            </w:r>
          </w:p>
          <w:p w14:paraId="1F67B494">
            <w:pPr>
              <w:jc w:val="center"/>
              <w:rPr>
                <w:b/>
                <w:color w:val="auto"/>
                <w:sz w:val="21"/>
                <w:szCs w:val="21"/>
              </w:rPr>
            </w:pPr>
            <w:r>
              <w:rPr>
                <w:b/>
                <w:color w:val="auto"/>
                <w:sz w:val="21"/>
                <w:szCs w:val="21"/>
              </w:rPr>
              <w:t>表4</w:t>
            </w:r>
            <w:r>
              <w:rPr>
                <w:rFonts w:hint="eastAsia"/>
                <w:b/>
                <w:color w:val="auto"/>
                <w:sz w:val="21"/>
                <w:szCs w:val="21"/>
                <w:lang w:val="en-US" w:eastAsia="zh-CN"/>
              </w:rPr>
              <w:t>.2</w:t>
            </w:r>
            <w:r>
              <w:rPr>
                <w:b/>
                <w:color w:val="auto"/>
                <w:sz w:val="21"/>
                <w:szCs w:val="21"/>
              </w:rPr>
              <w:t>-2</w:t>
            </w:r>
            <w:r>
              <w:rPr>
                <w:rFonts w:hint="eastAsia"/>
                <w:b/>
                <w:color w:val="auto"/>
                <w:sz w:val="21"/>
                <w:szCs w:val="21"/>
              </w:rPr>
              <w:t>大气污染源</w:t>
            </w:r>
            <w:r>
              <w:rPr>
                <w:b/>
                <w:color w:val="auto"/>
                <w:sz w:val="21"/>
                <w:szCs w:val="21"/>
              </w:rPr>
              <w:t>监测计划一览表</w:t>
            </w:r>
          </w:p>
          <w:tbl>
            <w:tblPr>
              <w:tblStyle w:val="25"/>
              <w:tblW w:w="8481" w:type="dxa"/>
              <w:tblInd w:w="0" w:type="dxa"/>
              <w:tblLayout w:type="fixed"/>
              <w:tblCellMar>
                <w:top w:w="0" w:type="dxa"/>
                <w:left w:w="108" w:type="dxa"/>
                <w:bottom w:w="0" w:type="dxa"/>
                <w:right w:w="108" w:type="dxa"/>
              </w:tblCellMar>
            </w:tblPr>
            <w:tblGrid>
              <w:gridCol w:w="687"/>
              <w:gridCol w:w="1666"/>
              <w:gridCol w:w="2091"/>
              <w:gridCol w:w="2346"/>
              <w:gridCol w:w="1691"/>
            </w:tblGrid>
            <w:tr w14:paraId="3BF7E070">
              <w:tblPrEx>
                <w:tblCellMar>
                  <w:top w:w="0" w:type="dxa"/>
                  <w:left w:w="108" w:type="dxa"/>
                  <w:bottom w:w="0" w:type="dxa"/>
                  <w:right w:w="108" w:type="dxa"/>
                </w:tblCellMar>
              </w:tblPrEx>
              <w:tc>
                <w:tcPr>
                  <w:tcW w:w="2353" w:type="dxa"/>
                  <w:gridSpan w:val="2"/>
                  <w:tcBorders>
                    <w:top w:val="single" w:color="auto" w:sz="4" w:space="0"/>
                    <w:left w:val="single" w:color="auto" w:sz="4" w:space="0"/>
                    <w:bottom w:val="single" w:color="auto" w:sz="4" w:space="0"/>
                    <w:right w:val="single" w:color="auto" w:sz="4" w:space="0"/>
                  </w:tcBorders>
                  <w:noWrap w:val="0"/>
                  <w:vAlign w:val="center"/>
                </w:tcPr>
                <w:p w14:paraId="4C0FD725">
                  <w:pPr>
                    <w:jc w:val="center"/>
                    <w:rPr>
                      <w:b/>
                      <w:color w:val="auto"/>
                      <w:szCs w:val="21"/>
                    </w:rPr>
                  </w:pPr>
                  <w:r>
                    <w:rPr>
                      <w:b/>
                      <w:color w:val="auto"/>
                    </w:rPr>
                    <w:t>项目</w:t>
                  </w:r>
                </w:p>
              </w:tc>
              <w:tc>
                <w:tcPr>
                  <w:tcW w:w="2091" w:type="dxa"/>
                  <w:tcBorders>
                    <w:top w:val="single" w:color="auto" w:sz="4" w:space="0"/>
                    <w:left w:val="nil"/>
                    <w:bottom w:val="single" w:color="auto" w:sz="4" w:space="0"/>
                    <w:right w:val="single" w:color="auto" w:sz="4" w:space="0"/>
                  </w:tcBorders>
                  <w:noWrap w:val="0"/>
                  <w:vAlign w:val="center"/>
                </w:tcPr>
                <w:p w14:paraId="3DBF4EC1">
                  <w:pPr>
                    <w:jc w:val="center"/>
                    <w:rPr>
                      <w:b/>
                      <w:color w:val="auto"/>
                      <w:szCs w:val="21"/>
                    </w:rPr>
                  </w:pPr>
                  <w:r>
                    <w:rPr>
                      <w:b/>
                      <w:color w:val="auto"/>
                    </w:rPr>
                    <w:t>监测因子</w:t>
                  </w:r>
                </w:p>
              </w:tc>
              <w:tc>
                <w:tcPr>
                  <w:tcW w:w="2346" w:type="dxa"/>
                  <w:tcBorders>
                    <w:top w:val="single" w:color="auto" w:sz="4" w:space="0"/>
                    <w:left w:val="nil"/>
                    <w:bottom w:val="single" w:color="auto" w:sz="4" w:space="0"/>
                    <w:right w:val="single" w:color="auto" w:sz="4" w:space="0"/>
                  </w:tcBorders>
                  <w:noWrap w:val="0"/>
                  <w:vAlign w:val="top"/>
                </w:tcPr>
                <w:p w14:paraId="66C4C171">
                  <w:pPr>
                    <w:jc w:val="center"/>
                    <w:rPr>
                      <w:b/>
                      <w:color w:val="auto"/>
                      <w:szCs w:val="21"/>
                    </w:rPr>
                  </w:pPr>
                  <w:r>
                    <w:rPr>
                      <w:b/>
                      <w:color w:val="auto"/>
                    </w:rPr>
                    <w:t>监测布点</w:t>
                  </w:r>
                </w:p>
              </w:tc>
              <w:tc>
                <w:tcPr>
                  <w:tcW w:w="1691" w:type="dxa"/>
                  <w:tcBorders>
                    <w:top w:val="single" w:color="auto" w:sz="4" w:space="0"/>
                    <w:left w:val="nil"/>
                    <w:bottom w:val="single" w:color="auto" w:sz="4" w:space="0"/>
                    <w:right w:val="single" w:color="auto" w:sz="4" w:space="0"/>
                  </w:tcBorders>
                  <w:noWrap w:val="0"/>
                  <w:vAlign w:val="center"/>
                </w:tcPr>
                <w:p w14:paraId="4D2396CB">
                  <w:pPr>
                    <w:jc w:val="center"/>
                    <w:rPr>
                      <w:b/>
                      <w:color w:val="auto"/>
                      <w:szCs w:val="21"/>
                    </w:rPr>
                  </w:pPr>
                  <w:r>
                    <w:rPr>
                      <w:b/>
                      <w:color w:val="auto"/>
                    </w:rPr>
                    <w:t>监测频率</w:t>
                  </w:r>
                </w:p>
              </w:tc>
            </w:tr>
            <w:tr w14:paraId="59671866">
              <w:tblPrEx>
                <w:tblCellMar>
                  <w:top w:w="0" w:type="dxa"/>
                  <w:left w:w="108" w:type="dxa"/>
                  <w:bottom w:w="0" w:type="dxa"/>
                  <w:right w:w="108" w:type="dxa"/>
                </w:tblCellMar>
              </w:tblPrEx>
              <w:trPr>
                <w:trHeight w:val="282" w:hRule="atLeast"/>
              </w:trPr>
              <w:tc>
                <w:tcPr>
                  <w:tcW w:w="687" w:type="dxa"/>
                  <w:vMerge w:val="restart"/>
                  <w:tcBorders>
                    <w:top w:val="single" w:color="auto" w:sz="4" w:space="0"/>
                    <w:left w:val="single" w:color="auto" w:sz="4" w:space="0"/>
                    <w:bottom w:val="nil"/>
                    <w:right w:val="single" w:color="auto" w:sz="4" w:space="0"/>
                  </w:tcBorders>
                  <w:noWrap w:val="0"/>
                  <w:vAlign w:val="center"/>
                </w:tcPr>
                <w:p w14:paraId="4A641941">
                  <w:pPr>
                    <w:jc w:val="left"/>
                    <w:rPr>
                      <w:color w:val="auto"/>
                    </w:rPr>
                  </w:pPr>
                  <w:r>
                    <w:rPr>
                      <w:color w:val="auto"/>
                      <w:szCs w:val="21"/>
                    </w:rPr>
                    <w:t>废气</w:t>
                  </w:r>
                </w:p>
              </w:tc>
              <w:tc>
                <w:tcPr>
                  <w:tcW w:w="1666" w:type="dxa"/>
                  <w:vMerge w:val="restart"/>
                  <w:tcBorders>
                    <w:top w:val="single" w:color="auto" w:sz="4" w:space="0"/>
                    <w:left w:val="single" w:color="auto" w:sz="4" w:space="0"/>
                    <w:bottom w:val="nil"/>
                    <w:right w:val="single" w:color="auto" w:sz="4" w:space="0"/>
                  </w:tcBorders>
                  <w:noWrap w:val="0"/>
                  <w:vAlign w:val="center"/>
                </w:tcPr>
                <w:p w14:paraId="1F96D7C4">
                  <w:pPr>
                    <w:jc w:val="center"/>
                    <w:rPr>
                      <w:color w:val="auto"/>
                    </w:rPr>
                  </w:pPr>
                  <w:r>
                    <w:rPr>
                      <w:color w:val="auto"/>
                    </w:rPr>
                    <w:t>无组织</w:t>
                  </w:r>
                </w:p>
              </w:tc>
              <w:tc>
                <w:tcPr>
                  <w:tcW w:w="2091" w:type="dxa"/>
                  <w:vMerge w:val="restart"/>
                  <w:tcBorders>
                    <w:top w:val="single" w:color="auto" w:sz="4" w:space="0"/>
                    <w:left w:val="nil"/>
                    <w:bottom w:val="nil"/>
                    <w:right w:val="single" w:color="auto" w:sz="4" w:space="0"/>
                  </w:tcBorders>
                  <w:noWrap w:val="0"/>
                  <w:vAlign w:val="center"/>
                </w:tcPr>
                <w:p w14:paraId="6F5C8073">
                  <w:pPr>
                    <w:jc w:val="center"/>
                    <w:rPr>
                      <w:rFonts w:hint="eastAsia"/>
                      <w:color w:val="auto"/>
                    </w:rPr>
                  </w:pPr>
                  <w:r>
                    <w:rPr>
                      <w:bCs/>
                      <w:color w:val="auto"/>
                      <w:szCs w:val="21"/>
                      <w:lang w:bidi="ar"/>
                    </w:rPr>
                    <w:t>H</w:t>
                  </w:r>
                  <w:r>
                    <w:rPr>
                      <w:bCs/>
                      <w:color w:val="auto"/>
                      <w:szCs w:val="21"/>
                      <w:vertAlign w:val="subscript"/>
                      <w:lang w:bidi="ar"/>
                    </w:rPr>
                    <w:t>2</w:t>
                  </w:r>
                  <w:r>
                    <w:rPr>
                      <w:bCs/>
                      <w:color w:val="auto"/>
                      <w:szCs w:val="21"/>
                      <w:lang w:bidi="ar"/>
                    </w:rPr>
                    <w:t>S、NH</w:t>
                  </w:r>
                  <w:r>
                    <w:rPr>
                      <w:bCs/>
                      <w:color w:val="auto"/>
                      <w:szCs w:val="21"/>
                      <w:vertAlign w:val="subscript"/>
                      <w:lang w:bidi="ar"/>
                    </w:rPr>
                    <w:t>3</w:t>
                  </w:r>
                  <w:r>
                    <w:rPr>
                      <w:rFonts w:hint="eastAsia"/>
                      <w:bCs/>
                      <w:color w:val="auto"/>
                      <w:szCs w:val="21"/>
                      <w:lang w:bidi="ar"/>
                    </w:rPr>
                    <w:t>、臭气浓度</w:t>
                  </w:r>
                  <w:r>
                    <w:rPr>
                      <w:rFonts w:hint="default" w:ascii="Times New Roman" w:hAnsi="Times New Roman" w:cs="Times New Roman"/>
                      <w:color w:val="auto"/>
                    </w:rPr>
                    <w:t>、</w:t>
                  </w:r>
                  <w:r>
                    <w:rPr>
                      <w:rFonts w:hint="default" w:ascii="Times New Roman" w:hAnsi="Times New Roman" w:eastAsia="宋体" w:cs="Times New Roman"/>
                      <w:color w:val="auto"/>
                    </w:rPr>
                    <w:t>氯气</w:t>
                  </w:r>
                  <w:r>
                    <w:rPr>
                      <w:rFonts w:hint="default" w:ascii="Times New Roman" w:hAnsi="Times New Roman" w:cs="Times New Roman"/>
                      <w:color w:val="auto"/>
                    </w:rPr>
                    <w:t>、</w:t>
                  </w:r>
                  <w:r>
                    <w:rPr>
                      <w:rFonts w:hint="default" w:ascii="Times New Roman" w:hAnsi="Times New Roman" w:eastAsia="宋体" w:cs="Times New Roman"/>
                      <w:color w:val="auto"/>
                    </w:rPr>
                    <w:t>甲烷</w:t>
                  </w:r>
                </w:p>
              </w:tc>
              <w:tc>
                <w:tcPr>
                  <w:tcW w:w="2346" w:type="dxa"/>
                  <w:vMerge w:val="restart"/>
                  <w:tcBorders>
                    <w:top w:val="single" w:color="auto" w:sz="4" w:space="0"/>
                    <w:left w:val="nil"/>
                    <w:bottom w:val="nil"/>
                    <w:right w:val="single" w:color="auto" w:sz="4" w:space="0"/>
                  </w:tcBorders>
                  <w:noWrap w:val="0"/>
                  <w:vAlign w:val="center"/>
                </w:tcPr>
                <w:p w14:paraId="64B11F41">
                  <w:pPr>
                    <w:jc w:val="center"/>
                    <w:rPr>
                      <w:color w:val="auto"/>
                    </w:rPr>
                  </w:pPr>
                  <w:r>
                    <w:rPr>
                      <w:color w:val="auto"/>
                    </w:rPr>
                    <w:t>污水处理站下风向</w:t>
                  </w:r>
                </w:p>
              </w:tc>
              <w:tc>
                <w:tcPr>
                  <w:tcW w:w="1691" w:type="dxa"/>
                  <w:tcBorders>
                    <w:top w:val="single" w:color="auto" w:sz="4" w:space="0"/>
                    <w:left w:val="single" w:color="auto" w:sz="4" w:space="0"/>
                    <w:bottom w:val="single" w:color="auto" w:sz="4" w:space="0"/>
                    <w:right w:val="single" w:color="auto" w:sz="4" w:space="0"/>
                  </w:tcBorders>
                  <w:noWrap w:val="0"/>
                  <w:vAlign w:val="center"/>
                </w:tcPr>
                <w:p w14:paraId="70249E55">
                  <w:pPr>
                    <w:adjustRightInd w:val="0"/>
                    <w:snapToGrid w:val="0"/>
                    <w:jc w:val="center"/>
                    <w:rPr>
                      <w:color w:val="auto"/>
                    </w:rPr>
                  </w:pPr>
                  <w:r>
                    <w:rPr>
                      <w:rFonts w:hint="eastAsia"/>
                      <w:color w:val="auto"/>
                    </w:rPr>
                    <w:t>1季度/次</w:t>
                  </w:r>
                </w:p>
              </w:tc>
            </w:tr>
            <w:tr w14:paraId="29FF79AE">
              <w:tblPrEx>
                <w:tblCellMar>
                  <w:top w:w="0" w:type="dxa"/>
                  <w:left w:w="108" w:type="dxa"/>
                  <w:bottom w:w="0" w:type="dxa"/>
                  <w:right w:w="108" w:type="dxa"/>
                </w:tblCellMar>
              </w:tblPrEx>
              <w:trPr>
                <w:trHeight w:val="90" w:hRule="atLeast"/>
              </w:trPr>
              <w:tc>
                <w:tcPr>
                  <w:tcW w:w="687" w:type="dxa"/>
                  <w:vMerge w:val="continue"/>
                  <w:tcBorders>
                    <w:left w:val="single" w:color="auto" w:sz="4" w:space="0"/>
                    <w:bottom w:val="single" w:color="auto" w:sz="4" w:space="0"/>
                    <w:right w:val="single" w:color="auto" w:sz="4" w:space="0"/>
                  </w:tcBorders>
                  <w:noWrap w:val="0"/>
                  <w:vAlign w:val="center"/>
                </w:tcPr>
                <w:p w14:paraId="36E77474">
                  <w:pPr>
                    <w:widowControl/>
                    <w:jc w:val="left"/>
                    <w:rPr>
                      <w:color w:val="auto"/>
                      <w:szCs w:val="21"/>
                    </w:rPr>
                  </w:pPr>
                </w:p>
              </w:tc>
              <w:tc>
                <w:tcPr>
                  <w:tcW w:w="1666" w:type="dxa"/>
                  <w:vMerge w:val="continue"/>
                  <w:tcBorders>
                    <w:left w:val="single" w:color="auto" w:sz="4" w:space="0"/>
                    <w:bottom w:val="single" w:color="auto" w:sz="4" w:space="0"/>
                    <w:right w:val="single" w:color="auto" w:sz="4" w:space="0"/>
                  </w:tcBorders>
                  <w:noWrap w:val="0"/>
                  <w:vAlign w:val="center"/>
                </w:tcPr>
                <w:p w14:paraId="09B81709">
                  <w:pPr>
                    <w:jc w:val="center"/>
                    <w:rPr>
                      <w:color w:val="auto"/>
                    </w:rPr>
                  </w:pPr>
                </w:p>
              </w:tc>
              <w:tc>
                <w:tcPr>
                  <w:tcW w:w="2091" w:type="dxa"/>
                  <w:vMerge w:val="continue"/>
                  <w:tcBorders>
                    <w:left w:val="nil"/>
                    <w:bottom w:val="single" w:color="auto" w:sz="4" w:space="0"/>
                    <w:right w:val="single" w:color="auto" w:sz="4" w:space="0"/>
                  </w:tcBorders>
                  <w:noWrap w:val="0"/>
                  <w:vAlign w:val="center"/>
                </w:tcPr>
                <w:p w14:paraId="75D6ED72">
                  <w:pPr>
                    <w:jc w:val="center"/>
                    <w:rPr>
                      <w:bCs/>
                      <w:color w:val="auto"/>
                      <w:szCs w:val="21"/>
                      <w:lang w:bidi="ar"/>
                    </w:rPr>
                  </w:pPr>
                </w:p>
              </w:tc>
              <w:tc>
                <w:tcPr>
                  <w:tcW w:w="2346" w:type="dxa"/>
                  <w:vMerge w:val="continue"/>
                  <w:tcBorders>
                    <w:left w:val="nil"/>
                    <w:bottom w:val="single" w:color="auto" w:sz="4" w:space="0"/>
                    <w:right w:val="single" w:color="auto" w:sz="4" w:space="0"/>
                  </w:tcBorders>
                  <w:noWrap w:val="0"/>
                  <w:vAlign w:val="center"/>
                </w:tcPr>
                <w:p w14:paraId="41F9CBB1">
                  <w:pPr>
                    <w:jc w:val="center"/>
                    <w:rPr>
                      <w:color w:val="auto"/>
                    </w:rPr>
                  </w:pPr>
                </w:p>
              </w:tc>
              <w:tc>
                <w:tcPr>
                  <w:tcW w:w="1691" w:type="dxa"/>
                  <w:tcBorders>
                    <w:top w:val="single" w:color="auto" w:sz="4" w:space="0"/>
                    <w:left w:val="single" w:color="auto" w:sz="4" w:space="0"/>
                    <w:bottom w:val="single" w:color="auto" w:sz="4" w:space="0"/>
                    <w:right w:val="single" w:color="auto" w:sz="4" w:space="0"/>
                  </w:tcBorders>
                  <w:noWrap w:val="0"/>
                  <w:vAlign w:val="center"/>
                </w:tcPr>
                <w:p w14:paraId="7FD685F9">
                  <w:pPr>
                    <w:jc w:val="center"/>
                    <w:rPr>
                      <w:rFonts w:hint="eastAsia"/>
                      <w:color w:val="auto"/>
                    </w:rPr>
                  </w:pPr>
                  <w:r>
                    <w:rPr>
                      <w:rFonts w:hint="eastAsia"/>
                      <w:color w:val="auto"/>
                    </w:rPr>
                    <w:t>验收时监测</w:t>
                  </w:r>
                </w:p>
              </w:tc>
            </w:tr>
          </w:tbl>
          <w:p w14:paraId="7C504972">
            <w:pPr>
              <w:pStyle w:val="31"/>
              <w:spacing w:before="120" w:beforeLines="50" w:line="360" w:lineRule="auto"/>
              <w:jc w:val="left"/>
              <w:textAlignment w:val="auto"/>
              <w:rPr>
                <w:rFonts w:ascii="Times New Roman" w:eastAsia="宋体" w:cs="Times New Roman"/>
                <w:b/>
                <w:bCs/>
                <w:color w:val="auto"/>
              </w:rPr>
            </w:pPr>
            <w:r>
              <w:rPr>
                <w:rFonts w:ascii="Times New Roman" w:eastAsia="宋体" w:cs="Times New Roman"/>
                <w:b/>
                <w:color w:val="auto"/>
                <w:spacing w:val="-10"/>
              </w:rPr>
              <w:t>4.2</w:t>
            </w:r>
            <w:r>
              <w:rPr>
                <w:rFonts w:hint="eastAsia" w:ascii="Times New Roman" w:eastAsia="宋体" w:cs="Times New Roman"/>
                <w:b/>
                <w:color w:val="auto"/>
                <w:spacing w:val="-10"/>
              </w:rPr>
              <w:t>.2</w:t>
            </w:r>
            <w:r>
              <w:rPr>
                <w:rFonts w:ascii="Times New Roman" w:eastAsia="宋体" w:cs="Times New Roman"/>
                <w:b/>
                <w:color w:val="auto"/>
                <w:spacing w:val="-10"/>
              </w:rPr>
              <w:t>运营期</w:t>
            </w:r>
            <w:r>
              <w:rPr>
                <w:rFonts w:ascii="Times New Roman" w:eastAsia="宋体" w:cs="Times New Roman"/>
                <w:b/>
                <w:bCs/>
                <w:color w:val="auto"/>
              </w:rPr>
              <w:t>地表水环境影响和保护措施</w:t>
            </w:r>
          </w:p>
          <w:p w14:paraId="5E0770F0">
            <w:pPr>
              <w:pStyle w:val="31"/>
              <w:spacing w:line="360" w:lineRule="auto"/>
              <w:ind w:firstLine="482" w:firstLineChars="200"/>
              <w:jc w:val="left"/>
              <w:textAlignment w:val="auto"/>
              <w:rPr>
                <w:rFonts w:ascii="Times New Roman" w:eastAsia="宋体" w:cs="Times New Roman"/>
                <w:b/>
                <w:bCs/>
                <w:color w:val="auto"/>
              </w:rPr>
            </w:pPr>
            <w:r>
              <w:rPr>
                <w:rFonts w:ascii="Times New Roman" w:eastAsia="宋体" w:cs="Times New Roman"/>
                <w:b/>
                <w:bCs/>
                <w:color w:val="auto"/>
              </w:rPr>
              <w:t>1）源强及产排量核算</w:t>
            </w:r>
          </w:p>
          <w:p w14:paraId="6FE2B16C">
            <w:pPr>
              <w:pStyle w:val="31"/>
              <w:spacing w:line="360" w:lineRule="auto"/>
              <w:ind w:firstLine="480" w:firstLineChars="200"/>
              <w:jc w:val="left"/>
              <w:textAlignment w:val="auto"/>
              <w:rPr>
                <w:rFonts w:ascii="Times New Roman" w:eastAsia="宋体" w:cs="Times New Roman"/>
                <w:color w:val="auto"/>
              </w:rPr>
            </w:pPr>
            <w:r>
              <w:rPr>
                <w:rFonts w:ascii="Times New Roman" w:eastAsia="宋体" w:cs="Times New Roman"/>
                <w:color w:val="auto"/>
              </w:rPr>
              <w:t>本项目产生的废水主要为医疗废水、生活污水等。</w:t>
            </w:r>
            <w:r>
              <w:rPr>
                <w:rFonts w:hint="eastAsia" w:ascii="Times New Roman" w:eastAsia="宋体" w:cs="Times New Roman"/>
                <w:color w:val="auto"/>
                <w:lang w:val="en-US" w:eastAsia="zh-CN"/>
              </w:rPr>
              <w:t>口腔科不涉及使用银汞合金材料，采用新型光固化复合树脂，故无含银、含汞废水产生。医学影像科配备的各类电离辐射设备均采用数字化成像技术进行成像，故无洗印污水产生。医学影像科、手术中心在诊疗过程中均不适用放射性同位素，故无放射性污水产生。</w:t>
            </w:r>
            <w:r>
              <w:rPr>
                <w:rFonts w:hint="default" w:ascii="Times New Roman" w:hAnsi="Times New Roman" w:eastAsia="宋体" w:cs="Times New Roman"/>
                <w:i w:val="0"/>
                <w:color w:val="auto"/>
                <w:kern w:val="0"/>
                <w:sz w:val="24"/>
                <w:szCs w:val="24"/>
                <w:u w:val="none"/>
                <w:lang w:val="en-US" w:eastAsia="zh-CN" w:bidi="ar"/>
              </w:rPr>
              <w:t>医院检验室</w:t>
            </w:r>
            <w:r>
              <w:rPr>
                <w:rFonts w:hint="eastAsia" w:ascii="Times New Roman" w:hAnsi="Times New Roman" w:eastAsia="宋体" w:cs="Times New Roman"/>
                <w:i w:val="0"/>
                <w:color w:val="auto"/>
                <w:kern w:val="0"/>
                <w:sz w:val="24"/>
                <w:szCs w:val="24"/>
                <w:u w:val="none"/>
                <w:lang w:val="en-US" w:eastAsia="zh-CN" w:bidi="ar"/>
              </w:rPr>
              <w:t>污水（</w:t>
            </w:r>
            <w:r>
              <w:rPr>
                <w:rFonts w:hint="default" w:ascii="Times New Roman" w:hAnsi="Times New Roman" w:eastAsia="宋体" w:cs="Times New Roman"/>
                <w:i w:val="0"/>
                <w:color w:val="auto"/>
                <w:kern w:val="0"/>
                <w:sz w:val="24"/>
                <w:szCs w:val="24"/>
                <w:u w:val="none"/>
                <w:lang w:val="en-US" w:eastAsia="zh-CN" w:bidi="ar"/>
              </w:rPr>
              <w:t>废液</w:t>
            </w:r>
            <w:r>
              <w:rPr>
                <w:rFonts w:hint="eastAsia" w:ascii="Times New Roman" w:hAnsi="Times New Roman" w:eastAsia="宋体" w:cs="Times New Roman"/>
                <w:i w:val="0"/>
                <w:color w:val="auto"/>
                <w:kern w:val="0"/>
                <w:sz w:val="24"/>
                <w:szCs w:val="24"/>
                <w:u w:val="none"/>
                <w:lang w:val="en-US" w:eastAsia="zh-CN" w:bidi="ar"/>
              </w:rPr>
              <w:t>）</w:t>
            </w:r>
            <w:r>
              <w:rPr>
                <w:rFonts w:hint="default" w:ascii="Times New Roman" w:hAnsi="Times New Roman" w:eastAsia="宋体" w:cs="Times New Roman"/>
                <w:i w:val="0"/>
                <w:color w:val="auto"/>
                <w:kern w:val="0"/>
                <w:sz w:val="24"/>
                <w:szCs w:val="24"/>
                <w:u w:val="none"/>
                <w:lang w:val="en-US" w:eastAsia="zh-CN" w:bidi="ar"/>
              </w:rPr>
              <w:t>单独收集委托专门处理机构处理。</w:t>
            </w:r>
            <w:r>
              <w:rPr>
                <w:rFonts w:ascii="Times New Roman" w:eastAsia="宋体" w:cs="Times New Roman"/>
                <w:color w:val="auto"/>
              </w:rPr>
              <w:t>根据表2-5核算，项目废水排放量为</w:t>
            </w:r>
            <w:r>
              <w:rPr>
                <w:rFonts w:hint="eastAsia" w:ascii="Times New Roman" w:eastAsia="宋体" w:cs="Times New Roman"/>
                <w:color w:val="auto"/>
                <w:lang w:val="en-US" w:eastAsia="zh-CN" w:bidi="ar"/>
              </w:rPr>
              <w:t>29.9</w:t>
            </w:r>
            <w:r>
              <w:rPr>
                <w:rFonts w:ascii="Times New Roman" w:eastAsia="宋体" w:cs="Times New Roman"/>
                <w:color w:val="auto"/>
                <w:lang w:bidi="ar"/>
              </w:rPr>
              <w:t>m</w:t>
            </w:r>
            <w:r>
              <w:rPr>
                <w:rFonts w:ascii="Times New Roman" w:eastAsia="宋体" w:cs="Times New Roman"/>
                <w:color w:val="auto"/>
                <w:vertAlign w:val="superscript"/>
                <w:lang w:bidi="ar"/>
              </w:rPr>
              <w:t>3</w:t>
            </w:r>
            <w:r>
              <w:rPr>
                <w:rFonts w:ascii="Times New Roman" w:eastAsia="宋体" w:cs="Times New Roman"/>
                <w:color w:val="auto"/>
                <w:lang w:bidi="ar"/>
              </w:rPr>
              <w:t>/d（</w:t>
            </w:r>
            <w:r>
              <w:rPr>
                <w:rFonts w:hint="eastAsia" w:ascii="Times New Roman" w:eastAsia="宋体" w:cs="Times New Roman"/>
                <w:color w:val="auto"/>
                <w:lang w:val="en-US" w:eastAsia="zh-CN" w:bidi="ar"/>
              </w:rPr>
              <w:t>10873.5</w:t>
            </w:r>
            <w:r>
              <w:rPr>
                <w:rFonts w:ascii="Times New Roman" w:eastAsia="宋体" w:cs="Times New Roman"/>
                <w:color w:val="auto"/>
                <w:lang w:bidi="ar"/>
              </w:rPr>
              <w:t>m</w:t>
            </w:r>
            <w:r>
              <w:rPr>
                <w:rFonts w:ascii="Times New Roman" w:eastAsia="宋体" w:cs="Times New Roman"/>
                <w:color w:val="auto"/>
                <w:vertAlign w:val="superscript"/>
                <w:lang w:bidi="ar"/>
              </w:rPr>
              <w:t>3</w:t>
            </w:r>
            <w:r>
              <w:rPr>
                <w:rFonts w:ascii="Times New Roman" w:eastAsia="宋体" w:cs="Times New Roman"/>
                <w:color w:val="auto"/>
                <w:lang w:bidi="ar"/>
              </w:rPr>
              <w:t>/a），</w:t>
            </w:r>
            <w:r>
              <w:rPr>
                <w:rFonts w:ascii="Times New Roman" w:eastAsia="宋体" w:cs="Times New Roman"/>
                <w:color w:val="auto"/>
              </w:rPr>
              <w:t>扩建项目废水水质见表4</w:t>
            </w:r>
            <w:r>
              <w:rPr>
                <w:rFonts w:hint="eastAsia" w:ascii="Times New Roman" w:eastAsia="宋体" w:cs="Times New Roman"/>
                <w:color w:val="auto"/>
                <w:lang w:val="en-US" w:eastAsia="zh-CN"/>
              </w:rPr>
              <w:t>.2</w:t>
            </w:r>
            <w:r>
              <w:rPr>
                <w:rFonts w:ascii="Times New Roman" w:eastAsia="宋体" w:cs="Times New Roman"/>
                <w:color w:val="auto"/>
              </w:rPr>
              <w:t>-</w:t>
            </w:r>
            <w:r>
              <w:rPr>
                <w:rFonts w:hint="eastAsia" w:ascii="Times New Roman" w:eastAsia="宋体" w:cs="Times New Roman"/>
                <w:color w:val="auto"/>
              </w:rPr>
              <w:t>3</w:t>
            </w:r>
            <w:r>
              <w:rPr>
                <w:rFonts w:ascii="Times New Roman" w:eastAsia="宋体" w:cs="Times New Roman"/>
                <w:color w:val="auto"/>
              </w:rPr>
              <w:t>，废水污染物产生情况统计见表4</w:t>
            </w:r>
            <w:r>
              <w:rPr>
                <w:rFonts w:hint="eastAsia" w:ascii="Times New Roman" w:eastAsia="宋体" w:cs="Times New Roman"/>
                <w:color w:val="auto"/>
                <w:lang w:val="en-US" w:eastAsia="zh-CN"/>
              </w:rPr>
              <w:t>.2</w:t>
            </w:r>
            <w:r>
              <w:rPr>
                <w:rFonts w:ascii="Times New Roman" w:eastAsia="宋体" w:cs="Times New Roman"/>
                <w:color w:val="auto"/>
              </w:rPr>
              <w:t>-</w:t>
            </w:r>
            <w:r>
              <w:rPr>
                <w:rFonts w:hint="eastAsia" w:ascii="Times New Roman" w:eastAsia="宋体" w:cs="Times New Roman"/>
                <w:color w:val="auto"/>
              </w:rPr>
              <w:t>4</w:t>
            </w:r>
            <w:r>
              <w:rPr>
                <w:rFonts w:ascii="Times New Roman" w:eastAsia="宋体" w:cs="Times New Roman"/>
                <w:color w:val="auto"/>
              </w:rPr>
              <w:t>。</w:t>
            </w:r>
          </w:p>
          <w:p w14:paraId="0D038965">
            <w:pPr>
              <w:pStyle w:val="13"/>
              <w:spacing w:before="0" w:after="0" w:line="240" w:lineRule="auto"/>
              <w:ind w:firstLine="482" w:firstLineChars="200"/>
              <w:jc w:val="center"/>
              <w:rPr>
                <w:b/>
                <w:color w:val="auto"/>
                <w:sz w:val="24"/>
                <w:szCs w:val="24"/>
              </w:rPr>
            </w:pPr>
            <w:r>
              <w:rPr>
                <w:b/>
                <w:color w:val="auto"/>
                <w:sz w:val="24"/>
                <w:szCs w:val="24"/>
              </w:rPr>
              <w:t>表4</w:t>
            </w:r>
            <w:r>
              <w:rPr>
                <w:rFonts w:hint="eastAsia"/>
                <w:b/>
                <w:color w:val="auto"/>
                <w:sz w:val="24"/>
                <w:szCs w:val="24"/>
                <w:lang w:val="en-US" w:eastAsia="zh-CN"/>
              </w:rPr>
              <w:t>.2</w:t>
            </w:r>
            <w:r>
              <w:rPr>
                <w:b/>
                <w:color w:val="auto"/>
                <w:sz w:val="24"/>
                <w:szCs w:val="24"/>
              </w:rPr>
              <w:t>-</w:t>
            </w:r>
            <w:r>
              <w:rPr>
                <w:rFonts w:hint="eastAsia"/>
                <w:b/>
                <w:color w:val="auto"/>
                <w:sz w:val="24"/>
                <w:szCs w:val="24"/>
              </w:rPr>
              <w:t>3</w:t>
            </w:r>
            <w:r>
              <w:rPr>
                <w:b/>
                <w:color w:val="auto"/>
                <w:sz w:val="24"/>
                <w:szCs w:val="24"/>
              </w:rPr>
              <w:t>项目废水水质一览表 单位：mg/L</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1286"/>
              <w:gridCol w:w="798"/>
              <w:gridCol w:w="855"/>
              <w:gridCol w:w="704"/>
              <w:gridCol w:w="847"/>
              <w:gridCol w:w="1428"/>
              <w:gridCol w:w="1096"/>
              <w:gridCol w:w="769"/>
            </w:tblGrid>
            <w:tr w14:paraId="55E39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18" w:type="pct"/>
                  <w:gridSpan w:val="2"/>
                  <w:noWrap w:val="0"/>
                  <w:vAlign w:val="center"/>
                </w:tcPr>
                <w:p w14:paraId="078BE32C">
                  <w:pPr>
                    <w:pStyle w:val="13"/>
                    <w:widowControl w:val="0"/>
                    <w:adjustRightInd w:val="0"/>
                    <w:spacing w:before="0" w:after="0" w:line="240" w:lineRule="auto"/>
                    <w:ind w:right="0"/>
                    <w:jc w:val="center"/>
                    <w:rPr>
                      <w:b/>
                      <w:color w:val="auto"/>
                      <w:sz w:val="21"/>
                      <w:szCs w:val="21"/>
                    </w:rPr>
                  </w:pPr>
                  <w:r>
                    <w:rPr>
                      <w:b/>
                      <w:color w:val="auto"/>
                      <w:sz w:val="21"/>
                      <w:szCs w:val="21"/>
                    </w:rPr>
                    <w:t>污染物</w:t>
                  </w:r>
                </w:p>
              </w:tc>
              <w:tc>
                <w:tcPr>
                  <w:tcW w:w="451" w:type="pct"/>
                  <w:noWrap w:val="0"/>
                  <w:vAlign w:val="center"/>
                </w:tcPr>
                <w:p w14:paraId="48BEEF75">
                  <w:pPr>
                    <w:pStyle w:val="13"/>
                    <w:widowControl w:val="0"/>
                    <w:adjustRightInd w:val="0"/>
                    <w:spacing w:before="0" w:after="0" w:line="240" w:lineRule="auto"/>
                    <w:ind w:right="0"/>
                    <w:jc w:val="center"/>
                    <w:rPr>
                      <w:b/>
                      <w:color w:val="auto"/>
                      <w:sz w:val="21"/>
                      <w:szCs w:val="21"/>
                    </w:rPr>
                  </w:pPr>
                  <w:r>
                    <w:rPr>
                      <w:b/>
                      <w:color w:val="auto"/>
                      <w:sz w:val="21"/>
                      <w:szCs w:val="21"/>
                    </w:rPr>
                    <w:t>COD</w:t>
                  </w:r>
                </w:p>
              </w:tc>
              <w:tc>
                <w:tcPr>
                  <w:tcW w:w="484" w:type="pct"/>
                  <w:noWrap w:val="0"/>
                  <w:vAlign w:val="center"/>
                </w:tcPr>
                <w:p w14:paraId="628D1CC9">
                  <w:pPr>
                    <w:pStyle w:val="13"/>
                    <w:widowControl w:val="0"/>
                    <w:adjustRightInd w:val="0"/>
                    <w:spacing w:before="0" w:after="0" w:line="240" w:lineRule="auto"/>
                    <w:ind w:right="0"/>
                    <w:jc w:val="center"/>
                    <w:rPr>
                      <w:b/>
                      <w:color w:val="auto"/>
                      <w:sz w:val="21"/>
                      <w:szCs w:val="21"/>
                    </w:rPr>
                  </w:pPr>
                  <w:r>
                    <w:rPr>
                      <w:b/>
                      <w:color w:val="auto"/>
                      <w:sz w:val="21"/>
                      <w:szCs w:val="21"/>
                    </w:rPr>
                    <w:t>BOD</w:t>
                  </w:r>
                  <w:r>
                    <w:rPr>
                      <w:b/>
                      <w:color w:val="auto"/>
                      <w:sz w:val="21"/>
                      <w:szCs w:val="21"/>
                      <w:vertAlign w:val="subscript"/>
                    </w:rPr>
                    <w:t>5</w:t>
                  </w:r>
                </w:p>
              </w:tc>
              <w:tc>
                <w:tcPr>
                  <w:tcW w:w="398" w:type="pct"/>
                  <w:noWrap w:val="0"/>
                  <w:vAlign w:val="center"/>
                </w:tcPr>
                <w:p w14:paraId="0412EF57">
                  <w:pPr>
                    <w:pStyle w:val="13"/>
                    <w:widowControl w:val="0"/>
                    <w:adjustRightInd w:val="0"/>
                    <w:spacing w:before="0" w:after="0" w:line="240" w:lineRule="auto"/>
                    <w:ind w:right="0"/>
                    <w:jc w:val="center"/>
                    <w:rPr>
                      <w:b/>
                      <w:color w:val="auto"/>
                      <w:sz w:val="21"/>
                      <w:szCs w:val="21"/>
                    </w:rPr>
                  </w:pPr>
                  <w:r>
                    <w:rPr>
                      <w:b/>
                      <w:color w:val="auto"/>
                      <w:sz w:val="21"/>
                      <w:szCs w:val="21"/>
                    </w:rPr>
                    <w:t>SS</w:t>
                  </w:r>
                </w:p>
              </w:tc>
              <w:tc>
                <w:tcPr>
                  <w:tcW w:w="480" w:type="pct"/>
                  <w:noWrap w:val="0"/>
                  <w:vAlign w:val="center"/>
                </w:tcPr>
                <w:p w14:paraId="677B48F8">
                  <w:pPr>
                    <w:pStyle w:val="13"/>
                    <w:widowControl w:val="0"/>
                    <w:adjustRightInd w:val="0"/>
                    <w:spacing w:before="0" w:after="0" w:line="240" w:lineRule="auto"/>
                    <w:ind w:right="0"/>
                    <w:jc w:val="center"/>
                    <w:rPr>
                      <w:b/>
                      <w:color w:val="auto"/>
                      <w:sz w:val="21"/>
                      <w:szCs w:val="21"/>
                    </w:rPr>
                  </w:pPr>
                  <w:r>
                    <w:rPr>
                      <w:b/>
                      <w:color w:val="auto"/>
                      <w:sz w:val="21"/>
                      <w:szCs w:val="21"/>
                    </w:rPr>
                    <w:t>氨氮</w:t>
                  </w:r>
                </w:p>
              </w:tc>
              <w:tc>
                <w:tcPr>
                  <w:tcW w:w="809" w:type="pct"/>
                  <w:noWrap w:val="0"/>
                  <w:vAlign w:val="center"/>
                </w:tcPr>
                <w:p w14:paraId="4962C774">
                  <w:pPr>
                    <w:pStyle w:val="13"/>
                    <w:widowControl w:val="0"/>
                    <w:adjustRightInd w:val="0"/>
                    <w:spacing w:before="0" w:after="0" w:line="240" w:lineRule="auto"/>
                    <w:ind w:right="0"/>
                    <w:jc w:val="center"/>
                    <w:rPr>
                      <w:b/>
                      <w:color w:val="auto"/>
                      <w:sz w:val="21"/>
                      <w:szCs w:val="21"/>
                    </w:rPr>
                  </w:pPr>
                  <w:r>
                    <w:rPr>
                      <w:b/>
                      <w:color w:val="auto"/>
                      <w:sz w:val="21"/>
                      <w:szCs w:val="21"/>
                    </w:rPr>
                    <w:t>粪大肠菌群（</w:t>
                  </w:r>
                  <w:r>
                    <w:rPr>
                      <w:color w:val="auto"/>
                      <w:sz w:val="21"/>
                      <w:szCs w:val="21"/>
                    </w:rPr>
                    <w:t>MPN/L</w:t>
                  </w:r>
                  <w:r>
                    <w:rPr>
                      <w:b/>
                      <w:color w:val="auto"/>
                      <w:sz w:val="21"/>
                      <w:szCs w:val="21"/>
                    </w:rPr>
                    <w:t>）</w:t>
                  </w:r>
                </w:p>
              </w:tc>
              <w:tc>
                <w:tcPr>
                  <w:tcW w:w="621" w:type="pct"/>
                  <w:noWrap w:val="0"/>
                  <w:vAlign w:val="center"/>
                </w:tcPr>
                <w:p w14:paraId="6DFF358F">
                  <w:pPr>
                    <w:pStyle w:val="13"/>
                    <w:widowControl w:val="0"/>
                    <w:adjustRightInd w:val="0"/>
                    <w:spacing w:before="0" w:after="0" w:line="240" w:lineRule="auto"/>
                    <w:ind w:right="0"/>
                    <w:jc w:val="center"/>
                    <w:rPr>
                      <w:b/>
                      <w:color w:val="auto"/>
                      <w:sz w:val="21"/>
                      <w:szCs w:val="21"/>
                    </w:rPr>
                  </w:pPr>
                  <w:r>
                    <w:rPr>
                      <w:b/>
                      <w:color w:val="auto"/>
                      <w:sz w:val="21"/>
                      <w:szCs w:val="21"/>
                    </w:rPr>
                    <w:t>动植物油</w:t>
                  </w:r>
                </w:p>
              </w:tc>
              <w:tc>
                <w:tcPr>
                  <w:tcW w:w="435" w:type="pct"/>
                  <w:noWrap w:val="0"/>
                  <w:vAlign w:val="center"/>
                </w:tcPr>
                <w:p w14:paraId="7E724E9C">
                  <w:pPr>
                    <w:pStyle w:val="13"/>
                    <w:widowControl w:val="0"/>
                    <w:adjustRightInd w:val="0"/>
                    <w:spacing w:before="0" w:after="0" w:line="240" w:lineRule="auto"/>
                    <w:ind w:right="0"/>
                    <w:jc w:val="center"/>
                    <w:rPr>
                      <w:b/>
                      <w:color w:val="auto"/>
                      <w:sz w:val="21"/>
                      <w:szCs w:val="21"/>
                    </w:rPr>
                  </w:pPr>
                  <w:r>
                    <w:rPr>
                      <w:b/>
                      <w:color w:val="auto"/>
                      <w:sz w:val="21"/>
                      <w:szCs w:val="21"/>
                    </w:rPr>
                    <w:t>LAS</w:t>
                  </w:r>
                </w:p>
              </w:tc>
            </w:tr>
            <w:tr w14:paraId="3674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8" w:type="pct"/>
                  <w:vMerge w:val="restart"/>
                  <w:noWrap w:val="0"/>
                  <w:vAlign w:val="center"/>
                </w:tcPr>
                <w:p w14:paraId="257FF6BF">
                  <w:pPr>
                    <w:pStyle w:val="13"/>
                    <w:adjustRightInd w:val="0"/>
                    <w:spacing w:after="0" w:line="240" w:lineRule="auto"/>
                    <w:ind w:right="0"/>
                    <w:jc w:val="center"/>
                    <w:rPr>
                      <w:color w:val="auto"/>
                      <w:sz w:val="21"/>
                      <w:szCs w:val="21"/>
                    </w:rPr>
                  </w:pPr>
                  <w:r>
                    <w:rPr>
                      <w:color w:val="auto"/>
                      <w:sz w:val="21"/>
                      <w:szCs w:val="21"/>
                    </w:rPr>
                    <w:t>综合废水</w:t>
                  </w:r>
                </w:p>
              </w:tc>
              <w:tc>
                <w:tcPr>
                  <w:tcW w:w="729" w:type="pct"/>
                  <w:noWrap w:val="0"/>
                  <w:vAlign w:val="center"/>
                </w:tcPr>
                <w:p w14:paraId="059D3014">
                  <w:pPr>
                    <w:pStyle w:val="13"/>
                    <w:adjustRightInd w:val="0"/>
                    <w:spacing w:after="0" w:line="240" w:lineRule="auto"/>
                    <w:ind w:right="0"/>
                    <w:jc w:val="center"/>
                    <w:rPr>
                      <w:color w:val="auto"/>
                      <w:sz w:val="21"/>
                      <w:szCs w:val="21"/>
                    </w:rPr>
                  </w:pPr>
                  <w:r>
                    <w:rPr>
                      <w:color w:val="auto"/>
                      <w:sz w:val="21"/>
                      <w:szCs w:val="21"/>
                    </w:rPr>
                    <w:t>产生浓度</w:t>
                  </w:r>
                </w:p>
              </w:tc>
              <w:tc>
                <w:tcPr>
                  <w:tcW w:w="451" w:type="pct"/>
                  <w:noWrap w:val="0"/>
                  <w:vAlign w:val="center"/>
                </w:tcPr>
                <w:p w14:paraId="43404896">
                  <w:pPr>
                    <w:pStyle w:val="13"/>
                    <w:adjustRightInd w:val="0"/>
                    <w:spacing w:after="0" w:line="240" w:lineRule="auto"/>
                    <w:ind w:right="0"/>
                    <w:jc w:val="center"/>
                    <w:rPr>
                      <w:color w:val="auto"/>
                      <w:sz w:val="21"/>
                      <w:szCs w:val="21"/>
                    </w:rPr>
                  </w:pPr>
                  <w:r>
                    <w:rPr>
                      <w:color w:val="auto"/>
                      <w:sz w:val="21"/>
                      <w:szCs w:val="21"/>
                    </w:rPr>
                    <w:t>350</w:t>
                  </w:r>
                </w:p>
              </w:tc>
              <w:tc>
                <w:tcPr>
                  <w:tcW w:w="484" w:type="pct"/>
                  <w:noWrap w:val="0"/>
                  <w:vAlign w:val="center"/>
                </w:tcPr>
                <w:p w14:paraId="0273218C">
                  <w:pPr>
                    <w:pStyle w:val="13"/>
                    <w:adjustRightInd w:val="0"/>
                    <w:spacing w:after="0" w:line="240" w:lineRule="auto"/>
                    <w:ind w:right="0"/>
                    <w:jc w:val="center"/>
                    <w:rPr>
                      <w:color w:val="auto"/>
                      <w:sz w:val="21"/>
                      <w:szCs w:val="21"/>
                    </w:rPr>
                  </w:pPr>
                  <w:r>
                    <w:rPr>
                      <w:color w:val="auto"/>
                      <w:sz w:val="21"/>
                      <w:szCs w:val="21"/>
                    </w:rPr>
                    <w:t>220</w:t>
                  </w:r>
                </w:p>
              </w:tc>
              <w:tc>
                <w:tcPr>
                  <w:tcW w:w="398" w:type="pct"/>
                  <w:noWrap w:val="0"/>
                  <w:vAlign w:val="center"/>
                </w:tcPr>
                <w:p w14:paraId="444D93CD">
                  <w:pPr>
                    <w:pStyle w:val="13"/>
                    <w:adjustRightInd w:val="0"/>
                    <w:spacing w:after="0" w:line="240" w:lineRule="auto"/>
                    <w:ind w:right="0"/>
                    <w:jc w:val="center"/>
                    <w:rPr>
                      <w:color w:val="auto"/>
                      <w:sz w:val="21"/>
                      <w:szCs w:val="21"/>
                    </w:rPr>
                  </w:pPr>
                  <w:r>
                    <w:rPr>
                      <w:color w:val="auto"/>
                      <w:sz w:val="21"/>
                      <w:szCs w:val="21"/>
                    </w:rPr>
                    <w:t>150</w:t>
                  </w:r>
                </w:p>
              </w:tc>
              <w:tc>
                <w:tcPr>
                  <w:tcW w:w="480" w:type="pct"/>
                  <w:noWrap w:val="0"/>
                  <w:vAlign w:val="center"/>
                </w:tcPr>
                <w:p w14:paraId="364A11CD">
                  <w:pPr>
                    <w:pStyle w:val="13"/>
                    <w:adjustRightInd w:val="0"/>
                    <w:spacing w:after="0" w:line="240" w:lineRule="auto"/>
                    <w:ind w:right="0"/>
                    <w:jc w:val="center"/>
                    <w:rPr>
                      <w:color w:val="auto"/>
                      <w:sz w:val="21"/>
                      <w:szCs w:val="21"/>
                    </w:rPr>
                  </w:pPr>
                  <w:r>
                    <w:rPr>
                      <w:color w:val="auto"/>
                      <w:sz w:val="21"/>
                      <w:szCs w:val="21"/>
                    </w:rPr>
                    <w:t>45</w:t>
                  </w:r>
                </w:p>
              </w:tc>
              <w:tc>
                <w:tcPr>
                  <w:tcW w:w="809" w:type="pct"/>
                  <w:noWrap w:val="0"/>
                  <w:vAlign w:val="center"/>
                </w:tcPr>
                <w:p w14:paraId="6ACB0505">
                  <w:pPr>
                    <w:pStyle w:val="13"/>
                    <w:adjustRightInd w:val="0"/>
                    <w:spacing w:after="0" w:line="240" w:lineRule="auto"/>
                    <w:ind w:right="0"/>
                    <w:jc w:val="center"/>
                    <w:rPr>
                      <w:b/>
                      <w:color w:val="auto"/>
                      <w:sz w:val="21"/>
                      <w:szCs w:val="21"/>
                    </w:rPr>
                  </w:pPr>
                  <w:r>
                    <w:rPr>
                      <w:color w:val="auto"/>
                      <w:sz w:val="21"/>
                      <w:szCs w:val="21"/>
                    </w:rPr>
                    <w:t>1.6×10</w:t>
                  </w:r>
                  <w:r>
                    <w:rPr>
                      <w:color w:val="auto"/>
                      <w:sz w:val="21"/>
                      <w:szCs w:val="21"/>
                      <w:vertAlign w:val="superscript"/>
                    </w:rPr>
                    <w:t>8</w:t>
                  </w:r>
                </w:p>
              </w:tc>
              <w:tc>
                <w:tcPr>
                  <w:tcW w:w="621" w:type="pct"/>
                  <w:noWrap w:val="0"/>
                  <w:vAlign w:val="center"/>
                </w:tcPr>
                <w:p w14:paraId="3B931040">
                  <w:pPr>
                    <w:pStyle w:val="13"/>
                    <w:adjustRightInd w:val="0"/>
                    <w:spacing w:after="0" w:line="240" w:lineRule="auto"/>
                    <w:ind w:right="0"/>
                    <w:jc w:val="center"/>
                    <w:rPr>
                      <w:color w:val="auto"/>
                      <w:sz w:val="21"/>
                      <w:szCs w:val="21"/>
                    </w:rPr>
                  </w:pPr>
                  <w:r>
                    <w:rPr>
                      <w:color w:val="auto"/>
                      <w:sz w:val="21"/>
                      <w:szCs w:val="21"/>
                    </w:rPr>
                    <w:t>40</w:t>
                  </w:r>
                </w:p>
              </w:tc>
              <w:tc>
                <w:tcPr>
                  <w:tcW w:w="435" w:type="pct"/>
                  <w:noWrap w:val="0"/>
                  <w:vAlign w:val="center"/>
                </w:tcPr>
                <w:p w14:paraId="7A8F8049">
                  <w:pPr>
                    <w:pStyle w:val="13"/>
                    <w:adjustRightInd w:val="0"/>
                    <w:spacing w:after="0" w:line="240" w:lineRule="auto"/>
                    <w:ind w:right="0"/>
                    <w:jc w:val="center"/>
                    <w:rPr>
                      <w:b/>
                      <w:color w:val="auto"/>
                      <w:sz w:val="21"/>
                      <w:szCs w:val="21"/>
                    </w:rPr>
                  </w:pPr>
                  <w:r>
                    <w:rPr>
                      <w:bCs/>
                      <w:color w:val="auto"/>
                      <w:sz w:val="21"/>
                      <w:szCs w:val="21"/>
                    </w:rPr>
                    <w:t>20</w:t>
                  </w:r>
                </w:p>
              </w:tc>
            </w:tr>
            <w:tr w14:paraId="30CBE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8" w:type="pct"/>
                  <w:vMerge w:val="continue"/>
                  <w:noWrap w:val="0"/>
                  <w:vAlign w:val="center"/>
                </w:tcPr>
                <w:p w14:paraId="139737B5">
                  <w:pPr>
                    <w:pStyle w:val="13"/>
                    <w:adjustRightInd w:val="0"/>
                    <w:spacing w:after="0" w:line="240" w:lineRule="auto"/>
                    <w:ind w:right="0"/>
                    <w:jc w:val="center"/>
                    <w:rPr>
                      <w:color w:val="auto"/>
                      <w:sz w:val="21"/>
                      <w:szCs w:val="21"/>
                    </w:rPr>
                  </w:pPr>
                </w:p>
              </w:tc>
              <w:tc>
                <w:tcPr>
                  <w:tcW w:w="729" w:type="pct"/>
                  <w:noWrap w:val="0"/>
                  <w:vAlign w:val="center"/>
                </w:tcPr>
                <w:p w14:paraId="340B36D7">
                  <w:pPr>
                    <w:pStyle w:val="13"/>
                    <w:adjustRightInd w:val="0"/>
                    <w:spacing w:after="0" w:line="240" w:lineRule="auto"/>
                    <w:ind w:right="0"/>
                    <w:jc w:val="center"/>
                    <w:rPr>
                      <w:color w:val="auto"/>
                      <w:sz w:val="21"/>
                      <w:szCs w:val="21"/>
                    </w:rPr>
                  </w:pPr>
                  <w:r>
                    <w:rPr>
                      <w:color w:val="auto"/>
                      <w:sz w:val="21"/>
                      <w:szCs w:val="21"/>
                    </w:rPr>
                    <w:t>处理后浓度</w:t>
                  </w:r>
                </w:p>
              </w:tc>
              <w:tc>
                <w:tcPr>
                  <w:tcW w:w="451" w:type="pct"/>
                  <w:noWrap w:val="0"/>
                  <w:vAlign w:val="center"/>
                </w:tcPr>
                <w:p w14:paraId="5B7B70A9">
                  <w:pPr>
                    <w:pStyle w:val="13"/>
                    <w:adjustRightInd w:val="0"/>
                    <w:spacing w:after="0" w:line="240" w:lineRule="auto"/>
                    <w:ind w:right="0"/>
                    <w:jc w:val="center"/>
                    <w:rPr>
                      <w:color w:val="auto"/>
                      <w:sz w:val="21"/>
                      <w:szCs w:val="21"/>
                    </w:rPr>
                  </w:pPr>
                  <w:r>
                    <w:rPr>
                      <w:color w:val="auto"/>
                      <w:sz w:val="21"/>
                      <w:szCs w:val="21"/>
                    </w:rPr>
                    <w:t>250</w:t>
                  </w:r>
                </w:p>
              </w:tc>
              <w:tc>
                <w:tcPr>
                  <w:tcW w:w="484" w:type="pct"/>
                  <w:noWrap w:val="0"/>
                  <w:vAlign w:val="center"/>
                </w:tcPr>
                <w:p w14:paraId="519FCA09">
                  <w:pPr>
                    <w:pStyle w:val="13"/>
                    <w:adjustRightInd w:val="0"/>
                    <w:spacing w:after="0" w:line="240" w:lineRule="auto"/>
                    <w:ind w:right="0"/>
                    <w:jc w:val="center"/>
                    <w:rPr>
                      <w:color w:val="auto"/>
                      <w:sz w:val="21"/>
                      <w:szCs w:val="21"/>
                    </w:rPr>
                  </w:pPr>
                  <w:r>
                    <w:rPr>
                      <w:color w:val="auto"/>
                      <w:sz w:val="21"/>
                      <w:szCs w:val="21"/>
                    </w:rPr>
                    <w:t>100</w:t>
                  </w:r>
                </w:p>
              </w:tc>
              <w:tc>
                <w:tcPr>
                  <w:tcW w:w="398" w:type="pct"/>
                  <w:noWrap w:val="0"/>
                  <w:vAlign w:val="center"/>
                </w:tcPr>
                <w:p w14:paraId="4AA8F102">
                  <w:pPr>
                    <w:pStyle w:val="13"/>
                    <w:adjustRightInd w:val="0"/>
                    <w:spacing w:after="0" w:line="240" w:lineRule="auto"/>
                    <w:ind w:right="0"/>
                    <w:jc w:val="center"/>
                    <w:rPr>
                      <w:color w:val="auto"/>
                      <w:sz w:val="21"/>
                      <w:szCs w:val="21"/>
                    </w:rPr>
                  </w:pPr>
                  <w:r>
                    <w:rPr>
                      <w:color w:val="auto"/>
                      <w:sz w:val="21"/>
                      <w:szCs w:val="21"/>
                    </w:rPr>
                    <w:t>60</w:t>
                  </w:r>
                </w:p>
              </w:tc>
              <w:tc>
                <w:tcPr>
                  <w:tcW w:w="480" w:type="pct"/>
                  <w:noWrap w:val="0"/>
                  <w:vAlign w:val="center"/>
                </w:tcPr>
                <w:p w14:paraId="37828228">
                  <w:pPr>
                    <w:pStyle w:val="13"/>
                    <w:adjustRightInd w:val="0"/>
                    <w:spacing w:after="0" w:line="240" w:lineRule="auto"/>
                    <w:ind w:right="0"/>
                    <w:jc w:val="center"/>
                    <w:rPr>
                      <w:color w:val="auto"/>
                      <w:sz w:val="21"/>
                      <w:szCs w:val="21"/>
                    </w:rPr>
                  </w:pPr>
                  <w:r>
                    <w:rPr>
                      <w:rFonts w:hint="eastAsia"/>
                      <w:color w:val="auto"/>
                      <w:sz w:val="21"/>
                      <w:szCs w:val="21"/>
                    </w:rPr>
                    <w:t>3</w:t>
                  </w:r>
                  <w:r>
                    <w:rPr>
                      <w:color w:val="auto"/>
                      <w:sz w:val="21"/>
                      <w:szCs w:val="21"/>
                    </w:rPr>
                    <w:t>5</w:t>
                  </w:r>
                </w:p>
              </w:tc>
              <w:tc>
                <w:tcPr>
                  <w:tcW w:w="809" w:type="pct"/>
                  <w:noWrap w:val="0"/>
                  <w:vAlign w:val="center"/>
                </w:tcPr>
                <w:p w14:paraId="20025023">
                  <w:pPr>
                    <w:pStyle w:val="13"/>
                    <w:adjustRightInd w:val="0"/>
                    <w:spacing w:after="0" w:line="240" w:lineRule="auto"/>
                    <w:ind w:right="0"/>
                    <w:jc w:val="center"/>
                    <w:rPr>
                      <w:b/>
                      <w:color w:val="auto"/>
                      <w:sz w:val="21"/>
                      <w:szCs w:val="21"/>
                    </w:rPr>
                  </w:pPr>
                  <w:r>
                    <w:rPr>
                      <w:color w:val="auto"/>
                      <w:sz w:val="21"/>
                      <w:szCs w:val="21"/>
                    </w:rPr>
                    <w:t>5000</w:t>
                  </w:r>
                </w:p>
              </w:tc>
              <w:tc>
                <w:tcPr>
                  <w:tcW w:w="621" w:type="pct"/>
                  <w:noWrap w:val="0"/>
                  <w:vAlign w:val="center"/>
                </w:tcPr>
                <w:p w14:paraId="2682B865">
                  <w:pPr>
                    <w:pStyle w:val="13"/>
                    <w:adjustRightInd w:val="0"/>
                    <w:spacing w:after="0" w:line="240" w:lineRule="auto"/>
                    <w:ind w:right="0"/>
                    <w:jc w:val="center"/>
                    <w:rPr>
                      <w:color w:val="auto"/>
                      <w:sz w:val="21"/>
                      <w:szCs w:val="21"/>
                    </w:rPr>
                  </w:pPr>
                  <w:r>
                    <w:rPr>
                      <w:color w:val="auto"/>
                      <w:sz w:val="21"/>
                      <w:szCs w:val="21"/>
                    </w:rPr>
                    <w:t>20</w:t>
                  </w:r>
                </w:p>
              </w:tc>
              <w:tc>
                <w:tcPr>
                  <w:tcW w:w="435" w:type="pct"/>
                  <w:noWrap w:val="0"/>
                  <w:vAlign w:val="center"/>
                </w:tcPr>
                <w:p w14:paraId="6C92004F">
                  <w:pPr>
                    <w:pStyle w:val="13"/>
                    <w:adjustRightInd w:val="0"/>
                    <w:spacing w:after="0" w:line="240" w:lineRule="auto"/>
                    <w:ind w:right="0"/>
                    <w:jc w:val="center"/>
                    <w:rPr>
                      <w:b/>
                      <w:color w:val="auto"/>
                      <w:sz w:val="21"/>
                      <w:szCs w:val="21"/>
                    </w:rPr>
                  </w:pPr>
                  <w:r>
                    <w:rPr>
                      <w:color w:val="auto"/>
                      <w:sz w:val="21"/>
                      <w:szCs w:val="21"/>
                    </w:rPr>
                    <w:t>10</w:t>
                  </w:r>
                </w:p>
              </w:tc>
            </w:tr>
          </w:tbl>
          <w:p w14:paraId="2EC47D52">
            <w:pPr>
              <w:pStyle w:val="13"/>
              <w:spacing w:before="120" w:beforeLines="50" w:after="0" w:line="240" w:lineRule="auto"/>
              <w:ind w:firstLine="482" w:firstLineChars="200"/>
              <w:jc w:val="center"/>
              <w:rPr>
                <w:b/>
                <w:color w:val="auto"/>
                <w:sz w:val="24"/>
                <w:szCs w:val="24"/>
              </w:rPr>
            </w:pPr>
            <w:r>
              <w:rPr>
                <w:b/>
                <w:color w:val="auto"/>
                <w:sz w:val="24"/>
                <w:szCs w:val="24"/>
              </w:rPr>
              <w:t>表4</w:t>
            </w:r>
            <w:r>
              <w:rPr>
                <w:rFonts w:hint="eastAsia"/>
                <w:b/>
                <w:color w:val="auto"/>
                <w:sz w:val="24"/>
                <w:szCs w:val="24"/>
                <w:lang w:val="en-US" w:eastAsia="zh-CN"/>
              </w:rPr>
              <w:t>.2</w:t>
            </w:r>
            <w:r>
              <w:rPr>
                <w:b/>
                <w:color w:val="auto"/>
                <w:sz w:val="24"/>
                <w:szCs w:val="24"/>
              </w:rPr>
              <w:t>-</w:t>
            </w:r>
            <w:r>
              <w:rPr>
                <w:rFonts w:hint="eastAsia"/>
                <w:b/>
                <w:color w:val="auto"/>
                <w:sz w:val="24"/>
                <w:szCs w:val="24"/>
              </w:rPr>
              <w:t>4</w:t>
            </w:r>
            <w:r>
              <w:rPr>
                <w:b/>
                <w:color w:val="auto"/>
                <w:spacing w:val="1"/>
                <w:sz w:val="24"/>
                <w:szCs w:val="24"/>
              </w:rPr>
              <w:t>污水污染物产生及排放情况表</w:t>
            </w:r>
          </w:p>
          <w:tbl>
            <w:tblPr>
              <w:tblStyle w:val="2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44"/>
              <w:gridCol w:w="1008"/>
              <w:gridCol w:w="1230"/>
              <w:gridCol w:w="1154"/>
              <w:gridCol w:w="1230"/>
              <w:gridCol w:w="964"/>
              <w:gridCol w:w="1230"/>
              <w:gridCol w:w="964"/>
            </w:tblGrid>
            <w:tr w14:paraId="1F1A4A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592" w:type="pct"/>
                  <w:vMerge w:val="restart"/>
                  <w:noWrap w:val="0"/>
                  <w:vAlign w:val="center"/>
                </w:tcPr>
                <w:p w14:paraId="489B983B">
                  <w:pPr>
                    <w:adjustRightInd w:val="0"/>
                    <w:snapToGrid w:val="0"/>
                    <w:jc w:val="center"/>
                    <w:rPr>
                      <w:b/>
                      <w:color w:val="auto"/>
                      <w:kern w:val="0"/>
                      <w:szCs w:val="21"/>
                    </w:rPr>
                  </w:pPr>
                  <w:r>
                    <w:rPr>
                      <w:b/>
                      <w:color w:val="auto"/>
                      <w:kern w:val="0"/>
                      <w:szCs w:val="21"/>
                    </w:rPr>
                    <w:t>排水量（m</w:t>
                  </w:r>
                  <w:r>
                    <w:rPr>
                      <w:b/>
                      <w:color w:val="auto"/>
                      <w:kern w:val="0"/>
                      <w:szCs w:val="21"/>
                      <w:vertAlign w:val="superscript"/>
                    </w:rPr>
                    <w:t>3</w:t>
                  </w:r>
                  <w:r>
                    <w:rPr>
                      <w:b/>
                      <w:color w:val="auto"/>
                      <w:kern w:val="0"/>
                      <w:szCs w:val="21"/>
                    </w:rPr>
                    <w:t>/d）</w:t>
                  </w:r>
                </w:p>
              </w:tc>
              <w:tc>
                <w:tcPr>
                  <w:tcW w:w="571" w:type="pct"/>
                  <w:vMerge w:val="restart"/>
                  <w:noWrap w:val="0"/>
                  <w:vAlign w:val="center"/>
                </w:tcPr>
                <w:p w14:paraId="35C74919">
                  <w:pPr>
                    <w:adjustRightInd w:val="0"/>
                    <w:snapToGrid w:val="0"/>
                    <w:jc w:val="center"/>
                    <w:rPr>
                      <w:b/>
                      <w:color w:val="auto"/>
                      <w:kern w:val="0"/>
                      <w:szCs w:val="21"/>
                    </w:rPr>
                  </w:pPr>
                  <w:r>
                    <w:rPr>
                      <w:b/>
                      <w:color w:val="auto"/>
                      <w:kern w:val="0"/>
                      <w:szCs w:val="21"/>
                    </w:rPr>
                    <w:t>污染因子</w:t>
                  </w:r>
                </w:p>
              </w:tc>
              <w:tc>
                <w:tcPr>
                  <w:tcW w:w="1350" w:type="pct"/>
                  <w:gridSpan w:val="2"/>
                  <w:tcBorders>
                    <w:bottom w:val="single" w:color="auto" w:sz="4" w:space="0"/>
                  </w:tcBorders>
                  <w:noWrap w:val="0"/>
                  <w:vAlign w:val="center"/>
                </w:tcPr>
                <w:p w14:paraId="5BCE6819">
                  <w:pPr>
                    <w:adjustRightInd w:val="0"/>
                    <w:snapToGrid w:val="0"/>
                    <w:jc w:val="center"/>
                    <w:rPr>
                      <w:b/>
                      <w:color w:val="auto"/>
                      <w:kern w:val="0"/>
                      <w:szCs w:val="21"/>
                    </w:rPr>
                  </w:pPr>
                  <w:r>
                    <w:rPr>
                      <w:b/>
                      <w:color w:val="auto"/>
                      <w:kern w:val="0"/>
                      <w:szCs w:val="21"/>
                    </w:rPr>
                    <w:t>污染物产生量</w:t>
                  </w:r>
                </w:p>
              </w:tc>
              <w:tc>
                <w:tcPr>
                  <w:tcW w:w="1242" w:type="pct"/>
                  <w:gridSpan w:val="2"/>
                  <w:tcBorders>
                    <w:left w:val="single" w:color="auto" w:sz="4" w:space="0"/>
                    <w:bottom w:val="single" w:color="auto" w:sz="4" w:space="0"/>
                  </w:tcBorders>
                  <w:noWrap w:val="0"/>
                  <w:vAlign w:val="center"/>
                </w:tcPr>
                <w:p w14:paraId="6E8345BC">
                  <w:pPr>
                    <w:adjustRightInd w:val="0"/>
                    <w:snapToGrid w:val="0"/>
                    <w:jc w:val="center"/>
                    <w:rPr>
                      <w:b/>
                      <w:color w:val="auto"/>
                      <w:kern w:val="0"/>
                      <w:szCs w:val="21"/>
                    </w:rPr>
                  </w:pPr>
                  <w:r>
                    <w:rPr>
                      <w:b/>
                      <w:color w:val="auto"/>
                      <w:kern w:val="0"/>
                      <w:szCs w:val="21"/>
                    </w:rPr>
                    <w:t>污水处理站处理后排放量</w:t>
                  </w:r>
                </w:p>
              </w:tc>
              <w:tc>
                <w:tcPr>
                  <w:tcW w:w="1242" w:type="pct"/>
                  <w:gridSpan w:val="2"/>
                  <w:tcBorders>
                    <w:left w:val="single" w:color="auto" w:sz="4" w:space="0"/>
                    <w:bottom w:val="single" w:color="auto" w:sz="4" w:space="0"/>
                  </w:tcBorders>
                  <w:noWrap w:val="0"/>
                  <w:vAlign w:val="center"/>
                </w:tcPr>
                <w:p w14:paraId="2BFD3A53">
                  <w:pPr>
                    <w:adjustRightInd w:val="0"/>
                    <w:snapToGrid w:val="0"/>
                    <w:jc w:val="center"/>
                    <w:rPr>
                      <w:b/>
                      <w:color w:val="auto"/>
                      <w:kern w:val="0"/>
                      <w:szCs w:val="21"/>
                    </w:rPr>
                  </w:pPr>
                  <w:r>
                    <w:rPr>
                      <w:b/>
                      <w:color w:val="auto"/>
                      <w:kern w:val="0"/>
                      <w:szCs w:val="21"/>
                    </w:rPr>
                    <w:t>污水处理厂处理后排放量</w:t>
                  </w:r>
                </w:p>
              </w:tc>
            </w:tr>
            <w:tr w14:paraId="167D06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3" w:hRule="atLeast"/>
                <w:jc w:val="center"/>
              </w:trPr>
              <w:tc>
                <w:tcPr>
                  <w:tcW w:w="592" w:type="pct"/>
                  <w:vMerge w:val="continue"/>
                  <w:noWrap w:val="0"/>
                  <w:vAlign w:val="center"/>
                </w:tcPr>
                <w:p w14:paraId="25F75394">
                  <w:pPr>
                    <w:adjustRightInd w:val="0"/>
                    <w:snapToGrid w:val="0"/>
                    <w:jc w:val="center"/>
                    <w:rPr>
                      <w:b/>
                      <w:color w:val="auto"/>
                      <w:kern w:val="0"/>
                      <w:szCs w:val="21"/>
                    </w:rPr>
                  </w:pPr>
                </w:p>
              </w:tc>
              <w:tc>
                <w:tcPr>
                  <w:tcW w:w="571" w:type="pct"/>
                  <w:vMerge w:val="continue"/>
                  <w:noWrap w:val="0"/>
                  <w:vAlign w:val="center"/>
                </w:tcPr>
                <w:p w14:paraId="36C72E0F">
                  <w:pPr>
                    <w:adjustRightInd w:val="0"/>
                    <w:snapToGrid w:val="0"/>
                    <w:jc w:val="center"/>
                    <w:rPr>
                      <w:b/>
                      <w:color w:val="auto"/>
                      <w:kern w:val="0"/>
                      <w:szCs w:val="21"/>
                    </w:rPr>
                  </w:pPr>
                </w:p>
              </w:tc>
              <w:tc>
                <w:tcPr>
                  <w:tcW w:w="696" w:type="pct"/>
                  <w:tcBorders>
                    <w:top w:val="single" w:color="auto" w:sz="4" w:space="0"/>
                  </w:tcBorders>
                  <w:noWrap w:val="0"/>
                  <w:vAlign w:val="center"/>
                </w:tcPr>
                <w:p w14:paraId="16967539">
                  <w:pPr>
                    <w:adjustRightInd w:val="0"/>
                    <w:snapToGrid w:val="0"/>
                    <w:jc w:val="center"/>
                    <w:rPr>
                      <w:b/>
                      <w:color w:val="auto"/>
                      <w:kern w:val="0"/>
                      <w:szCs w:val="21"/>
                    </w:rPr>
                  </w:pPr>
                  <w:r>
                    <w:rPr>
                      <w:b/>
                      <w:color w:val="auto"/>
                      <w:kern w:val="0"/>
                      <w:szCs w:val="21"/>
                    </w:rPr>
                    <w:t>浓度（mg/L）</w:t>
                  </w:r>
                </w:p>
              </w:tc>
              <w:tc>
                <w:tcPr>
                  <w:tcW w:w="654" w:type="pct"/>
                  <w:tcBorders>
                    <w:top w:val="single" w:color="auto" w:sz="4" w:space="0"/>
                  </w:tcBorders>
                  <w:noWrap w:val="0"/>
                  <w:vAlign w:val="center"/>
                </w:tcPr>
                <w:p w14:paraId="08970519">
                  <w:pPr>
                    <w:adjustRightInd w:val="0"/>
                    <w:snapToGrid w:val="0"/>
                    <w:jc w:val="center"/>
                    <w:rPr>
                      <w:b/>
                      <w:color w:val="auto"/>
                      <w:kern w:val="0"/>
                      <w:szCs w:val="21"/>
                    </w:rPr>
                  </w:pPr>
                  <w:r>
                    <w:rPr>
                      <w:b/>
                      <w:color w:val="auto"/>
                      <w:kern w:val="0"/>
                      <w:szCs w:val="21"/>
                    </w:rPr>
                    <w:t>产生量（t/a）</w:t>
                  </w:r>
                </w:p>
              </w:tc>
              <w:tc>
                <w:tcPr>
                  <w:tcW w:w="696" w:type="pct"/>
                  <w:tcBorders>
                    <w:top w:val="single" w:color="auto" w:sz="4" w:space="0"/>
                    <w:left w:val="single" w:color="auto" w:sz="4" w:space="0"/>
                    <w:right w:val="single" w:color="auto" w:sz="4" w:space="0"/>
                  </w:tcBorders>
                  <w:noWrap w:val="0"/>
                  <w:vAlign w:val="center"/>
                </w:tcPr>
                <w:p w14:paraId="32C5EBF7">
                  <w:pPr>
                    <w:adjustRightInd w:val="0"/>
                    <w:snapToGrid w:val="0"/>
                    <w:jc w:val="center"/>
                    <w:rPr>
                      <w:b/>
                      <w:color w:val="auto"/>
                      <w:kern w:val="0"/>
                      <w:szCs w:val="21"/>
                    </w:rPr>
                  </w:pPr>
                  <w:r>
                    <w:rPr>
                      <w:b/>
                      <w:color w:val="auto"/>
                      <w:kern w:val="0"/>
                      <w:szCs w:val="21"/>
                    </w:rPr>
                    <w:t>浓度（mg/L）</w:t>
                  </w:r>
                </w:p>
              </w:tc>
              <w:tc>
                <w:tcPr>
                  <w:tcW w:w="546" w:type="pct"/>
                  <w:tcBorders>
                    <w:top w:val="single" w:color="auto" w:sz="4" w:space="0"/>
                    <w:left w:val="single" w:color="auto" w:sz="4" w:space="0"/>
                  </w:tcBorders>
                  <w:noWrap w:val="0"/>
                  <w:vAlign w:val="center"/>
                </w:tcPr>
                <w:p w14:paraId="29C2E108">
                  <w:pPr>
                    <w:adjustRightInd w:val="0"/>
                    <w:snapToGrid w:val="0"/>
                    <w:jc w:val="center"/>
                    <w:rPr>
                      <w:b/>
                      <w:color w:val="auto"/>
                      <w:kern w:val="0"/>
                      <w:szCs w:val="21"/>
                    </w:rPr>
                  </w:pPr>
                  <w:r>
                    <w:rPr>
                      <w:b/>
                      <w:color w:val="auto"/>
                      <w:kern w:val="0"/>
                      <w:szCs w:val="21"/>
                    </w:rPr>
                    <w:t>排放量（t/a）</w:t>
                  </w:r>
                </w:p>
              </w:tc>
              <w:tc>
                <w:tcPr>
                  <w:tcW w:w="696" w:type="pct"/>
                  <w:tcBorders>
                    <w:top w:val="single" w:color="auto" w:sz="4" w:space="0"/>
                    <w:left w:val="single" w:color="auto" w:sz="4" w:space="0"/>
                  </w:tcBorders>
                  <w:noWrap w:val="0"/>
                  <w:vAlign w:val="center"/>
                </w:tcPr>
                <w:p w14:paraId="21387A11">
                  <w:pPr>
                    <w:adjustRightInd w:val="0"/>
                    <w:snapToGrid w:val="0"/>
                    <w:jc w:val="center"/>
                    <w:rPr>
                      <w:b/>
                      <w:color w:val="auto"/>
                      <w:kern w:val="0"/>
                      <w:szCs w:val="21"/>
                    </w:rPr>
                  </w:pPr>
                  <w:r>
                    <w:rPr>
                      <w:b/>
                      <w:color w:val="auto"/>
                      <w:kern w:val="0"/>
                      <w:szCs w:val="21"/>
                    </w:rPr>
                    <w:t>浓度（mg/L）</w:t>
                  </w:r>
                </w:p>
              </w:tc>
              <w:tc>
                <w:tcPr>
                  <w:tcW w:w="546" w:type="pct"/>
                  <w:tcBorders>
                    <w:top w:val="single" w:color="auto" w:sz="4" w:space="0"/>
                    <w:left w:val="single" w:color="auto" w:sz="4" w:space="0"/>
                  </w:tcBorders>
                  <w:noWrap w:val="0"/>
                  <w:vAlign w:val="center"/>
                </w:tcPr>
                <w:p w14:paraId="413492F8">
                  <w:pPr>
                    <w:adjustRightInd w:val="0"/>
                    <w:snapToGrid w:val="0"/>
                    <w:jc w:val="center"/>
                    <w:rPr>
                      <w:b/>
                      <w:color w:val="auto"/>
                      <w:kern w:val="0"/>
                      <w:szCs w:val="21"/>
                    </w:rPr>
                  </w:pPr>
                  <w:r>
                    <w:rPr>
                      <w:b/>
                      <w:color w:val="auto"/>
                      <w:kern w:val="0"/>
                      <w:szCs w:val="21"/>
                    </w:rPr>
                    <w:t>排放量（t/a）</w:t>
                  </w:r>
                </w:p>
              </w:tc>
            </w:tr>
            <w:tr w14:paraId="08AF85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pct"/>
                  <w:vMerge w:val="restart"/>
                  <w:noWrap w:val="0"/>
                  <w:vAlign w:val="center"/>
                </w:tcPr>
                <w:p w14:paraId="1125BC53">
                  <w:pPr>
                    <w:adjustRightInd w:val="0"/>
                    <w:snapToGrid w:val="0"/>
                    <w:jc w:val="center"/>
                    <w:rPr>
                      <w:rFonts w:hint="default" w:eastAsia="宋体"/>
                      <w:color w:val="auto"/>
                      <w:kern w:val="0"/>
                      <w:szCs w:val="21"/>
                      <w:lang w:val="en-US" w:eastAsia="zh-CN"/>
                    </w:rPr>
                  </w:pPr>
                  <w:r>
                    <w:rPr>
                      <w:color w:val="auto"/>
                      <w:kern w:val="0"/>
                      <w:szCs w:val="21"/>
                    </w:rPr>
                    <w:t>综合废水</w:t>
                  </w:r>
                  <w:r>
                    <w:rPr>
                      <w:rFonts w:hint="eastAsia" w:ascii="Times New Roman" w:eastAsia="宋体" w:cs="Times New Roman"/>
                      <w:color w:val="auto"/>
                      <w:lang w:val="en-US" w:eastAsia="zh-CN" w:bidi="ar"/>
                    </w:rPr>
                    <w:t>10</w:t>
                  </w:r>
                  <w:r>
                    <w:rPr>
                      <w:rFonts w:hint="eastAsia" w:cs="Times New Roman"/>
                      <w:color w:val="auto"/>
                      <w:lang w:val="en-US" w:eastAsia="zh-CN" w:bidi="ar"/>
                    </w:rPr>
                    <w:t>873.5</w:t>
                  </w:r>
                </w:p>
                <w:p w14:paraId="17BDC1E6">
                  <w:pPr>
                    <w:adjustRightInd w:val="0"/>
                    <w:snapToGrid w:val="0"/>
                    <w:jc w:val="center"/>
                    <w:rPr>
                      <w:color w:val="auto"/>
                      <w:kern w:val="0"/>
                      <w:szCs w:val="21"/>
                    </w:rPr>
                  </w:pPr>
                  <w:r>
                    <w:rPr>
                      <w:color w:val="auto"/>
                      <w:kern w:val="0"/>
                      <w:szCs w:val="21"/>
                    </w:rPr>
                    <w:t>m</w:t>
                  </w:r>
                  <w:r>
                    <w:rPr>
                      <w:color w:val="auto"/>
                      <w:kern w:val="0"/>
                      <w:szCs w:val="21"/>
                      <w:vertAlign w:val="superscript"/>
                    </w:rPr>
                    <w:t>3</w:t>
                  </w:r>
                  <w:r>
                    <w:rPr>
                      <w:color w:val="auto"/>
                      <w:kern w:val="0"/>
                      <w:szCs w:val="21"/>
                    </w:rPr>
                    <w:t>/a</w:t>
                  </w:r>
                </w:p>
              </w:tc>
              <w:tc>
                <w:tcPr>
                  <w:tcW w:w="571" w:type="pct"/>
                  <w:noWrap w:val="0"/>
                  <w:vAlign w:val="center"/>
                </w:tcPr>
                <w:p w14:paraId="7D4D6090">
                  <w:pPr>
                    <w:adjustRightInd w:val="0"/>
                    <w:snapToGrid w:val="0"/>
                    <w:jc w:val="center"/>
                    <w:rPr>
                      <w:color w:val="auto"/>
                      <w:kern w:val="0"/>
                      <w:szCs w:val="21"/>
                    </w:rPr>
                  </w:pPr>
                  <w:r>
                    <w:rPr>
                      <w:color w:val="auto"/>
                      <w:kern w:val="0"/>
                      <w:szCs w:val="21"/>
                    </w:rPr>
                    <w:t>COD</w:t>
                  </w:r>
                </w:p>
              </w:tc>
              <w:tc>
                <w:tcPr>
                  <w:tcW w:w="696" w:type="pct"/>
                  <w:noWrap w:val="0"/>
                  <w:vAlign w:val="center"/>
                </w:tcPr>
                <w:p w14:paraId="0EF0F068">
                  <w:pPr>
                    <w:widowControl/>
                    <w:adjustRightInd w:val="0"/>
                    <w:snapToGrid w:val="0"/>
                    <w:jc w:val="center"/>
                    <w:textAlignment w:val="center"/>
                    <w:rPr>
                      <w:color w:val="auto"/>
                      <w:kern w:val="0"/>
                      <w:szCs w:val="21"/>
                    </w:rPr>
                  </w:pPr>
                  <w:r>
                    <w:rPr>
                      <w:color w:val="auto"/>
                      <w:kern w:val="0"/>
                      <w:szCs w:val="21"/>
                      <w:lang w:bidi="ar"/>
                    </w:rPr>
                    <w:t>350</w:t>
                  </w:r>
                </w:p>
              </w:tc>
              <w:tc>
                <w:tcPr>
                  <w:tcW w:w="1099" w:type="dxa"/>
                  <w:noWrap w:val="0"/>
                  <w:vAlign w:val="center"/>
                </w:tcPr>
                <w:p w14:paraId="7AFF6FC4">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3.8057 </w:t>
                  </w:r>
                </w:p>
              </w:tc>
              <w:tc>
                <w:tcPr>
                  <w:tcW w:w="1170" w:type="dxa"/>
                  <w:tcBorders>
                    <w:left w:val="single" w:color="auto" w:sz="4" w:space="0"/>
                    <w:right w:val="single" w:color="auto" w:sz="4" w:space="0"/>
                  </w:tcBorders>
                  <w:noWrap w:val="0"/>
                  <w:vAlign w:val="center"/>
                </w:tcPr>
                <w:p w14:paraId="4BA5F24E">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250</w:t>
                  </w:r>
                </w:p>
              </w:tc>
              <w:tc>
                <w:tcPr>
                  <w:tcW w:w="922" w:type="dxa"/>
                  <w:tcBorders>
                    <w:left w:val="single" w:color="auto" w:sz="4" w:space="0"/>
                  </w:tcBorders>
                  <w:noWrap w:val="0"/>
                  <w:vAlign w:val="center"/>
                </w:tcPr>
                <w:p w14:paraId="011A505A">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2.7184 </w:t>
                  </w:r>
                </w:p>
              </w:tc>
              <w:tc>
                <w:tcPr>
                  <w:tcW w:w="696" w:type="pct"/>
                  <w:tcBorders>
                    <w:left w:val="single" w:color="auto" w:sz="4" w:space="0"/>
                  </w:tcBorders>
                  <w:noWrap w:val="0"/>
                  <w:vAlign w:val="center"/>
                </w:tcPr>
                <w:p w14:paraId="328D1FBA">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50</w:t>
                  </w:r>
                </w:p>
              </w:tc>
              <w:tc>
                <w:tcPr>
                  <w:tcW w:w="917" w:type="dxa"/>
                  <w:tcBorders>
                    <w:left w:val="single" w:color="auto" w:sz="4" w:space="0"/>
                  </w:tcBorders>
                  <w:noWrap w:val="0"/>
                  <w:vAlign w:val="center"/>
                </w:tcPr>
                <w:p w14:paraId="06656579">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0.5437 </w:t>
                  </w:r>
                </w:p>
              </w:tc>
            </w:tr>
            <w:tr w14:paraId="1DB07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pct"/>
                  <w:vMerge w:val="continue"/>
                  <w:noWrap w:val="0"/>
                  <w:vAlign w:val="center"/>
                </w:tcPr>
                <w:p w14:paraId="45CA3EBA">
                  <w:pPr>
                    <w:adjustRightInd w:val="0"/>
                    <w:snapToGrid w:val="0"/>
                    <w:jc w:val="center"/>
                    <w:rPr>
                      <w:color w:val="auto"/>
                      <w:kern w:val="0"/>
                      <w:szCs w:val="21"/>
                    </w:rPr>
                  </w:pPr>
                </w:p>
              </w:tc>
              <w:tc>
                <w:tcPr>
                  <w:tcW w:w="571" w:type="pct"/>
                  <w:noWrap w:val="0"/>
                  <w:vAlign w:val="center"/>
                </w:tcPr>
                <w:p w14:paraId="17A5948B">
                  <w:pPr>
                    <w:adjustRightInd w:val="0"/>
                    <w:snapToGrid w:val="0"/>
                    <w:jc w:val="center"/>
                    <w:rPr>
                      <w:color w:val="auto"/>
                      <w:kern w:val="0"/>
                      <w:szCs w:val="21"/>
                    </w:rPr>
                  </w:pPr>
                  <w:r>
                    <w:rPr>
                      <w:color w:val="auto"/>
                      <w:kern w:val="0"/>
                      <w:szCs w:val="21"/>
                    </w:rPr>
                    <w:t>BOD</w:t>
                  </w:r>
                  <w:r>
                    <w:rPr>
                      <w:color w:val="auto"/>
                      <w:kern w:val="0"/>
                      <w:szCs w:val="21"/>
                      <w:vertAlign w:val="subscript"/>
                    </w:rPr>
                    <w:t>5</w:t>
                  </w:r>
                </w:p>
              </w:tc>
              <w:tc>
                <w:tcPr>
                  <w:tcW w:w="696" w:type="pct"/>
                  <w:noWrap w:val="0"/>
                  <w:vAlign w:val="center"/>
                </w:tcPr>
                <w:p w14:paraId="66021022">
                  <w:pPr>
                    <w:widowControl/>
                    <w:adjustRightInd w:val="0"/>
                    <w:snapToGrid w:val="0"/>
                    <w:jc w:val="center"/>
                    <w:textAlignment w:val="center"/>
                    <w:rPr>
                      <w:color w:val="auto"/>
                      <w:szCs w:val="21"/>
                    </w:rPr>
                  </w:pPr>
                  <w:r>
                    <w:rPr>
                      <w:color w:val="auto"/>
                      <w:kern w:val="0"/>
                      <w:szCs w:val="21"/>
                      <w:lang w:bidi="ar"/>
                    </w:rPr>
                    <w:t>220</w:t>
                  </w:r>
                </w:p>
              </w:tc>
              <w:tc>
                <w:tcPr>
                  <w:tcW w:w="1099" w:type="dxa"/>
                  <w:noWrap w:val="0"/>
                  <w:vAlign w:val="center"/>
                </w:tcPr>
                <w:p w14:paraId="30C66520">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2.3922 </w:t>
                  </w:r>
                </w:p>
              </w:tc>
              <w:tc>
                <w:tcPr>
                  <w:tcW w:w="1170" w:type="dxa"/>
                  <w:tcBorders>
                    <w:left w:val="single" w:color="auto" w:sz="4" w:space="0"/>
                    <w:right w:val="single" w:color="auto" w:sz="4" w:space="0"/>
                  </w:tcBorders>
                  <w:noWrap w:val="0"/>
                  <w:vAlign w:val="center"/>
                </w:tcPr>
                <w:p w14:paraId="7A35BCD8">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100</w:t>
                  </w:r>
                </w:p>
              </w:tc>
              <w:tc>
                <w:tcPr>
                  <w:tcW w:w="922" w:type="dxa"/>
                  <w:tcBorders>
                    <w:left w:val="single" w:color="auto" w:sz="4" w:space="0"/>
                  </w:tcBorders>
                  <w:noWrap w:val="0"/>
                  <w:vAlign w:val="center"/>
                </w:tcPr>
                <w:p w14:paraId="36CBB6D6">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1.0874 </w:t>
                  </w:r>
                </w:p>
              </w:tc>
              <w:tc>
                <w:tcPr>
                  <w:tcW w:w="696" w:type="pct"/>
                  <w:tcBorders>
                    <w:left w:val="single" w:color="auto" w:sz="4" w:space="0"/>
                  </w:tcBorders>
                  <w:noWrap w:val="0"/>
                  <w:vAlign w:val="center"/>
                </w:tcPr>
                <w:p w14:paraId="035EA42F">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10</w:t>
                  </w:r>
                </w:p>
              </w:tc>
              <w:tc>
                <w:tcPr>
                  <w:tcW w:w="917" w:type="dxa"/>
                  <w:tcBorders>
                    <w:left w:val="single" w:color="auto" w:sz="4" w:space="0"/>
                  </w:tcBorders>
                  <w:noWrap w:val="0"/>
                  <w:vAlign w:val="center"/>
                </w:tcPr>
                <w:p w14:paraId="6049D4D0">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0.1087 </w:t>
                  </w:r>
                </w:p>
              </w:tc>
            </w:tr>
            <w:tr w14:paraId="39218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pct"/>
                  <w:vMerge w:val="continue"/>
                  <w:noWrap w:val="0"/>
                  <w:vAlign w:val="center"/>
                </w:tcPr>
                <w:p w14:paraId="5193905C">
                  <w:pPr>
                    <w:adjustRightInd w:val="0"/>
                    <w:snapToGrid w:val="0"/>
                    <w:jc w:val="center"/>
                    <w:rPr>
                      <w:color w:val="auto"/>
                      <w:kern w:val="0"/>
                      <w:szCs w:val="21"/>
                    </w:rPr>
                  </w:pPr>
                </w:p>
              </w:tc>
              <w:tc>
                <w:tcPr>
                  <w:tcW w:w="571" w:type="pct"/>
                  <w:noWrap w:val="0"/>
                  <w:vAlign w:val="center"/>
                </w:tcPr>
                <w:p w14:paraId="7B93DCE1">
                  <w:pPr>
                    <w:adjustRightInd w:val="0"/>
                    <w:snapToGrid w:val="0"/>
                    <w:jc w:val="center"/>
                    <w:rPr>
                      <w:color w:val="auto"/>
                      <w:kern w:val="0"/>
                      <w:szCs w:val="21"/>
                    </w:rPr>
                  </w:pPr>
                  <w:r>
                    <w:rPr>
                      <w:color w:val="auto"/>
                      <w:kern w:val="0"/>
                      <w:szCs w:val="21"/>
                    </w:rPr>
                    <w:t>SS</w:t>
                  </w:r>
                </w:p>
              </w:tc>
              <w:tc>
                <w:tcPr>
                  <w:tcW w:w="696" w:type="pct"/>
                  <w:noWrap w:val="0"/>
                  <w:vAlign w:val="center"/>
                </w:tcPr>
                <w:p w14:paraId="2C5CF66F">
                  <w:pPr>
                    <w:widowControl/>
                    <w:adjustRightInd w:val="0"/>
                    <w:snapToGrid w:val="0"/>
                    <w:jc w:val="center"/>
                    <w:textAlignment w:val="center"/>
                    <w:rPr>
                      <w:color w:val="auto"/>
                      <w:szCs w:val="21"/>
                    </w:rPr>
                  </w:pPr>
                  <w:r>
                    <w:rPr>
                      <w:color w:val="auto"/>
                      <w:kern w:val="0"/>
                      <w:szCs w:val="21"/>
                      <w:lang w:bidi="ar"/>
                    </w:rPr>
                    <w:t>150</w:t>
                  </w:r>
                </w:p>
              </w:tc>
              <w:tc>
                <w:tcPr>
                  <w:tcW w:w="1099" w:type="dxa"/>
                  <w:noWrap w:val="0"/>
                  <w:vAlign w:val="center"/>
                </w:tcPr>
                <w:p w14:paraId="5E8EF6D7">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1.6310 </w:t>
                  </w:r>
                </w:p>
              </w:tc>
              <w:tc>
                <w:tcPr>
                  <w:tcW w:w="1170" w:type="dxa"/>
                  <w:tcBorders>
                    <w:left w:val="single" w:color="auto" w:sz="4" w:space="0"/>
                    <w:right w:val="single" w:color="auto" w:sz="4" w:space="0"/>
                  </w:tcBorders>
                  <w:noWrap w:val="0"/>
                  <w:vAlign w:val="center"/>
                </w:tcPr>
                <w:p w14:paraId="0FEC38E6">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60</w:t>
                  </w:r>
                </w:p>
              </w:tc>
              <w:tc>
                <w:tcPr>
                  <w:tcW w:w="922" w:type="dxa"/>
                  <w:tcBorders>
                    <w:left w:val="single" w:color="auto" w:sz="4" w:space="0"/>
                  </w:tcBorders>
                  <w:noWrap w:val="0"/>
                  <w:vAlign w:val="center"/>
                </w:tcPr>
                <w:p w14:paraId="622C8869">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0.6524 </w:t>
                  </w:r>
                </w:p>
              </w:tc>
              <w:tc>
                <w:tcPr>
                  <w:tcW w:w="696" w:type="pct"/>
                  <w:tcBorders>
                    <w:left w:val="single" w:color="auto" w:sz="4" w:space="0"/>
                  </w:tcBorders>
                  <w:noWrap w:val="0"/>
                  <w:vAlign w:val="center"/>
                </w:tcPr>
                <w:p w14:paraId="484D3524">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10</w:t>
                  </w:r>
                </w:p>
              </w:tc>
              <w:tc>
                <w:tcPr>
                  <w:tcW w:w="917" w:type="dxa"/>
                  <w:tcBorders>
                    <w:left w:val="single" w:color="auto" w:sz="4" w:space="0"/>
                  </w:tcBorders>
                  <w:noWrap w:val="0"/>
                  <w:vAlign w:val="center"/>
                </w:tcPr>
                <w:p w14:paraId="645BCE3E">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0.1087 </w:t>
                  </w:r>
                </w:p>
              </w:tc>
            </w:tr>
            <w:tr w14:paraId="5B27D4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92" w:type="pct"/>
                  <w:vMerge w:val="continue"/>
                  <w:noWrap w:val="0"/>
                  <w:vAlign w:val="center"/>
                </w:tcPr>
                <w:p w14:paraId="26110B4F">
                  <w:pPr>
                    <w:adjustRightInd w:val="0"/>
                    <w:snapToGrid w:val="0"/>
                    <w:jc w:val="center"/>
                    <w:rPr>
                      <w:color w:val="auto"/>
                      <w:kern w:val="0"/>
                      <w:szCs w:val="21"/>
                    </w:rPr>
                  </w:pPr>
                </w:p>
              </w:tc>
              <w:tc>
                <w:tcPr>
                  <w:tcW w:w="571" w:type="pct"/>
                  <w:noWrap w:val="0"/>
                  <w:vAlign w:val="center"/>
                </w:tcPr>
                <w:p w14:paraId="2481B5FD">
                  <w:pPr>
                    <w:adjustRightInd w:val="0"/>
                    <w:snapToGrid w:val="0"/>
                    <w:jc w:val="center"/>
                    <w:rPr>
                      <w:color w:val="auto"/>
                      <w:kern w:val="0"/>
                      <w:szCs w:val="21"/>
                    </w:rPr>
                  </w:pPr>
                  <w:r>
                    <w:rPr>
                      <w:color w:val="auto"/>
                      <w:kern w:val="0"/>
                      <w:szCs w:val="21"/>
                    </w:rPr>
                    <w:t>NH</w:t>
                  </w:r>
                  <w:r>
                    <w:rPr>
                      <w:color w:val="auto"/>
                      <w:kern w:val="0"/>
                      <w:szCs w:val="21"/>
                      <w:vertAlign w:val="subscript"/>
                    </w:rPr>
                    <w:t>3</w:t>
                  </w:r>
                  <w:r>
                    <w:rPr>
                      <w:color w:val="auto"/>
                      <w:kern w:val="0"/>
                      <w:szCs w:val="21"/>
                    </w:rPr>
                    <w:t>-N</w:t>
                  </w:r>
                </w:p>
              </w:tc>
              <w:tc>
                <w:tcPr>
                  <w:tcW w:w="696" w:type="pct"/>
                  <w:noWrap w:val="0"/>
                  <w:vAlign w:val="center"/>
                </w:tcPr>
                <w:p w14:paraId="176A20D2">
                  <w:pPr>
                    <w:widowControl/>
                    <w:adjustRightInd w:val="0"/>
                    <w:snapToGrid w:val="0"/>
                    <w:jc w:val="center"/>
                    <w:textAlignment w:val="center"/>
                    <w:rPr>
                      <w:color w:val="auto"/>
                      <w:szCs w:val="21"/>
                    </w:rPr>
                  </w:pPr>
                  <w:r>
                    <w:rPr>
                      <w:color w:val="auto"/>
                      <w:kern w:val="0"/>
                      <w:szCs w:val="21"/>
                      <w:lang w:bidi="ar"/>
                    </w:rPr>
                    <w:t>45</w:t>
                  </w:r>
                </w:p>
              </w:tc>
              <w:tc>
                <w:tcPr>
                  <w:tcW w:w="1099" w:type="dxa"/>
                  <w:noWrap w:val="0"/>
                  <w:vAlign w:val="center"/>
                </w:tcPr>
                <w:p w14:paraId="72C0872D">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0.4893 </w:t>
                  </w:r>
                </w:p>
              </w:tc>
              <w:tc>
                <w:tcPr>
                  <w:tcW w:w="1170" w:type="dxa"/>
                  <w:tcBorders>
                    <w:left w:val="single" w:color="auto" w:sz="4" w:space="0"/>
                    <w:right w:val="single" w:color="auto" w:sz="4" w:space="0"/>
                  </w:tcBorders>
                  <w:noWrap w:val="0"/>
                  <w:vAlign w:val="center"/>
                </w:tcPr>
                <w:p w14:paraId="104760E5">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35</w:t>
                  </w:r>
                </w:p>
              </w:tc>
              <w:tc>
                <w:tcPr>
                  <w:tcW w:w="922" w:type="dxa"/>
                  <w:tcBorders>
                    <w:left w:val="single" w:color="auto" w:sz="4" w:space="0"/>
                  </w:tcBorders>
                  <w:noWrap w:val="0"/>
                  <w:vAlign w:val="center"/>
                </w:tcPr>
                <w:p w14:paraId="7B8621D5">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0.3806 </w:t>
                  </w:r>
                </w:p>
              </w:tc>
              <w:tc>
                <w:tcPr>
                  <w:tcW w:w="696" w:type="pct"/>
                  <w:tcBorders>
                    <w:left w:val="single" w:color="auto" w:sz="4" w:space="0"/>
                  </w:tcBorders>
                  <w:noWrap w:val="0"/>
                  <w:vAlign w:val="center"/>
                </w:tcPr>
                <w:p w14:paraId="586A4DDD">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5</w:t>
                  </w:r>
                </w:p>
              </w:tc>
              <w:tc>
                <w:tcPr>
                  <w:tcW w:w="917" w:type="dxa"/>
                  <w:tcBorders>
                    <w:left w:val="single" w:color="auto" w:sz="4" w:space="0"/>
                  </w:tcBorders>
                  <w:noWrap w:val="0"/>
                  <w:vAlign w:val="center"/>
                </w:tcPr>
                <w:p w14:paraId="7501D19E">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0.0544 </w:t>
                  </w:r>
                </w:p>
              </w:tc>
            </w:tr>
            <w:tr w14:paraId="124D20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pct"/>
                  <w:vMerge w:val="continue"/>
                  <w:noWrap w:val="0"/>
                  <w:vAlign w:val="center"/>
                </w:tcPr>
                <w:p w14:paraId="59FEF2D2">
                  <w:pPr>
                    <w:adjustRightInd w:val="0"/>
                    <w:snapToGrid w:val="0"/>
                    <w:jc w:val="center"/>
                    <w:rPr>
                      <w:color w:val="auto"/>
                      <w:kern w:val="0"/>
                      <w:szCs w:val="21"/>
                    </w:rPr>
                  </w:pPr>
                </w:p>
              </w:tc>
              <w:tc>
                <w:tcPr>
                  <w:tcW w:w="571" w:type="pct"/>
                  <w:noWrap w:val="0"/>
                  <w:vAlign w:val="center"/>
                </w:tcPr>
                <w:p w14:paraId="37D023BF">
                  <w:pPr>
                    <w:adjustRightInd w:val="0"/>
                    <w:snapToGrid w:val="0"/>
                    <w:jc w:val="center"/>
                    <w:rPr>
                      <w:color w:val="auto"/>
                      <w:kern w:val="0"/>
                      <w:szCs w:val="21"/>
                    </w:rPr>
                  </w:pPr>
                  <w:r>
                    <w:rPr>
                      <w:color w:val="auto"/>
                      <w:kern w:val="0"/>
                      <w:szCs w:val="21"/>
                    </w:rPr>
                    <w:t>LSA</w:t>
                  </w:r>
                </w:p>
              </w:tc>
              <w:tc>
                <w:tcPr>
                  <w:tcW w:w="696" w:type="pct"/>
                  <w:noWrap w:val="0"/>
                  <w:vAlign w:val="center"/>
                </w:tcPr>
                <w:p w14:paraId="0B77D026">
                  <w:pPr>
                    <w:widowControl/>
                    <w:adjustRightInd w:val="0"/>
                    <w:snapToGrid w:val="0"/>
                    <w:jc w:val="center"/>
                    <w:textAlignment w:val="center"/>
                    <w:rPr>
                      <w:color w:val="auto"/>
                      <w:kern w:val="0"/>
                      <w:szCs w:val="21"/>
                      <w:lang w:bidi="ar"/>
                    </w:rPr>
                  </w:pPr>
                  <w:r>
                    <w:rPr>
                      <w:color w:val="auto"/>
                      <w:kern w:val="0"/>
                      <w:szCs w:val="21"/>
                      <w:lang w:bidi="ar"/>
                    </w:rPr>
                    <w:t>20</w:t>
                  </w:r>
                </w:p>
              </w:tc>
              <w:tc>
                <w:tcPr>
                  <w:tcW w:w="1099" w:type="dxa"/>
                  <w:noWrap w:val="0"/>
                  <w:vAlign w:val="center"/>
                </w:tcPr>
                <w:p w14:paraId="19BD3EDA">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0.2175 </w:t>
                  </w:r>
                </w:p>
              </w:tc>
              <w:tc>
                <w:tcPr>
                  <w:tcW w:w="1170" w:type="dxa"/>
                  <w:tcBorders>
                    <w:left w:val="single" w:color="auto" w:sz="4" w:space="0"/>
                    <w:right w:val="single" w:color="auto" w:sz="4" w:space="0"/>
                  </w:tcBorders>
                  <w:noWrap w:val="0"/>
                  <w:vAlign w:val="center"/>
                </w:tcPr>
                <w:p w14:paraId="24117B4F">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10</w:t>
                  </w:r>
                </w:p>
              </w:tc>
              <w:tc>
                <w:tcPr>
                  <w:tcW w:w="922" w:type="dxa"/>
                  <w:tcBorders>
                    <w:left w:val="single" w:color="auto" w:sz="4" w:space="0"/>
                  </w:tcBorders>
                  <w:noWrap w:val="0"/>
                  <w:vAlign w:val="center"/>
                </w:tcPr>
                <w:p w14:paraId="32E6A431">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0.1087 </w:t>
                  </w:r>
                </w:p>
              </w:tc>
              <w:tc>
                <w:tcPr>
                  <w:tcW w:w="696" w:type="pct"/>
                  <w:tcBorders>
                    <w:left w:val="single" w:color="auto" w:sz="4" w:space="0"/>
                  </w:tcBorders>
                  <w:noWrap w:val="0"/>
                  <w:vAlign w:val="center"/>
                </w:tcPr>
                <w:p w14:paraId="57DC7E4D">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0.5</w:t>
                  </w:r>
                </w:p>
              </w:tc>
              <w:tc>
                <w:tcPr>
                  <w:tcW w:w="917" w:type="dxa"/>
                  <w:tcBorders>
                    <w:left w:val="single" w:color="auto" w:sz="4" w:space="0"/>
                  </w:tcBorders>
                  <w:noWrap w:val="0"/>
                  <w:vAlign w:val="center"/>
                </w:tcPr>
                <w:p w14:paraId="29F74862">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0.0054 </w:t>
                  </w:r>
                </w:p>
              </w:tc>
            </w:tr>
            <w:tr w14:paraId="540173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pct"/>
                  <w:vMerge w:val="continue"/>
                  <w:noWrap w:val="0"/>
                  <w:vAlign w:val="center"/>
                </w:tcPr>
                <w:p w14:paraId="7192E7B3">
                  <w:pPr>
                    <w:adjustRightInd w:val="0"/>
                    <w:snapToGrid w:val="0"/>
                    <w:jc w:val="center"/>
                    <w:rPr>
                      <w:color w:val="auto"/>
                      <w:kern w:val="0"/>
                      <w:szCs w:val="21"/>
                    </w:rPr>
                  </w:pPr>
                </w:p>
              </w:tc>
              <w:tc>
                <w:tcPr>
                  <w:tcW w:w="571" w:type="pct"/>
                  <w:noWrap w:val="0"/>
                  <w:vAlign w:val="center"/>
                </w:tcPr>
                <w:p w14:paraId="167DCE8E">
                  <w:pPr>
                    <w:adjustRightInd w:val="0"/>
                    <w:snapToGrid w:val="0"/>
                    <w:jc w:val="center"/>
                    <w:rPr>
                      <w:color w:val="auto"/>
                      <w:kern w:val="0"/>
                      <w:szCs w:val="21"/>
                    </w:rPr>
                  </w:pPr>
                  <w:r>
                    <w:rPr>
                      <w:color w:val="auto"/>
                      <w:kern w:val="0"/>
                      <w:szCs w:val="21"/>
                    </w:rPr>
                    <w:t>动植物油</w:t>
                  </w:r>
                </w:p>
              </w:tc>
              <w:tc>
                <w:tcPr>
                  <w:tcW w:w="696" w:type="pct"/>
                  <w:noWrap w:val="0"/>
                  <w:vAlign w:val="center"/>
                </w:tcPr>
                <w:p w14:paraId="49927DDE">
                  <w:pPr>
                    <w:widowControl/>
                    <w:adjustRightInd w:val="0"/>
                    <w:snapToGrid w:val="0"/>
                    <w:jc w:val="center"/>
                    <w:textAlignment w:val="center"/>
                    <w:rPr>
                      <w:color w:val="auto"/>
                      <w:szCs w:val="21"/>
                    </w:rPr>
                  </w:pPr>
                  <w:r>
                    <w:rPr>
                      <w:color w:val="auto"/>
                      <w:kern w:val="0"/>
                      <w:szCs w:val="21"/>
                      <w:lang w:bidi="ar"/>
                    </w:rPr>
                    <w:t>40</w:t>
                  </w:r>
                </w:p>
              </w:tc>
              <w:tc>
                <w:tcPr>
                  <w:tcW w:w="1099" w:type="dxa"/>
                  <w:noWrap w:val="0"/>
                  <w:vAlign w:val="center"/>
                </w:tcPr>
                <w:p w14:paraId="6978672E">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0.4349 </w:t>
                  </w:r>
                </w:p>
              </w:tc>
              <w:tc>
                <w:tcPr>
                  <w:tcW w:w="1170" w:type="dxa"/>
                  <w:tcBorders>
                    <w:left w:val="single" w:color="auto" w:sz="4" w:space="0"/>
                    <w:right w:val="single" w:color="auto" w:sz="4" w:space="0"/>
                  </w:tcBorders>
                  <w:noWrap w:val="0"/>
                  <w:vAlign w:val="center"/>
                </w:tcPr>
                <w:p w14:paraId="44678ECC">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20</w:t>
                  </w:r>
                </w:p>
              </w:tc>
              <w:tc>
                <w:tcPr>
                  <w:tcW w:w="922" w:type="dxa"/>
                  <w:tcBorders>
                    <w:left w:val="single" w:color="auto" w:sz="4" w:space="0"/>
                  </w:tcBorders>
                  <w:noWrap w:val="0"/>
                  <w:vAlign w:val="center"/>
                </w:tcPr>
                <w:p w14:paraId="602C9D7C">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0.2175 </w:t>
                  </w:r>
                </w:p>
              </w:tc>
              <w:tc>
                <w:tcPr>
                  <w:tcW w:w="696" w:type="pct"/>
                  <w:tcBorders>
                    <w:left w:val="single" w:color="auto" w:sz="4" w:space="0"/>
                  </w:tcBorders>
                  <w:noWrap w:val="0"/>
                  <w:vAlign w:val="center"/>
                </w:tcPr>
                <w:p w14:paraId="740B18DF">
                  <w:pPr>
                    <w:adjustRightInd w:val="0"/>
                    <w:snapToGrid w:val="0"/>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1</w:t>
                  </w:r>
                </w:p>
              </w:tc>
              <w:tc>
                <w:tcPr>
                  <w:tcW w:w="917" w:type="dxa"/>
                  <w:tcBorders>
                    <w:left w:val="single" w:color="auto" w:sz="4" w:space="0"/>
                  </w:tcBorders>
                  <w:noWrap w:val="0"/>
                  <w:vAlign w:val="center"/>
                </w:tcPr>
                <w:p w14:paraId="7B4D3CE9">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0.0109 </w:t>
                  </w:r>
                </w:p>
              </w:tc>
            </w:tr>
            <w:tr w14:paraId="1138A6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7" w:hRule="atLeast"/>
                <w:jc w:val="center"/>
              </w:trPr>
              <w:tc>
                <w:tcPr>
                  <w:tcW w:w="592" w:type="pct"/>
                  <w:vMerge w:val="continue"/>
                  <w:noWrap w:val="0"/>
                  <w:vAlign w:val="center"/>
                </w:tcPr>
                <w:p w14:paraId="0B117ED1">
                  <w:pPr>
                    <w:adjustRightInd w:val="0"/>
                    <w:snapToGrid w:val="0"/>
                    <w:jc w:val="center"/>
                    <w:rPr>
                      <w:color w:val="auto"/>
                      <w:kern w:val="0"/>
                      <w:szCs w:val="21"/>
                    </w:rPr>
                  </w:pPr>
                </w:p>
              </w:tc>
              <w:tc>
                <w:tcPr>
                  <w:tcW w:w="571" w:type="pct"/>
                  <w:noWrap w:val="0"/>
                  <w:vAlign w:val="center"/>
                </w:tcPr>
                <w:p w14:paraId="208630E5">
                  <w:pPr>
                    <w:adjustRightInd w:val="0"/>
                    <w:snapToGrid w:val="0"/>
                    <w:jc w:val="center"/>
                    <w:rPr>
                      <w:color w:val="auto"/>
                      <w:kern w:val="0"/>
                      <w:szCs w:val="21"/>
                    </w:rPr>
                  </w:pPr>
                  <w:r>
                    <w:rPr>
                      <w:color w:val="auto"/>
                      <w:kern w:val="0"/>
                      <w:szCs w:val="21"/>
                    </w:rPr>
                    <w:t>粪大肠菌群</w:t>
                  </w:r>
                </w:p>
              </w:tc>
              <w:tc>
                <w:tcPr>
                  <w:tcW w:w="696" w:type="pct"/>
                  <w:noWrap w:val="0"/>
                  <w:vAlign w:val="center"/>
                </w:tcPr>
                <w:p w14:paraId="529BF7DA">
                  <w:pPr>
                    <w:adjustRightInd w:val="0"/>
                    <w:snapToGrid w:val="0"/>
                    <w:jc w:val="center"/>
                    <w:rPr>
                      <w:color w:val="auto"/>
                      <w:kern w:val="0"/>
                      <w:szCs w:val="21"/>
                    </w:rPr>
                  </w:pPr>
                  <w:r>
                    <w:rPr>
                      <w:color w:val="auto"/>
                      <w:kern w:val="0"/>
                      <w:szCs w:val="21"/>
                    </w:rPr>
                    <w:t>1.6×10</w:t>
                  </w:r>
                  <w:r>
                    <w:rPr>
                      <w:color w:val="auto"/>
                      <w:kern w:val="0"/>
                      <w:szCs w:val="21"/>
                      <w:vertAlign w:val="superscript"/>
                    </w:rPr>
                    <w:t>8</w:t>
                  </w:r>
                  <w:r>
                    <w:rPr>
                      <w:color w:val="auto"/>
                      <w:kern w:val="0"/>
                      <w:szCs w:val="21"/>
                    </w:rPr>
                    <w:t>个/L</w:t>
                  </w:r>
                </w:p>
              </w:tc>
              <w:tc>
                <w:tcPr>
                  <w:tcW w:w="654" w:type="pct"/>
                  <w:noWrap w:val="0"/>
                  <w:vAlign w:val="center"/>
                </w:tcPr>
                <w:p w14:paraId="270EDAAE">
                  <w:pPr>
                    <w:adjustRightInd w:val="0"/>
                    <w:snapToGrid w:val="0"/>
                    <w:jc w:val="center"/>
                    <w:rPr>
                      <w:rFonts w:hint="eastAsia" w:eastAsia="宋体"/>
                      <w:color w:val="auto"/>
                      <w:szCs w:val="21"/>
                      <w:lang w:eastAsia="zh-CN"/>
                    </w:rPr>
                  </w:pPr>
                  <w:r>
                    <w:rPr>
                      <w:rFonts w:hint="eastAsia"/>
                      <w:color w:val="auto"/>
                      <w:szCs w:val="21"/>
                      <w:lang w:val="en-US" w:eastAsia="zh-CN"/>
                    </w:rPr>
                    <w:t>/</w:t>
                  </w:r>
                </w:p>
              </w:tc>
              <w:tc>
                <w:tcPr>
                  <w:tcW w:w="696" w:type="pct"/>
                  <w:tcBorders>
                    <w:left w:val="single" w:color="auto" w:sz="4" w:space="0"/>
                    <w:right w:val="single" w:color="auto" w:sz="4" w:space="0"/>
                  </w:tcBorders>
                  <w:noWrap w:val="0"/>
                  <w:vAlign w:val="center"/>
                </w:tcPr>
                <w:p w14:paraId="078FC1F8">
                  <w:pPr>
                    <w:adjustRightInd w:val="0"/>
                    <w:snapToGrid w:val="0"/>
                    <w:jc w:val="center"/>
                    <w:rPr>
                      <w:color w:val="auto"/>
                      <w:kern w:val="0"/>
                      <w:szCs w:val="21"/>
                    </w:rPr>
                  </w:pPr>
                  <w:r>
                    <w:rPr>
                      <w:color w:val="auto"/>
                      <w:kern w:val="0"/>
                      <w:szCs w:val="21"/>
                    </w:rPr>
                    <w:t>5000个/L</w:t>
                  </w:r>
                </w:p>
              </w:tc>
              <w:tc>
                <w:tcPr>
                  <w:tcW w:w="546" w:type="pct"/>
                  <w:tcBorders>
                    <w:left w:val="single" w:color="auto" w:sz="4" w:space="0"/>
                  </w:tcBorders>
                  <w:noWrap w:val="0"/>
                  <w:vAlign w:val="center"/>
                </w:tcPr>
                <w:p w14:paraId="74F62E8D">
                  <w:pPr>
                    <w:widowControl/>
                    <w:adjustRightInd w:val="0"/>
                    <w:snapToGrid w:val="0"/>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w:t>
                  </w:r>
                </w:p>
              </w:tc>
              <w:tc>
                <w:tcPr>
                  <w:tcW w:w="696" w:type="pct"/>
                  <w:tcBorders>
                    <w:left w:val="single" w:color="auto" w:sz="4" w:space="0"/>
                  </w:tcBorders>
                  <w:noWrap w:val="0"/>
                  <w:vAlign w:val="center"/>
                </w:tcPr>
                <w:p w14:paraId="74C94C98">
                  <w:pPr>
                    <w:adjustRightInd w:val="0"/>
                    <w:snapToGrid w:val="0"/>
                    <w:jc w:val="center"/>
                    <w:rPr>
                      <w:color w:val="auto"/>
                      <w:kern w:val="0"/>
                      <w:szCs w:val="21"/>
                    </w:rPr>
                  </w:pPr>
                  <w:r>
                    <w:rPr>
                      <w:color w:val="auto"/>
                      <w:kern w:val="0"/>
                      <w:szCs w:val="21"/>
                    </w:rPr>
                    <w:t>1000个/L</w:t>
                  </w:r>
                </w:p>
              </w:tc>
              <w:tc>
                <w:tcPr>
                  <w:tcW w:w="546" w:type="pct"/>
                  <w:tcBorders>
                    <w:left w:val="single" w:color="auto" w:sz="4" w:space="0"/>
                  </w:tcBorders>
                  <w:noWrap w:val="0"/>
                  <w:vAlign w:val="center"/>
                </w:tcPr>
                <w:p w14:paraId="52E2F99D">
                  <w:pPr>
                    <w:widowControl/>
                    <w:adjustRightInd w:val="0"/>
                    <w:snapToGrid w:val="0"/>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w:t>
                  </w:r>
                </w:p>
              </w:tc>
            </w:tr>
          </w:tbl>
          <w:p w14:paraId="46D56BF9">
            <w:pPr>
              <w:pStyle w:val="31"/>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ascii="Times New Roman" w:eastAsia="宋体" w:cs="Times New Roman"/>
                <w:b/>
                <w:bCs/>
                <w:color w:val="auto"/>
              </w:rPr>
            </w:pPr>
            <w:r>
              <w:rPr>
                <w:rFonts w:ascii="Times New Roman" w:eastAsia="宋体" w:cs="Times New Roman"/>
                <w:b/>
                <w:bCs/>
                <w:color w:val="auto"/>
              </w:rPr>
              <w:t>2）废水处理措施分析</w:t>
            </w:r>
          </w:p>
          <w:p w14:paraId="4C9B5210">
            <w:pPr>
              <w:pStyle w:val="31"/>
              <w:spacing w:line="360" w:lineRule="auto"/>
              <w:ind w:firstLine="480" w:firstLineChars="200"/>
              <w:jc w:val="left"/>
              <w:textAlignment w:val="auto"/>
              <w:rPr>
                <w:rFonts w:ascii="Times New Roman" w:eastAsia="宋体" w:cs="Times New Roman"/>
                <w:color w:val="auto"/>
              </w:rPr>
            </w:pPr>
            <w:r>
              <w:rPr>
                <w:rFonts w:ascii="Times New Roman" w:eastAsia="宋体" w:cs="Times New Roman"/>
                <w:color w:val="auto"/>
              </w:rPr>
              <w:t>医院</w:t>
            </w:r>
            <w:r>
              <w:rPr>
                <w:rFonts w:hint="eastAsia" w:ascii="Times New Roman" w:eastAsia="宋体" w:cs="Times New Roman"/>
                <w:color w:val="auto"/>
                <w:lang w:val="en-US" w:eastAsia="zh-CN"/>
              </w:rPr>
              <w:t>西</w:t>
            </w:r>
            <w:r>
              <w:rPr>
                <w:rFonts w:ascii="Times New Roman" w:eastAsia="宋体" w:cs="Times New Roman"/>
                <w:color w:val="auto"/>
              </w:rPr>
              <w:t>侧设置了1座污水处理站，处理能力为</w:t>
            </w:r>
            <w:r>
              <w:rPr>
                <w:rFonts w:hint="eastAsia" w:ascii="Times New Roman" w:eastAsia="宋体" w:cs="Times New Roman"/>
                <w:color w:val="auto"/>
                <w:lang w:val="en-US" w:eastAsia="zh-CN"/>
              </w:rPr>
              <w:t>85</w:t>
            </w:r>
            <w:r>
              <w:rPr>
                <w:rFonts w:hint="eastAsia" w:ascii="Times New Roman" w:eastAsia="宋体" w:cs="Times New Roman"/>
                <w:color w:val="auto"/>
                <w:lang w:eastAsia="zh-CN"/>
              </w:rPr>
              <w:t>m</w:t>
            </w:r>
            <w:r>
              <w:rPr>
                <w:rFonts w:ascii="Times New Roman" w:eastAsia="宋体" w:cs="Times New Roman"/>
                <w:color w:val="auto"/>
                <w:vertAlign w:val="superscript"/>
              </w:rPr>
              <w:t>3</w:t>
            </w:r>
            <w:r>
              <w:rPr>
                <w:rFonts w:ascii="Times New Roman" w:eastAsia="宋体" w:cs="Times New Roman"/>
                <w:color w:val="auto"/>
              </w:rPr>
              <w:t>/d，污水处理工艺为</w:t>
            </w:r>
            <w:r>
              <w:rPr>
                <w:rFonts w:hint="eastAsia" w:ascii="Times New Roman" w:eastAsia="宋体" w:cs="Times New Roman"/>
                <w:color w:val="auto"/>
                <w:lang w:val="en-US" w:eastAsia="zh-CN"/>
              </w:rPr>
              <w:t>“调节池+厌氧水解+接触氧化+沉淀+次氯酸钠消毒”</w:t>
            </w:r>
            <w:r>
              <w:rPr>
                <w:rFonts w:ascii="Times New Roman" w:eastAsia="宋体" w:cs="Times New Roman"/>
                <w:color w:val="auto"/>
              </w:rPr>
              <w:t>，尾水排入市政管网。</w:t>
            </w:r>
            <w:r>
              <w:rPr>
                <w:rFonts w:hint="eastAsia" w:ascii="Times New Roman" w:eastAsia="宋体" w:cs="Times New Roman"/>
                <w:color w:val="auto"/>
                <w:lang w:val="en-US" w:eastAsia="zh-CN"/>
              </w:rPr>
              <w:t>现有工程废水排放量约62</w:t>
            </w:r>
            <w:r>
              <w:rPr>
                <w:rFonts w:hint="default" w:ascii="Times New Roman" w:eastAsia="宋体" w:cs="Times New Roman"/>
                <w:color w:val="auto"/>
                <w:lang w:val="en-US" w:eastAsia="zh-CN"/>
              </w:rPr>
              <w:t>m</w:t>
            </w:r>
            <w:r>
              <w:rPr>
                <w:rFonts w:hint="default" w:ascii="Times New Roman" w:eastAsia="宋体" w:cs="Times New Roman"/>
                <w:color w:val="auto"/>
                <w:vertAlign w:val="superscript"/>
                <w:lang w:val="en-US" w:eastAsia="zh-CN"/>
              </w:rPr>
              <w:t>3</w:t>
            </w:r>
            <w:r>
              <w:rPr>
                <w:rFonts w:hint="default" w:ascii="Times New Roman" w:eastAsia="宋体" w:cs="Times New Roman"/>
                <w:color w:val="auto"/>
                <w:lang w:val="en-US" w:eastAsia="zh-CN"/>
              </w:rPr>
              <w:t>/d</w:t>
            </w:r>
            <w:r>
              <w:rPr>
                <w:rFonts w:hint="eastAsia" w:ascii="Times New Roman" w:eastAsia="宋体" w:cs="Times New Roman"/>
                <w:color w:val="auto"/>
                <w:lang w:val="en-US" w:eastAsia="zh-CN"/>
              </w:rPr>
              <w:t>，扩建项目新增废水排放量29.9m</w:t>
            </w:r>
            <w:r>
              <w:rPr>
                <w:rFonts w:hint="eastAsia" w:ascii="Times New Roman" w:eastAsia="宋体" w:cs="Times New Roman"/>
                <w:color w:val="auto"/>
                <w:vertAlign w:val="superscript"/>
                <w:lang w:val="en-US" w:eastAsia="zh-CN"/>
              </w:rPr>
              <w:t>3</w:t>
            </w:r>
            <w:r>
              <w:rPr>
                <w:rFonts w:hint="eastAsia" w:ascii="Times New Roman" w:eastAsia="宋体" w:cs="Times New Roman"/>
                <w:color w:val="auto"/>
                <w:lang w:val="en-US" w:eastAsia="zh-CN"/>
              </w:rPr>
              <w:t>/d，</w:t>
            </w:r>
            <w:r>
              <w:rPr>
                <w:rFonts w:ascii="Times New Roman" w:eastAsia="宋体" w:cs="Times New Roman"/>
                <w:color w:val="auto"/>
              </w:rPr>
              <w:t>扩建完成后污水排放量达</w:t>
            </w:r>
            <w:r>
              <w:rPr>
                <w:rFonts w:hint="eastAsia" w:ascii="Times New Roman" w:eastAsia="宋体" w:cs="Times New Roman"/>
                <w:color w:val="auto"/>
                <w:lang w:val="en-US" w:eastAsia="zh-CN"/>
              </w:rPr>
              <w:t>91.9</w:t>
            </w:r>
            <w:r>
              <w:rPr>
                <w:rFonts w:ascii="Times New Roman" w:eastAsia="宋体" w:cs="Times New Roman"/>
                <w:color w:val="auto"/>
              </w:rPr>
              <w:t>m</w:t>
            </w:r>
            <w:r>
              <w:rPr>
                <w:rFonts w:ascii="Times New Roman" w:eastAsia="宋体" w:cs="Times New Roman"/>
                <w:color w:val="auto"/>
                <w:vertAlign w:val="superscript"/>
              </w:rPr>
              <w:t>3</w:t>
            </w:r>
            <w:r>
              <w:rPr>
                <w:rFonts w:ascii="Times New Roman" w:eastAsia="宋体" w:cs="Times New Roman"/>
                <w:color w:val="auto"/>
              </w:rPr>
              <w:t>/d。</w:t>
            </w:r>
          </w:p>
          <w:p w14:paraId="6E4FEE1D">
            <w:pPr>
              <w:adjustRightInd w:val="0"/>
              <w:snapToGrid w:val="0"/>
              <w:spacing w:line="360" w:lineRule="auto"/>
              <w:ind w:firstLine="482" w:firstLineChars="200"/>
              <w:jc w:val="left"/>
              <w:rPr>
                <w:rFonts w:hint="eastAsia"/>
                <w:color w:val="auto"/>
                <w:sz w:val="24"/>
              </w:rPr>
            </w:pPr>
            <w:r>
              <w:rPr>
                <w:b/>
                <w:bCs/>
                <w:color w:val="auto"/>
                <w:sz w:val="24"/>
              </w:rPr>
              <w:t>以新带老设施：</w:t>
            </w:r>
            <w:r>
              <w:rPr>
                <w:rFonts w:hint="eastAsia"/>
                <w:color w:val="auto"/>
                <w:sz w:val="24"/>
              </w:rPr>
              <w:t>根据污水排放量考虑1.2倍以上的系数，本次评价认为院方应对现有污水处理站进行扩建，扩建后污水处理站处理能力不低于</w:t>
            </w:r>
            <w:r>
              <w:rPr>
                <w:rFonts w:hint="eastAsia"/>
                <w:color w:val="auto"/>
                <w:sz w:val="24"/>
                <w:lang w:val="en-US" w:eastAsia="zh-CN"/>
              </w:rPr>
              <w:t>110</w:t>
            </w:r>
            <w:r>
              <w:rPr>
                <w:rFonts w:hint="eastAsia"/>
                <w:color w:val="auto"/>
                <w:sz w:val="24"/>
              </w:rPr>
              <w:t>m</w:t>
            </w:r>
            <w:r>
              <w:rPr>
                <w:rFonts w:hint="eastAsia"/>
                <w:color w:val="auto"/>
                <w:sz w:val="24"/>
                <w:vertAlign w:val="superscript"/>
              </w:rPr>
              <w:t>3</w:t>
            </w:r>
            <w:r>
              <w:rPr>
                <w:rFonts w:hint="eastAsia"/>
                <w:color w:val="auto"/>
                <w:sz w:val="24"/>
              </w:rPr>
              <w:t>/d，污水处理工艺为“</w:t>
            </w:r>
            <w:r>
              <w:rPr>
                <w:rFonts w:hint="eastAsia"/>
                <w:color w:val="auto"/>
                <w:sz w:val="24"/>
                <w:lang w:val="en-US" w:eastAsia="zh-CN"/>
              </w:rPr>
              <w:t>调节池+厌氧水解+接触氧化+沉淀+次氯酸钠消毒</w:t>
            </w:r>
            <w:r>
              <w:rPr>
                <w:rFonts w:hint="eastAsia"/>
                <w:color w:val="auto"/>
                <w:sz w:val="24"/>
              </w:rPr>
              <w:t>”工艺”，且根据</w:t>
            </w:r>
            <w:r>
              <w:rPr>
                <w:color w:val="auto"/>
                <w:sz w:val="24"/>
              </w:rPr>
              <w:t>《医院污水处理工程技术规范》（HJ2029-2013）规定，医院污水处理系统应设事故池</w:t>
            </w:r>
            <w:r>
              <w:rPr>
                <w:rFonts w:hint="eastAsia"/>
                <w:color w:val="auto"/>
                <w:sz w:val="24"/>
              </w:rPr>
              <w:t>，</w:t>
            </w:r>
            <w:r>
              <w:rPr>
                <w:color w:val="auto"/>
                <w:sz w:val="24"/>
              </w:rPr>
              <w:t>非传染病医院污水处理工程应急事故池容积不小于日排放量的30%</w:t>
            </w:r>
            <w:r>
              <w:rPr>
                <w:rFonts w:hint="eastAsia"/>
                <w:color w:val="auto"/>
                <w:sz w:val="24"/>
              </w:rPr>
              <w:t>，故本次评价认为院方应与污水处理站旁设置1座容积不低于</w:t>
            </w:r>
            <w:r>
              <w:rPr>
                <w:rFonts w:hint="eastAsia"/>
                <w:color w:val="auto"/>
                <w:sz w:val="24"/>
                <w:lang w:val="en-US" w:eastAsia="zh-CN"/>
              </w:rPr>
              <w:t>33</w:t>
            </w:r>
            <w:r>
              <w:rPr>
                <w:rFonts w:hint="eastAsia"/>
                <w:color w:val="auto"/>
                <w:sz w:val="24"/>
              </w:rPr>
              <w:t>m</w:t>
            </w:r>
            <w:r>
              <w:rPr>
                <w:rFonts w:hint="eastAsia"/>
                <w:color w:val="auto"/>
                <w:sz w:val="24"/>
                <w:vertAlign w:val="superscript"/>
              </w:rPr>
              <w:t>3</w:t>
            </w:r>
            <w:r>
              <w:rPr>
                <w:rFonts w:hint="eastAsia"/>
                <w:color w:val="auto"/>
                <w:sz w:val="24"/>
              </w:rPr>
              <w:t>的事故池。</w:t>
            </w:r>
          </w:p>
          <w:p w14:paraId="2AB5780F">
            <w:pPr>
              <w:adjustRightInd w:val="0"/>
              <w:snapToGrid w:val="0"/>
              <w:spacing w:line="360" w:lineRule="auto"/>
              <w:ind w:firstLine="480" w:firstLineChars="200"/>
              <w:rPr>
                <w:color w:val="auto"/>
                <w:sz w:val="24"/>
              </w:rPr>
            </w:pPr>
            <w:r>
              <w:rPr>
                <w:rFonts w:hint="eastAsia"/>
                <w:color w:val="auto"/>
                <w:sz w:val="24"/>
              </w:rPr>
              <w:t>项目扩建后院区</w:t>
            </w:r>
            <w:r>
              <w:rPr>
                <w:color w:val="auto"/>
                <w:sz w:val="24"/>
              </w:rPr>
              <w:t>污废水</w:t>
            </w:r>
            <w:r>
              <w:rPr>
                <w:snapToGrid w:val="0"/>
                <w:color w:val="auto"/>
                <w:kern w:val="0"/>
                <w:sz w:val="24"/>
              </w:rPr>
              <w:t>进入污水处理站（</w:t>
            </w:r>
            <w:r>
              <w:rPr>
                <w:rFonts w:hint="eastAsia"/>
                <w:snapToGrid w:val="0"/>
                <w:color w:val="auto"/>
                <w:kern w:val="0"/>
                <w:sz w:val="24"/>
                <w:lang w:val="en-US" w:eastAsia="zh-CN"/>
              </w:rPr>
              <w:t>110</w:t>
            </w:r>
            <w:r>
              <w:rPr>
                <w:snapToGrid w:val="0"/>
                <w:color w:val="auto"/>
                <w:kern w:val="0"/>
                <w:sz w:val="24"/>
              </w:rPr>
              <w:t>m</w:t>
            </w:r>
            <w:r>
              <w:rPr>
                <w:snapToGrid w:val="0"/>
                <w:color w:val="auto"/>
                <w:kern w:val="0"/>
                <w:sz w:val="24"/>
                <w:vertAlign w:val="superscript"/>
              </w:rPr>
              <w:t>3</w:t>
            </w:r>
            <w:r>
              <w:rPr>
                <w:snapToGrid w:val="0"/>
                <w:color w:val="auto"/>
                <w:kern w:val="0"/>
                <w:sz w:val="24"/>
              </w:rPr>
              <w:t>/d）处理达标后达</w:t>
            </w:r>
            <w:r>
              <w:rPr>
                <w:color w:val="auto"/>
                <w:sz w:val="24"/>
              </w:rPr>
              <w:t>《医疗机构水污染物排放标准》（GB18466-2005）表2综合医疗机构和其他医疗机构水污染物排放限值中的预处理标准后排入市政污水管网，废水最终均进入</w:t>
            </w:r>
            <w:r>
              <w:rPr>
                <w:rFonts w:hint="eastAsia"/>
                <w:color w:val="auto"/>
                <w:sz w:val="24"/>
                <w:lang w:eastAsia="zh-CN"/>
              </w:rPr>
              <w:t>鸡冠石污水处理厂</w:t>
            </w:r>
            <w:r>
              <w:rPr>
                <w:color w:val="auto"/>
                <w:sz w:val="24"/>
              </w:rPr>
              <w:t>处理达到《城镇污水处理厂排放标准》（GB18918-2002）一级A标后进入</w:t>
            </w:r>
            <w:r>
              <w:rPr>
                <w:rFonts w:hint="eastAsia"/>
                <w:color w:val="auto"/>
                <w:sz w:val="24"/>
              </w:rPr>
              <w:t>长江</w:t>
            </w:r>
            <w:r>
              <w:rPr>
                <w:color w:val="auto"/>
                <w:sz w:val="24"/>
              </w:rPr>
              <w:t>。</w:t>
            </w:r>
          </w:p>
          <w:p w14:paraId="3BCECA34">
            <w:pPr>
              <w:adjustRightInd w:val="0"/>
              <w:snapToGrid w:val="0"/>
              <w:spacing w:line="360" w:lineRule="auto"/>
              <w:ind w:firstLine="482" w:firstLineChars="200"/>
              <w:rPr>
                <w:color w:val="auto"/>
                <w:sz w:val="24"/>
              </w:rPr>
            </w:pPr>
            <w:r>
              <w:rPr>
                <w:b/>
                <w:bCs/>
                <w:color w:val="auto"/>
                <w:sz w:val="24"/>
              </w:rPr>
              <w:t>污水处理站分析</w:t>
            </w:r>
            <w:r>
              <w:rPr>
                <w:color w:val="auto"/>
                <w:sz w:val="24"/>
              </w:rPr>
              <w:t>：扩建项目服务期废水主要为综合医疗废水、生活污水。</w:t>
            </w:r>
            <w:r>
              <w:rPr>
                <w:rFonts w:hint="eastAsia"/>
                <w:color w:val="auto"/>
                <w:sz w:val="24"/>
              </w:rPr>
              <w:t>处理能力为</w:t>
            </w:r>
            <w:r>
              <w:rPr>
                <w:rFonts w:hint="eastAsia"/>
                <w:color w:val="auto"/>
                <w:sz w:val="24"/>
                <w:lang w:val="en-US" w:eastAsia="zh-CN"/>
              </w:rPr>
              <w:t>110</w:t>
            </w:r>
            <w:r>
              <w:rPr>
                <w:rFonts w:hint="eastAsia"/>
                <w:color w:val="auto"/>
                <w:sz w:val="24"/>
              </w:rPr>
              <w:t>m</w:t>
            </w:r>
            <w:r>
              <w:rPr>
                <w:rFonts w:hint="eastAsia"/>
                <w:color w:val="auto"/>
                <w:sz w:val="24"/>
                <w:vertAlign w:val="superscript"/>
              </w:rPr>
              <w:t>3</w:t>
            </w:r>
            <w:r>
              <w:rPr>
                <w:rFonts w:hint="eastAsia"/>
                <w:color w:val="auto"/>
                <w:sz w:val="24"/>
              </w:rPr>
              <w:t>/d，</w:t>
            </w:r>
            <w:r>
              <w:rPr>
                <w:rFonts w:hint="eastAsia"/>
                <w:color w:val="auto"/>
                <w:sz w:val="24"/>
                <w:lang w:val="en-US" w:eastAsia="zh-CN"/>
              </w:rPr>
              <w:t>采用</w:t>
            </w:r>
            <w:r>
              <w:rPr>
                <w:rFonts w:hint="eastAsia"/>
                <w:color w:val="auto"/>
                <w:sz w:val="24"/>
                <w:lang w:eastAsia="zh-CN"/>
              </w:rPr>
              <w:t>“</w:t>
            </w:r>
            <w:r>
              <w:rPr>
                <w:rFonts w:hint="eastAsia"/>
                <w:color w:val="auto"/>
                <w:sz w:val="24"/>
                <w:lang w:val="en-US" w:eastAsia="zh-CN"/>
              </w:rPr>
              <w:t>调节池+厌氧水解+接触氧化+沉淀+次氯酸钠消毒</w:t>
            </w:r>
            <w:r>
              <w:rPr>
                <w:rFonts w:hint="eastAsia"/>
                <w:color w:val="auto"/>
                <w:sz w:val="24"/>
                <w:lang w:eastAsia="zh-CN"/>
              </w:rPr>
              <w:t>”</w:t>
            </w:r>
            <w:r>
              <w:rPr>
                <w:color w:val="auto"/>
                <w:sz w:val="24"/>
              </w:rPr>
              <w:t>工艺。</w:t>
            </w:r>
          </w:p>
          <w:p w14:paraId="1044EE5D">
            <w:pPr>
              <w:pStyle w:val="16"/>
              <w:ind w:left="0" w:leftChars="0" w:firstLine="0" w:firstLineChars="0"/>
              <w:jc w:val="center"/>
              <w:rPr>
                <w:rFonts w:hint="default" w:ascii="Times New Roman" w:hAnsi="Times New Roman" w:cs="Times New Roman"/>
                <w:color w:val="auto"/>
                <w:sz w:val="24"/>
                <w:szCs w:val="24"/>
                <w:lang w:val="en-US" w:eastAsia="zh-CN"/>
              </w:rPr>
            </w:pPr>
            <w:r>
              <w:rPr>
                <w:color w:val="auto"/>
              </w:rPr>
              <w:drawing>
                <wp:inline distT="0" distB="0" distL="114300" distR="114300">
                  <wp:extent cx="4999355" cy="1562100"/>
                  <wp:effectExtent l="0" t="0" r="10795" b="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9"/>
                          <a:stretch>
                            <a:fillRect/>
                          </a:stretch>
                        </pic:blipFill>
                        <pic:spPr>
                          <a:xfrm>
                            <a:off x="0" y="0"/>
                            <a:ext cx="4999355" cy="1562100"/>
                          </a:xfrm>
                          <a:prstGeom prst="rect">
                            <a:avLst/>
                          </a:prstGeom>
                          <a:noFill/>
                          <a:ln>
                            <a:noFill/>
                          </a:ln>
                        </pic:spPr>
                      </pic:pic>
                    </a:graphicData>
                  </a:graphic>
                </wp:inline>
              </w:drawing>
            </w:r>
          </w:p>
          <w:p w14:paraId="173638B6">
            <w:pPr>
              <w:adjustRightInd w:val="0"/>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废水处理设施位于医院西侧，由调节池、厌氧水解池、接触氧化池、沉淀池、消毒池等组成。综合废水进入调节池，调节池内设提升水泵。污水经提升后进入厌氧池，在大量水解细菌、酸化菌作用下降不溶性有机物水解为溶解性有机物，将难生物降解的大分子物质转化为易生物降解的小分子物质，改善废水的可生化性，然后进入接触氧化池（曝气池），池底曝气对污水进行充氧进行曝气处理，并使池体内污水处于流动状态，以保证污水与污水中的填料充分接触，避免接触氧化池中存在污水与填料接触不均的缺陷；通过活性污泥将废水中的有机污染物作为营养物质进行有氧或厌氧新陈代谢转化为二氧化碳和水，从而将有机污染物进行无害化处理后进入沉淀池，经沉淀池澄清后的出水进入消毒池进行消毒。全院污水经扩建后的污水处理站处理后，能够达到《医疗机构水污染物排放标准》（GB18466-2005）表2中预处理标准。</w:t>
            </w:r>
          </w:p>
          <w:p w14:paraId="04372675">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污水处理设施</w:t>
            </w:r>
            <w:r>
              <w:rPr>
                <w:rFonts w:hint="eastAsia" w:ascii="Times New Roman" w:hAnsi="Times New Roman" w:eastAsia="宋体" w:cs="Times New Roman"/>
                <w:color w:val="auto"/>
                <w:sz w:val="24"/>
                <w:lang w:val="en-US" w:eastAsia="zh-CN"/>
              </w:rPr>
              <w:t>日常运维管控要求：</w:t>
            </w:r>
          </w:p>
          <w:p w14:paraId="36780B10">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①污水处理设施的日常维护应纳入医院正常的设备维护管理工作中。应根据工艺要求，定期对构筑物、设备、电气及自控仪表进行检查维护，确保处理设施长期、正常、稳定</w:t>
            </w:r>
            <w:r>
              <w:rPr>
                <w:rFonts w:hint="eastAsia" w:cs="Times New Roman"/>
                <w:color w:val="auto"/>
                <w:sz w:val="24"/>
                <w:lang w:eastAsia="zh-CN"/>
              </w:rPr>
              <w:t>地</w:t>
            </w:r>
            <w:r>
              <w:rPr>
                <w:rFonts w:ascii="Times New Roman" w:hAnsi="Times New Roman" w:eastAsia="宋体" w:cs="Times New Roman"/>
                <w:color w:val="auto"/>
                <w:sz w:val="24"/>
              </w:rPr>
              <w:t>达标运行，定期清掏污泥等。</w:t>
            </w:r>
          </w:p>
          <w:p w14:paraId="3CB1F86B">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②污水处理设施因故需减少污水处理量或停止运转时，应事先向环保部门报告，批准后方可进行。由于紧急事故造成停止运行的，应立即报告当地环保部门。</w:t>
            </w:r>
          </w:p>
          <w:p w14:paraId="206F1A6B">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③电气设备的运行与操作须执行供电管理部门的安全操作规程；易燃易爆的场所应按消防部门要求设置消防器材。</w:t>
            </w:r>
          </w:p>
          <w:p w14:paraId="1BF04546">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④提高污水处理设施对突发卫生事件的防范能力，设立应急的配套设施或预留应急改造的空间，具备应急改造的条件。鼓励委托具有运营资质的单位运行管理。</w:t>
            </w:r>
          </w:p>
          <w:p w14:paraId="0FBA063E">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⑤对污水处理设施运行操作人员进行上岗前的专业技术培训；聘请有经验的专业技术人员负责场内的技术管理工作。</w:t>
            </w:r>
          </w:p>
          <w:p w14:paraId="4ECEC079">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⑥运营技术人员提前进岗，参与施工与安装、调试、验收的全过程，为今后的运转奠定基础。</w:t>
            </w:r>
          </w:p>
          <w:p w14:paraId="4975D986">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⑦建立健全运行管理台账制度，如实填写运行记录，并妥善保存。</w:t>
            </w:r>
          </w:p>
          <w:p w14:paraId="09DE39DC">
            <w:pPr>
              <w:adjustRightInd w:val="0"/>
              <w:snapToGrid w:val="0"/>
              <w:spacing w:line="360" w:lineRule="auto"/>
              <w:ind w:firstLine="480" w:firstLineChars="200"/>
              <w:rPr>
                <w:rFonts w:hint="eastAsia"/>
                <w:color w:val="auto"/>
                <w:sz w:val="24"/>
              </w:rPr>
            </w:pPr>
            <w:r>
              <w:rPr>
                <w:color w:val="auto"/>
                <w:sz w:val="24"/>
              </w:rPr>
              <w:t>根据《医院污水处理工程技术规范》（HJ2029-2013）规定，医院污水处理系统应设应急事故池。非传染病医院污水处理工程应急事故池容积不小于日排放量的30%</w:t>
            </w:r>
            <w:r>
              <w:rPr>
                <w:rFonts w:hint="eastAsia"/>
                <w:color w:val="auto"/>
                <w:sz w:val="24"/>
              </w:rPr>
              <w:t>，</w:t>
            </w:r>
            <w:r>
              <w:rPr>
                <w:color w:val="auto"/>
                <w:sz w:val="24"/>
              </w:rPr>
              <w:t>项目废水</w:t>
            </w:r>
            <w:r>
              <w:rPr>
                <w:rFonts w:hint="eastAsia"/>
                <w:color w:val="auto"/>
                <w:sz w:val="24"/>
              </w:rPr>
              <w:t>处理能力为</w:t>
            </w:r>
            <w:r>
              <w:rPr>
                <w:rFonts w:hint="eastAsia"/>
                <w:color w:val="auto"/>
                <w:sz w:val="24"/>
                <w:lang w:val="en-US" w:eastAsia="zh-CN"/>
              </w:rPr>
              <w:t>110</w:t>
            </w:r>
            <w:r>
              <w:rPr>
                <w:rFonts w:hint="eastAsia"/>
                <w:color w:val="auto"/>
                <w:sz w:val="24"/>
              </w:rPr>
              <w:t>m</w:t>
            </w:r>
            <w:r>
              <w:rPr>
                <w:rFonts w:hint="eastAsia"/>
                <w:color w:val="auto"/>
                <w:sz w:val="24"/>
                <w:vertAlign w:val="superscript"/>
              </w:rPr>
              <w:t>3</w:t>
            </w:r>
            <w:r>
              <w:rPr>
                <w:rFonts w:hint="eastAsia"/>
                <w:color w:val="auto"/>
                <w:sz w:val="24"/>
              </w:rPr>
              <w:t>/d，</w:t>
            </w:r>
            <w:r>
              <w:rPr>
                <w:color w:val="auto"/>
                <w:sz w:val="24"/>
              </w:rPr>
              <w:t>因此，</w:t>
            </w:r>
            <w:r>
              <w:rPr>
                <w:rFonts w:hint="eastAsia"/>
                <w:color w:val="auto"/>
                <w:sz w:val="24"/>
              </w:rPr>
              <w:t>院区需设置1座容积不小于</w:t>
            </w:r>
            <w:r>
              <w:rPr>
                <w:rFonts w:hint="eastAsia"/>
                <w:color w:val="auto"/>
                <w:sz w:val="24"/>
                <w:lang w:val="en-US" w:eastAsia="zh-CN"/>
              </w:rPr>
              <w:t>33</w:t>
            </w:r>
            <w:r>
              <w:rPr>
                <w:rFonts w:hint="eastAsia"/>
                <w:color w:val="auto"/>
                <w:sz w:val="24"/>
              </w:rPr>
              <w:t>m</w:t>
            </w:r>
            <w:r>
              <w:rPr>
                <w:rFonts w:hint="eastAsia"/>
                <w:color w:val="auto"/>
                <w:sz w:val="24"/>
                <w:vertAlign w:val="superscript"/>
              </w:rPr>
              <w:t>3</w:t>
            </w:r>
            <w:r>
              <w:rPr>
                <w:rFonts w:hint="eastAsia"/>
                <w:color w:val="auto"/>
                <w:sz w:val="24"/>
              </w:rPr>
              <w:t>的事故池</w:t>
            </w:r>
            <w:r>
              <w:rPr>
                <w:color w:val="auto"/>
                <w:sz w:val="24"/>
              </w:rPr>
              <w:t>，以应对事故状态废水处理要求</w:t>
            </w:r>
            <w:r>
              <w:rPr>
                <w:rFonts w:hint="eastAsia"/>
                <w:color w:val="auto"/>
                <w:sz w:val="24"/>
              </w:rPr>
              <w:t>，</w:t>
            </w:r>
            <w:r>
              <w:rPr>
                <w:color w:val="auto"/>
                <w:sz w:val="24"/>
              </w:rPr>
              <w:t>同时事故时内设置应急阀门及泵站，以备在事故状态下医院废水直接排入事故池内。事故池和污水处理站</w:t>
            </w:r>
            <w:r>
              <w:rPr>
                <w:rFonts w:hint="eastAsia"/>
                <w:color w:val="auto"/>
                <w:sz w:val="24"/>
                <w:lang w:val="en-US" w:eastAsia="zh-CN"/>
              </w:rPr>
              <w:t>处理</w:t>
            </w:r>
            <w:r>
              <w:rPr>
                <w:color w:val="auto"/>
                <w:sz w:val="24"/>
              </w:rPr>
              <w:t>池采取防腐防渗措施。</w:t>
            </w:r>
            <w:r>
              <w:rPr>
                <w:rFonts w:hint="eastAsia"/>
                <w:color w:val="auto"/>
                <w:sz w:val="24"/>
              </w:rPr>
              <w:t>满足</w:t>
            </w:r>
            <w:r>
              <w:rPr>
                <w:color w:val="auto"/>
                <w:sz w:val="24"/>
              </w:rPr>
              <w:t>《医院污水处理工程技术规范》（HJ2029-2013）</w:t>
            </w:r>
            <w:r>
              <w:rPr>
                <w:rFonts w:hint="eastAsia"/>
                <w:color w:val="auto"/>
                <w:sz w:val="24"/>
              </w:rPr>
              <w:t>要求</w:t>
            </w:r>
            <w:r>
              <w:rPr>
                <w:color w:val="auto"/>
                <w:sz w:val="24"/>
              </w:rPr>
              <w:t>。</w:t>
            </w:r>
          </w:p>
          <w:p w14:paraId="50E3F815">
            <w:pPr>
              <w:pStyle w:val="16"/>
              <w:keepNext w:val="0"/>
              <w:keepLines w:val="0"/>
              <w:pageBreakBefore w:val="0"/>
              <w:widowControl w:val="0"/>
              <w:kinsoku/>
              <w:wordWrap/>
              <w:overflowPunct/>
              <w:topLinePunct w:val="0"/>
              <w:autoSpaceDE/>
              <w:autoSpaceDN/>
              <w:bidi w:val="0"/>
              <w:adjustRightInd/>
              <w:snapToGrid/>
              <w:spacing w:after="0" w:line="360" w:lineRule="auto"/>
              <w:textAlignment w:val="auto"/>
              <w:rPr>
                <w:rFonts w:hint="eastAsia"/>
                <w:color w:val="auto"/>
                <w:sz w:val="24"/>
                <w:szCs w:val="24"/>
              </w:rPr>
            </w:pPr>
            <w:r>
              <w:rPr>
                <w:rFonts w:hint="eastAsia" w:ascii="Times New Roman" w:eastAsia="宋体" w:cs="Times New Roman"/>
                <w:b/>
                <w:bCs/>
                <w:color w:val="auto"/>
                <w:sz w:val="24"/>
                <w:szCs w:val="24"/>
                <w:lang w:val="en-US" w:eastAsia="zh-CN"/>
              </w:rPr>
              <w:t>3</w:t>
            </w:r>
            <w:r>
              <w:rPr>
                <w:rFonts w:ascii="Times New Roman" w:eastAsia="宋体" w:cs="Times New Roman"/>
                <w:b/>
                <w:bCs/>
                <w:color w:val="auto"/>
                <w:sz w:val="24"/>
                <w:szCs w:val="24"/>
              </w:rPr>
              <w:t>）废水</w:t>
            </w:r>
            <w:r>
              <w:rPr>
                <w:rFonts w:hint="eastAsia"/>
                <w:b/>
                <w:color w:val="auto"/>
                <w:kern w:val="0"/>
                <w:sz w:val="24"/>
              </w:rPr>
              <w:t>达标</w:t>
            </w:r>
            <w:r>
              <w:rPr>
                <w:rFonts w:ascii="Times New Roman" w:eastAsia="宋体" w:cs="Times New Roman"/>
                <w:b/>
                <w:bCs/>
                <w:color w:val="auto"/>
                <w:sz w:val="24"/>
                <w:szCs w:val="24"/>
              </w:rPr>
              <w:t>分析</w:t>
            </w:r>
          </w:p>
          <w:p w14:paraId="22FA6F87">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根据《排污许可证申请与核发技术规范 医疗机构》（</w:t>
            </w:r>
            <w:r>
              <w:rPr>
                <w:rFonts w:hint="default" w:ascii="Times New Roman" w:hAnsi="Times New Roman" w:eastAsia="宋体" w:cs="Times New Roman"/>
                <w:color w:val="auto"/>
                <w:sz w:val="24"/>
                <w:lang w:val="en-US" w:eastAsia="zh-CN"/>
              </w:rPr>
              <w:t>HJ1105-2020</w:t>
            </w:r>
            <w:r>
              <w:rPr>
                <w:rFonts w:hint="eastAsia" w:ascii="Times New Roman" w:hAnsi="Times New Roman" w:eastAsia="宋体" w:cs="Times New Roman"/>
                <w:color w:val="auto"/>
                <w:sz w:val="24"/>
                <w:lang w:val="en-US" w:eastAsia="zh-CN"/>
              </w:rPr>
              <w:t>）附录</w:t>
            </w:r>
            <w:r>
              <w:rPr>
                <w:rFonts w:hint="default" w:ascii="Times New Roman" w:hAnsi="Times New Roman" w:eastAsia="宋体" w:cs="Times New Roman"/>
                <w:color w:val="auto"/>
                <w:sz w:val="24"/>
                <w:lang w:val="en-US" w:eastAsia="zh-CN"/>
              </w:rPr>
              <w:t>A</w:t>
            </w:r>
            <w:r>
              <w:rPr>
                <w:rFonts w:hint="eastAsia" w:ascii="Times New Roman" w:hAnsi="Times New Roman" w:eastAsia="宋体" w:cs="Times New Roman"/>
                <w:color w:val="auto"/>
                <w:sz w:val="24"/>
                <w:lang w:val="en-US" w:eastAsia="zh-CN"/>
              </w:rPr>
              <w:t>医疗机构排污单位污水治理可行技术参照表</w:t>
            </w:r>
            <w:r>
              <w:rPr>
                <w:rFonts w:hint="default" w:ascii="Times New Roman" w:hAnsi="Times New Roman" w:eastAsia="宋体" w:cs="Times New Roman"/>
                <w:color w:val="auto"/>
                <w:sz w:val="24"/>
                <w:lang w:val="en-US" w:eastAsia="zh-CN"/>
              </w:rPr>
              <w:t>A.2</w:t>
            </w:r>
            <w:r>
              <w:rPr>
                <w:rFonts w:hint="eastAsia" w:ascii="Times New Roman" w:hAnsi="Times New Roman" w:eastAsia="宋体" w:cs="Times New Roman"/>
                <w:color w:val="auto"/>
                <w:sz w:val="24"/>
                <w:lang w:val="en-US" w:eastAsia="zh-CN"/>
              </w:rPr>
              <w:t>，间接排放的医疗废水治理可行技术为一级处理</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一级强化处理</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消毒工艺。其中一级处理包括：筛滤法；沉淀法；气浮法；预曝气法；一级强化处理包括：化学混凝处理、机械过滤或不完全生物处理；消毒工艺：加氯消毒，臭氧法消毒，次氯酸钠法、二氧化氯法消毒、紫外线消毒等。</w:t>
            </w:r>
          </w:p>
          <w:p w14:paraId="101388FE">
            <w:pPr>
              <w:autoSpaceDE w:val="0"/>
              <w:autoSpaceDN w:val="0"/>
              <w:adjustRightInd w:val="0"/>
              <w:snapToGrid w:val="0"/>
              <w:ind w:firstLine="422" w:firstLineChars="200"/>
              <w:jc w:val="center"/>
              <w:rPr>
                <w:b/>
                <w:bCs/>
                <w:color w:val="auto"/>
                <w:kern w:val="0"/>
                <w:sz w:val="21"/>
                <w:szCs w:val="21"/>
              </w:rPr>
            </w:pPr>
            <w:r>
              <w:rPr>
                <w:rFonts w:hint="eastAsia"/>
                <w:b/>
                <w:bCs/>
                <w:color w:val="auto"/>
                <w:kern w:val="0"/>
                <w:sz w:val="21"/>
                <w:szCs w:val="21"/>
              </w:rPr>
              <w:t>表4</w:t>
            </w:r>
            <w:r>
              <w:rPr>
                <w:rFonts w:hint="eastAsia"/>
                <w:b/>
                <w:bCs/>
                <w:color w:val="auto"/>
                <w:kern w:val="0"/>
                <w:sz w:val="21"/>
                <w:szCs w:val="21"/>
                <w:lang w:val="en-US" w:eastAsia="zh-CN"/>
              </w:rPr>
              <w:t>.2</w:t>
            </w:r>
            <w:r>
              <w:rPr>
                <w:rFonts w:hint="eastAsia"/>
                <w:b/>
                <w:bCs/>
                <w:color w:val="auto"/>
                <w:kern w:val="0"/>
                <w:sz w:val="21"/>
                <w:szCs w:val="21"/>
              </w:rPr>
              <w:t>-5 废水可行技术要求校核</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24"/>
              <w:gridCol w:w="1680"/>
              <w:gridCol w:w="1451"/>
              <w:gridCol w:w="1076"/>
              <w:gridCol w:w="1114"/>
              <w:gridCol w:w="882"/>
              <w:gridCol w:w="929"/>
            </w:tblGrid>
            <w:tr w14:paraId="6477A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0" w:type="pct"/>
                  <w:noWrap w:val="0"/>
                  <w:vAlign w:val="center"/>
                </w:tcPr>
                <w:p w14:paraId="262A245F">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生产单元</w:t>
                  </w:r>
                </w:p>
              </w:tc>
              <w:tc>
                <w:tcPr>
                  <w:tcW w:w="466" w:type="pct"/>
                  <w:noWrap w:val="0"/>
                  <w:vAlign w:val="center"/>
                </w:tcPr>
                <w:p w14:paraId="757223D4">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设施名称</w:t>
                  </w:r>
                </w:p>
              </w:tc>
              <w:tc>
                <w:tcPr>
                  <w:tcW w:w="952" w:type="pct"/>
                  <w:noWrap w:val="0"/>
                  <w:vAlign w:val="center"/>
                </w:tcPr>
                <w:p w14:paraId="5D455585">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主要污染物</w:t>
                  </w:r>
                </w:p>
              </w:tc>
              <w:tc>
                <w:tcPr>
                  <w:tcW w:w="821" w:type="pct"/>
                  <w:noWrap w:val="0"/>
                  <w:vAlign w:val="center"/>
                </w:tcPr>
                <w:p w14:paraId="3C6C915C">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推荐可行技术</w:t>
                  </w:r>
                </w:p>
              </w:tc>
              <w:tc>
                <w:tcPr>
                  <w:tcW w:w="609" w:type="pct"/>
                  <w:noWrap w:val="0"/>
                  <w:vAlign w:val="center"/>
                </w:tcPr>
                <w:p w14:paraId="0020B517">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项目采用技术</w:t>
                  </w:r>
                </w:p>
              </w:tc>
              <w:tc>
                <w:tcPr>
                  <w:tcW w:w="632" w:type="pct"/>
                  <w:noWrap w:val="0"/>
                  <w:vAlign w:val="center"/>
                </w:tcPr>
                <w:p w14:paraId="2DD8898F">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是否采用推荐技术</w:t>
                  </w:r>
                </w:p>
              </w:tc>
              <w:tc>
                <w:tcPr>
                  <w:tcW w:w="500" w:type="pct"/>
                  <w:noWrap w:val="0"/>
                  <w:vAlign w:val="center"/>
                </w:tcPr>
                <w:p w14:paraId="76DCBA5F">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排放去向</w:t>
                  </w:r>
                </w:p>
              </w:tc>
              <w:tc>
                <w:tcPr>
                  <w:tcW w:w="526" w:type="pct"/>
                  <w:noWrap w:val="0"/>
                  <w:vAlign w:val="center"/>
                </w:tcPr>
                <w:p w14:paraId="0B703E27">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排污口类型</w:t>
                  </w:r>
                </w:p>
              </w:tc>
            </w:tr>
            <w:tr w14:paraId="18842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0" w:type="pct"/>
                  <w:noWrap w:val="0"/>
                  <w:vAlign w:val="center"/>
                </w:tcPr>
                <w:p w14:paraId="043EB300">
                  <w:pPr>
                    <w:pStyle w:val="65"/>
                    <w:adjustRightInd w:val="0"/>
                    <w:snapToGrid w:val="0"/>
                    <w:spacing w:line="240" w:lineRule="auto"/>
                    <w:ind w:firstLine="0" w:firstLineChars="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综合废物</w:t>
                  </w:r>
                </w:p>
              </w:tc>
              <w:tc>
                <w:tcPr>
                  <w:tcW w:w="466" w:type="pct"/>
                  <w:noWrap w:val="0"/>
                  <w:vAlign w:val="center"/>
                </w:tcPr>
                <w:p w14:paraId="6560C672">
                  <w:pPr>
                    <w:pStyle w:val="65"/>
                    <w:adjustRightInd w:val="0"/>
                    <w:snapToGrid w:val="0"/>
                    <w:spacing w:line="240" w:lineRule="auto"/>
                    <w:ind w:firstLine="0" w:firstLineChars="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污水处理站</w:t>
                  </w:r>
                </w:p>
              </w:tc>
              <w:tc>
                <w:tcPr>
                  <w:tcW w:w="952" w:type="pct"/>
                  <w:noWrap w:val="0"/>
                  <w:vAlign w:val="center"/>
                </w:tcPr>
                <w:p w14:paraId="164E297A">
                  <w:pPr>
                    <w:pStyle w:val="65"/>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b w:val="0"/>
                      <w:bCs w:val="0"/>
                      <w:color w:val="auto"/>
                      <w:sz w:val="21"/>
                      <w:szCs w:val="21"/>
                    </w:rPr>
                    <w:t>pH值、悬浮物、五日生化需氧量、化学需氧量、氨氮、动植物油、粪大肠杆菌、LAS等</w:t>
                  </w:r>
                </w:p>
              </w:tc>
              <w:tc>
                <w:tcPr>
                  <w:tcW w:w="821" w:type="pct"/>
                  <w:noWrap w:val="0"/>
                  <w:vAlign w:val="center"/>
                </w:tcPr>
                <w:p w14:paraId="7DD78C51">
                  <w:pPr>
                    <w:pStyle w:val="65"/>
                    <w:adjustRightInd w:val="0"/>
                    <w:snapToGrid w:val="0"/>
                    <w:spacing w:line="240" w:lineRule="auto"/>
                    <w:ind w:firstLine="0" w:firstLineChars="0"/>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隔油、水解酸化、一级强化、沉淀、生物氧化工艺结合</w:t>
                  </w:r>
                </w:p>
              </w:tc>
              <w:tc>
                <w:tcPr>
                  <w:tcW w:w="609" w:type="pct"/>
                  <w:noWrap w:val="0"/>
                  <w:vAlign w:val="center"/>
                </w:tcPr>
                <w:p w14:paraId="48AB98A0">
                  <w:pPr>
                    <w:pStyle w:val="65"/>
                    <w:adjustRightInd w:val="0"/>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b w:val="0"/>
                      <w:bCs w:val="0"/>
                      <w:color w:val="auto"/>
                      <w:sz w:val="21"/>
                      <w:szCs w:val="21"/>
                      <w:lang w:val="en-US" w:eastAsia="zh-CN"/>
                    </w:rPr>
                    <w:t>厌氧水解+接触氧化+沉淀</w:t>
                  </w:r>
                  <w:r>
                    <w:rPr>
                      <w:rFonts w:hint="eastAsia" w:ascii="Times New Roman" w:hAnsi="Times New Roman" w:eastAsia="宋体" w:cs="Times New Roman"/>
                      <w:b w:val="0"/>
                      <w:bCs w:val="0"/>
                      <w:color w:val="auto"/>
                      <w:sz w:val="21"/>
                      <w:szCs w:val="21"/>
                      <w:lang w:eastAsia="zh-CN"/>
                    </w:rPr>
                    <w:t>+次氯酸钠消毒</w:t>
                  </w:r>
                </w:p>
              </w:tc>
              <w:tc>
                <w:tcPr>
                  <w:tcW w:w="632" w:type="pct"/>
                  <w:noWrap w:val="0"/>
                  <w:vAlign w:val="center"/>
                </w:tcPr>
                <w:p w14:paraId="0F5908D1">
                  <w:pPr>
                    <w:pStyle w:val="65"/>
                    <w:adjustRightInd w:val="0"/>
                    <w:snapToGrid w:val="0"/>
                    <w:spacing w:line="240" w:lineRule="auto"/>
                    <w:ind w:firstLine="0" w:firstLineChars="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是</w:t>
                  </w:r>
                </w:p>
              </w:tc>
              <w:tc>
                <w:tcPr>
                  <w:tcW w:w="500" w:type="pct"/>
                  <w:noWrap w:val="0"/>
                  <w:vAlign w:val="center"/>
                </w:tcPr>
                <w:p w14:paraId="712AC868">
                  <w:pPr>
                    <w:pStyle w:val="65"/>
                    <w:adjustRightInd w:val="0"/>
                    <w:snapToGrid w:val="0"/>
                    <w:spacing w:line="240" w:lineRule="auto"/>
                    <w:ind w:firstLine="0" w:firstLineChars="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市政污水处理厂</w:t>
                  </w:r>
                </w:p>
              </w:tc>
              <w:tc>
                <w:tcPr>
                  <w:tcW w:w="526" w:type="pct"/>
                  <w:noWrap w:val="0"/>
                  <w:vAlign w:val="center"/>
                </w:tcPr>
                <w:p w14:paraId="61920BC7">
                  <w:pPr>
                    <w:pStyle w:val="65"/>
                    <w:adjustRightInd w:val="0"/>
                    <w:snapToGrid w:val="0"/>
                    <w:spacing w:line="240" w:lineRule="auto"/>
                    <w:ind w:firstLine="0" w:firstLineChars="0"/>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一般排放口</w:t>
                  </w:r>
                </w:p>
              </w:tc>
            </w:tr>
          </w:tbl>
          <w:p w14:paraId="7627135F">
            <w:pPr>
              <w:spacing w:before="120" w:beforeLines="50" w:line="360" w:lineRule="auto"/>
              <w:ind w:firstLine="482" w:firstLineChars="200"/>
              <w:jc w:val="left"/>
              <w:rPr>
                <w:b/>
                <w:bCs/>
                <w:color w:val="auto"/>
                <w:kern w:val="0"/>
                <w:sz w:val="24"/>
              </w:rPr>
            </w:pPr>
            <w:r>
              <w:rPr>
                <w:rFonts w:hint="eastAsia"/>
                <w:b/>
                <w:color w:val="auto"/>
                <w:kern w:val="0"/>
                <w:sz w:val="24"/>
              </w:rPr>
              <w:t>达标排放情况：</w:t>
            </w:r>
            <w:r>
              <w:rPr>
                <w:rFonts w:hint="eastAsia"/>
                <w:bCs/>
                <w:color w:val="auto"/>
                <w:kern w:val="0"/>
                <w:sz w:val="24"/>
              </w:rPr>
              <w:t>综上分析，</w:t>
            </w:r>
            <w:r>
              <w:rPr>
                <w:color w:val="auto"/>
                <w:sz w:val="24"/>
              </w:rPr>
              <w:t>项目</w:t>
            </w:r>
            <w:r>
              <w:rPr>
                <w:rFonts w:hint="eastAsia"/>
                <w:color w:val="auto"/>
                <w:sz w:val="24"/>
              </w:rPr>
              <w:t>污水处理工艺为“</w:t>
            </w:r>
            <w:r>
              <w:rPr>
                <w:rFonts w:hint="eastAsia"/>
                <w:color w:val="auto"/>
                <w:sz w:val="24"/>
                <w:lang w:val="en-US" w:eastAsia="zh-CN"/>
              </w:rPr>
              <w:t>调节池+厌氧水解+接触氧化+沉淀+次氯酸钠消毒</w:t>
            </w:r>
            <w:r>
              <w:rPr>
                <w:rFonts w:hint="eastAsia"/>
                <w:color w:val="auto"/>
                <w:sz w:val="24"/>
              </w:rPr>
              <w:t>”工艺，</w:t>
            </w:r>
            <w:r>
              <w:rPr>
                <w:rFonts w:hint="eastAsia"/>
                <w:color w:val="auto"/>
                <w:sz w:val="24"/>
                <w:lang w:val="en-US" w:eastAsia="zh-CN"/>
              </w:rPr>
              <w:t>属于《排污许可证申请与核发技术规范 医疗机构》（HJ1105-2020）中的推荐处理工艺。</w:t>
            </w:r>
            <w:r>
              <w:rPr>
                <w:color w:val="auto"/>
                <w:sz w:val="24"/>
              </w:rPr>
              <w:t>营运期废水</w:t>
            </w:r>
            <w:r>
              <w:rPr>
                <w:rFonts w:hint="eastAsia"/>
                <w:color w:val="auto"/>
                <w:sz w:val="24"/>
              </w:rPr>
              <w:t>经污水处理站处理后可稳定</w:t>
            </w:r>
            <w:r>
              <w:rPr>
                <w:color w:val="auto"/>
                <w:sz w:val="24"/>
              </w:rPr>
              <w:t>达</w:t>
            </w:r>
            <w:r>
              <w:rPr>
                <w:rFonts w:hint="eastAsia"/>
                <w:color w:val="auto"/>
                <w:sz w:val="24"/>
              </w:rPr>
              <w:t>到</w:t>
            </w:r>
            <w:r>
              <w:rPr>
                <w:color w:val="auto"/>
                <w:sz w:val="24"/>
              </w:rPr>
              <w:t>《医疗机构水污染物排放标准》（GB18466-2005）表2综合医疗机构和其他医疗机构水污染物排放限值中的预处理标准</w:t>
            </w:r>
            <w:r>
              <w:rPr>
                <w:rFonts w:hint="eastAsia"/>
                <w:color w:val="auto"/>
                <w:sz w:val="24"/>
              </w:rPr>
              <w:t>，不会对</w:t>
            </w:r>
            <w:r>
              <w:rPr>
                <w:rFonts w:hint="eastAsia"/>
                <w:color w:val="auto"/>
                <w:sz w:val="24"/>
                <w:lang w:eastAsia="zh-CN"/>
              </w:rPr>
              <w:t>鸡冠石污水处理厂</w:t>
            </w:r>
            <w:r>
              <w:rPr>
                <w:rFonts w:hint="eastAsia"/>
                <w:color w:val="auto"/>
                <w:sz w:val="24"/>
              </w:rPr>
              <w:t>造成冲击</w:t>
            </w:r>
            <w:r>
              <w:rPr>
                <w:color w:val="auto"/>
                <w:sz w:val="24"/>
              </w:rPr>
              <w:t>，</w:t>
            </w:r>
            <w:r>
              <w:rPr>
                <w:rFonts w:hint="eastAsia"/>
                <w:color w:val="auto"/>
                <w:sz w:val="24"/>
              </w:rPr>
              <w:t>经</w:t>
            </w:r>
            <w:r>
              <w:rPr>
                <w:rFonts w:hint="eastAsia"/>
                <w:color w:val="auto"/>
                <w:sz w:val="24"/>
                <w:lang w:eastAsia="zh-CN"/>
              </w:rPr>
              <w:t>鸡冠石污水处理厂</w:t>
            </w:r>
            <w:r>
              <w:rPr>
                <w:color w:val="auto"/>
                <w:sz w:val="24"/>
              </w:rPr>
              <w:t>深度处理达《城镇污水处理厂污染物排放标准》（GB18918-2012）一级</w:t>
            </w:r>
            <w:r>
              <w:rPr>
                <w:rFonts w:hint="eastAsia"/>
                <w:color w:val="auto"/>
                <w:sz w:val="24"/>
              </w:rPr>
              <w:t>A</w:t>
            </w:r>
            <w:r>
              <w:rPr>
                <w:color w:val="auto"/>
                <w:sz w:val="24"/>
              </w:rPr>
              <w:t>标准后</w:t>
            </w:r>
            <w:r>
              <w:rPr>
                <w:rFonts w:hint="eastAsia"/>
                <w:color w:val="auto"/>
                <w:sz w:val="24"/>
              </w:rPr>
              <w:t>对长江水环境影响较小</w:t>
            </w:r>
            <w:r>
              <w:rPr>
                <w:color w:val="auto"/>
                <w:sz w:val="24"/>
              </w:rPr>
              <w:t>。</w:t>
            </w:r>
          </w:p>
          <w:p w14:paraId="2E90F402">
            <w:pPr>
              <w:adjustRightInd w:val="0"/>
              <w:snapToGrid w:val="0"/>
              <w:spacing w:line="360" w:lineRule="auto"/>
              <w:ind w:firstLine="480" w:firstLineChars="200"/>
              <w:rPr>
                <w:b w:val="0"/>
                <w:bCs w:val="0"/>
                <w:color w:val="auto"/>
                <w:sz w:val="24"/>
              </w:rPr>
            </w:pPr>
            <w:r>
              <w:rPr>
                <w:b w:val="0"/>
                <w:bCs w:val="0"/>
                <w:color w:val="auto"/>
                <w:kern w:val="0"/>
                <w:sz w:val="24"/>
              </w:rPr>
              <w:t>污水处理厂依托可行性分析：</w:t>
            </w:r>
            <w:r>
              <w:rPr>
                <w:rFonts w:hint="eastAsia"/>
                <w:b w:val="0"/>
                <w:bCs w:val="0"/>
                <w:color w:val="auto"/>
                <w:kern w:val="0"/>
                <w:sz w:val="24"/>
                <w:lang w:val="en-US" w:eastAsia="zh-CN"/>
              </w:rPr>
              <w:t>鸡冠石污水处理厂位于长江南岸，占地面积</w:t>
            </w:r>
            <w:r>
              <w:rPr>
                <w:rFonts w:hint="default"/>
                <w:b w:val="0"/>
                <w:bCs w:val="0"/>
                <w:color w:val="auto"/>
                <w:kern w:val="0"/>
                <w:sz w:val="24"/>
                <w:lang w:val="en-US" w:eastAsia="zh-CN"/>
              </w:rPr>
              <w:t>890</w:t>
            </w:r>
            <w:r>
              <w:rPr>
                <w:rFonts w:hint="eastAsia"/>
                <w:b w:val="0"/>
                <w:bCs w:val="0"/>
                <w:color w:val="auto"/>
                <w:kern w:val="0"/>
                <w:sz w:val="24"/>
                <w:lang w:val="en-US" w:eastAsia="zh-CN"/>
              </w:rPr>
              <w:t>亩，是重庆市最大、全国第五大污水处理厂，设计处理规模为雨季</w:t>
            </w:r>
            <w:r>
              <w:rPr>
                <w:rFonts w:hint="default"/>
                <w:b w:val="0"/>
                <w:bCs w:val="0"/>
                <w:color w:val="auto"/>
                <w:kern w:val="0"/>
                <w:sz w:val="24"/>
                <w:lang w:val="en-US" w:eastAsia="zh-CN"/>
              </w:rPr>
              <w:t>165</w:t>
            </w:r>
            <w:r>
              <w:rPr>
                <w:rFonts w:hint="eastAsia"/>
                <w:b w:val="0"/>
                <w:bCs w:val="0"/>
                <w:color w:val="auto"/>
                <w:kern w:val="0"/>
                <w:sz w:val="24"/>
                <w:lang w:val="en-US" w:eastAsia="zh-CN"/>
              </w:rPr>
              <w:t>万</w:t>
            </w:r>
            <w:r>
              <w:rPr>
                <w:rFonts w:hint="default"/>
                <w:b w:val="0"/>
                <w:bCs w:val="0"/>
                <w:color w:val="auto"/>
                <w:kern w:val="0"/>
                <w:sz w:val="24"/>
                <w:lang w:val="en-US" w:eastAsia="zh-CN"/>
              </w:rPr>
              <w:t>m</w:t>
            </w:r>
            <w:r>
              <w:rPr>
                <w:rFonts w:hint="default"/>
                <w:b w:val="0"/>
                <w:bCs w:val="0"/>
                <w:color w:val="auto"/>
                <w:kern w:val="0"/>
                <w:sz w:val="24"/>
                <w:vertAlign w:val="superscript"/>
                <w:lang w:val="en-US" w:eastAsia="zh-CN"/>
              </w:rPr>
              <w:t>3</w:t>
            </w:r>
            <w:r>
              <w:rPr>
                <w:rFonts w:hint="default"/>
                <w:b w:val="0"/>
                <w:bCs w:val="0"/>
                <w:color w:val="auto"/>
                <w:kern w:val="0"/>
                <w:sz w:val="24"/>
                <w:lang w:val="en-US" w:eastAsia="zh-CN"/>
              </w:rPr>
              <w:t>/d</w:t>
            </w:r>
            <w:r>
              <w:rPr>
                <w:rFonts w:hint="eastAsia"/>
                <w:b w:val="0"/>
                <w:bCs w:val="0"/>
                <w:color w:val="auto"/>
                <w:kern w:val="0"/>
                <w:sz w:val="24"/>
                <w:lang w:val="en-US" w:eastAsia="zh-CN"/>
              </w:rPr>
              <w:t>，旱季</w:t>
            </w:r>
            <w:r>
              <w:rPr>
                <w:rFonts w:hint="default"/>
                <w:b w:val="0"/>
                <w:bCs w:val="0"/>
                <w:color w:val="auto"/>
                <w:kern w:val="0"/>
                <w:sz w:val="24"/>
                <w:lang w:val="en-US" w:eastAsia="zh-CN"/>
              </w:rPr>
              <w:t>80</w:t>
            </w:r>
            <w:r>
              <w:rPr>
                <w:rFonts w:hint="eastAsia"/>
                <w:b w:val="0"/>
                <w:bCs w:val="0"/>
                <w:color w:val="auto"/>
                <w:kern w:val="0"/>
                <w:sz w:val="24"/>
                <w:lang w:val="en-US" w:eastAsia="zh-CN"/>
              </w:rPr>
              <w:t>万</w:t>
            </w:r>
            <w:r>
              <w:rPr>
                <w:rFonts w:hint="default"/>
                <w:b w:val="0"/>
                <w:bCs w:val="0"/>
                <w:color w:val="auto"/>
                <w:kern w:val="0"/>
                <w:sz w:val="24"/>
                <w:lang w:val="en-US" w:eastAsia="zh-CN"/>
              </w:rPr>
              <w:t>m</w:t>
            </w:r>
            <w:r>
              <w:rPr>
                <w:rFonts w:hint="default"/>
                <w:b w:val="0"/>
                <w:bCs w:val="0"/>
                <w:color w:val="auto"/>
                <w:kern w:val="0"/>
                <w:sz w:val="24"/>
                <w:vertAlign w:val="superscript"/>
                <w:lang w:val="en-US" w:eastAsia="zh-CN"/>
              </w:rPr>
              <w:t>3</w:t>
            </w:r>
            <w:r>
              <w:rPr>
                <w:rFonts w:hint="default"/>
                <w:b w:val="0"/>
                <w:bCs w:val="0"/>
                <w:color w:val="auto"/>
                <w:kern w:val="0"/>
                <w:sz w:val="24"/>
                <w:lang w:val="en-US" w:eastAsia="zh-CN"/>
              </w:rPr>
              <w:t>/d</w:t>
            </w:r>
            <w:r>
              <w:rPr>
                <w:rFonts w:hint="eastAsia"/>
                <w:b w:val="0"/>
                <w:bCs w:val="0"/>
                <w:color w:val="auto"/>
                <w:kern w:val="0"/>
                <w:sz w:val="24"/>
                <w:lang w:val="en-US" w:eastAsia="zh-CN"/>
              </w:rPr>
              <w:t>，约占我市主城污水处理量的</w:t>
            </w:r>
            <w:r>
              <w:rPr>
                <w:rFonts w:hint="default"/>
                <w:b w:val="0"/>
                <w:bCs w:val="0"/>
                <w:color w:val="auto"/>
                <w:kern w:val="0"/>
                <w:sz w:val="24"/>
                <w:lang w:val="en-US" w:eastAsia="zh-CN"/>
              </w:rPr>
              <w:t>55%</w:t>
            </w:r>
            <w:r>
              <w:rPr>
                <w:rFonts w:hint="eastAsia"/>
                <w:b w:val="0"/>
                <w:bCs w:val="0"/>
                <w:color w:val="auto"/>
                <w:kern w:val="0"/>
                <w:sz w:val="24"/>
                <w:lang w:val="en-US" w:eastAsia="zh-CN"/>
              </w:rPr>
              <w:t>。服务范围为杨公桥、土湾、化龙桥、牛角沱、大溪沟、洪岩洞、桃花溪、龙凤溪、储奇门、哑巴洞、海棠溪和鸡冠石共计</w:t>
            </w:r>
            <w:r>
              <w:rPr>
                <w:rFonts w:hint="default"/>
                <w:b w:val="0"/>
                <w:bCs w:val="0"/>
                <w:color w:val="auto"/>
                <w:kern w:val="0"/>
                <w:sz w:val="24"/>
                <w:lang w:val="en-US" w:eastAsia="zh-CN"/>
              </w:rPr>
              <w:t>12</w:t>
            </w:r>
            <w:r>
              <w:rPr>
                <w:rFonts w:hint="eastAsia"/>
                <w:b w:val="0"/>
                <w:bCs w:val="0"/>
                <w:color w:val="auto"/>
                <w:kern w:val="0"/>
                <w:sz w:val="24"/>
                <w:lang w:val="en-US" w:eastAsia="zh-CN"/>
              </w:rPr>
              <w:t>个排水系统。废水处理工艺采用分点进水倒置</w:t>
            </w:r>
            <w:r>
              <w:rPr>
                <w:rFonts w:hint="default"/>
                <w:b w:val="0"/>
                <w:bCs w:val="0"/>
                <w:color w:val="auto"/>
                <w:kern w:val="0"/>
                <w:sz w:val="24"/>
                <w:lang w:val="en-US" w:eastAsia="zh-CN"/>
              </w:rPr>
              <w:t>A</w:t>
            </w:r>
            <w:r>
              <w:rPr>
                <w:rFonts w:hint="default"/>
                <w:b w:val="0"/>
                <w:bCs w:val="0"/>
                <w:color w:val="auto"/>
                <w:kern w:val="0"/>
                <w:sz w:val="24"/>
                <w:vertAlign w:val="superscript"/>
                <w:lang w:val="en-US" w:eastAsia="zh-CN"/>
              </w:rPr>
              <w:t>2</w:t>
            </w:r>
            <w:r>
              <w:rPr>
                <w:rFonts w:hint="default"/>
                <w:b w:val="0"/>
                <w:bCs w:val="0"/>
                <w:color w:val="auto"/>
                <w:kern w:val="0"/>
                <w:sz w:val="24"/>
                <w:lang w:val="en-US" w:eastAsia="zh-CN"/>
              </w:rPr>
              <w:t>/O</w:t>
            </w:r>
            <w:r>
              <w:rPr>
                <w:rFonts w:hint="eastAsia"/>
                <w:b w:val="0"/>
                <w:bCs w:val="0"/>
                <w:color w:val="auto"/>
                <w:kern w:val="0"/>
                <w:sz w:val="24"/>
                <w:lang w:val="en-US" w:eastAsia="zh-CN"/>
              </w:rPr>
              <w:t>法。经调查，鸡冠石污水处理厂实际最大废水处理量已达到设计规模，满负荷运行；四期扩建项目正在有序推进，四期扩建能力</w:t>
            </w:r>
            <w:r>
              <w:rPr>
                <w:rFonts w:hint="default"/>
                <w:b w:val="0"/>
                <w:bCs w:val="0"/>
                <w:color w:val="auto"/>
                <w:kern w:val="0"/>
                <w:sz w:val="24"/>
                <w:lang w:val="en-US" w:eastAsia="zh-CN"/>
              </w:rPr>
              <w:t>40</w:t>
            </w:r>
            <w:r>
              <w:rPr>
                <w:rFonts w:hint="eastAsia"/>
                <w:b w:val="0"/>
                <w:bCs w:val="0"/>
                <w:color w:val="auto"/>
                <w:kern w:val="0"/>
                <w:sz w:val="24"/>
                <w:lang w:val="en-US" w:eastAsia="zh-CN"/>
              </w:rPr>
              <w:t>万</w:t>
            </w:r>
            <w:r>
              <w:rPr>
                <w:rFonts w:hint="default"/>
                <w:b w:val="0"/>
                <w:bCs w:val="0"/>
                <w:color w:val="auto"/>
                <w:kern w:val="0"/>
                <w:sz w:val="24"/>
                <w:lang w:val="en-US" w:eastAsia="zh-CN"/>
              </w:rPr>
              <w:t>m</w:t>
            </w:r>
            <w:r>
              <w:rPr>
                <w:rFonts w:hint="default"/>
                <w:b w:val="0"/>
                <w:bCs w:val="0"/>
                <w:color w:val="auto"/>
                <w:kern w:val="0"/>
                <w:sz w:val="24"/>
                <w:vertAlign w:val="superscript"/>
                <w:lang w:val="en-US" w:eastAsia="zh-CN"/>
              </w:rPr>
              <w:t>3</w:t>
            </w:r>
            <w:r>
              <w:rPr>
                <w:rFonts w:hint="default"/>
                <w:b w:val="0"/>
                <w:bCs w:val="0"/>
                <w:color w:val="auto"/>
                <w:kern w:val="0"/>
                <w:sz w:val="24"/>
                <w:lang w:val="en-US" w:eastAsia="zh-CN"/>
              </w:rPr>
              <w:t>/d</w:t>
            </w:r>
            <w:r>
              <w:rPr>
                <w:rFonts w:hint="eastAsia"/>
                <w:b w:val="0"/>
                <w:bCs w:val="0"/>
                <w:color w:val="auto"/>
                <w:kern w:val="0"/>
                <w:sz w:val="24"/>
                <w:lang w:val="en-US" w:eastAsia="zh-CN"/>
              </w:rPr>
              <w:t>，扩建完成后可达到日处理</w:t>
            </w:r>
            <w:r>
              <w:rPr>
                <w:rFonts w:hint="default"/>
                <w:b w:val="0"/>
                <w:bCs w:val="0"/>
                <w:color w:val="auto"/>
                <w:kern w:val="0"/>
                <w:sz w:val="24"/>
                <w:lang w:val="en-US" w:eastAsia="zh-CN"/>
              </w:rPr>
              <w:t>120</w:t>
            </w:r>
            <w:r>
              <w:rPr>
                <w:rFonts w:hint="eastAsia"/>
                <w:b w:val="0"/>
                <w:bCs w:val="0"/>
                <w:color w:val="auto"/>
                <w:kern w:val="0"/>
                <w:sz w:val="24"/>
                <w:lang w:val="en-US" w:eastAsia="zh-CN"/>
              </w:rPr>
              <w:t>万</w:t>
            </w:r>
            <w:r>
              <w:rPr>
                <w:rFonts w:hint="default"/>
                <w:b w:val="0"/>
                <w:bCs w:val="0"/>
                <w:color w:val="auto"/>
                <w:kern w:val="0"/>
                <w:sz w:val="24"/>
                <w:lang w:val="en-US" w:eastAsia="zh-CN"/>
              </w:rPr>
              <w:t>m</w:t>
            </w:r>
            <w:r>
              <w:rPr>
                <w:rFonts w:hint="default"/>
                <w:b w:val="0"/>
                <w:bCs w:val="0"/>
                <w:color w:val="auto"/>
                <w:kern w:val="0"/>
                <w:sz w:val="24"/>
                <w:vertAlign w:val="superscript"/>
                <w:lang w:val="en-US" w:eastAsia="zh-CN"/>
              </w:rPr>
              <w:t>3</w:t>
            </w:r>
            <w:r>
              <w:rPr>
                <w:rFonts w:hint="default"/>
                <w:b w:val="0"/>
                <w:bCs w:val="0"/>
                <w:color w:val="auto"/>
                <w:kern w:val="0"/>
                <w:sz w:val="24"/>
                <w:lang w:val="en-US" w:eastAsia="zh-CN"/>
              </w:rPr>
              <w:t>/d</w:t>
            </w:r>
            <w:r>
              <w:rPr>
                <w:rFonts w:hint="eastAsia"/>
                <w:b w:val="0"/>
                <w:bCs w:val="0"/>
                <w:color w:val="auto"/>
                <w:kern w:val="0"/>
                <w:sz w:val="24"/>
                <w:lang w:val="en-US" w:eastAsia="zh-CN"/>
              </w:rPr>
              <w:t>。本项目在鸡冠石污水处理厂收水范围内</w:t>
            </w:r>
            <w:r>
              <w:rPr>
                <w:b w:val="0"/>
                <w:bCs w:val="0"/>
                <w:color w:val="auto"/>
                <w:sz w:val="24"/>
              </w:rPr>
              <w:t>。</w:t>
            </w:r>
          </w:p>
          <w:p w14:paraId="0E9F6806">
            <w:pPr>
              <w:adjustRightInd w:val="0"/>
              <w:snapToGrid w:val="0"/>
              <w:spacing w:line="360" w:lineRule="auto"/>
              <w:ind w:firstLine="480" w:firstLineChars="200"/>
              <w:rPr>
                <w:color w:val="auto"/>
                <w:sz w:val="24"/>
              </w:rPr>
            </w:pPr>
            <w:r>
              <w:rPr>
                <w:color w:val="auto"/>
                <w:sz w:val="24"/>
              </w:rPr>
              <w:t>扩建项目废水产生量能满足</w:t>
            </w:r>
            <w:r>
              <w:rPr>
                <w:rFonts w:hint="eastAsia"/>
                <w:color w:val="auto"/>
                <w:sz w:val="24"/>
                <w:lang w:eastAsia="zh-CN"/>
              </w:rPr>
              <w:t>鸡冠石污水处理厂</w:t>
            </w:r>
            <w:r>
              <w:rPr>
                <w:color w:val="auto"/>
                <w:sz w:val="24"/>
              </w:rPr>
              <w:t>的水量接纳要求，主要污染因子为COD、SS、NH</w:t>
            </w:r>
            <w:r>
              <w:rPr>
                <w:color w:val="auto"/>
                <w:sz w:val="24"/>
                <w:vertAlign w:val="subscript"/>
              </w:rPr>
              <w:t>3</w:t>
            </w:r>
            <w:r>
              <w:rPr>
                <w:color w:val="auto"/>
                <w:sz w:val="24"/>
              </w:rPr>
              <w:t>-N、石油类和BOD</w:t>
            </w:r>
            <w:r>
              <w:rPr>
                <w:color w:val="auto"/>
                <w:sz w:val="24"/>
                <w:vertAlign w:val="subscript"/>
              </w:rPr>
              <w:t>5</w:t>
            </w:r>
            <w:r>
              <w:rPr>
                <w:color w:val="auto"/>
                <w:sz w:val="24"/>
              </w:rPr>
              <w:t>等，且属于</w:t>
            </w:r>
            <w:r>
              <w:rPr>
                <w:rFonts w:hint="eastAsia"/>
                <w:color w:val="auto"/>
                <w:sz w:val="24"/>
                <w:lang w:eastAsia="zh-CN"/>
              </w:rPr>
              <w:t>鸡冠石污水处理厂</w:t>
            </w:r>
            <w:r>
              <w:rPr>
                <w:color w:val="auto"/>
                <w:sz w:val="24"/>
              </w:rPr>
              <w:t>废水收纳范围，废水经</w:t>
            </w:r>
            <w:r>
              <w:rPr>
                <w:rFonts w:hint="eastAsia"/>
                <w:color w:val="auto"/>
                <w:sz w:val="24"/>
              </w:rPr>
              <w:t>院区</w:t>
            </w:r>
            <w:r>
              <w:rPr>
                <w:color w:val="auto"/>
                <w:sz w:val="24"/>
              </w:rPr>
              <w:t>预处理后排入</w:t>
            </w:r>
            <w:r>
              <w:rPr>
                <w:rFonts w:hint="eastAsia"/>
                <w:color w:val="auto"/>
                <w:sz w:val="24"/>
                <w:lang w:eastAsia="zh-CN"/>
              </w:rPr>
              <w:t>鸡冠石污水处理厂</w:t>
            </w:r>
            <w:r>
              <w:rPr>
                <w:color w:val="auto"/>
                <w:sz w:val="24"/>
              </w:rPr>
              <w:t>。</w:t>
            </w:r>
            <w:r>
              <w:rPr>
                <w:rFonts w:hint="eastAsia"/>
                <w:color w:val="auto"/>
                <w:sz w:val="24"/>
                <w:lang w:val="en-US" w:eastAsia="zh-CN"/>
              </w:rPr>
              <w:t>扩建</w:t>
            </w:r>
            <w:r>
              <w:rPr>
                <w:rFonts w:hint="eastAsia" w:ascii="Times New Roman" w:hAnsi="Times New Roman" w:eastAsia="宋体" w:cs="Times New Roman"/>
                <w:color w:val="auto"/>
                <w:sz w:val="24"/>
                <w:szCs w:val="24"/>
                <w:lang w:val="en-US" w:eastAsia="zh-CN"/>
              </w:rPr>
              <w:t>项目综合废水量约为</w:t>
            </w:r>
            <w:r>
              <w:rPr>
                <w:rFonts w:hint="eastAsia"/>
                <w:snapToGrid w:val="0"/>
                <w:color w:val="auto"/>
                <w:kern w:val="0"/>
                <w:sz w:val="24"/>
                <w:lang w:val="en-US" w:eastAsia="zh-CN"/>
              </w:rPr>
              <w:t>29.9</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ascii="Times New Roman" w:hAnsi="Times New Roman" w:eastAsia="宋体" w:cs="Times New Roman"/>
                <w:color w:val="auto"/>
                <w:sz w:val="24"/>
                <w:szCs w:val="24"/>
                <w:lang w:val="en-US" w:eastAsia="zh-CN"/>
              </w:rPr>
              <w:t>，占比非常小，</w:t>
            </w:r>
            <w:r>
              <w:rPr>
                <w:color w:val="auto"/>
                <w:sz w:val="24"/>
              </w:rPr>
              <w:t>因此依托</w:t>
            </w:r>
            <w:r>
              <w:rPr>
                <w:rFonts w:hint="eastAsia"/>
                <w:color w:val="auto"/>
                <w:sz w:val="24"/>
                <w:lang w:eastAsia="zh-CN"/>
              </w:rPr>
              <w:t>鸡冠石污水处理厂</w:t>
            </w:r>
            <w:r>
              <w:rPr>
                <w:color w:val="auto"/>
                <w:sz w:val="24"/>
              </w:rPr>
              <w:t>合理可行。</w:t>
            </w:r>
          </w:p>
          <w:p w14:paraId="416013AC">
            <w:pPr>
              <w:adjustRightInd w:val="0"/>
              <w:snapToGrid w:val="0"/>
              <w:spacing w:line="360" w:lineRule="auto"/>
              <w:ind w:firstLine="480" w:firstLineChars="200"/>
              <w:rPr>
                <w:color w:val="auto"/>
                <w:sz w:val="24"/>
              </w:rPr>
            </w:pPr>
            <w:r>
              <w:rPr>
                <w:color w:val="auto"/>
                <w:sz w:val="24"/>
              </w:rPr>
              <w:t>因此，扩建项目废水采取上述措施后，扩建项目产生的废水对地表水环境影响小。</w:t>
            </w:r>
          </w:p>
          <w:p w14:paraId="33EE2593">
            <w:pPr>
              <w:pStyle w:val="54"/>
              <w:spacing w:line="240" w:lineRule="auto"/>
              <w:rPr>
                <w:b/>
                <w:color w:val="auto"/>
                <w:sz w:val="24"/>
                <w:szCs w:val="24"/>
              </w:rPr>
            </w:pPr>
            <w:r>
              <w:rPr>
                <w:b/>
                <w:color w:val="auto"/>
                <w:sz w:val="21"/>
                <w:szCs w:val="21"/>
              </w:rPr>
              <w:t>表4</w:t>
            </w:r>
            <w:r>
              <w:rPr>
                <w:rFonts w:hint="eastAsia"/>
                <w:b/>
                <w:color w:val="auto"/>
                <w:sz w:val="21"/>
                <w:szCs w:val="21"/>
                <w:lang w:val="en-US" w:eastAsia="zh-CN"/>
              </w:rPr>
              <w:t>.2</w:t>
            </w:r>
            <w:r>
              <w:rPr>
                <w:b/>
                <w:color w:val="auto"/>
                <w:sz w:val="21"/>
                <w:szCs w:val="21"/>
              </w:rPr>
              <w:t>-</w:t>
            </w:r>
            <w:r>
              <w:rPr>
                <w:rFonts w:hint="eastAsia"/>
                <w:b/>
                <w:color w:val="auto"/>
                <w:sz w:val="21"/>
                <w:szCs w:val="21"/>
              </w:rPr>
              <w:t>6</w:t>
            </w:r>
            <w:r>
              <w:rPr>
                <w:rFonts w:hint="eastAsia"/>
                <w:b/>
                <w:color w:val="auto"/>
                <w:sz w:val="21"/>
                <w:szCs w:val="21"/>
                <w:lang w:val="en-US" w:eastAsia="zh-CN"/>
              </w:rPr>
              <w:t xml:space="preserve"> </w:t>
            </w:r>
            <w:r>
              <w:rPr>
                <w:b/>
                <w:color w:val="auto"/>
                <w:sz w:val="21"/>
                <w:szCs w:val="21"/>
              </w:rPr>
              <w:t>废水类别、污染物及污染治理设施信息表</w:t>
            </w:r>
          </w:p>
          <w:tbl>
            <w:tblPr>
              <w:tblStyle w:val="2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8"/>
              <w:gridCol w:w="1031"/>
              <w:gridCol w:w="771"/>
              <w:gridCol w:w="1046"/>
              <w:gridCol w:w="770"/>
              <w:gridCol w:w="888"/>
              <w:gridCol w:w="836"/>
              <w:gridCol w:w="610"/>
              <w:gridCol w:w="812"/>
              <w:gridCol w:w="1530"/>
            </w:tblGrid>
            <w:tr w14:paraId="38E7F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7" w:hRule="atLeast"/>
                <w:jc w:val="center"/>
              </w:trPr>
              <w:tc>
                <w:tcPr>
                  <w:tcW w:w="299" w:type="pct"/>
                  <w:vMerge w:val="restart"/>
                  <w:tcBorders>
                    <w:top w:val="single" w:color="auto" w:sz="4" w:space="0"/>
                    <w:left w:val="single" w:color="auto" w:sz="4" w:space="0"/>
                    <w:bottom w:val="single" w:color="auto" w:sz="4" w:space="0"/>
                    <w:right w:val="single" w:color="auto" w:sz="4" w:space="0"/>
                  </w:tcBorders>
                  <w:noWrap w:val="0"/>
                  <w:vAlign w:val="center"/>
                </w:tcPr>
                <w:p w14:paraId="0B74F39B">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废水类别</w:t>
                  </w:r>
                </w:p>
              </w:tc>
              <w:tc>
                <w:tcPr>
                  <w:tcW w:w="584" w:type="pct"/>
                  <w:vMerge w:val="restart"/>
                  <w:tcBorders>
                    <w:top w:val="single" w:color="auto" w:sz="4" w:space="0"/>
                    <w:left w:val="single" w:color="auto" w:sz="4" w:space="0"/>
                    <w:bottom w:val="single" w:color="auto" w:sz="4" w:space="0"/>
                    <w:right w:val="single" w:color="auto" w:sz="4" w:space="0"/>
                  </w:tcBorders>
                  <w:noWrap w:val="0"/>
                  <w:vAlign w:val="center"/>
                </w:tcPr>
                <w:p w14:paraId="7F8457C1">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污染物种类</w:t>
                  </w:r>
                </w:p>
              </w:tc>
              <w:tc>
                <w:tcPr>
                  <w:tcW w:w="437" w:type="pct"/>
                  <w:vMerge w:val="restart"/>
                  <w:tcBorders>
                    <w:top w:val="single" w:color="auto" w:sz="4" w:space="0"/>
                    <w:left w:val="single" w:color="auto" w:sz="4" w:space="0"/>
                    <w:bottom w:val="single" w:color="auto" w:sz="4" w:space="0"/>
                    <w:right w:val="single" w:color="auto" w:sz="4" w:space="0"/>
                  </w:tcBorders>
                  <w:noWrap w:val="0"/>
                  <w:vAlign w:val="center"/>
                </w:tcPr>
                <w:p w14:paraId="4624D1EC">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排放去向</w:t>
                  </w:r>
                </w:p>
              </w:tc>
              <w:tc>
                <w:tcPr>
                  <w:tcW w:w="592" w:type="pct"/>
                  <w:vMerge w:val="restart"/>
                  <w:tcBorders>
                    <w:top w:val="single" w:color="auto" w:sz="4" w:space="0"/>
                    <w:left w:val="single" w:color="auto" w:sz="4" w:space="0"/>
                    <w:bottom w:val="single" w:color="auto" w:sz="4" w:space="0"/>
                    <w:right w:val="single" w:color="auto" w:sz="4" w:space="0"/>
                  </w:tcBorders>
                  <w:noWrap w:val="0"/>
                  <w:vAlign w:val="center"/>
                </w:tcPr>
                <w:p w14:paraId="2E46498F">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排放规律</w:t>
                  </w:r>
                </w:p>
              </w:tc>
              <w:tc>
                <w:tcPr>
                  <w:tcW w:w="1414" w:type="pct"/>
                  <w:gridSpan w:val="3"/>
                  <w:tcBorders>
                    <w:top w:val="single" w:color="auto" w:sz="4" w:space="0"/>
                    <w:left w:val="single" w:color="auto" w:sz="4" w:space="0"/>
                    <w:bottom w:val="single" w:color="auto" w:sz="4" w:space="0"/>
                    <w:right w:val="single" w:color="auto" w:sz="4" w:space="0"/>
                  </w:tcBorders>
                  <w:noWrap w:val="0"/>
                  <w:vAlign w:val="center"/>
                </w:tcPr>
                <w:p w14:paraId="1DC090A6">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污染治理设施</w:t>
                  </w:r>
                </w:p>
              </w:tc>
              <w:tc>
                <w:tcPr>
                  <w:tcW w:w="346" w:type="pct"/>
                  <w:vMerge w:val="restart"/>
                  <w:tcBorders>
                    <w:top w:val="single" w:color="auto" w:sz="4" w:space="0"/>
                    <w:left w:val="single" w:color="auto" w:sz="4" w:space="0"/>
                    <w:bottom w:val="single" w:color="auto" w:sz="4" w:space="0"/>
                    <w:right w:val="single" w:color="auto" w:sz="4" w:space="0"/>
                  </w:tcBorders>
                  <w:noWrap w:val="0"/>
                  <w:vAlign w:val="center"/>
                </w:tcPr>
                <w:p w14:paraId="15B294E5">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排放口编号</w:t>
                  </w:r>
                </w:p>
              </w:tc>
              <w:tc>
                <w:tcPr>
                  <w:tcW w:w="460" w:type="pct"/>
                  <w:vMerge w:val="restart"/>
                  <w:tcBorders>
                    <w:top w:val="single" w:color="auto" w:sz="4" w:space="0"/>
                    <w:left w:val="single" w:color="auto" w:sz="4" w:space="0"/>
                    <w:bottom w:val="single" w:color="auto" w:sz="4" w:space="0"/>
                    <w:right w:val="single" w:color="auto" w:sz="4" w:space="0"/>
                  </w:tcBorders>
                  <w:noWrap w:val="0"/>
                  <w:vAlign w:val="center"/>
                </w:tcPr>
                <w:p w14:paraId="2A5FDBB8">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排放口设置是否符合要求</w:t>
                  </w:r>
                </w:p>
              </w:tc>
              <w:tc>
                <w:tcPr>
                  <w:tcW w:w="866" w:type="pct"/>
                  <w:vMerge w:val="restart"/>
                  <w:tcBorders>
                    <w:top w:val="single" w:color="auto" w:sz="4" w:space="0"/>
                    <w:left w:val="single" w:color="auto" w:sz="4" w:space="0"/>
                    <w:bottom w:val="single" w:color="auto" w:sz="4" w:space="0"/>
                    <w:right w:val="single" w:color="auto" w:sz="4" w:space="0"/>
                  </w:tcBorders>
                  <w:noWrap w:val="0"/>
                  <w:vAlign w:val="center"/>
                </w:tcPr>
                <w:p w14:paraId="2F8ABB54">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排放口类型</w:t>
                  </w:r>
                </w:p>
              </w:tc>
            </w:tr>
            <w:tr w14:paraId="785BDF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99" w:type="pct"/>
                  <w:vMerge w:val="continue"/>
                  <w:tcBorders>
                    <w:top w:val="single" w:color="auto" w:sz="4" w:space="0"/>
                    <w:left w:val="single" w:color="auto" w:sz="4" w:space="0"/>
                    <w:bottom w:val="single" w:color="auto" w:sz="4" w:space="0"/>
                    <w:right w:val="single" w:color="auto" w:sz="4" w:space="0"/>
                  </w:tcBorders>
                  <w:noWrap w:val="0"/>
                  <w:vAlign w:val="center"/>
                </w:tcPr>
                <w:p w14:paraId="5F684FB7">
                  <w:pPr>
                    <w:widowControl/>
                    <w:adjustRightInd w:val="0"/>
                    <w:snapToGrid w:val="0"/>
                    <w:jc w:val="left"/>
                    <w:rPr>
                      <w:color w:val="auto"/>
                      <w:sz w:val="21"/>
                      <w:szCs w:val="21"/>
                    </w:rPr>
                  </w:pPr>
                </w:p>
              </w:tc>
              <w:tc>
                <w:tcPr>
                  <w:tcW w:w="584" w:type="pct"/>
                  <w:vMerge w:val="continue"/>
                  <w:tcBorders>
                    <w:top w:val="single" w:color="auto" w:sz="4" w:space="0"/>
                    <w:left w:val="single" w:color="auto" w:sz="4" w:space="0"/>
                    <w:bottom w:val="single" w:color="auto" w:sz="4" w:space="0"/>
                    <w:right w:val="single" w:color="auto" w:sz="4" w:space="0"/>
                  </w:tcBorders>
                  <w:noWrap w:val="0"/>
                  <w:vAlign w:val="center"/>
                </w:tcPr>
                <w:p w14:paraId="79120737">
                  <w:pPr>
                    <w:widowControl/>
                    <w:adjustRightInd w:val="0"/>
                    <w:snapToGrid w:val="0"/>
                    <w:jc w:val="left"/>
                    <w:rPr>
                      <w:color w:val="auto"/>
                      <w:sz w:val="21"/>
                      <w:szCs w:val="21"/>
                    </w:rPr>
                  </w:pPr>
                </w:p>
              </w:tc>
              <w:tc>
                <w:tcPr>
                  <w:tcW w:w="437" w:type="pct"/>
                  <w:vMerge w:val="continue"/>
                  <w:tcBorders>
                    <w:top w:val="single" w:color="auto" w:sz="4" w:space="0"/>
                    <w:left w:val="single" w:color="auto" w:sz="4" w:space="0"/>
                    <w:bottom w:val="single" w:color="auto" w:sz="4" w:space="0"/>
                    <w:right w:val="single" w:color="auto" w:sz="4" w:space="0"/>
                  </w:tcBorders>
                  <w:noWrap w:val="0"/>
                  <w:vAlign w:val="center"/>
                </w:tcPr>
                <w:p w14:paraId="17FBD2FD">
                  <w:pPr>
                    <w:widowControl/>
                    <w:adjustRightInd w:val="0"/>
                    <w:snapToGrid w:val="0"/>
                    <w:jc w:val="left"/>
                    <w:rPr>
                      <w:color w:val="auto"/>
                      <w:sz w:val="21"/>
                      <w:szCs w:val="21"/>
                    </w:rPr>
                  </w:pPr>
                </w:p>
              </w:tc>
              <w:tc>
                <w:tcPr>
                  <w:tcW w:w="592" w:type="pct"/>
                  <w:vMerge w:val="continue"/>
                  <w:tcBorders>
                    <w:top w:val="single" w:color="auto" w:sz="4" w:space="0"/>
                    <w:left w:val="single" w:color="auto" w:sz="4" w:space="0"/>
                    <w:bottom w:val="single" w:color="auto" w:sz="4" w:space="0"/>
                    <w:right w:val="single" w:color="auto" w:sz="4" w:space="0"/>
                  </w:tcBorders>
                  <w:noWrap w:val="0"/>
                  <w:vAlign w:val="center"/>
                </w:tcPr>
                <w:p w14:paraId="5C317331">
                  <w:pPr>
                    <w:widowControl/>
                    <w:adjustRightInd w:val="0"/>
                    <w:snapToGrid w:val="0"/>
                    <w:jc w:val="left"/>
                    <w:rPr>
                      <w:color w:val="auto"/>
                      <w:sz w:val="21"/>
                      <w:szCs w:val="21"/>
                    </w:rPr>
                  </w:pPr>
                </w:p>
              </w:tc>
              <w:tc>
                <w:tcPr>
                  <w:tcW w:w="436" w:type="pct"/>
                  <w:tcBorders>
                    <w:top w:val="single" w:color="auto" w:sz="4" w:space="0"/>
                    <w:left w:val="single" w:color="auto" w:sz="4" w:space="0"/>
                    <w:bottom w:val="single" w:color="auto" w:sz="4" w:space="0"/>
                    <w:right w:val="single" w:color="auto" w:sz="4" w:space="0"/>
                  </w:tcBorders>
                  <w:noWrap w:val="0"/>
                  <w:vAlign w:val="center"/>
                </w:tcPr>
                <w:p w14:paraId="1A430321">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污染治理设施编号</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17A797E6">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污染治理设施名称</w:t>
                  </w:r>
                </w:p>
              </w:tc>
              <w:tc>
                <w:tcPr>
                  <w:tcW w:w="474" w:type="pct"/>
                  <w:tcBorders>
                    <w:top w:val="single" w:color="auto" w:sz="4" w:space="0"/>
                    <w:left w:val="single" w:color="auto" w:sz="4" w:space="0"/>
                    <w:bottom w:val="single" w:color="auto" w:sz="4" w:space="0"/>
                    <w:right w:val="single" w:color="auto" w:sz="4" w:space="0"/>
                  </w:tcBorders>
                  <w:noWrap w:val="0"/>
                  <w:vAlign w:val="center"/>
                </w:tcPr>
                <w:p w14:paraId="726D1871">
                  <w:pPr>
                    <w:pStyle w:val="53"/>
                    <w:spacing w:line="240" w:lineRule="auto"/>
                    <w:ind w:firstLine="0"/>
                    <w:rPr>
                      <w:rFonts w:ascii="Times New Roman" w:hAnsi="Times New Roman"/>
                      <w:b/>
                      <w:bCs/>
                      <w:color w:val="auto"/>
                      <w:sz w:val="21"/>
                      <w:szCs w:val="21"/>
                    </w:rPr>
                  </w:pPr>
                  <w:r>
                    <w:rPr>
                      <w:rFonts w:ascii="Times New Roman" w:hAnsi="Times New Roman"/>
                      <w:b/>
                      <w:bCs/>
                      <w:color w:val="auto"/>
                      <w:sz w:val="21"/>
                      <w:szCs w:val="21"/>
                    </w:rPr>
                    <w:t>治理设施工艺</w:t>
                  </w:r>
                </w:p>
              </w:tc>
              <w:tc>
                <w:tcPr>
                  <w:tcW w:w="346" w:type="pct"/>
                  <w:vMerge w:val="continue"/>
                  <w:tcBorders>
                    <w:top w:val="single" w:color="auto" w:sz="4" w:space="0"/>
                    <w:left w:val="single" w:color="auto" w:sz="4" w:space="0"/>
                    <w:bottom w:val="single" w:color="auto" w:sz="4" w:space="0"/>
                    <w:right w:val="single" w:color="auto" w:sz="4" w:space="0"/>
                  </w:tcBorders>
                  <w:noWrap w:val="0"/>
                  <w:vAlign w:val="center"/>
                </w:tcPr>
                <w:p w14:paraId="4D3F41A2">
                  <w:pPr>
                    <w:widowControl/>
                    <w:adjustRightInd w:val="0"/>
                    <w:snapToGrid w:val="0"/>
                    <w:jc w:val="left"/>
                    <w:rPr>
                      <w:color w:val="auto"/>
                      <w:sz w:val="21"/>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309454B2">
                  <w:pPr>
                    <w:widowControl/>
                    <w:adjustRightInd w:val="0"/>
                    <w:snapToGrid w:val="0"/>
                    <w:jc w:val="left"/>
                    <w:rPr>
                      <w:color w:val="auto"/>
                      <w:sz w:val="21"/>
                      <w:szCs w:val="21"/>
                    </w:rPr>
                  </w:pPr>
                </w:p>
              </w:tc>
              <w:tc>
                <w:tcPr>
                  <w:tcW w:w="866" w:type="pct"/>
                  <w:vMerge w:val="continue"/>
                  <w:tcBorders>
                    <w:top w:val="single" w:color="auto" w:sz="4" w:space="0"/>
                    <w:left w:val="single" w:color="auto" w:sz="4" w:space="0"/>
                    <w:bottom w:val="single" w:color="auto" w:sz="4" w:space="0"/>
                    <w:right w:val="single" w:color="auto" w:sz="4" w:space="0"/>
                  </w:tcBorders>
                  <w:noWrap w:val="0"/>
                  <w:vAlign w:val="center"/>
                </w:tcPr>
                <w:p w14:paraId="5845CEE5">
                  <w:pPr>
                    <w:widowControl/>
                    <w:adjustRightInd w:val="0"/>
                    <w:snapToGrid w:val="0"/>
                    <w:jc w:val="left"/>
                    <w:rPr>
                      <w:color w:val="auto"/>
                      <w:sz w:val="21"/>
                      <w:szCs w:val="21"/>
                    </w:rPr>
                  </w:pPr>
                </w:p>
              </w:tc>
            </w:tr>
            <w:tr w14:paraId="39E06D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8" w:hRule="atLeast"/>
                <w:jc w:val="center"/>
              </w:trPr>
              <w:tc>
                <w:tcPr>
                  <w:tcW w:w="299" w:type="pct"/>
                  <w:tcBorders>
                    <w:top w:val="single" w:color="auto" w:sz="4" w:space="0"/>
                    <w:left w:val="single" w:color="auto" w:sz="4" w:space="0"/>
                    <w:bottom w:val="single" w:color="auto" w:sz="4" w:space="0"/>
                    <w:right w:val="single" w:color="auto" w:sz="4" w:space="0"/>
                  </w:tcBorders>
                  <w:noWrap w:val="0"/>
                  <w:vAlign w:val="center"/>
                </w:tcPr>
                <w:p w14:paraId="7BBFEE16">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综合废水</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6F9759B6">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COD、BOD</w:t>
                  </w:r>
                  <w:r>
                    <w:rPr>
                      <w:rFonts w:ascii="Times New Roman" w:hAnsi="Times New Roman"/>
                      <w:color w:val="auto"/>
                      <w:sz w:val="21"/>
                      <w:szCs w:val="21"/>
                      <w:vertAlign w:val="subscript"/>
                    </w:rPr>
                    <w:t>5</w:t>
                  </w:r>
                  <w:r>
                    <w:rPr>
                      <w:rFonts w:ascii="Times New Roman" w:hAnsi="Times New Roman"/>
                      <w:color w:val="auto"/>
                      <w:sz w:val="21"/>
                      <w:szCs w:val="21"/>
                    </w:rPr>
                    <w:t>、</w:t>
                  </w:r>
                </w:p>
                <w:p w14:paraId="130505C9">
                  <w:pPr>
                    <w:pStyle w:val="53"/>
                    <w:spacing w:line="240" w:lineRule="auto"/>
                    <w:ind w:firstLine="0"/>
                    <w:rPr>
                      <w:rFonts w:ascii="Times New Roman" w:hAnsi="Times New Roman"/>
                      <w:color w:val="auto"/>
                      <w:kern w:val="44"/>
                      <w:sz w:val="21"/>
                      <w:szCs w:val="21"/>
                    </w:rPr>
                  </w:pPr>
                  <w:r>
                    <w:rPr>
                      <w:rFonts w:ascii="Times New Roman" w:hAnsi="Times New Roman"/>
                      <w:color w:val="auto"/>
                      <w:sz w:val="21"/>
                      <w:szCs w:val="21"/>
                    </w:rPr>
                    <w:t>SS、氨氮、动植物油、LAS、粪大肠杆菌</w:t>
                  </w:r>
                </w:p>
              </w:tc>
              <w:tc>
                <w:tcPr>
                  <w:tcW w:w="437" w:type="pct"/>
                  <w:tcBorders>
                    <w:top w:val="single" w:color="auto" w:sz="4" w:space="0"/>
                    <w:left w:val="single" w:color="auto" w:sz="4" w:space="0"/>
                    <w:bottom w:val="single" w:color="auto" w:sz="4" w:space="0"/>
                    <w:right w:val="single" w:color="auto" w:sz="4" w:space="0"/>
                  </w:tcBorders>
                  <w:noWrap w:val="0"/>
                  <w:vAlign w:val="center"/>
                </w:tcPr>
                <w:p w14:paraId="47504C67">
                  <w:pPr>
                    <w:pStyle w:val="53"/>
                    <w:spacing w:line="240" w:lineRule="auto"/>
                    <w:ind w:firstLine="0"/>
                    <w:rPr>
                      <w:rFonts w:hint="eastAsia" w:ascii="Times New Roman" w:hAnsi="Times New Roman" w:eastAsia="宋体"/>
                      <w:color w:val="auto"/>
                      <w:sz w:val="21"/>
                      <w:szCs w:val="21"/>
                      <w:lang w:eastAsia="zh-CN"/>
                    </w:rPr>
                  </w:pPr>
                  <w:r>
                    <w:rPr>
                      <w:rFonts w:hint="eastAsia" w:ascii="Times New Roman" w:hAnsi="Times New Roman"/>
                      <w:color w:val="auto"/>
                      <w:sz w:val="21"/>
                      <w:szCs w:val="21"/>
                      <w:lang w:eastAsia="zh-CN"/>
                    </w:rPr>
                    <w:t>鸡冠石污水处理厂</w:t>
                  </w:r>
                </w:p>
              </w:tc>
              <w:tc>
                <w:tcPr>
                  <w:tcW w:w="592" w:type="pct"/>
                  <w:tcBorders>
                    <w:top w:val="single" w:color="auto" w:sz="4" w:space="0"/>
                    <w:left w:val="single" w:color="auto" w:sz="4" w:space="0"/>
                    <w:bottom w:val="single" w:color="auto" w:sz="4" w:space="0"/>
                    <w:right w:val="single" w:color="auto" w:sz="4" w:space="0"/>
                  </w:tcBorders>
                  <w:noWrap w:val="0"/>
                  <w:vAlign w:val="center"/>
                </w:tcPr>
                <w:p w14:paraId="08D30244">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间断排放，流量不稳地无规律</w:t>
                  </w:r>
                </w:p>
              </w:tc>
              <w:tc>
                <w:tcPr>
                  <w:tcW w:w="436" w:type="pct"/>
                  <w:tcBorders>
                    <w:top w:val="single" w:color="auto" w:sz="4" w:space="0"/>
                    <w:left w:val="single" w:color="auto" w:sz="4" w:space="0"/>
                    <w:bottom w:val="single" w:color="auto" w:sz="4" w:space="0"/>
                    <w:right w:val="single" w:color="auto" w:sz="4" w:space="0"/>
                  </w:tcBorders>
                  <w:noWrap w:val="0"/>
                  <w:vAlign w:val="center"/>
                </w:tcPr>
                <w:p w14:paraId="64AA0D56">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1#</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66183E5D">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污水处理站</w:t>
                  </w:r>
                </w:p>
              </w:tc>
              <w:tc>
                <w:tcPr>
                  <w:tcW w:w="474" w:type="pct"/>
                  <w:tcBorders>
                    <w:top w:val="single" w:color="auto" w:sz="4" w:space="0"/>
                    <w:left w:val="single" w:color="auto" w:sz="4" w:space="0"/>
                    <w:bottom w:val="single" w:color="auto" w:sz="4" w:space="0"/>
                    <w:right w:val="single" w:color="auto" w:sz="4" w:space="0"/>
                  </w:tcBorders>
                  <w:noWrap w:val="0"/>
                  <w:vAlign w:val="center"/>
                </w:tcPr>
                <w:p w14:paraId="1D291644">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w:t>
                  </w:r>
                  <w:r>
                    <w:rPr>
                      <w:rFonts w:hint="eastAsia" w:ascii="Times New Roman" w:hAnsi="Times New Roman"/>
                      <w:color w:val="auto"/>
                      <w:sz w:val="21"/>
                      <w:szCs w:val="21"/>
                      <w:lang w:val="en-US" w:eastAsia="zh-CN"/>
                    </w:rPr>
                    <w:t>调节池+厌氧水解+接触氧化+沉淀+次氯酸钠消毒</w:t>
                  </w:r>
                  <w:r>
                    <w:rPr>
                      <w:rFonts w:ascii="Times New Roman" w:hAnsi="Times New Roman"/>
                      <w:color w:val="auto"/>
                      <w:sz w:val="21"/>
                      <w:szCs w:val="21"/>
                    </w:rPr>
                    <w:t>”</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09B49653">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t>1#</w:t>
                  </w:r>
                </w:p>
              </w:tc>
              <w:tc>
                <w:tcPr>
                  <w:tcW w:w="460" w:type="pct"/>
                  <w:tcBorders>
                    <w:top w:val="single" w:color="auto" w:sz="4" w:space="0"/>
                    <w:left w:val="single" w:color="auto" w:sz="4" w:space="0"/>
                    <w:bottom w:val="single" w:color="auto" w:sz="4" w:space="0"/>
                    <w:right w:val="single" w:color="auto" w:sz="4" w:space="0"/>
                  </w:tcBorders>
                  <w:noWrap w:val="0"/>
                  <w:vAlign w:val="center"/>
                </w:tcPr>
                <w:p w14:paraId="2AFD437D">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sym w:font="Wingdings 2" w:char="0052"/>
                  </w:r>
                  <w:r>
                    <w:rPr>
                      <w:rFonts w:ascii="Times New Roman" w:hAnsi="Times New Roman"/>
                      <w:color w:val="auto"/>
                      <w:sz w:val="21"/>
                      <w:szCs w:val="21"/>
                    </w:rPr>
                    <w:t xml:space="preserve"> 是</w:t>
                  </w:r>
                </w:p>
                <w:p w14:paraId="4DC8217A">
                  <w:pPr>
                    <w:pStyle w:val="53"/>
                    <w:spacing w:line="240" w:lineRule="auto"/>
                    <w:ind w:firstLine="0"/>
                    <w:rPr>
                      <w:rFonts w:ascii="Times New Roman" w:hAnsi="Times New Roman"/>
                      <w:color w:val="auto"/>
                      <w:sz w:val="21"/>
                      <w:szCs w:val="21"/>
                    </w:rPr>
                  </w:pPr>
                  <w:r>
                    <w:rPr>
                      <w:rFonts w:ascii="Times New Roman" w:hAnsi="Times New Roman"/>
                      <w:color w:val="auto"/>
                      <w:sz w:val="21"/>
                      <w:szCs w:val="21"/>
                    </w:rPr>
                    <w:sym w:font="Wingdings 2" w:char="00A3"/>
                  </w:r>
                  <w:r>
                    <w:rPr>
                      <w:rFonts w:ascii="Times New Roman" w:hAnsi="Times New Roman"/>
                      <w:color w:val="auto"/>
                      <w:sz w:val="21"/>
                      <w:szCs w:val="21"/>
                    </w:rPr>
                    <w:t xml:space="preserve"> 否</w:t>
                  </w:r>
                </w:p>
                <w:p w14:paraId="23E25511">
                  <w:pPr>
                    <w:pStyle w:val="53"/>
                    <w:spacing w:line="240" w:lineRule="auto"/>
                    <w:ind w:firstLine="0"/>
                    <w:rPr>
                      <w:rFonts w:ascii="Times New Roman" w:hAnsi="Times New Roman"/>
                      <w:color w:val="auto"/>
                      <w:sz w:val="21"/>
                      <w:szCs w:val="21"/>
                    </w:rPr>
                  </w:pPr>
                </w:p>
              </w:tc>
              <w:tc>
                <w:tcPr>
                  <w:tcW w:w="866" w:type="pct"/>
                  <w:tcBorders>
                    <w:top w:val="single" w:color="auto" w:sz="4" w:space="0"/>
                    <w:left w:val="single" w:color="auto" w:sz="4" w:space="0"/>
                    <w:bottom w:val="single" w:color="auto" w:sz="4" w:space="0"/>
                    <w:right w:val="single" w:color="auto" w:sz="4" w:space="0"/>
                  </w:tcBorders>
                  <w:noWrap w:val="0"/>
                  <w:vAlign w:val="center"/>
                </w:tcPr>
                <w:p w14:paraId="2881E08C">
                  <w:pPr>
                    <w:pStyle w:val="53"/>
                    <w:spacing w:line="240" w:lineRule="auto"/>
                    <w:ind w:firstLine="0"/>
                    <w:jc w:val="both"/>
                    <w:rPr>
                      <w:rFonts w:ascii="Times New Roman" w:hAnsi="Times New Roman"/>
                      <w:color w:val="auto"/>
                      <w:sz w:val="21"/>
                      <w:szCs w:val="21"/>
                    </w:rPr>
                  </w:pPr>
                  <w:r>
                    <w:rPr>
                      <w:rFonts w:ascii="Times New Roman" w:hAnsi="Times New Roman"/>
                      <w:color w:val="auto"/>
                      <w:sz w:val="21"/>
                      <w:szCs w:val="21"/>
                    </w:rPr>
                    <w:sym w:font="Wingdings 2" w:char="0052"/>
                  </w:r>
                  <w:r>
                    <w:rPr>
                      <w:rFonts w:ascii="Times New Roman" w:hAnsi="Times New Roman"/>
                      <w:color w:val="auto"/>
                      <w:sz w:val="21"/>
                      <w:szCs w:val="21"/>
                    </w:rPr>
                    <w:t xml:space="preserve"> 企业总排</w:t>
                  </w:r>
                </w:p>
                <w:p w14:paraId="4F1200B8">
                  <w:pPr>
                    <w:pStyle w:val="53"/>
                    <w:spacing w:line="240" w:lineRule="auto"/>
                    <w:ind w:firstLine="0"/>
                    <w:jc w:val="both"/>
                    <w:rPr>
                      <w:rFonts w:ascii="Times New Roman" w:hAnsi="Times New Roman"/>
                      <w:color w:val="auto"/>
                      <w:sz w:val="21"/>
                      <w:szCs w:val="21"/>
                    </w:rPr>
                  </w:pPr>
                  <w:r>
                    <w:rPr>
                      <w:rFonts w:ascii="Times New Roman" w:hAnsi="Times New Roman"/>
                      <w:color w:val="auto"/>
                      <w:sz w:val="21"/>
                      <w:szCs w:val="21"/>
                    </w:rPr>
                    <w:sym w:font="Wingdings 2" w:char="00A3"/>
                  </w:r>
                  <w:r>
                    <w:rPr>
                      <w:rFonts w:ascii="Times New Roman" w:hAnsi="Times New Roman"/>
                      <w:color w:val="auto"/>
                      <w:sz w:val="21"/>
                      <w:szCs w:val="21"/>
                    </w:rPr>
                    <w:t xml:space="preserve"> 雨水排放</w:t>
                  </w:r>
                </w:p>
                <w:p w14:paraId="22746894">
                  <w:pPr>
                    <w:pStyle w:val="53"/>
                    <w:spacing w:line="240" w:lineRule="auto"/>
                    <w:ind w:firstLine="0"/>
                    <w:jc w:val="both"/>
                    <w:rPr>
                      <w:rFonts w:ascii="Times New Roman" w:hAnsi="Times New Roman"/>
                      <w:color w:val="auto"/>
                      <w:sz w:val="21"/>
                      <w:szCs w:val="21"/>
                    </w:rPr>
                  </w:pPr>
                  <w:r>
                    <w:rPr>
                      <w:rFonts w:ascii="Times New Roman" w:hAnsi="Times New Roman"/>
                      <w:color w:val="auto"/>
                      <w:sz w:val="21"/>
                      <w:szCs w:val="21"/>
                    </w:rPr>
                    <w:sym w:font="Wingdings 2" w:char="00A3"/>
                  </w:r>
                  <w:r>
                    <w:rPr>
                      <w:rFonts w:ascii="Times New Roman" w:hAnsi="Times New Roman"/>
                      <w:color w:val="auto"/>
                      <w:sz w:val="21"/>
                      <w:szCs w:val="21"/>
                    </w:rPr>
                    <w:t xml:space="preserve"> 清净下水排放</w:t>
                  </w:r>
                </w:p>
                <w:p w14:paraId="058DB42D">
                  <w:pPr>
                    <w:pStyle w:val="53"/>
                    <w:spacing w:line="240" w:lineRule="auto"/>
                    <w:ind w:firstLine="0"/>
                    <w:jc w:val="both"/>
                    <w:rPr>
                      <w:rFonts w:ascii="Times New Roman" w:hAnsi="Times New Roman"/>
                      <w:color w:val="auto"/>
                      <w:sz w:val="21"/>
                      <w:szCs w:val="21"/>
                    </w:rPr>
                  </w:pPr>
                  <w:r>
                    <w:rPr>
                      <w:rFonts w:ascii="Times New Roman" w:hAnsi="Times New Roman"/>
                      <w:color w:val="auto"/>
                      <w:sz w:val="21"/>
                      <w:szCs w:val="21"/>
                    </w:rPr>
                    <w:sym w:font="Wingdings 2" w:char="00A3"/>
                  </w:r>
                  <w:r>
                    <w:rPr>
                      <w:rFonts w:ascii="Times New Roman" w:hAnsi="Times New Roman"/>
                      <w:color w:val="auto"/>
                      <w:sz w:val="21"/>
                      <w:szCs w:val="21"/>
                    </w:rPr>
                    <w:t xml:space="preserve"> 温排水排放</w:t>
                  </w:r>
                </w:p>
                <w:p w14:paraId="086253E3">
                  <w:pPr>
                    <w:pStyle w:val="53"/>
                    <w:spacing w:line="240" w:lineRule="auto"/>
                    <w:ind w:firstLine="0"/>
                    <w:jc w:val="both"/>
                    <w:rPr>
                      <w:rFonts w:ascii="Times New Roman" w:hAnsi="Times New Roman"/>
                      <w:color w:val="auto"/>
                      <w:sz w:val="21"/>
                      <w:szCs w:val="21"/>
                    </w:rPr>
                  </w:pPr>
                  <w:r>
                    <w:rPr>
                      <w:rFonts w:ascii="Times New Roman" w:hAnsi="Times New Roman"/>
                      <w:color w:val="auto"/>
                      <w:sz w:val="21"/>
                      <w:szCs w:val="21"/>
                    </w:rPr>
                    <w:sym w:font="Wingdings 2" w:char="00A3"/>
                  </w:r>
                  <w:r>
                    <w:rPr>
                      <w:rFonts w:ascii="Times New Roman" w:hAnsi="Times New Roman"/>
                      <w:color w:val="auto"/>
                      <w:sz w:val="21"/>
                      <w:szCs w:val="21"/>
                    </w:rPr>
                    <w:t xml:space="preserve"> 车间或车间处理设施排放</w:t>
                  </w:r>
                </w:p>
              </w:tc>
            </w:tr>
          </w:tbl>
          <w:p w14:paraId="78E72D2F">
            <w:pPr>
              <w:pStyle w:val="54"/>
              <w:rPr>
                <w:b/>
                <w:color w:val="auto"/>
                <w:sz w:val="21"/>
                <w:szCs w:val="21"/>
              </w:rPr>
            </w:pPr>
            <w:r>
              <w:rPr>
                <w:b/>
                <w:color w:val="auto"/>
                <w:sz w:val="21"/>
                <w:szCs w:val="21"/>
              </w:rPr>
              <w:t>表4</w:t>
            </w:r>
            <w:r>
              <w:rPr>
                <w:rFonts w:hint="eastAsia"/>
                <w:b/>
                <w:color w:val="auto"/>
                <w:sz w:val="21"/>
                <w:szCs w:val="21"/>
                <w:lang w:val="en-US" w:eastAsia="zh-CN"/>
              </w:rPr>
              <w:t>.2</w:t>
            </w:r>
            <w:r>
              <w:rPr>
                <w:b/>
                <w:color w:val="auto"/>
                <w:sz w:val="21"/>
                <w:szCs w:val="21"/>
              </w:rPr>
              <w:t>-</w:t>
            </w:r>
            <w:r>
              <w:rPr>
                <w:rFonts w:hint="eastAsia"/>
                <w:b/>
                <w:color w:val="auto"/>
                <w:sz w:val="21"/>
                <w:szCs w:val="21"/>
              </w:rPr>
              <w:t>7</w:t>
            </w:r>
            <w:r>
              <w:rPr>
                <w:b/>
                <w:color w:val="auto"/>
                <w:sz w:val="21"/>
                <w:szCs w:val="21"/>
              </w:rPr>
              <w:t>废水间接排放口基本情况表</w:t>
            </w:r>
          </w:p>
          <w:tbl>
            <w:tblPr>
              <w:tblStyle w:val="25"/>
              <w:tblW w:w="85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6"/>
              <w:gridCol w:w="829"/>
              <w:gridCol w:w="1134"/>
              <w:gridCol w:w="1101"/>
              <w:gridCol w:w="783"/>
              <w:gridCol w:w="930"/>
              <w:gridCol w:w="600"/>
              <w:gridCol w:w="1304"/>
              <w:gridCol w:w="1109"/>
            </w:tblGrid>
            <w:tr w14:paraId="04D3D3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restart"/>
                  <w:tcBorders>
                    <w:top w:val="single" w:color="auto" w:sz="4" w:space="0"/>
                    <w:left w:val="single" w:color="auto" w:sz="4" w:space="0"/>
                    <w:bottom w:val="single" w:color="auto" w:sz="4" w:space="0"/>
                    <w:right w:val="single" w:color="auto" w:sz="4" w:space="0"/>
                  </w:tcBorders>
                  <w:noWrap w:val="0"/>
                  <w:vAlign w:val="center"/>
                </w:tcPr>
                <w:p w14:paraId="61D2E6F9">
                  <w:pPr>
                    <w:adjustRightInd w:val="0"/>
                    <w:snapToGrid w:val="0"/>
                    <w:jc w:val="center"/>
                    <w:rPr>
                      <w:b/>
                      <w:bCs/>
                      <w:color w:val="auto"/>
                      <w:sz w:val="18"/>
                      <w:szCs w:val="18"/>
                    </w:rPr>
                  </w:pPr>
                  <w:r>
                    <w:rPr>
                      <w:b/>
                      <w:bCs/>
                      <w:color w:val="auto"/>
                      <w:sz w:val="18"/>
                      <w:szCs w:val="18"/>
                    </w:rPr>
                    <w:t>排放口编号</w:t>
                  </w:r>
                </w:p>
              </w:tc>
              <w:tc>
                <w:tcPr>
                  <w:tcW w:w="1153" w:type="pct"/>
                  <w:gridSpan w:val="2"/>
                  <w:tcBorders>
                    <w:top w:val="single" w:color="auto" w:sz="4" w:space="0"/>
                    <w:left w:val="single" w:color="auto" w:sz="4" w:space="0"/>
                    <w:bottom w:val="single" w:color="auto" w:sz="4" w:space="0"/>
                    <w:right w:val="single" w:color="auto" w:sz="4" w:space="0"/>
                  </w:tcBorders>
                  <w:noWrap w:val="0"/>
                  <w:vAlign w:val="center"/>
                </w:tcPr>
                <w:p w14:paraId="0BE11E85">
                  <w:pPr>
                    <w:adjustRightInd w:val="0"/>
                    <w:snapToGrid w:val="0"/>
                    <w:jc w:val="center"/>
                    <w:rPr>
                      <w:b/>
                      <w:bCs/>
                      <w:color w:val="auto"/>
                      <w:sz w:val="18"/>
                      <w:szCs w:val="18"/>
                    </w:rPr>
                  </w:pPr>
                  <w:r>
                    <w:rPr>
                      <w:b/>
                      <w:bCs/>
                      <w:color w:val="auto"/>
                      <w:sz w:val="18"/>
                      <w:szCs w:val="18"/>
                    </w:rPr>
                    <w:t>排放口地理坐标</w:t>
                  </w:r>
                </w:p>
              </w:tc>
              <w:tc>
                <w:tcPr>
                  <w:tcW w:w="647" w:type="pct"/>
                  <w:vMerge w:val="restart"/>
                  <w:tcBorders>
                    <w:top w:val="single" w:color="auto" w:sz="4" w:space="0"/>
                    <w:left w:val="single" w:color="auto" w:sz="4" w:space="0"/>
                    <w:bottom w:val="single" w:color="auto" w:sz="4" w:space="0"/>
                    <w:right w:val="single" w:color="auto" w:sz="4" w:space="0"/>
                  </w:tcBorders>
                  <w:noWrap w:val="0"/>
                  <w:vAlign w:val="center"/>
                </w:tcPr>
                <w:p w14:paraId="70A58E90">
                  <w:pPr>
                    <w:adjustRightInd w:val="0"/>
                    <w:snapToGrid w:val="0"/>
                    <w:jc w:val="center"/>
                    <w:rPr>
                      <w:b/>
                      <w:bCs/>
                      <w:color w:val="auto"/>
                      <w:sz w:val="18"/>
                      <w:szCs w:val="18"/>
                    </w:rPr>
                  </w:pPr>
                  <w:r>
                    <w:rPr>
                      <w:b/>
                      <w:bCs/>
                      <w:color w:val="auto"/>
                      <w:sz w:val="18"/>
                      <w:szCs w:val="18"/>
                    </w:rPr>
                    <w:t>废水排放量（万t/a）</w:t>
                  </w:r>
                </w:p>
              </w:tc>
              <w:tc>
                <w:tcPr>
                  <w:tcW w:w="460" w:type="pct"/>
                  <w:vMerge w:val="restart"/>
                  <w:tcBorders>
                    <w:top w:val="single" w:color="auto" w:sz="4" w:space="0"/>
                    <w:left w:val="single" w:color="auto" w:sz="4" w:space="0"/>
                    <w:bottom w:val="single" w:color="auto" w:sz="4" w:space="0"/>
                    <w:right w:val="single" w:color="auto" w:sz="4" w:space="0"/>
                  </w:tcBorders>
                  <w:noWrap w:val="0"/>
                  <w:vAlign w:val="center"/>
                </w:tcPr>
                <w:p w14:paraId="26A4036E">
                  <w:pPr>
                    <w:adjustRightInd w:val="0"/>
                    <w:snapToGrid w:val="0"/>
                    <w:jc w:val="center"/>
                    <w:rPr>
                      <w:b/>
                      <w:bCs/>
                      <w:color w:val="auto"/>
                      <w:sz w:val="18"/>
                      <w:szCs w:val="18"/>
                    </w:rPr>
                  </w:pPr>
                  <w:r>
                    <w:rPr>
                      <w:b/>
                      <w:bCs/>
                      <w:color w:val="auto"/>
                      <w:sz w:val="18"/>
                      <w:szCs w:val="18"/>
                    </w:rPr>
                    <w:t>排放去向</w:t>
                  </w:r>
                </w:p>
              </w:tc>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14:paraId="61910ED3">
                  <w:pPr>
                    <w:adjustRightInd w:val="0"/>
                    <w:snapToGrid w:val="0"/>
                    <w:jc w:val="center"/>
                    <w:rPr>
                      <w:b/>
                      <w:bCs/>
                      <w:color w:val="auto"/>
                      <w:sz w:val="18"/>
                      <w:szCs w:val="18"/>
                    </w:rPr>
                  </w:pPr>
                  <w:r>
                    <w:rPr>
                      <w:b/>
                      <w:bCs/>
                      <w:color w:val="auto"/>
                      <w:sz w:val="18"/>
                      <w:szCs w:val="18"/>
                    </w:rPr>
                    <w:t>排放规律</w:t>
                  </w:r>
                </w:p>
              </w:tc>
              <w:tc>
                <w:tcPr>
                  <w:tcW w:w="1771" w:type="pct"/>
                  <w:gridSpan w:val="3"/>
                  <w:tcBorders>
                    <w:top w:val="single" w:color="auto" w:sz="4" w:space="0"/>
                    <w:left w:val="single" w:color="auto" w:sz="4" w:space="0"/>
                    <w:bottom w:val="single" w:color="auto" w:sz="4" w:space="0"/>
                    <w:right w:val="single" w:color="auto" w:sz="4" w:space="0"/>
                  </w:tcBorders>
                  <w:noWrap w:val="0"/>
                  <w:vAlign w:val="center"/>
                </w:tcPr>
                <w:p w14:paraId="618DFB13">
                  <w:pPr>
                    <w:adjustRightInd w:val="0"/>
                    <w:snapToGrid w:val="0"/>
                    <w:jc w:val="center"/>
                    <w:rPr>
                      <w:b/>
                      <w:bCs/>
                      <w:color w:val="auto"/>
                      <w:sz w:val="18"/>
                      <w:szCs w:val="18"/>
                    </w:rPr>
                  </w:pPr>
                  <w:r>
                    <w:rPr>
                      <w:b/>
                      <w:bCs/>
                      <w:color w:val="auto"/>
                      <w:sz w:val="18"/>
                      <w:szCs w:val="18"/>
                    </w:rPr>
                    <w:t>污水处理厂信息</w:t>
                  </w:r>
                </w:p>
              </w:tc>
            </w:tr>
            <w:tr w14:paraId="0E2C24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1F4727C5">
                  <w:pPr>
                    <w:adjustRightInd w:val="0"/>
                    <w:snapToGrid w:val="0"/>
                    <w:jc w:val="center"/>
                    <w:rPr>
                      <w:b/>
                      <w:bCs/>
                      <w:color w:val="auto"/>
                      <w:sz w:val="18"/>
                      <w:szCs w:val="18"/>
                    </w:rPr>
                  </w:pPr>
                </w:p>
              </w:tc>
              <w:tc>
                <w:tcPr>
                  <w:tcW w:w="487" w:type="pct"/>
                  <w:tcBorders>
                    <w:top w:val="single" w:color="auto" w:sz="4" w:space="0"/>
                    <w:left w:val="single" w:color="auto" w:sz="4" w:space="0"/>
                    <w:bottom w:val="single" w:color="auto" w:sz="4" w:space="0"/>
                    <w:right w:val="single" w:color="auto" w:sz="4" w:space="0"/>
                  </w:tcBorders>
                  <w:noWrap w:val="0"/>
                  <w:vAlign w:val="center"/>
                </w:tcPr>
                <w:p w14:paraId="65B6B3D3">
                  <w:pPr>
                    <w:adjustRightInd w:val="0"/>
                    <w:snapToGrid w:val="0"/>
                    <w:jc w:val="center"/>
                    <w:rPr>
                      <w:b/>
                      <w:bCs/>
                      <w:color w:val="auto"/>
                      <w:sz w:val="18"/>
                      <w:szCs w:val="18"/>
                    </w:rPr>
                  </w:pPr>
                  <w:r>
                    <w:rPr>
                      <w:b/>
                      <w:bCs/>
                      <w:color w:val="auto"/>
                      <w:sz w:val="18"/>
                      <w:szCs w:val="18"/>
                    </w:rPr>
                    <w:t>经度</w:t>
                  </w:r>
                </w:p>
              </w:tc>
              <w:tc>
                <w:tcPr>
                  <w:tcW w:w="666" w:type="pct"/>
                  <w:tcBorders>
                    <w:top w:val="single" w:color="auto" w:sz="4" w:space="0"/>
                    <w:left w:val="single" w:color="auto" w:sz="4" w:space="0"/>
                    <w:bottom w:val="single" w:color="auto" w:sz="4" w:space="0"/>
                    <w:right w:val="single" w:color="auto" w:sz="4" w:space="0"/>
                  </w:tcBorders>
                  <w:noWrap w:val="0"/>
                  <w:vAlign w:val="center"/>
                </w:tcPr>
                <w:p w14:paraId="083D4E52">
                  <w:pPr>
                    <w:adjustRightInd w:val="0"/>
                    <w:snapToGrid w:val="0"/>
                    <w:jc w:val="center"/>
                    <w:rPr>
                      <w:b/>
                      <w:bCs/>
                      <w:color w:val="auto"/>
                      <w:sz w:val="18"/>
                      <w:szCs w:val="18"/>
                    </w:rPr>
                  </w:pPr>
                  <w:r>
                    <w:rPr>
                      <w:b/>
                      <w:bCs/>
                      <w:color w:val="auto"/>
                      <w:sz w:val="18"/>
                      <w:szCs w:val="18"/>
                    </w:rPr>
                    <w:t>纬度</w:t>
                  </w: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137F99C9">
                  <w:pPr>
                    <w:adjustRightInd w:val="0"/>
                    <w:snapToGrid w:val="0"/>
                    <w:jc w:val="center"/>
                    <w:rPr>
                      <w:b/>
                      <w:bCs/>
                      <w:color w:val="auto"/>
                      <w:sz w:val="18"/>
                      <w:szCs w:val="18"/>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7179416C">
                  <w:pPr>
                    <w:adjustRightInd w:val="0"/>
                    <w:snapToGrid w:val="0"/>
                    <w:jc w:val="center"/>
                    <w:rPr>
                      <w:b/>
                      <w:bCs/>
                      <w:color w:val="auto"/>
                      <w:sz w:val="18"/>
                      <w:szCs w:val="18"/>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13187814">
                  <w:pPr>
                    <w:adjustRightInd w:val="0"/>
                    <w:snapToGrid w:val="0"/>
                    <w:jc w:val="center"/>
                    <w:rPr>
                      <w:b/>
                      <w:bCs/>
                      <w:color w:val="auto"/>
                      <w:sz w:val="18"/>
                      <w:szCs w:val="18"/>
                    </w:rPr>
                  </w:pPr>
                </w:p>
              </w:tc>
              <w:tc>
                <w:tcPr>
                  <w:tcW w:w="352" w:type="pct"/>
                  <w:tcBorders>
                    <w:top w:val="single" w:color="auto" w:sz="4" w:space="0"/>
                    <w:left w:val="single" w:color="auto" w:sz="4" w:space="0"/>
                    <w:bottom w:val="single" w:color="auto" w:sz="4" w:space="0"/>
                    <w:right w:val="single" w:color="auto" w:sz="4" w:space="0"/>
                  </w:tcBorders>
                  <w:noWrap w:val="0"/>
                  <w:vAlign w:val="center"/>
                </w:tcPr>
                <w:p w14:paraId="0E8225C9">
                  <w:pPr>
                    <w:adjustRightInd w:val="0"/>
                    <w:snapToGrid w:val="0"/>
                    <w:jc w:val="center"/>
                    <w:rPr>
                      <w:b/>
                      <w:bCs/>
                      <w:color w:val="auto"/>
                      <w:sz w:val="18"/>
                      <w:szCs w:val="18"/>
                    </w:rPr>
                  </w:pPr>
                  <w:r>
                    <w:rPr>
                      <w:b/>
                      <w:bCs/>
                      <w:color w:val="auto"/>
                      <w:sz w:val="18"/>
                      <w:szCs w:val="18"/>
                    </w:rPr>
                    <w:t>名称</w:t>
                  </w:r>
                </w:p>
              </w:tc>
              <w:tc>
                <w:tcPr>
                  <w:tcW w:w="766" w:type="pct"/>
                  <w:tcBorders>
                    <w:top w:val="single" w:color="auto" w:sz="4" w:space="0"/>
                    <w:left w:val="single" w:color="auto" w:sz="4" w:space="0"/>
                    <w:bottom w:val="single" w:color="auto" w:sz="4" w:space="0"/>
                    <w:right w:val="single" w:color="auto" w:sz="4" w:space="0"/>
                  </w:tcBorders>
                  <w:noWrap w:val="0"/>
                  <w:vAlign w:val="center"/>
                </w:tcPr>
                <w:p w14:paraId="6AF86B97">
                  <w:pPr>
                    <w:adjustRightInd w:val="0"/>
                    <w:snapToGrid w:val="0"/>
                    <w:jc w:val="center"/>
                    <w:rPr>
                      <w:b/>
                      <w:bCs/>
                      <w:color w:val="auto"/>
                      <w:sz w:val="18"/>
                      <w:szCs w:val="18"/>
                    </w:rPr>
                  </w:pPr>
                  <w:r>
                    <w:rPr>
                      <w:b/>
                      <w:bCs/>
                      <w:color w:val="auto"/>
                      <w:sz w:val="18"/>
                      <w:szCs w:val="18"/>
                    </w:rPr>
                    <w:t>污染物种类</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62F0E012">
                  <w:pPr>
                    <w:adjustRightInd w:val="0"/>
                    <w:snapToGrid w:val="0"/>
                    <w:jc w:val="center"/>
                    <w:rPr>
                      <w:b/>
                      <w:bCs/>
                      <w:color w:val="auto"/>
                      <w:sz w:val="18"/>
                      <w:szCs w:val="18"/>
                    </w:rPr>
                  </w:pPr>
                  <w:r>
                    <w:rPr>
                      <w:b/>
                      <w:bCs/>
                      <w:color w:val="auto"/>
                      <w:sz w:val="18"/>
                      <w:szCs w:val="18"/>
                    </w:rPr>
                    <w:t>排放标准浓度限值（mg/L）</w:t>
                  </w:r>
                </w:p>
              </w:tc>
            </w:tr>
            <w:tr w14:paraId="7B93C1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restart"/>
                  <w:tcBorders>
                    <w:top w:val="single" w:color="auto" w:sz="4" w:space="0"/>
                    <w:left w:val="single" w:color="auto" w:sz="4" w:space="0"/>
                    <w:bottom w:val="single" w:color="auto" w:sz="4" w:space="0"/>
                    <w:right w:val="single" w:color="auto" w:sz="4" w:space="0"/>
                  </w:tcBorders>
                  <w:noWrap w:val="0"/>
                  <w:vAlign w:val="center"/>
                </w:tcPr>
                <w:p w14:paraId="5327AC32">
                  <w:pPr>
                    <w:adjustRightInd w:val="0"/>
                    <w:snapToGrid w:val="0"/>
                    <w:jc w:val="center"/>
                    <w:rPr>
                      <w:color w:val="auto"/>
                      <w:szCs w:val="21"/>
                    </w:rPr>
                  </w:pPr>
                  <w:r>
                    <w:rPr>
                      <w:color w:val="auto"/>
                      <w:szCs w:val="21"/>
                    </w:rPr>
                    <w:t>1#</w:t>
                  </w:r>
                </w:p>
              </w:tc>
              <w:tc>
                <w:tcPr>
                  <w:tcW w:w="487" w:type="pct"/>
                  <w:vMerge w:val="restart"/>
                  <w:tcBorders>
                    <w:top w:val="single" w:color="auto" w:sz="4" w:space="0"/>
                    <w:left w:val="single" w:color="auto" w:sz="4" w:space="0"/>
                    <w:bottom w:val="single" w:color="auto" w:sz="4" w:space="0"/>
                    <w:right w:val="single" w:color="auto" w:sz="4" w:space="0"/>
                  </w:tcBorders>
                  <w:noWrap w:val="0"/>
                  <w:vAlign w:val="center"/>
                </w:tcPr>
                <w:p w14:paraId="13FAB1C1">
                  <w:pPr>
                    <w:adjustRightInd w:val="0"/>
                    <w:snapToGrid w:val="0"/>
                    <w:jc w:val="center"/>
                    <w:rPr>
                      <w:color w:val="auto"/>
                      <w:szCs w:val="21"/>
                    </w:rPr>
                  </w:pPr>
                  <w:r>
                    <w:rPr>
                      <w:color w:val="auto"/>
                      <w:szCs w:val="21"/>
                    </w:rPr>
                    <w:t>106°</w:t>
                  </w:r>
                  <w:r>
                    <w:rPr>
                      <w:rFonts w:hint="eastAsia"/>
                      <w:color w:val="auto"/>
                      <w:szCs w:val="21"/>
                      <w:lang w:val="en-US" w:eastAsia="zh-CN"/>
                    </w:rPr>
                    <w:t>28</w:t>
                  </w:r>
                  <w:r>
                    <w:rPr>
                      <w:color w:val="auto"/>
                      <w:szCs w:val="21"/>
                    </w:rPr>
                    <w:t>'</w:t>
                  </w:r>
                  <w:r>
                    <w:rPr>
                      <w:rFonts w:hint="eastAsia"/>
                      <w:color w:val="auto"/>
                      <w:szCs w:val="21"/>
                      <w:lang w:val="en-US" w:eastAsia="zh-CN"/>
                    </w:rPr>
                    <w:t>19.77</w:t>
                  </w:r>
                  <w:r>
                    <w:rPr>
                      <w:color w:val="auto"/>
                      <w:szCs w:val="21"/>
                    </w:rPr>
                    <w:t>"</w:t>
                  </w:r>
                </w:p>
              </w:tc>
              <w:tc>
                <w:tcPr>
                  <w:tcW w:w="666" w:type="pct"/>
                  <w:vMerge w:val="restart"/>
                  <w:tcBorders>
                    <w:top w:val="single" w:color="auto" w:sz="4" w:space="0"/>
                    <w:left w:val="single" w:color="auto" w:sz="4" w:space="0"/>
                    <w:bottom w:val="single" w:color="auto" w:sz="4" w:space="0"/>
                    <w:right w:val="single" w:color="auto" w:sz="4" w:space="0"/>
                  </w:tcBorders>
                  <w:noWrap w:val="0"/>
                  <w:vAlign w:val="center"/>
                </w:tcPr>
                <w:p w14:paraId="0F0DE65D">
                  <w:pPr>
                    <w:adjustRightInd w:val="0"/>
                    <w:snapToGrid w:val="0"/>
                    <w:jc w:val="center"/>
                    <w:rPr>
                      <w:color w:val="auto"/>
                      <w:szCs w:val="21"/>
                    </w:rPr>
                  </w:pPr>
                  <w:r>
                    <w:rPr>
                      <w:color w:val="auto"/>
                      <w:szCs w:val="21"/>
                    </w:rPr>
                    <w:t>29°</w:t>
                  </w:r>
                  <w:r>
                    <w:rPr>
                      <w:rFonts w:hint="eastAsia"/>
                      <w:color w:val="auto"/>
                      <w:szCs w:val="21"/>
                      <w:lang w:val="en-US" w:eastAsia="zh-CN"/>
                    </w:rPr>
                    <w:t>31</w:t>
                  </w:r>
                  <w:r>
                    <w:rPr>
                      <w:color w:val="auto"/>
                      <w:szCs w:val="21"/>
                    </w:rPr>
                    <w:t>'</w:t>
                  </w:r>
                  <w:r>
                    <w:rPr>
                      <w:rFonts w:hint="eastAsia"/>
                      <w:color w:val="auto"/>
                      <w:szCs w:val="21"/>
                      <w:lang w:val="en-US" w:eastAsia="zh-CN"/>
                    </w:rPr>
                    <w:t>33.87</w:t>
                  </w:r>
                  <w:r>
                    <w:rPr>
                      <w:color w:val="auto"/>
                      <w:szCs w:val="21"/>
                    </w:rPr>
                    <w:t>"</w:t>
                  </w:r>
                </w:p>
              </w:tc>
              <w:tc>
                <w:tcPr>
                  <w:tcW w:w="647" w:type="pct"/>
                  <w:vMerge w:val="restart"/>
                  <w:tcBorders>
                    <w:top w:val="single" w:color="auto" w:sz="4" w:space="0"/>
                    <w:left w:val="single" w:color="auto" w:sz="4" w:space="0"/>
                    <w:bottom w:val="single" w:color="auto" w:sz="4" w:space="0"/>
                    <w:right w:val="single" w:color="auto" w:sz="4" w:space="0"/>
                  </w:tcBorders>
                  <w:noWrap w:val="0"/>
                  <w:vAlign w:val="center"/>
                </w:tcPr>
                <w:p w14:paraId="0FF0E632">
                  <w:pPr>
                    <w:adjustRightInd w:val="0"/>
                    <w:snapToGrid w:val="0"/>
                    <w:jc w:val="center"/>
                    <w:rPr>
                      <w:rFonts w:hint="default"/>
                      <w:color w:val="auto"/>
                      <w:szCs w:val="21"/>
                      <w:lang w:val="en-US"/>
                    </w:rPr>
                  </w:pPr>
                  <w:r>
                    <w:rPr>
                      <w:rFonts w:hint="eastAsia"/>
                      <w:color w:val="auto"/>
                      <w:kern w:val="0"/>
                      <w:szCs w:val="21"/>
                      <w:highlight w:val="none"/>
                      <w:lang w:val="en-US" w:eastAsia="zh-CN"/>
                    </w:rPr>
                    <w:t>1.0874</w:t>
                  </w:r>
                </w:p>
              </w:tc>
              <w:tc>
                <w:tcPr>
                  <w:tcW w:w="460" w:type="pct"/>
                  <w:vMerge w:val="restart"/>
                  <w:tcBorders>
                    <w:top w:val="single" w:color="auto" w:sz="4" w:space="0"/>
                    <w:left w:val="single" w:color="auto" w:sz="4" w:space="0"/>
                    <w:bottom w:val="single" w:color="auto" w:sz="4" w:space="0"/>
                    <w:right w:val="single" w:color="auto" w:sz="4" w:space="0"/>
                  </w:tcBorders>
                  <w:noWrap w:val="0"/>
                  <w:vAlign w:val="center"/>
                </w:tcPr>
                <w:p w14:paraId="6FB98CD7">
                  <w:pPr>
                    <w:adjustRightInd w:val="0"/>
                    <w:snapToGrid w:val="0"/>
                    <w:jc w:val="center"/>
                    <w:rPr>
                      <w:color w:val="auto"/>
                      <w:szCs w:val="21"/>
                    </w:rPr>
                  </w:pPr>
                  <w:r>
                    <w:rPr>
                      <w:color w:val="auto"/>
                      <w:szCs w:val="21"/>
                    </w:rPr>
                    <w:t>市政管网</w:t>
                  </w:r>
                </w:p>
              </w:tc>
              <w:tc>
                <w:tcPr>
                  <w:tcW w:w="546" w:type="pct"/>
                  <w:vMerge w:val="restart"/>
                  <w:tcBorders>
                    <w:top w:val="single" w:color="auto" w:sz="4" w:space="0"/>
                    <w:left w:val="single" w:color="auto" w:sz="4" w:space="0"/>
                    <w:bottom w:val="single" w:color="auto" w:sz="4" w:space="0"/>
                    <w:right w:val="single" w:color="auto" w:sz="4" w:space="0"/>
                  </w:tcBorders>
                  <w:noWrap w:val="0"/>
                  <w:vAlign w:val="center"/>
                </w:tcPr>
                <w:p w14:paraId="11F3229A">
                  <w:pPr>
                    <w:adjustRightInd w:val="0"/>
                    <w:snapToGrid w:val="0"/>
                    <w:jc w:val="center"/>
                    <w:rPr>
                      <w:color w:val="auto"/>
                      <w:szCs w:val="21"/>
                    </w:rPr>
                  </w:pPr>
                  <w:r>
                    <w:rPr>
                      <w:color w:val="auto"/>
                      <w:szCs w:val="21"/>
                    </w:rPr>
                    <w:t>间断排放，流量不稳地无规律</w:t>
                  </w:r>
                </w:p>
              </w:tc>
              <w:tc>
                <w:tcPr>
                  <w:tcW w:w="352" w:type="pct"/>
                  <w:vMerge w:val="restart"/>
                  <w:tcBorders>
                    <w:top w:val="single" w:color="auto" w:sz="4" w:space="0"/>
                    <w:left w:val="single" w:color="auto" w:sz="4" w:space="0"/>
                    <w:bottom w:val="single" w:color="auto" w:sz="4" w:space="0"/>
                    <w:right w:val="single" w:color="auto" w:sz="4" w:space="0"/>
                  </w:tcBorders>
                  <w:noWrap w:val="0"/>
                  <w:vAlign w:val="center"/>
                </w:tcPr>
                <w:p w14:paraId="69245E30">
                  <w:pPr>
                    <w:adjustRightInd w:val="0"/>
                    <w:snapToGrid w:val="0"/>
                    <w:jc w:val="center"/>
                    <w:rPr>
                      <w:rFonts w:hint="eastAsia" w:eastAsia="宋体"/>
                      <w:color w:val="auto"/>
                      <w:szCs w:val="21"/>
                      <w:lang w:eastAsia="zh-CN"/>
                    </w:rPr>
                  </w:pPr>
                  <w:r>
                    <w:rPr>
                      <w:rFonts w:hint="eastAsia"/>
                      <w:color w:val="auto"/>
                      <w:szCs w:val="21"/>
                      <w:lang w:eastAsia="zh-CN"/>
                    </w:rPr>
                    <w:t>鸡冠石污水处理厂</w:t>
                  </w:r>
                </w:p>
              </w:tc>
              <w:tc>
                <w:tcPr>
                  <w:tcW w:w="766" w:type="pct"/>
                  <w:tcBorders>
                    <w:top w:val="single" w:color="auto" w:sz="4" w:space="0"/>
                    <w:left w:val="single" w:color="auto" w:sz="4" w:space="0"/>
                    <w:bottom w:val="single" w:color="auto" w:sz="4" w:space="0"/>
                    <w:right w:val="single" w:color="auto" w:sz="4" w:space="0"/>
                  </w:tcBorders>
                  <w:noWrap w:val="0"/>
                  <w:vAlign w:val="center"/>
                </w:tcPr>
                <w:p w14:paraId="3218F279">
                  <w:pPr>
                    <w:adjustRightInd w:val="0"/>
                    <w:snapToGrid w:val="0"/>
                    <w:jc w:val="center"/>
                    <w:rPr>
                      <w:color w:val="auto"/>
                      <w:szCs w:val="21"/>
                    </w:rPr>
                  </w:pPr>
                  <w:r>
                    <w:rPr>
                      <w:color w:val="auto"/>
                      <w:szCs w:val="21"/>
                    </w:rPr>
                    <w:t>COD</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4E1C76FA">
                  <w:pPr>
                    <w:adjustRightInd w:val="0"/>
                    <w:snapToGrid w:val="0"/>
                    <w:jc w:val="center"/>
                    <w:rPr>
                      <w:color w:val="auto"/>
                      <w:szCs w:val="21"/>
                    </w:rPr>
                  </w:pPr>
                  <w:r>
                    <w:rPr>
                      <w:color w:val="auto"/>
                      <w:szCs w:val="21"/>
                    </w:rPr>
                    <w:t>50</w:t>
                  </w:r>
                </w:p>
              </w:tc>
            </w:tr>
            <w:tr w14:paraId="752B8A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1F5C9033">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719BB285">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335D7171">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5572ABC4">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328A547F">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1D0A98AE">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2F495E3B">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47361C40">
                  <w:pPr>
                    <w:adjustRightInd w:val="0"/>
                    <w:snapToGrid w:val="0"/>
                    <w:jc w:val="center"/>
                    <w:rPr>
                      <w:color w:val="auto"/>
                      <w:szCs w:val="21"/>
                    </w:rPr>
                  </w:pPr>
                  <w:r>
                    <w:rPr>
                      <w:color w:val="auto"/>
                      <w:szCs w:val="21"/>
                    </w:rPr>
                    <w:t>BOD</w:t>
                  </w:r>
                  <w:r>
                    <w:rPr>
                      <w:color w:val="auto"/>
                      <w:szCs w:val="21"/>
                      <w:vertAlign w:val="subscript"/>
                    </w:rPr>
                    <w:t>5</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1ED04CF2">
                  <w:pPr>
                    <w:adjustRightInd w:val="0"/>
                    <w:snapToGrid w:val="0"/>
                    <w:jc w:val="center"/>
                    <w:rPr>
                      <w:color w:val="auto"/>
                      <w:szCs w:val="21"/>
                    </w:rPr>
                  </w:pPr>
                  <w:r>
                    <w:rPr>
                      <w:color w:val="auto"/>
                      <w:szCs w:val="21"/>
                    </w:rPr>
                    <w:t>10</w:t>
                  </w:r>
                </w:p>
              </w:tc>
            </w:tr>
            <w:tr w14:paraId="0291E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32776328">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5A5E9BB9">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62895FCB">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2A6BD531">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13CA0EDC">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1295AEAD">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0C0E8319">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4FE71F91">
                  <w:pPr>
                    <w:adjustRightInd w:val="0"/>
                    <w:snapToGrid w:val="0"/>
                    <w:jc w:val="center"/>
                    <w:rPr>
                      <w:color w:val="auto"/>
                      <w:szCs w:val="21"/>
                    </w:rPr>
                  </w:pPr>
                  <w:r>
                    <w:rPr>
                      <w:color w:val="auto"/>
                      <w:szCs w:val="21"/>
                    </w:rPr>
                    <w:t>SS</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6F5920CE">
                  <w:pPr>
                    <w:adjustRightInd w:val="0"/>
                    <w:snapToGrid w:val="0"/>
                    <w:jc w:val="center"/>
                    <w:rPr>
                      <w:color w:val="auto"/>
                      <w:szCs w:val="21"/>
                    </w:rPr>
                  </w:pPr>
                  <w:r>
                    <w:rPr>
                      <w:color w:val="auto"/>
                      <w:szCs w:val="21"/>
                    </w:rPr>
                    <w:t>10</w:t>
                  </w:r>
                </w:p>
              </w:tc>
            </w:tr>
            <w:tr w14:paraId="1F4D9B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112F26C5">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7DA8B7B0">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41174F63">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1B37A404">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4DC564FD">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121D531A">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554E9DBC">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399C71A6">
                  <w:pPr>
                    <w:adjustRightInd w:val="0"/>
                    <w:snapToGrid w:val="0"/>
                    <w:jc w:val="center"/>
                    <w:rPr>
                      <w:color w:val="auto"/>
                      <w:szCs w:val="21"/>
                    </w:rPr>
                  </w:pPr>
                  <w:r>
                    <w:rPr>
                      <w:color w:val="auto"/>
                      <w:szCs w:val="21"/>
                    </w:rPr>
                    <w:t>氨氮</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443B649B">
                  <w:pPr>
                    <w:adjustRightInd w:val="0"/>
                    <w:snapToGrid w:val="0"/>
                    <w:jc w:val="center"/>
                    <w:rPr>
                      <w:color w:val="auto"/>
                      <w:szCs w:val="21"/>
                    </w:rPr>
                  </w:pPr>
                  <w:r>
                    <w:rPr>
                      <w:color w:val="auto"/>
                      <w:szCs w:val="21"/>
                    </w:rPr>
                    <w:t>5</w:t>
                  </w:r>
                </w:p>
              </w:tc>
            </w:tr>
            <w:tr w14:paraId="38619A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2B5BAA55">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47D4AA18">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6483B5DF">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519D659C">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4C4960D7">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5382EAEB">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55E644A2">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63C01AC9">
                  <w:pPr>
                    <w:adjustRightInd w:val="0"/>
                    <w:snapToGrid w:val="0"/>
                    <w:jc w:val="center"/>
                    <w:rPr>
                      <w:color w:val="auto"/>
                      <w:szCs w:val="21"/>
                    </w:rPr>
                  </w:pPr>
                  <w:r>
                    <w:rPr>
                      <w:color w:val="auto"/>
                      <w:szCs w:val="21"/>
                    </w:rPr>
                    <w:t>动植物油</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42AFCB66">
                  <w:pPr>
                    <w:adjustRightInd w:val="0"/>
                    <w:snapToGrid w:val="0"/>
                    <w:jc w:val="center"/>
                    <w:rPr>
                      <w:color w:val="auto"/>
                      <w:szCs w:val="21"/>
                    </w:rPr>
                  </w:pPr>
                  <w:r>
                    <w:rPr>
                      <w:color w:val="auto"/>
                      <w:szCs w:val="21"/>
                    </w:rPr>
                    <w:t>1</w:t>
                  </w:r>
                </w:p>
              </w:tc>
            </w:tr>
            <w:tr w14:paraId="1CD5C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11710226">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1408CE55">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16222C6D">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2E01E0CE">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4C00656C">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62AB5972">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4C7E9642">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2F093D17">
                  <w:pPr>
                    <w:adjustRightInd w:val="0"/>
                    <w:snapToGrid w:val="0"/>
                    <w:jc w:val="center"/>
                    <w:rPr>
                      <w:color w:val="auto"/>
                      <w:szCs w:val="21"/>
                    </w:rPr>
                  </w:pPr>
                  <w:r>
                    <w:rPr>
                      <w:color w:val="auto"/>
                      <w:szCs w:val="21"/>
                    </w:rPr>
                    <w:t>粪大肠杆菌</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079ECAB2">
                  <w:pPr>
                    <w:adjustRightInd w:val="0"/>
                    <w:snapToGrid w:val="0"/>
                    <w:jc w:val="center"/>
                    <w:rPr>
                      <w:color w:val="auto"/>
                      <w:szCs w:val="21"/>
                    </w:rPr>
                  </w:pPr>
                  <w:r>
                    <w:rPr>
                      <w:color w:val="auto"/>
                      <w:szCs w:val="21"/>
                    </w:rPr>
                    <w:t>1000个/L</w:t>
                  </w:r>
                </w:p>
              </w:tc>
            </w:tr>
            <w:tr w14:paraId="63FD8E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420" w:type="pct"/>
                  <w:vMerge w:val="continue"/>
                  <w:tcBorders>
                    <w:top w:val="single" w:color="auto" w:sz="4" w:space="0"/>
                    <w:left w:val="single" w:color="auto" w:sz="4" w:space="0"/>
                    <w:bottom w:val="single" w:color="auto" w:sz="4" w:space="0"/>
                    <w:right w:val="single" w:color="auto" w:sz="4" w:space="0"/>
                  </w:tcBorders>
                  <w:noWrap w:val="0"/>
                  <w:vAlign w:val="center"/>
                </w:tcPr>
                <w:p w14:paraId="65092158">
                  <w:pPr>
                    <w:adjustRightInd w:val="0"/>
                    <w:snapToGrid w:val="0"/>
                    <w:jc w:val="center"/>
                    <w:rPr>
                      <w:color w:val="auto"/>
                      <w:szCs w:val="21"/>
                    </w:rPr>
                  </w:pPr>
                </w:p>
              </w:tc>
              <w:tc>
                <w:tcPr>
                  <w:tcW w:w="487" w:type="pct"/>
                  <w:vMerge w:val="continue"/>
                  <w:tcBorders>
                    <w:top w:val="single" w:color="auto" w:sz="4" w:space="0"/>
                    <w:left w:val="single" w:color="auto" w:sz="4" w:space="0"/>
                    <w:bottom w:val="single" w:color="auto" w:sz="4" w:space="0"/>
                    <w:right w:val="single" w:color="auto" w:sz="4" w:space="0"/>
                  </w:tcBorders>
                  <w:noWrap w:val="0"/>
                  <w:vAlign w:val="center"/>
                </w:tcPr>
                <w:p w14:paraId="44A75149">
                  <w:pPr>
                    <w:adjustRightInd w:val="0"/>
                    <w:snapToGrid w:val="0"/>
                    <w:jc w:val="center"/>
                    <w:rPr>
                      <w:color w:val="auto"/>
                      <w:szCs w:val="21"/>
                    </w:rPr>
                  </w:pPr>
                </w:p>
              </w:tc>
              <w:tc>
                <w:tcPr>
                  <w:tcW w:w="666" w:type="pct"/>
                  <w:vMerge w:val="continue"/>
                  <w:tcBorders>
                    <w:top w:val="single" w:color="auto" w:sz="4" w:space="0"/>
                    <w:left w:val="single" w:color="auto" w:sz="4" w:space="0"/>
                    <w:bottom w:val="single" w:color="auto" w:sz="4" w:space="0"/>
                    <w:right w:val="single" w:color="auto" w:sz="4" w:space="0"/>
                  </w:tcBorders>
                  <w:noWrap w:val="0"/>
                  <w:vAlign w:val="center"/>
                </w:tcPr>
                <w:p w14:paraId="78CEB81F">
                  <w:pPr>
                    <w:adjustRightInd w:val="0"/>
                    <w:snapToGrid w:val="0"/>
                    <w:jc w:val="center"/>
                    <w:rPr>
                      <w:color w:val="auto"/>
                      <w:szCs w:val="21"/>
                    </w:rPr>
                  </w:pPr>
                </w:p>
              </w:tc>
              <w:tc>
                <w:tcPr>
                  <w:tcW w:w="647" w:type="pct"/>
                  <w:vMerge w:val="continue"/>
                  <w:tcBorders>
                    <w:top w:val="single" w:color="auto" w:sz="4" w:space="0"/>
                    <w:left w:val="single" w:color="auto" w:sz="4" w:space="0"/>
                    <w:bottom w:val="single" w:color="auto" w:sz="4" w:space="0"/>
                    <w:right w:val="single" w:color="auto" w:sz="4" w:space="0"/>
                  </w:tcBorders>
                  <w:noWrap w:val="0"/>
                  <w:vAlign w:val="center"/>
                </w:tcPr>
                <w:p w14:paraId="3797D879">
                  <w:pPr>
                    <w:adjustRightInd w:val="0"/>
                    <w:snapToGrid w:val="0"/>
                    <w:jc w:val="center"/>
                    <w:rPr>
                      <w:color w:val="auto"/>
                      <w:szCs w:val="21"/>
                    </w:rPr>
                  </w:pPr>
                </w:p>
              </w:tc>
              <w:tc>
                <w:tcPr>
                  <w:tcW w:w="460" w:type="pct"/>
                  <w:vMerge w:val="continue"/>
                  <w:tcBorders>
                    <w:top w:val="single" w:color="auto" w:sz="4" w:space="0"/>
                    <w:left w:val="single" w:color="auto" w:sz="4" w:space="0"/>
                    <w:bottom w:val="single" w:color="auto" w:sz="4" w:space="0"/>
                    <w:right w:val="single" w:color="auto" w:sz="4" w:space="0"/>
                  </w:tcBorders>
                  <w:noWrap w:val="0"/>
                  <w:vAlign w:val="center"/>
                </w:tcPr>
                <w:p w14:paraId="4010743E">
                  <w:pPr>
                    <w:adjustRightInd w:val="0"/>
                    <w:snapToGrid w:val="0"/>
                    <w:jc w:val="center"/>
                    <w:rPr>
                      <w:color w:val="auto"/>
                      <w:szCs w:val="21"/>
                    </w:rPr>
                  </w:pPr>
                </w:p>
              </w:tc>
              <w:tc>
                <w:tcPr>
                  <w:tcW w:w="546" w:type="pct"/>
                  <w:vMerge w:val="continue"/>
                  <w:tcBorders>
                    <w:top w:val="single" w:color="auto" w:sz="4" w:space="0"/>
                    <w:left w:val="single" w:color="auto" w:sz="4" w:space="0"/>
                    <w:bottom w:val="single" w:color="auto" w:sz="4" w:space="0"/>
                    <w:right w:val="single" w:color="auto" w:sz="4" w:space="0"/>
                  </w:tcBorders>
                  <w:noWrap w:val="0"/>
                  <w:vAlign w:val="center"/>
                </w:tcPr>
                <w:p w14:paraId="499A39E9">
                  <w:pPr>
                    <w:adjustRightInd w:val="0"/>
                    <w:snapToGrid w:val="0"/>
                    <w:jc w:val="center"/>
                    <w:rPr>
                      <w:color w:val="auto"/>
                      <w:szCs w:val="21"/>
                    </w:rPr>
                  </w:pPr>
                </w:p>
              </w:tc>
              <w:tc>
                <w:tcPr>
                  <w:tcW w:w="352" w:type="pct"/>
                  <w:vMerge w:val="continue"/>
                  <w:tcBorders>
                    <w:top w:val="single" w:color="auto" w:sz="4" w:space="0"/>
                    <w:left w:val="single" w:color="auto" w:sz="4" w:space="0"/>
                    <w:bottom w:val="single" w:color="auto" w:sz="4" w:space="0"/>
                    <w:right w:val="single" w:color="auto" w:sz="4" w:space="0"/>
                  </w:tcBorders>
                  <w:noWrap w:val="0"/>
                  <w:vAlign w:val="center"/>
                </w:tcPr>
                <w:p w14:paraId="12307687">
                  <w:pPr>
                    <w:adjustRightInd w:val="0"/>
                    <w:snapToGrid w:val="0"/>
                    <w:jc w:val="center"/>
                    <w:rPr>
                      <w:color w:val="auto"/>
                      <w:szCs w:val="21"/>
                    </w:rPr>
                  </w:pPr>
                </w:p>
              </w:tc>
              <w:tc>
                <w:tcPr>
                  <w:tcW w:w="766" w:type="pct"/>
                  <w:tcBorders>
                    <w:top w:val="single" w:color="auto" w:sz="4" w:space="0"/>
                    <w:left w:val="single" w:color="auto" w:sz="4" w:space="0"/>
                    <w:bottom w:val="single" w:color="auto" w:sz="4" w:space="0"/>
                    <w:right w:val="single" w:color="auto" w:sz="4" w:space="0"/>
                  </w:tcBorders>
                  <w:noWrap w:val="0"/>
                  <w:vAlign w:val="center"/>
                </w:tcPr>
                <w:p w14:paraId="325D4D0D">
                  <w:pPr>
                    <w:adjustRightInd w:val="0"/>
                    <w:snapToGrid w:val="0"/>
                    <w:jc w:val="center"/>
                    <w:rPr>
                      <w:color w:val="auto"/>
                      <w:szCs w:val="21"/>
                    </w:rPr>
                  </w:pPr>
                  <w:r>
                    <w:rPr>
                      <w:color w:val="auto"/>
                      <w:szCs w:val="21"/>
                    </w:rPr>
                    <w:t>LAS</w:t>
                  </w:r>
                </w:p>
              </w:tc>
              <w:tc>
                <w:tcPr>
                  <w:tcW w:w="651" w:type="pct"/>
                  <w:tcBorders>
                    <w:top w:val="single" w:color="auto" w:sz="4" w:space="0"/>
                    <w:left w:val="single" w:color="auto" w:sz="4" w:space="0"/>
                    <w:bottom w:val="single" w:color="auto" w:sz="4" w:space="0"/>
                    <w:right w:val="single" w:color="auto" w:sz="4" w:space="0"/>
                  </w:tcBorders>
                  <w:noWrap w:val="0"/>
                  <w:vAlign w:val="center"/>
                </w:tcPr>
                <w:p w14:paraId="2CF54D35">
                  <w:pPr>
                    <w:adjustRightInd w:val="0"/>
                    <w:snapToGrid w:val="0"/>
                    <w:jc w:val="center"/>
                    <w:rPr>
                      <w:color w:val="auto"/>
                      <w:szCs w:val="21"/>
                    </w:rPr>
                  </w:pPr>
                  <w:r>
                    <w:rPr>
                      <w:color w:val="auto"/>
                      <w:szCs w:val="21"/>
                    </w:rPr>
                    <w:t>0.5</w:t>
                  </w:r>
                </w:p>
              </w:tc>
            </w:tr>
          </w:tbl>
          <w:p w14:paraId="41862060">
            <w:pPr>
              <w:pStyle w:val="54"/>
              <w:rPr>
                <w:b/>
                <w:color w:val="auto"/>
                <w:sz w:val="21"/>
                <w:szCs w:val="21"/>
              </w:rPr>
            </w:pPr>
            <w:r>
              <w:rPr>
                <w:b/>
                <w:color w:val="auto"/>
                <w:sz w:val="21"/>
                <w:szCs w:val="21"/>
              </w:rPr>
              <w:t>表4</w:t>
            </w:r>
            <w:r>
              <w:rPr>
                <w:rFonts w:hint="eastAsia"/>
                <w:b/>
                <w:color w:val="auto"/>
                <w:sz w:val="21"/>
                <w:szCs w:val="21"/>
                <w:lang w:val="en-US" w:eastAsia="zh-CN"/>
              </w:rPr>
              <w:t>.2</w:t>
            </w:r>
            <w:r>
              <w:rPr>
                <w:b/>
                <w:color w:val="auto"/>
                <w:sz w:val="21"/>
                <w:szCs w:val="21"/>
              </w:rPr>
              <w:t>-</w:t>
            </w:r>
            <w:r>
              <w:rPr>
                <w:rFonts w:hint="eastAsia"/>
                <w:b/>
                <w:color w:val="auto"/>
                <w:sz w:val="21"/>
                <w:szCs w:val="21"/>
              </w:rPr>
              <w:t>8</w:t>
            </w:r>
            <w:r>
              <w:rPr>
                <w:rFonts w:hint="eastAsia"/>
                <w:b/>
                <w:color w:val="auto"/>
                <w:sz w:val="21"/>
                <w:szCs w:val="21"/>
                <w:lang w:val="en-US" w:eastAsia="zh-CN"/>
              </w:rPr>
              <w:t xml:space="preserve"> </w:t>
            </w:r>
            <w:r>
              <w:rPr>
                <w:b/>
                <w:color w:val="auto"/>
                <w:sz w:val="21"/>
                <w:szCs w:val="21"/>
              </w:rPr>
              <w:t>废水污染物排放执行标准表</w:t>
            </w:r>
          </w:p>
          <w:tbl>
            <w:tblPr>
              <w:tblStyle w:val="2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1"/>
              <w:gridCol w:w="1117"/>
              <w:gridCol w:w="1865"/>
              <w:gridCol w:w="4027"/>
              <w:gridCol w:w="1240"/>
            </w:tblGrid>
            <w:tr w14:paraId="63BD5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restart"/>
                  <w:tcBorders>
                    <w:top w:val="single" w:color="auto" w:sz="4" w:space="0"/>
                    <w:left w:val="single" w:color="auto" w:sz="4" w:space="0"/>
                    <w:bottom w:val="single" w:color="auto" w:sz="4" w:space="0"/>
                    <w:right w:val="single" w:color="auto" w:sz="4" w:space="0"/>
                  </w:tcBorders>
                  <w:noWrap w:val="0"/>
                  <w:vAlign w:val="center"/>
                </w:tcPr>
                <w:p w14:paraId="59763C7A">
                  <w:pPr>
                    <w:adjustRightInd w:val="0"/>
                    <w:snapToGrid w:val="0"/>
                    <w:jc w:val="center"/>
                    <w:rPr>
                      <w:b/>
                      <w:bCs/>
                      <w:color w:val="auto"/>
                      <w:szCs w:val="21"/>
                    </w:rPr>
                  </w:pPr>
                  <w:r>
                    <w:rPr>
                      <w:b/>
                      <w:bCs/>
                      <w:color w:val="auto"/>
                      <w:szCs w:val="21"/>
                    </w:rPr>
                    <w:t>序号</w:t>
                  </w:r>
                </w:p>
              </w:tc>
              <w:tc>
                <w:tcPr>
                  <w:tcW w:w="633" w:type="pct"/>
                  <w:vMerge w:val="restart"/>
                  <w:tcBorders>
                    <w:top w:val="single" w:color="auto" w:sz="4" w:space="0"/>
                    <w:left w:val="single" w:color="auto" w:sz="4" w:space="0"/>
                    <w:bottom w:val="single" w:color="auto" w:sz="4" w:space="0"/>
                    <w:right w:val="single" w:color="auto" w:sz="4" w:space="0"/>
                  </w:tcBorders>
                  <w:noWrap w:val="0"/>
                  <w:vAlign w:val="center"/>
                </w:tcPr>
                <w:p w14:paraId="38F37DD0">
                  <w:pPr>
                    <w:adjustRightInd w:val="0"/>
                    <w:snapToGrid w:val="0"/>
                    <w:jc w:val="center"/>
                    <w:rPr>
                      <w:b/>
                      <w:bCs/>
                      <w:color w:val="auto"/>
                      <w:szCs w:val="21"/>
                    </w:rPr>
                  </w:pPr>
                  <w:r>
                    <w:rPr>
                      <w:b/>
                      <w:bCs/>
                      <w:color w:val="auto"/>
                      <w:szCs w:val="21"/>
                    </w:rPr>
                    <w:t>排放口编号</w:t>
                  </w:r>
                </w:p>
              </w:tc>
              <w:tc>
                <w:tcPr>
                  <w:tcW w:w="1058" w:type="pct"/>
                  <w:vMerge w:val="restart"/>
                  <w:tcBorders>
                    <w:top w:val="single" w:color="auto" w:sz="4" w:space="0"/>
                    <w:left w:val="single" w:color="auto" w:sz="4" w:space="0"/>
                    <w:bottom w:val="single" w:color="auto" w:sz="4" w:space="0"/>
                    <w:right w:val="single" w:color="auto" w:sz="4" w:space="0"/>
                  </w:tcBorders>
                  <w:noWrap w:val="0"/>
                  <w:vAlign w:val="center"/>
                </w:tcPr>
                <w:p w14:paraId="7A147FD9">
                  <w:pPr>
                    <w:adjustRightInd w:val="0"/>
                    <w:snapToGrid w:val="0"/>
                    <w:jc w:val="center"/>
                    <w:rPr>
                      <w:b/>
                      <w:bCs/>
                      <w:color w:val="auto"/>
                      <w:szCs w:val="21"/>
                    </w:rPr>
                  </w:pPr>
                  <w:r>
                    <w:rPr>
                      <w:b/>
                      <w:bCs/>
                      <w:color w:val="auto"/>
                      <w:szCs w:val="21"/>
                    </w:rPr>
                    <w:t>污染物种类</w:t>
                  </w:r>
                </w:p>
              </w:tc>
              <w:tc>
                <w:tcPr>
                  <w:tcW w:w="2984" w:type="pct"/>
                  <w:gridSpan w:val="2"/>
                  <w:tcBorders>
                    <w:top w:val="single" w:color="auto" w:sz="4" w:space="0"/>
                    <w:left w:val="single" w:color="auto" w:sz="4" w:space="0"/>
                    <w:bottom w:val="single" w:color="auto" w:sz="4" w:space="0"/>
                    <w:right w:val="single" w:color="auto" w:sz="4" w:space="0"/>
                  </w:tcBorders>
                  <w:noWrap w:val="0"/>
                  <w:vAlign w:val="center"/>
                </w:tcPr>
                <w:p w14:paraId="56B84E48">
                  <w:pPr>
                    <w:adjustRightInd w:val="0"/>
                    <w:snapToGrid w:val="0"/>
                    <w:jc w:val="center"/>
                    <w:rPr>
                      <w:b/>
                      <w:bCs/>
                      <w:color w:val="auto"/>
                      <w:szCs w:val="21"/>
                    </w:rPr>
                  </w:pPr>
                  <w:r>
                    <w:rPr>
                      <w:b/>
                      <w:bCs/>
                      <w:color w:val="auto"/>
                      <w:szCs w:val="21"/>
                    </w:rPr>
                    <w:t>排放标准</w:t>
                  </w:r>
                </w:p>
              </w:tc>
            </w:tr>
            <w:tr w14:paraId="40F967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2B2AB723">
                  <w:pPr>
                    <w:adjustRightInd w:val="0"/>
                    <w:snapToGrid w:val="0"/>
                    <w:jc w:val="center"/>
                    <w:rPr>
                      <w:b/>
                      <w:bCs/>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5AD3460D">
                  <w:pPr>
                    <w:adjustRightInd w:val="0"/>
                    <w:snapToGrid w:val="0"/>
                    <w:jc w:val="center"/>
                    <w:rPr>
                      <w:b/>
                      <w:bCs/>
                      <w:color w:val="auto"/>
                      <w:szCs w:val="21"/>
                    </w:rPr>
                  </w:pPr>
                </w:p>
              </w:tc>
              <w:tc>
                <w:tcPr>
                  <w:tcW w:w="1058" w:type="pct"/>
                  <w:vMerge w:val="continue"/>
                  <w:tcBorders>
                    <w:top w:val="single" w:color="auto" w:sz="4" w:space="0"/>
                    <w:left w:val="single" w:color="auto" w:sz="4" w:space="0"/>
                    <w:bottom w:val="single" w:color="auto" w:sz="4" w:space="0"/>
                    <w:right w:val="single" w:color="auto" w:sz="4" w:space="0"/>
                  </w:tcBorders>
                  <w:noWrap w:val="0"/>
                  <w:vAlign w:val="center"/>
                </w:tcPr>
                <w:p w14:paraId="46E596BE">
                  <w:pPr>
                    <w:adjustRightInd w:val="0"/>
                    <w:snapToGrid w:val="0"/>
                    <w:jc w:val="center"/>
                    <w:rPr>
                      <w:b/>
                      <w:bCs/>
                      <w:color w:val="auto"/>
                      <w:szCs w:val="21"/>
                    </w:rPr>
                  </w:pPr>
                </w:p>
              </w:tc>
              <w:tc>
                <w:tcPr>
                  <w:tcW w:w="2281" w:type="pct"/>
                  <w:tcBorders>
                    <w:top w:val="single" w:color="auto" w:sz="4" w:space="0"/>
                    <w:left w:val="single" w:color="auto" w:sz="4" w:space="0"/>
                    <w:bottom w:val="single" w:color="auto" w:sz="4" w:space="0"/>
                    <w:right w:val="single" w:color="auto" w:sz="4" w:space="0"/>
                  </w:tcBorders>
                  <w:noWrap w:val="0"/>
                  <w:vAlign w:val="center"/>
                </w:tcPr>
                <w:p w14:paraId="4FC202DD">
                  <w:pPr>
                    <w:adjustRightInd w:val="0"/>
                    <w:snapToGrid w:val="0"/>
                    <w:jc w:val="center"/>
                    <w:rPr>
                      <w:b/>
                      <w:bCs/>
                      <w:color w:val="auto"/>
                      <w:szCs w:val="21"/>
                    </w:rPr>
                  </w:pPr>
                  <w:r>
                    <w:rPr>
                      <w:b/>
                      <w:bCs/>
                      <w:color w:val="auto"/>
                      <w:szCs w:val="21"/>
                    </w:rPr>
                    <w:t>名称</w:t>
                  </w:r>
                </w:p>
              </w:tc>
              <w:tc>
                <w:tcPr>
                  <w:tcW w:w="702" w:type="pct"/>
                  <w:tcBorders>
                    <w:top w:val="single" w:color="auto" w:sz="4" w:space="0"/>
                    <w:left w:val="single" w:color="auto" w:sz="4" w:space="0"/>
                    <w:bottom w:val="single" w:color="auto" w:sz="4" w:space="0"/>
                    <w:right w:val="single" w:color="auto" w:sz="4" w:space="0"/>
                  </w:tcBorders>
                  <w:noWrap w:val="0"/>
                  <w:vAlign w:val="center"/>
                </w:tcPr>
                <w:p w14:paraId="685AA18E">
                  <w:pPr>
                    <w:adjustRightInd w:val="0"/>
                    <w:snapToGrid w:val="0"/>
                    <w:jc w:val="center"/>
                    <w:rPr>
                      <w:b/>
                      <w:bCs/>
                      <w:color w:val="auto"/>
                      <w:szCs w:val="21"/>
                    </w:rPr>
                  </w:pPr>
                  <w:r>
                    <w:rPr>
                      <w:b/>
                      <w:bCs/>
                      <w:color w:val="auto"/>
                      <w:szCs w:val="21"/>
                    </w:rPr>
                    <w:t>浓度限值</w:t>
                  </w:r>
                </w:p>
              </w:tc>
            </w:tr>
            <w:tr w14:paraId="47126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restart"/>
                  <w:tcBorders>
                    <w:top w:val="single" w:color="auto" w:sz="4" w:space="0"/>
                    <w:left w:val="single" w:color="auto" w:sz="4" w:space="0"/>
                    <w:bottom w:val="single" w:color="auto" w:sz="4" w:space="0"/>
                    <w:right w:val="single" w:color="auto" w:sz="4" w:space="0"/>
                  </w:tcBorders>
                  <w:noWrap w:val="0"/>
                  <w:vAlign w:val="center"/>
                </w:tcPr>
                <w:p w14:paraId="5F8A7ADF">
                  <w:pPr>
                    <w:adjustRightInd w:val="0"/>
                    <w:snapToGrid w:val="0"/>
                    <w:jc w:val="center"/>
                    <w:rPr>
                      <w:color w:val="auto"/>
                      <w:szCs w:val="21"/>
                    </w:rPr>
                  </w:pPr>
                  <w:r>
                    <w:rPr>
                      <w:color w:val="auto"/>
                      <w:szCs w:val="21"/>
                    </w:rPr>
                    <w:t>1</w:t>
                  </w:r>
                </w:p>
              </w:tc>
              <w:tc>
                <w:tcPr>
                  <w:tcW w:w="633" w:type="pct"/>
                  <w:vMerge w:val="restart"/>
                  <w:tcBorders>
                    <w:top w:val="single" w:color="auto" w:sz="4" w:space="0"/>
                    <w:left w:val="single" w:color="auto" w:sz="4" w:space="0"/>
                    <w:bottom w:val="single" w:color="auto" w:sz="4" w:space="0"/>
                    <w:right w:val="single" w:color="auto" w:sz="4" w:space="0"/>
                  </w:tcBorders>
                  <w:noWrap w:val="0"/>
                  <w:vAlign w:val="center"/>
                </w:tcPr>
                <w:p w14:paraId="386590EE">
                  <w:pPr>
                    <w:adjustRightInd w:val="0"/>
                    <w:snapToGrid w:val="0"/>
                    <w:jc w:val="center"/>
                    <w:rPr>
                      <w:color w:val="auto"/>
                      <w:szCs w:val="21"/>
                    </w:rPr>
                  </w:pPr>
                  <w:r>
                    <w:rPr>
                      <w:color w:val="auto"/>
                      <w:szCs w:val="21"/>
                    </w:rPr>
                    <w:t>1#</w:t>
                  </w:r>
                </w:p>
              </w:tc>
              <w:tc>
                <w:tcPr>
                  <w:tcW w:w="1058" w:type="pct"/>
                  <w:tcBorders>
                    <w:top w:val="single" w:color="auto" w:sz="4" w:space="0"/>
                    <w:left w:val="single" w:color="auto" w:sz="4" w:space="0"/>
                    <w:bottom w:val="single" w:color="auto" w:sz="4" w:space="0"/>
                    <w:right w:val="single" w:color="auto" w:sz="4" w:space="0"/>
                  </w:tcBorders>
                  <w:noWrap w:val="0"/>
                  <w:vAlign w:val="center"/>
                </w:tcPr>
                <w:p w14:paraId="2806C6AC">
                  <w:pPr>
                    <w:adjustRightInd w:val="0"/>
                    <w:snapToGrid w:val="0"/>
                    <w:jc w:val="center"/>
                    <w:rPr>
                      <w:color w:val="auto"/>
                      <w:szCs w:val="21"/>
                    </w:rPr>
                  </w:pPr>
                  <w:r>
                    <w:rPr>
                      <w:color w:val="auto"/>
                      <w:szCs w:val="21"/>
                    </w:rPr>
                    <w:t>COD</w:t>
                  </w:r>
                </w:p>
              </w:tc>
              <w:tc>
                <w:tcPr>
                  <w:tcW w:w="2281" w:type="pct"/>
                  <w:vMerge w:val="restart"/>
                  <w:tcBorders>
                    <w:top w:val="single" w:color="auto" w:sz="4" w:space="0"/>
                    <w:left w:val="single" w:color="auto" w:sz="4" w:space="0"/>
                    <w:bottom w:val="single" w:color="auto" w:sz="4" w:space="0"/>
                    <w:right w:val="single" w:color="auto" w:sz="4" w:space="0"/>
                  </w:tcBorders>
                  <w:noWrap w:val="0"/>
                  <w:vAlign w:val="center"/>
                </w:tcPr>
                <w:p w14:paraId="499C3D0D">
                  <w:pPr>
                    <w:adjustRightInd w:val="0"/>
                    <w:snapToGrid w:val="0"/>
                    <w:jc w:val="center"/>
                    <w:rPr>
                      <w:color w:val="auto"/>
                      <w:szCs w:val="21"/>
                    </w:rPr>
                  </w:pPr>
                  <w:r>
                    <w:rPr>
                      <w:color w:val="auto"/>
                      <w:szCs w:val="21"/>
                    </w:rPr>
                    <w:t>《城镇污水处理污染排放标准》（GB18918-2002）一级A标准</w:t>
                  </w:r>
                </w:p>
              </w:tc>
              <w:tc>
                <w:tcPr>
                  <w:tcW w:w="702" w:type="pct"/>
                  <w:tcBorders>
                    <w:top w:val="single" w:color="auto" w:sz="4" w:space="0"/>
                    <w:left w:val="single" w:color="auto" w:sz="4" w:space="0"/>
                    <w:bottom w:val="single" w:color="auto" w:sz="4" w:space="0"/>
                    <w:right w:val="single" w:color="auto" w:sz="4" w:space="0"/>
                  </w:tcBorders>
                  <w:noWrap w:val="0"/>
                  <w:vAlign w:val="center"/>
                </w:tcPr>
                <w:p w14:paraId="6A891341">
                  <w:pPr>
                    <w:adjustRightInd w:val="0"/>
                    <w:snapToGrid w:val="0"/>
                    <w:jc w:val="center"/>
                    <w:rPr>
                      <w:color w:val="auto"/>
                      <w:szCs w:val="21"/>
                    </w:rPr>
                  </w:pPr>
                  <w:r>
                    <w:rPr>
                      <w:color w:val="auto"/>
                      <w:szCs w:val="21"/>
                    </w:rPr>
                    <w:t>50</w:t>
                  </w:r>
                </w:p>
              </w:tc>
            </w:tr>
            <w:tr w14:paraId="6FC83E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1C5578E3">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0BDFD1BB">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05C10929">
                  <w:pPr>
                    <w:adjustRightInd w:val="0"/>
                    <w:snapToGrid w:val="0"/>
                    <w:jc w:val="center"/>
                    <w:rPr>
                      <w:color w:val="auto"/>
                      <w:szCs w:val="21"/>
                    </w:rPr>
                  </w:pPr>
                  <w:r>
                    <w:rPr>
                      <w:color w:val="auto"/>
                      <w:szCs w:val="21"/>
                    </w:rPr>
                    <w:t>BOD5</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2E8D5347">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5A58C0D2">
                  <w:pPr>
                    <w:adjustRightInd w:val="0"/>
                    <w:snapToGrid w:val="0"/>
                    <w:jc w:val="center"/>
                    <w:rPr>
                      <w:color w:val="auto"/>
                      <w:szCs w:val="21"/>
                    </w:rPr>
                  </w:pPr>
                  <w:r>
                    <w:rPr>
                      <w:color w:val="auto"/>
                      <w:szCs w:val="21"/>
                    </w:rPr>
                    <w:t>10</w:t>
                  </w:r>
                </w:p>
              </w:tc>
            </w:tr>
            <w:tr w14:paraId="06BDEC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42853961">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0A7BC05B">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5E29FBF9">
                  <w:pPr>
                    <w:adjustRightInd w:val="0"/>
                    <w:snapToGrid w:val="0"/>
                    <w:jc w:val="center"/>
                    <w:rPr>
                      <w:color w:val="auto"/>
                      <w:szCs w:val="21"/>
                    </w:rPr>
                  </w:pPr>
                  <w:r>
                    <w:rPr>
                      <w:color w:val="auto"/>
                      <w:szCs w:val="21"/>
                    </w:rPr>
                    <w:t>SS</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4D1E8234">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397A3054">
                  <w:pPr>
                    <w:adjustRightInd w:val="0"/>
                    <w:snapToGrid w:val="0"/>
                    <w:jc w:val="center"/>
                    <w:rPr>
                      <w:color w:val="auto"/>
                      <w:szCs w:val="21"/>
                    </w:rPr>
                  </w:pPr>
                  <w:r>
                    <w:rPr>
                      <w:color w:val="auto"/>
                      <w:szCs w:val="21"/>
                    </w:rPr>
                    <w:t>10</w:t>
                  </w:r>
                </w:p>
              </w:tc>
            </w:tr>
            <w:tr w14:paraId="78901F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323751BF">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5768F0C3">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5924D109">
                  <w:pPr>
                    <w:adjustRightInd w:val="0"/>
                    <w:snapToGrid w:val="0"/>
                    <w:jc w:val="center"/>
                    <w:rPr>
                      <w:color w:val="auto"/>
                      <w:szCs w:val="21"/>
                    </w:rPr>
                  </w:pPr>
                  <w:r>
                    <w:rPr>
                      <w:color w:val="auto"/>
                      <w:szCs w:val="21"/>
                    </w:rPr>
                    <w:t>氨氮</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7488BC4A">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4BAF9B05">
                  <w:pPr>
                    <w:adjustRightInd w:val="0"/>
                    <w:snapToGrid w:val="0"/>
                    <w:jc w:val="center"/>
                    <w:rPr>
                      <w:color w:val="auto"/>
                      <w:szCs w:val="21"/>
                    </w:rPr>
                  </w:pPr>
                  <w:r>
                    <w:rPr>
                      <w:color w:val="auto"/>
                      <w:szCs w:val="21"/>
                    </w:rPr>
                    <w:t>5</w:t>
                  </w:r>
                </w:p>
              </w:tc>
            </w:tr>
            <w:tr w14:paraId="6C834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057615E9">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0C2B90CD">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020D2DEE">
                  <w:pPr>
                    <w:adjustRightInd w:val="0"/>
                    <w:snapToGrid w:val="0"/>
                    <w:jc w:val="center"/>
                    <w:rPr>
                      <w:color w:val="auto"/>
                      <w:szCs w:val="21"/>
                    </w:rPr>
                  </w:pPr>
                  <w:r>
                    <w:rPr>
                      <w:color w:val="auto"/>
                      <w:szCs w:val="21"/>
                    </w:rPr>
                    <w:t>LAS</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040ECF4B">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7EDFEF76">
                  <w:pPr>
                    <w:adjustRightInd w:val="0"/>
                    <w:snapToGrid w:val="0"/>
                    <w:jc w:val="center"/>
                    <w:rPr>
                      <w:color w:val="auto"/>
                      <w:szCs w:val="21"/>
                    </w:rPr>
                  </w:pPr>
                  <w:r>
                    <w:rPr>
                      <w:color w:val="auto"/>
                      <w:szCs w:val="21"/>
                    </w:rPr>
                    <w:t>0.5</w:t>
                  </w:r>
                </w:p>
              </w:tc>
            </w:tr>
            <w:tr w14:paraId="6C03BC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6EE25BE5">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08DA622F">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7CCB4C24">
                  <w:pPr>
                    <w:adjustRightInd w:val="0"/>
                    <w:snapToGrid w:val="0"/>
                    <w:jc w:val="center"/>
                    <w:rPr>
                      <w:color w:val="auto"/>
                      <w:szCs w:val="21"/>
                    </w:rPr>
                  </w:pPr>
                  <w:r>
                    <w:rPr>
                      <w:color w:val="auto"/>
                      <w:szCs w:val="21"/>
                    </w:rPr>
                    <w:t>粪大肠杆菌</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1F2F4F42">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281B4602">
                  <w:pPr>
                    <w:adjustRightInd w:val="0"/>
                    <w:snapToGrid w:val="0"/>
                    <w:jc w:val="center"/>
                    <w:rPr>
                      <w:color w:val="auto"/>
                      <w:szCs w:val="21"/>
                    </w:rPr>
                  </w:pPr>
                  <w:r>
                    <w:rPr>
                      <w:color w:val="auto"/>
                      <w:szCs w:val="21"/>
                    </w:rPr>
                    <w:t>1000</w:t>
                  </w:r>
                </w:p>
              </w:tc>
            </w:tr>
            <w:tr w14:paraId="478302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324" w:type="pct"/>
                  <w:vMerge w:val="continue"/>
                  <w:tcBorders>
                    <w:top w:val="single" w:color="auto" w:sz="4" w:space="0"/>
                    <w:left w:val="single" w:color="auto" w:sz="4" w:space="0"/>
                    <w:bottom w:val="single" w:color="auto" w:sz="4" w:space="0"/>
                    <w:right w:val="single" w:color="auto" w:sz="4" w:space="0"/>
                  </w:tcBorders>
                  <w:noWrap w:val="0"/>
                  <w:vAlign w:val="center"/>
                </w:tcPr>
                <w:p w14:paraId="317863FF">
                  <w:pPr>
                    <w:adjustRightInd w:val="0"/>
                    <w:snapToGrid w:val="0"/>
                    <w:jc w:val="center"/>
                    <w:rPr>
                      <w:color w:val="auto"/>
                      <w:szCs w:val="21"/>
                    </w:rPr>
                  </w:pPr>
                </w:p>
              </w:tc>
              <w:tc>
                <w:tcPr>
                  <w:tcW w:w="633" w:type="pct"/>
                  <w:vMerge w:val="continue"/>
                  <w:tcBorders>
                    <w:top w:val="single" w:color="auto" w:sz="4" w:space="0"/>
                    <w:left w:val="single" w:color="auto" w:sz="4" w:space="0"/>
                    <w:bottom w:val="single" w:color="auto" w:sz="4" w:space="0"/>
                    <w:right w:val="single" w:color="auto" w:sz="4" w:space="0"/>
                  </w:tcBorders>
                  <w:noWrap w:val="0"/>
                  <w:vAlign w:val="center"/>
                </w:tcPr>
                <w:p w14:paraId="15595C47">
                  <w:pPr>
                    <w:adjustRightInd w:val="0"/>
                    <w:snapToGrid w:val="0"/>
                    <w:jc w:val="center"/>
                    <w:rPr>
                      <w:color w:val="auto"/>
                      <w:szCs w:val="21"/>
                    </w:rPr>
                  </w:pPr>
                </w:p>
              </w:tc>
              <w:tc>
                <w:tcPr>
                  <w:tcW w:w="1058" w:type="pct"/>
                  <w:tcBorders>
                    <w:top w:val="single" w:color="auto" w:sz="4" w:space="0"/>
                    <w:left w:val="single" w:color="auto" w:sz="4" w:space="0"/>
                    <w:bottom w:val="single" w:color="auto" w:sz="4" w:space="0"/>
                    <w:right w:val="single" w:color="auto" w:sz="4" w:space="0"/>
                  </w:tcBorders>
                  <w:noWrap w:val="0"/>
                  <w:vAlign w:val="center"/>
                </w:tcPr>
                <w:p w14:paraId="59364FC3">
                  <w:pPr>
                    <w:adjustRightInd w:val="0"/>
                    <w:snapToGrid w:val="0"/>
                    <w:jc w:val="center"/>
                    <w:rPr>
                      <w:color w:val="auto"/>
                      <w:szCs w:val="21"/>
                    </w:rPr>
                  </w:pPr>
                  <w:r>
                    <w:rPr>
                      <w:color w:val="auto"/>
                      <w:szCs w:val="21"/>
                    </w:rPr>
                    <w:t>动植物油</w:t>
                  </w:r>
                </w:p>
              </w:tc>
              <w:tc>
                <w:tcPr>
                  <w:tcW w:w="2281" w:type="pct"/>
                  <w:vMerge w:val="continue"/>
                  <w:tcBorders>
                    <w:top w:val="single" w:color="auto" w:sz="4" w:space="0"/>
                    <w:left w:val="single" w:color="auto" w:sz="4" w:space="0"/>
                    <w:bottom w:val="single" w:color="auto" w:sz="4" w:space="0"/>
                    <w:right w:val="single" w:color="auto" w:sz="4" w:space="0"/>
                  </w:tcBorders>
                  <w:noWrap w:val="0"/>
                  <w:vAlign w:val="center"/>
                </w:tcPr>
                <w:p w14:paraId="7A2AF5BA">
                  <w:pPr>
                    <w:adjustRightInd w:val="0"/>
                    <w:snapToGrid w:val="0"/>
                    <w:jc w:val="center"/>
                    <w:rPr>
                      <w:color w:val="auto"/>
                      <w:szCs w:val="21"/>
                    </w:rPr>
                  </w:pPr>
                </w:p>
              </w:tc>
              <w:tc>
                <w:tcPr>
                  <w:tcW w:w="702" w:type="pct"/>
                  <w:tcBorders>
                    <w:top w:val="single" w:color="auto" w:sz="4" w:space="0"/>
                    <w:left w:val="single" w:color="auto" w:sz="4" w:space="0"/>
                    <w:bottom w:val="single" w:color="auto" w:sz="4" w:space="0"/>
                    <w:right w:val="single" w:color="auto" w:sz="4" w:space="0"/>
                  </w:tcBorders>
                  <w:noWrap w:val="0"/>
                  <w:vAlign w:val="center"/>
                </w:tcPr>
                <w:p w14:paraId="4B9C976A">
                  <w:pPr>
                    <w:adjustRightInd w:val="0"/>
                    <w:snapToGrid w:val="0"/>
                    <w:jc w:val="center"/>
                    <w:rPr>
                      <w:color w:val="auto"/>
                      <w:szCs w:val="21"/>
                    </w:rPr>
                  </w:pPr>
                  <w:r>
                    <w:rPr>
                      <w:color w:val="auto"/>
                      <w:szCs w:val="21"/>
                    </w:rPr>
                    <w:t>1</w:t>
                  </w:r>
                </w:p>
              </w:tc>
            </w:tr>
          </w:tbl>
          <w:p w14:paraId="6774AAB1">
            <w:pPr>
              <w:pStyle w:val="54"/>
              <w:rPr>
                <w:b/>
                <w:color w:val="auto"/>
                <w:sz w:val="21"/>
                <w:szCs w:val="21"/>
              </w:rPr>
            </w:pPr>
            <w:r>
              <w:rPr>
                <w:b/>
                <w:color w:val="auto"/>
                <w:sz w:val="21"/>
                <w:szCs w:val="21"/>
              </w:rPr>
              <w:t>表4</w:t>
            </w:r>
            <w:r>
              <w:rPr>
                <w:rFonts w:hint="eastAsia"/>
                <w:b/>
                <w:color w:val="auto"/>
                <w:sz w:val="21"/>
                <w:szCs w:val="21"/>
                <w:lang w:val="en-US" w:eastAsia="zh-CN"/>
              </w:rPr>
              <w:t>.2</w:t>
            </w:r>
            <w:r>
              <w:rPr>
                <w:b/>
                <w:color w:val="auto"/>
                <w:sz w:val="21"/>
                <w:szCs w:val="21"/>
              </w:rPr>
              <w:t>-</w:t>
            </w:r>
            <w:r>
              <w:rPr>
                <w:rFonts w:hint="eastAsia"/>
                <w:b/>
                <w:color w:val="auto"/>
                <w:sz w:val="21"/>
                <w:szCs w:val="21"/>
              </w:rPr>
              <w:t>9</w:t>
            </w:r>
            <w:r>
              <w:rPr>
                <w:rFonts w:hint="eastAsia"/>
                <w:b/>
                <w:color w:val="auto"/>
                <w:sz w:val="21"/>
                <w:szCs w:val="21"/>
                <w:lang w:val="en-US" w:eastAsia="zh-CN"/>
              </w:rPr>
              <w:t xml:space="preserve"> </w:t>
            </w:r>
            <w:r>
              <w:rPr>
                <w:b/>
                <w:color w:val="auto"/>
                <w:sz w:val="21"/>
                <w:szCs w:val="21"/>
              </w:rPr>
              <w:t>废水污染物排放信息表</w:t>
            </w:r>
          </w:p>
          <w:tbl>
            <w:tblPr>
              <w:tblStyle w:val="2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45"/>
              <w:gridCol w:w="635"/>
              <w:gridCol w:w="1353"/>
              <w:gridCol w:w="1165"/>
              <w:gridCol w:w="1280"/>
              <w:gridCol w:w="1373"/>
              <w:gridCol w:w="1269"/>
              <w:gridCol w:w="1304"/>
            </w:tblGrid>
            <w:tr w14:paraId="335A9B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252" w:type="pct"/>
                  <w:tcBorders>
                    <w:top w:val="single" w:color="auto" w:sz="4" w:space="0"/>
                    <w:left w:val="single" w:color="auto" w:sz="4" w:space="0"/>
                    <w:bottom w:val="single" w:color="auto" w:sz="4" w:space="0"/>
                    <w:right w:val="single" w:color="auto" w:sz="4" w:space="0"/>
                  </w:tcBorders>
                  <w:noWrap w:val="0"/>
                  <w:vAlign w:val="center"/>
                </w:tcPr>
                <w:p w14:paraId="0BB6281E">
                  <w:pPr>
                    <w:adjustRightInd w:val="0"/>
                    <w:snapToGrid w:val="0"/>
                    <w:jc w:val="center"/>
                    <w:rPr>
                      <w:b/>
                      <w:bCs/>
                      <w:color w:val="auto"/>
                      <w:szCs w:val="21"/>
                    </w:rPr>
                  </w:pPr>
                  <w:r>
                    <w:rPr>
                      <w:b/>
                      <w:bCs/>
                      <w:color w:val="auto"/>
                      <w:szCs w:val="21"/>
                    </w:rPr>
                    <w:t>序号</w:t>
                  </w:r>
                </w:p>
              </w:tc>
              <w:tc>
                <w:tcPr>
                  <w:tcW w:w="359" w:type="pct"/>
                  <w:tcBorders>
                    <w:top w:val="single" w:color="auto" w:sz="4" w:space="0"/>
                    <w:left w:val="single" w:color="auto" w:sz="4" w:space="0"/>
                    <w:bottom w:val="single" w:color="auto" w:sz="4" w:space="0"/>
                    <w:right w:val="single" w:color="auto" w:sz="4" w:space="0"/>
                  </w:tcBorders>
                  <w:noWrap w:val="0"/>
                  <w:vAlign w:val="center"/>
                </w:tcPr>
                <w:p w14:paraId="3D89C2E3">
                  <w:pPr>
                    <w:adjustRightInd w:val="0"/>
                    <w:snapToGrid w:val="0"/>
                    <w:jc w:val="center"/>
                    <w:rPr>
                      <w:b/>
                      <w:bCs/>
                      <w:color w:val="auto"/>
                      <w:szCs w:val="21"/>
                    </w:rPr>
                  </w:pPr>
                  <w:r>
                    <w:rPr>
                      <w:b/>
                      <w:bCs/>
                      <w:color w:val="auto"/>
                      <w:sz w:val="18"/>
                      <w:szCs w:val="18"/>
                    </w:rPr>
                    <w:t>排放口编号</w:t>
                  </w:r>
                </w:p>
              </w:tc>
              <w:tc>
                <w:tcPr>
                  <w:tcW w:w="767" w:type="pct"/>
                  <w:tcBorders>
                    <w:top w:val="single" w:color="auto" w:sz="4" w:space="0"/>
                    <w:left w:val="single" w:color="auto" w:sz="4" w:space="0"/>
                    <w:bottom w:val="single" w:color="auto" w:sz="4" w:space="0"/>
                    <w:right w:val="single" w:color="auto" w:sz="4" w:space="0"/>
                  </w:tcBorders>
                  <w:noWrap w:val="0"/>
                  <w:vAlign w:val="center"/>
                </w:tcPr>
                <w:p w14:paraId="051C5120">
                  <w:pPr>
                    <w:adjustRightInd w:val="0"/>
                    <w:snapToGrid w:val="0"/>
                    <w:jc w:val="center"/>
                    <w:rPr>
                      <w:b/>
                      <w:bCs/>
                      <w:color w:val="auto"/>
                      <w:szCs w:val="21"/>
                    </w:rPr>
                  </w:pPr>
                  <w:r>
                    <w:rPr>
                      <w:b/>
                      <w:bCs/>
                      <w:color w:val="auto"/>
                      <w:szCs w:val="21"/>
                    </w:rPr>
                    <w:t>污染物种类</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2887D98B">
                  <w:pPr>
                    <w:adjustRightInd w:val="0"/>
                    <w:snapToGrid w:val="0"/>
                    <w:jc w:val="center"/>
                    <w:rPr>
                      <w:b/>
                      <w:bCs/>
                      <w:color w:val="auto"/>
                      <w:szCs w:val="21"/>
                    </w:rPr>
                  </w:pPr>
                  <w:r>
                    <w:rPr>
                      <w:b/>
                      <w:bCs/>
                      <w:color w:val="auto"/>
                      <w:szCs w:val="21"/>
                    </w:rPr>
                    <w:t>排放浓度（mg/L）</w:t>
                  </w:r>
                </w:p>
              </w:tc>
              <w:tc>
                <w:tcPr>
                  <w:tcW w:w="725" w:type="pct"/>
                  <w:tcBorders>
                    <w:top w:val="single" w:color="auto" w:sz="4" w:space="0"/>
                    <w:left w:val="single" w:color="auto" w:sz="4" w:space="0"/>
                    <w:bottom w:val="single" w:color="auto" w:sz="4" w:space="0"/>
                    <w:right w:val="single" w:color="auto" w:sz="4" w:space="0"/>
                  </w:tcBorders>
                  <w:noWrap w:val="0"/>
                  <w:vAlign w:val="center"/>
                </w:tcPr>
                <w:p w14:paraId="18F40CC6">
                  <w:pPr>
                    <w:adjustRightInd w:val="0"/>
                    <w:snapToGrid w:val="0"/>
                    <w:jc w:val="center"/>
                    <w:rPr>
                      <w:b/>
                      <w:bCs/>
                      <w:color w:val="auto"/>
                      <w:szCs w:val="21"/>
                    </w:rPr>
                  </w:pPr>
                  <w:r>
                    <w:rPr>
                      <w:b/>
                      <w:bCs/>
                      <w:color w:val="auto"/>
                      <w:szCs w:val="21"/>
                    </w:rPr>
                    <w:t>新增日排放量（kg/d）</w:t>
                  </w:r>
                </w:p>
              </w:tc>
              <w:tc>
                <w:tcPr>
                  <w:tcW w:w="779" w:type="pct"/>
                  <w:tcBorders>
                    <w:top w:val="single" w:color="auto" w:sz="4" w:space="0"/>
                    <w:left w:val="single" w:color="auto" w:sz="4" w:space="0"/>
                    <w:bottom w:val="single" w:color="auto" w:sz="4" w:space="0"/>
                    <w:right w:val="single" w:color="auto" w:sz="4" w:space="0"/>
                  </w:tcBorders>
                  <w:noWrap w:val="0"/>
                  <w:vAlign w:val="center"/>
                </w:tcPr>
                <w:p w14:paraId="06A4C47E">
                  <w:pPr>
                    <w:adjustRightInd w:val="0"/>
                    <w:snapToGrid w:val="0"/>
                    <w:jc w:val="center"/>
                    <w:rPr>
                      <w:b/>
                      <w:bCs/>
                      <w:color w:val="auto"/>
                      <w:szCs w:val="21"/>
                    </w:rPr>
                  </w:pPr>
                  <w:r>
                    <w:rPr>
                      <w:b/>
                      <w:bCs/>
                      <w:color w:val="auto"/>
                      <w:szCs w:val="21"/>
                    </w:rPr>
                    <w:t>全厂日排放量/（kg/d）</w:t>
                  </w:r>
                </w:p>
              </w:tc>
              <w:tc>
                <w:tcPr>
                  <w:tcW w:w="718" w:type="pct"/>
                  <w:tcBorders>
                    <w:top w:val="single" w:color="auto" w:sz="4" w:space="0"/>
                    <w:left w:val="single" w:color="auto" w:sz="4" w:space="0"/>
                    <w:bottom w:val="single" w:color="auto" w:sz="4" w:space="0"/>
                    <w:right w:val="single" w:color="auto" w:sz="4" w:space="0"/>
                  </w:tcBorders>
                  <w:noWrap w:val="0"/>
                  <w:vAlign w:val="top"/>
                </w:tcPr>
                <w:p w14:paraId="602BEA74">
                  <w:pPr>
                    <w:adjustRightInd w:val="0"/>
                    <w:snapToGrid w:val="0"/>
                    <w:jc w:val="center"/>
                    <w:rPr>
                      <w:b/>
                      <w:bCs/>
                      <w:color w:val="auto"/>
                      <w:szCs w:val="21"/>
                    </w:rPr>
                  </w:pPr>
                  <w:r>
                    <w:rPr>
                      <w:b/>
                      <w:bCs/>
                      <w:color w:val="auto"/>
                      <w:szCs w:val="21"/>
                    </w:rPr>
                    <w:t>新增年排放量（t/a）</w:t>
                  </w:r>
                </w:p>
              </w:tc>
              <w:tc>
                <w:tcPr>
                  <w:tcW w:w="738" w:type="pct"/>
                  <w:tcBorders>
                    <w:top w:val="single" w:color="auto" w:sz="4" w:space="0"/>
                    <w:left w:val="single" w:color="auto" w:sz="4" w:space="0"/>
                    <w:bottom w:val="single" w:color="auto" w:sz="4" w:space="0"/>
                    <w:right w:val="single" w:color="auto" w:sz="4" w:space="0"/>
                  </w:tcBorders>
                  <w:noWrap w:val="0"/>
                  <w:vAlign w:val="top"/>
                </w:tcPr>
                <w:p w14:paraId="2A44D913">
                  <w:pPr>
                    <w:adjustRightInd w:val="0"/>
                    <w:snapToGrid w:val="0"/>
                    <w:jc w:val="center"/>
                    <w:rPr>
                      <w:b/>
                      <w:bCs/>
                      <w:color w:val="auto"/>
                      <w:szCs w:val="21"/>
                    </w:rPr>
                  </w:pPr>
                  <w:r>
                    <w:rPr>
                      <w:b/>
                      <w:bCs/>
                      <w:color w:val="auto"/>
                      <w:szCs w:val="21"/>
                    </w:rPr>
                    <w:t>全厂年排放量（t/a）</w:t>
                  </w:r>
                </w:p>
              </w:tc>
            </w:tr>
            <w:tr w14:paraId="23A870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restart"/>
                  <w:tcBorders>
                    <w:top w:val="single" w:color="auto" w:sz="4" w:space="0"/>
                    <w:left w:val="single" w:color="auto" w:sz="4" w:space="0"/>
                    <w:right w:val="single" w:color="auto" w:sz="4" w:space="0"/>
                  </w:tcBorders>
                  <w:noWrap w:val="0"/>
                  <w:vAlign w:val="center"/>
                </w:tcPr>
                <w:p w14:paraId="0F4BB850">
                  <w:pPr>
                    <w:adjustRightInd w:val="0"/>
                    <w:snapToGrid w:val="0"/>
                    <w:jc w:val="center"/>
                    <w:rPr>
                      <w:color w:val="auto"/>
                      <w:szCs w:val="21"/>
                    </w:rPr>
                  </w:pPr>
                  <w:r>
                    <w:rPr>
                      <w:color w:val="auto"/>
                      <w:szCs w:val="21"/>
                    </w:rPr>
                    <w:t>1</w:t>
                  </w:r>
                </w:p>
              </w:tc>
              <w:tc>
                <w:tcPr>
                  <w:tcW w:w="359" w:type="pct"/>
                  <w:vMerge w:val="restart"/>
                  <w:tcBorders>
                    <w:top w:val="single" w:color="auto" w:sz="4" w:space="0"/>
                    <w:left w:val="single" w:color="auto" w:sz="4" w:space="0"/>
                    <w:right w:val="single" w:color="auto" w:sz="4" w:space="0"/>
                  </w:tcBorders>
                  <w:noWrap w:val="0"/>
                  <w:vAlign w:val="center"/>
                </w:tcPr>
                <w:p w14:paraId="72CD4A64">
                  <w:pPr>
                    <w:adjustRightInd w:val="0"/>
                    <w:snapToGrid w:val="0"/>
                    <w:jc w:val="center"/>
                    <w:rPr>
                      <w:color w:val="auto"/>
                      <w:szCs w:val="21"/>
                    </w:rPr>
                  </w:pPr>
                  <w:r>
                    <w:rPr>
                      <w:color w:val="auto"/>
                      <w:szCs w:val="21"/>
                    </w:rPr>
                    <w:t>1#</w:t>
                  </w:r>
                </w:p>
              </w:tc>
              <w:tc>
                <w:tcPr>
                  <w:tcW w:w="767" w:type="pct"/>
                  <w:tcBorders>
                    <w:top w:val="single" w:color="auto" w:sz="4" w:space="0"/>
                    <w:left w:val="single" w:color="auto" w:sz="4" w:space="0"/>
                    <w:bottom w:val="single" w:color="auto" w:sz="4" w:space="0"/>
                    <w:right w:val="single" w:color="auto" w:sz="4" w:space="0"/>
                  </w:tcBorders>
                  <w:noWrap w:val="0"/>
                  <w:vAlign w:val="center"/>
                </w:tcPr>
                <w:p w14:paraId="0AC6D607">
                  <w:pPr>
                    <w:adjustRightInd w:val="0"/>
                    <w:snapToGrid w:val="0"/>
                    <w:jc w:val="center"/>
                    <w:rPr>
                      <w:color w:val="auto"/>
                      <w:szCs w:val="21"/>
                    </w:rPr>
                  </w:pPr>
                  <w:r>
                    <w:rPr>
                      <w:color w:val="auto"/>
                      <w:szCs w:val="21"/>
                    </w:rPr>
                    <w:t>COD</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46A802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31C4BD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1.4896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4BCA64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4.5901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085A483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0.5437</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06A362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1.6754 </w:t>
                  </w:r>
                </w:p>
              </w:tc>
            </w:tr>
            <w:tr w14:paraId="6BA06E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right w:val="single" w:color="auto" w:sz="4" w:space="0"/>
                  </w:tcBorders>
                  <w:noWrap w:val="0"/>
                  <w:vAlign w:val="center"/>
                </w:tcPr>
                <w:p w14:paraId="17613EE5">
                  <w:pPr>
                    <w:adjustRightInd w:val="0"/>
                    <w:snapToGrid w:val="0"/>
                    <w:jc w:val="center"/>
                    <w:rPr>
                      <w:color w:val="auto"/>
                      <w:szCs w:val="21"/>
                    </w:rPr>
                  </w:pPr>
                </w:p>
              </w:tc>
              <w:tc>
                <w:tcPr>
                  <w:tcW w:w="359" w:type="pct"/>
                  <w:vMerge w:val="continue"/>
                  <w:tcBorders>
                    <w:left w:val="single" w:color="auto" w:sz="4" w:space="0"/>
                    <w:right w:val="single" w:color="auto" w:sz="4" w:space="0"/>
                  </w:tcBorders>
                  <w:noWrap w:val="0"/>
                  <w:vAlign w:val="center"/>
                </w:tcPr>
                <w:p w14:paraId="1C0E8886">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7D662451">
                  <w:pPr>
                    <w:adjustRightInd w:val="0"/>
                    <w:snapToGrid w:val="0"/>
                    <w:jc w:val="center"/>
                    <w:rPr>
                      <w:color w:val="auto"/>
                      <w:szCs w:val="21"/>
                    </w:rPr>
                  </w:pPr>
                  <w:r>
                    <w:rPr>
                      <w:color w:val="auto"/>
                      <w:szCs w:val="21"/>
                    </w:rPr>
                    <w:t>BOD</w:t>
                  </w:r>
                  <w:r>
                    <w:rPr>
                      <w:color w:val="auto"/>
                      <w:szCs w:val="21"/>
                      <w:vertAlign w:val="subscript"/>
                    </w:rPr>
                    <w:t>5</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424D93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5DBD35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0.2978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5B91DC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0.9179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60E47F6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0.1087</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01B6AD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0.3350 </w:t>
                  </w:r>
                </w:p>
              </w:tc>
            </w:tr>
            <w:tr w14:paraId="34E247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right w:val="single" w:color="auto" w:sz="4" w:space="0"/>
                  </w:tcBorders>
                  <w:noWrap w:val="0"/>
                  <w:vAlign w:val="center"/>
                </w:tcPr>
                <w:p w14:paraId="75D2A790">
                  <w:pPr>
                    <w:adjustRightInd w:val="0"/>
                    <w:snapToGrid w:val="0"/>
                    <w:jc w:val="center"/>
                    <w:rPr>
                      <w:color w:val="auto"/>
                      <w:szCs w:val="21"/>
                    </w:rPr>
                  </w:pPr>
                </w:p>
              </w:tc>
              <w:tc>
                <w:tcPr>
                  <w:tcW w:w="359" w:type="pct"/>
                  <w:vMerge w:val="continue"/>
                  <w:tcBorders>
                    <w:left w:val="single" w:color="auto" w:sz="4" w:space="0"/>
                    <w:right w:val="single" w:color="auto" w:sz="4" w:space="0"/>
                  </w:tcBorders>
                  <w:noWrap w:val="0"/>
                  <w:vAlign w:val="center"/>
                </w:tcPr>
                <w:p w14:paraId="458C5F22">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6A175A5A">
                  <w:pPr>
                    <w:adjustRightInd w:val="0"/>
                    <w:snapToGrid w:val="0"/>
                    <w:jc w:val="center"/>
                    <w:rPr>
                      <w:color w:val="auto"/>
                      <w:szCs w:val="21"/>
                    </w:rPr>
                  </w:pPr>
                  <w:r>
                    <w:rPr>
                      <w:color w:val="auto"/>
                      <w:szCs w:val="21"/>
                    </w:rPr>
                    <w:t>SS</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0D0F4C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1AF5DD2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0.2978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383C21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0.9179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12C21F3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0.1087</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72C004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0.3350 </w:t>
                  </w:r>
                </w:p>
              </w:tc>
            </w:tr>
            <w:tr w14:paraId="304D99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right w:val="single" w:color="auto" w:sz="4" w:space="0"/>
                  </w:tcBorders>
                  <w:noWrap w:val="0"/>
                  <w:vAlign w:val="center"/>
                </w:tcPr>
                <w:p w14:paraId="1BC63CAB">
                  <w:pPr>
                    <w:adjustRightInd w:val="0"/>
                    <w:snapToGrid w:val="0"/>
                    <w:jc w:val="center"/>
                    <w:rPr>
                      <w:color w:val="auto"/>
                      <w:szCs w:val="21"/>
                    </w:rPr>
                  </w:pPr>
                </w:p>
              </w:tc>
              <w:tc>
                <w:tcPr>
                  <w:tcW w:w="359" w:type="pct"/>
                  <w:vMerge w:val="continue"/>
                  <w:tcBorders>
                    <w:left w:val="single" w:color="auto" w:sz="4" w:space="0"/>
                    <w:right w:val="single" w:color="auto" w:sz="4" w:space="0"/>
                  </w:tcBorders>
                  <w:noWrap w:val="0"/>
                  <w:vAlign w:val="center"/>
                </w:tcPr>
                <w:p w14:paraId="6B00FA48">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77AB0910">
                  <w:pPr>
                    <w:adjustRightInd w:val="0"/>
                    <w:snapToGrid w:val="0"/>
                    <w:jc w:val="center"/>
                    <w:rPr>
                      <w:color w:val="auto"/>
                      <w:szCs w:val="21"/>
                    </w:rPr>
                  </w:pPr>
                  <w:r>
                    <w:rPr>
                      <w:color w:val="auto"/>
                      <w:szCs w:val="21"/>
                    </w:rPr>
                    <w:t>氨氮</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5C3693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6B0A50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0.1490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1014423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0.4591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738BBE9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0.0544</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798252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0.1676 </w:t>
                  </w:r>
                </w:p>
              </w:tc>
            </w:tr>
            <w:tr w14:paraId="62D73B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right w:val="single" w:color="auto" w:sz="4" w:space="0"/>
                  </w:tcBorders>
                  <w:noWrap w:val="0"/>
                  <w:vAlign w:val="center"/>
                </w:tcPr>
                <w:p w14:paraId="27ED1776">
                  <w:pPr>
                    <w:adjustRightInd w:val="0"/>
                    <w:snapToGrid w:val="0"/>
                    <w:jc w:val="center"/>
                    <w:rPr>
                      <w:color w:val="auto"/>
                      <w:szCs w:val="21"/>
                    </w:rPr>
                  </w:pPr>
                </w:p>
              </w:tc>
              <w:tc>
                <w:tcPr>
                  <w:tcW w:w="359" w:type="pct"/>
                  <w:vMerge w:val="continue"/>
                  <w:tcBorders>
                    <w:left w:val="single" w:color="auto" w:sz="4" w:space="0"/>
                    <w:right w:val="single" w:color="auto" w:sz="4" w:space="0"/>
                  </w:tcBorders>
                  <w:noWrap w:val="0"/>
                  <w:vAlign w:val="center"/>
                </w:tcPr>
                <w:p w14:paraId="5A20F675">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108B6C29">
                  <w:pPr>
                    <w:adjustRightInd w:val="0"/>
                    <w:snapToGrid w:val="0"/>
                    <w:jc w:val="center"/>
                    <w:rPr>
                      <w:color w:val="auto"/>
                      <w:szCs w:val="21"/>
                    </w:rPr>
                  </w:pPr>
                  <w:r>
                    <w:rPr>
                      <w:color w:val="auto"/>
                      <w:szCs w:val="21"/>
                    </w:rPr>
                    <w:t>LAS</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27B93E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0.5</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71A056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0.0148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5079F2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0.0458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4BF7A5D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0.0054</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78F47B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0.0167 </w:t>
                  </w:r>
                </w:p>
              </w:tc>
            </w:tr>
            <w:tr w14:paraId="3E041B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right w:val="single" w:color="auto" w:sz="4" w:space="0"/>
                  </w:tcBorders>
                  <w:noWrap w:val="0"/>
                  <w:vAlign w:val="center"/>
                </w:tcPr>
                <w:p w14:paraId="158143DF">
                  <w:pPr>
                    <w:adjustRightInd w:val="0"/>
                    <w:snapToGrid w:val="0"/>
                    <w:jc w:val="center"/>
                    <w:rPr>
                      <w:color w:val="auto"/>
                      <w:szCs w:val="21"/>
                    </w:rPr>
                  </w:pPr>
                </w:p>
              </w:tc>
              <w:tc>
                <w:tcPr>
                  <w:tcW w:w="359" w:type="pct"/>
                  <w:vMerge w:val="continue"/>
                  <w:tcBorders>
                    <w:left w:val="single" w:color="auto" w:sz="4" w:space="0"/>
                    <w:right w:val="single" w:color="auto" w:sz="4" w:space="0"/>
                  </w:tcBorders>
                  <w:noWrap w:val="0"/>
                  <w:vAlign w:val="center"/>
                </w:tcPr>
                <w:p w14:paraId="31CD5672">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0844BBB2">
                  <w:pPr>
                    <w:adjustRightInd w:val="0"/>
                    <w:snapToGrid w:val="0"/>
                    <w:jc w:val="center"/>
                    <w:rPr>
                      <w:color w:val="auto"/>
                      <w:szCs w:val="21"/>
                    </w:rPr>
                  </w:pPr>
                  <w:r>
                    <w:rPr>
                      <w:color w:val="auto"/>
                      <w:szCs w:val="21"/>
                    </w:rPr>
                    <w:t>动植物油</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32D661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w:t>
                  </w:r>
                </w:p>
              </w:tc>
              <w:tc>
                <w:tcPr>
                  <w:tcW w:w="1225" w:type="dxa"/>
                  <w:tcBorders>
                    <w:top w:val="single" w:color="auto" w:sz="4" w:space="0"/>
                    <w:left w:val="single" w:color="auto" w:sz="4" w:space="0"/>
                    <w:bottom w:val="single" w:color="auto" w:sz="4" w:space="0"/>
                    <w:right w:val="single" w:color="auto" w:sz="4" w:space="0"/>
                  </w:tcBorders>
                  <w:noWrap w:val="0"/>
                  <w:vAlign w:val="center"/>
                </w:tcPr>
                <w:p w14:paraId="1DE389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0.0299 </w:t>
                  </w:r>
                </w:p>
              </w:tc>
              <w:tc>
                <w:tcPr>
                  <w:tcW w:w="1316" w:type="dxa"/>
                  <w:tcBorders>
                    <w:top w:val="single" w:color="auto" w:sz="4" w:space="0"/>
                    <w:left w:val="single" w:color="auto" w:sz="4" w:space="0"/>
                    <w:bottom w:val="single" w:color="auto" w:sz="4" w:space="0"/>
                    <w:right w:val="single" w:color="auto" w:sz="4" w:space="0"/>
                  </w:tcBorders>
                  <w:noWrap w:val="0"/>
                  <w:vAlign w:val="center"/>
                </w:tcPr>
                <w:p w14:paraId="491F51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0.0919 </w:t>
                  </w:r>
                </w:p>
              </w:tc>
              <w:tc>
                <w:tcPr>
                  <w:tcW w:w="1214" w:type="dxa"/>
                  <w:tcBorders>
                    <w:top w:val="single" w:color="auto" w:sz="4" w:space="0"/>
                    <w:left w:val="single" w:color="auto" w:sz="4" w:space="0"/>
                    <w:bottom w:val="single" w:color="auto" w:sz="4" w:space="0"/>
                    <w:right w:val="single" w:color="auto" w:sz="4" w:space="0"/>
                  </w:tcBorders>
                  <w:noWrap w:val="0"/>
                  <w:vAlign w:val="center"/>
                </w:tcPr>
                <w:p w14:paraId="3800F47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0.0109</w:t>
                  </w:r>
                </w:p>
              </w:tc>
              <w:tc>
                <w:tcPr>
                  <w:tcW w:w="1247" w:type="dxa"/>
                  <w:tcBorders>
                    <w:top w:val="single" w:color="auto" w:sz="4" w:space="0"/>
                    <w:left w:val="single" w:color="auto" w:sz="4" w:space="0"/>
                    <w:bottom w:val="single" w:color="auto" w:sz="4" w:space="0"/>
                    <w:right w:val="single" w:color="auto" w:sz="4" w:space="0"/>
                  </w:tcBorders>
                  <w:noWrap w:val="0"/>
                  <w:vAlign w:val="center"/>
                </w:tcPr>
                <w:p w14:paraId="747A2C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0.0335 </w:t>
                  </w:r>
                </w:p>
              </w:tc>
            </w:tr>
            <w:tr w14:paraId="0791D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jc w:val="center"/>
              </w:trPr>
              <w:tc>
                <w:tcPr>
                  <w:tcW w:w="252" w:type="pct"/>
                  <w:vMerge w:val="continue"/>
                  <w:tcBorders>
                    <w:left w:val="single" w:color="auto" w:sz="4" w:space="0"/>
                    <w:bottom w:val="single" w:color="auto" w:sz="4" w:space="0"/>
                    <w:right w:val="single" w:color="auto" w:sz="4" w:space="0"/>
                  </w:tcBorders>
                  <w:noWrap w:val="0"/>
                  <w:vAlign w:val="center"/>
                </w:tcPr>
                <w:p w14:paraId="5D3E8733">
                  <w:pPr>
                    <w:adjustRightInd w:val="0"/>
                    <w:snapToGrid w:val="0"/>
                    <w:jc w:val="center"/>
                    <w:rPr>
                      <w:color w:val="auto"/>
                      <w:szCs w:val="21"/>
                    </w:rPr>
                  </w:pPr>
                </w:p>
              </w:tc>
              <w:tc>
                <w:tcPr>
                  <w:tcW w:w="359" w:type="pct"/>
                  <w:vMerge w:val="continue"/>
                  <w:tcBorders>
                    <w:left w:val="single" w:color="auto" w:sz="4" w:space="0"/>
                    <w:bottom w:val="single" w:color="auto" w:sz="4" w:space="0"/>
                    <w:right w:val="single" w:color="auto" w:sz="4" w:space="0"/>
                  </w:tcBorders>
                  <w:noWrap w:val="0"/>
                  <w:vAlign w:val="center"/>
                </w:tcPr>
                <w:p w14:paraId="1E4F83FB">
                  <w:pPr>
                    <w:adjustRightInd w:val="0"/>
                    <w:snapToGrid w:val="0"/>
                    <w:jc w:val="center"/>
                    <w:rPr>
                      <w:color w:val="auto"/>
                      <w:szCs w:val="21"/>
                    </w:rPr>
                  </w:pPr>
                </w:p>
              </w:tc>
              <w:tc>
                <w:tcPr>
                  <w:tcW w:w="767" w:type="pct"/>
                  <w:tcBorders>
                    <w:top w:val="single" w:color="auto" w:sz="4" w:space="0"/>
                    <w:left w:val="single" w:color="auto" w:sz="4" w:space="0"/>
                    <w:bottom w:val="single" w:color="auto" w:sz="4" w:space="0"/>
                    <w:right w:val="single" w:color="auto" w:sz="4" w:space="0"/>
                  </w:tcBorders>
                  <w:noWrap w:val="0"/>
                  <w:vAlign w:val="center"/>
                </w:tcPr>
                <w:p w14:paraId="30FA633A">
                  <w:pPr>
                    <w:adjustRightInd w:val="0"/>
                    <w:snapToGrid w:val="0"/>
                    <w:jc w:val="center"/>
                    <w:rPr>
                      <w:color w:val="auto"/>
                      <w:szCs w:val="21"/>
                    </w:rPr>
                  </w:pPr>
                  <w:r>
                    <w:rPr>
                      <w:color w:val="auto"/>
                      <w:szCs w:val="21"/>
                    </w:rPr>
                    <w:t>粪大肠杆菌</w:t>
                  </w:r>
                </w:p>
              </w:tc>
              <w:tc>
                <w:tcPr>
                  <w:tcW w:w="660" w:type="pct"/>
                  <w:tcBorders>
                    <w:top w:val="single" w:color="auto" w:sz="4" w:space="0"/>
                    <w:left w:val="single" w:color="auto" w:sz="4" w:space="0"/>
                    <w:bottom w:val="single" w:color="auto" w:sz="4" w:space="0"/>
                    <w:right w:val="single" w:color="auto" w:sz="4" w:space="0"/>
                  </w:tcBorders>
                  <w:noWrap w:val="0"/>
                  <w:vAlign w:val="center"/>
                </w:tcPr>
                <w:p w14:paraId="0A932B7A">
                  <w:pPr>
                    <w:adjustRightInd w:val="0"/>
                    <w:snapToGrid w:val="0"/>
                    <w:jc w:val="center"/>
                    <w:rPr>
                      <w:color w:val="auto"/>
                      <w:szCs w:val="21"/>
                    </w:rPr>
                  </w:pPr>
                  <w:r>
                    <w:rPr>
                      <w:color w:val="auto"/>
                      <w:szCs w:val="21"/>
                    </w:rPr>
                    <w:t>1000个/L</w:t>
                  </w:r>
                </w:p>
              </w:tc>
              <w:tc>
                <w:tcPr>
                  <w:tcW w:w="725" w:type="pct"/>
                  <w:tcBorders>
                    <w:top w:val="single" w:color="auto" w:sz="4" w:space="0"/>
                    <w:left w:val="single" w:color="auto" w:sz="4" w:space="0"/>
                    <w:bottom w:val="single" w:color="auto" w:sz="4" w:space="0"/>
                    <w:right w:val="single" w:color="auto" w:sz="4" w:space="0"/>
                  </w:tcBorders>
                  <w:noWrap w:val="0"/>
                  <w:vAlign w:val="center"/>
                </w:tcPr>
                <w:p w14:paraId="39BD8078">
                  <w:pPr>
                    <w:widowControl/>
                    <w:jc w:val="center"/>
                    <w:textAlignment w:val="center"/>
                    <w:rPr>
                      <w:rFonts w:hint="eastAsia" w:eastAsia="宋体"/>
                      <w:color w:val="auto"/>
                      <w:szCs w:val="21"/>
                      <w:lang w:eastAsia="zh-CN"/>
                    </w:rPr>
                  </w:pPr>
                  <w:r>
                    <w:rPr>
                      <w:rFonts w:hint="eastAsia"/>
                      <w:color w:val="auto"/>
                      <w:szCs w:val="21"/>
                      <w:lang w:val="en-US" w:eastAsia="zh-CN"/>
                    </w:rPr>
                    <w:t>/</w:t>
                  </w:r>
                </w:p>
              </w:tc>
              <w:tc>
                <w:tcPr>
                  <w:tcW w:w="779" w:type="pct"/>
                  <w:tcBorders>
                    <w:top w:val="single" w:color="auto" w:sz="4" w:space="0"/>
                    <w:left w:val="single" w:color="auto" w:sz="4" w:space="0"/>
                    <w:bottom w:val="single" w:color="auto" w:sz="4" w:space="0"/>
                    <w:right w:val="single" w:color="auto" w:sz="4" w:space="0"/>
                  </w:tcBorders>
                  <w:noWrap w:val="0"/>
                  <w:vAlign w:val="center"/>
                </w:tcPr>
                <w:p w14:paraId="75CE395F">
                  <w:pPr>
                    <w:adjustRightInd w:val="0"/>
                    <w:snapToGrid w:val="0"/>
                    <w:jc w:val="center"/>
                    <w:rPr>
                      <w:rFonts w:hint="eastAsia" w:eastAsia="宋体"/>
                      <w:color w:val="auto"/>
                      <w:szCs w:val="21"/>
                      <w:lang w:val="en-US" w:eastAsia="zh-CN"/>
                    </w:rPr>
                  </w:pPr>
                  <w:r>
                    <w:rPr>
                      <w:rFonts w:hint="eastAsia"/>
                      <w:color w:val="auto"/>
                      <w:szCs w:val="21"/>
                      <w:lang w:val="en-US" w:eastAsia="zh-CN"/>
                    </w:rPr>
                    <w:t>/</w:t>
                  </w:r>
                </w:p>
              </w:tc>
              <w:tc>
                <w:tcPr>
                  <w:tcW w:w="718" w:type="pct"/>
                  <w:tcBorders>
                    <w:top w:val="single" w:color="auto" w:sz="4" w:space="0"/>
                    <w:left w:val="single" w:color="auto" w:sz="4" w:space="0"/>
                    <w:bottom w:val="single" w:color="auto" w:sz="4" w:space="0"/>
                    <w:right w:val="single" w:color="auto" w:sz="4" w:space="0"/>
                  </w:tcBorders>
                  <w:noWrap w:val="0"/>
                  <w:vAlign w:val="center"/>
                </w:tcPr>
                <w:p w14:paraId="1DE1E836">
                  <w:pPr>
                    <w:widowControl/>
                    <w:jc w:val="center"/>
                    <w:textAlignment w:val="center"/>
                    <w:rPr>
                      <w:rFonts w:hint="eastAsia" w:eastAsia="宋体"/>
                      <w:color w:val="auto"/>
                      <w:szCs w:val="21"/>
                      <w:lang w:eastAsia="zh-CN"/>
                    </w:rPr>
                  </w:pPr>
                  <w:r>
                    <w:rPr>
                      <w:rFonts w:hint="eastAsia"/>
                      <w:color w:val="auto"/>
                      <w:kern w:val="0"/>
                      <w:szCs w:val="21"/>
                      <w:lang w:val="en-US" w:eastAsia="zh-CN" w:bidi="ar"/>
                    </w:rPr>
                    <w:t>/</w:t>
                  </w:r>
                </w:p>
              </w:tc>
              <w:tc>
                <w:tcPr>
                  <w:tcW w:w="738" w:type="pct"/>
                  <w:tcBorders>
                    <w:top w:val="single" w:color="auto" w:sz="4" w:space="0"/>
                    <w:left w:val="single" w:color="auto" w:sz="4" w:space="0"/>
                    <w:bottom w:val="single" w:color="auto" w:sz="4" w:space="0"/>
                    <w:right w:val="single" w:color="auto" w:sz="4" w:space="0"/>
                  </w:tcBorders>
                  <w:noWrap w:val="0"/>
                  <w:vAlign w:val="center"/>
                </w:tcPr>
                <w:p w14:paraId="0E640650">
                  <w:pPr>
                    <w:widowControl/>
                    <w:jc w:val="center"/>
                    <w:textAlignment w:val="center"/>
                    <w:rPr>
                      <w:rFonts w:hint="eastAsia" w:eastAsia="宋体"/>
                      <w:color w:val="auto"/>
                      <w:szCs w:val="21"/>
                      <w:lang w:eastAsia="zh-CN"/>
                    </w:rPr>
                  </w:pPr>
                  <w:r>
                    <w:rPr>
                      <w:rFonts w:hint="eastAsia"/>
                      <w:color w:val="auto"/>
                      <w:szCs w:val="21"/>
                      <w:lang w:val="en-US" w:eastAsia="zh-CN"/>
                    </w:rPr>
                    <w:t>/</w:t>
                  </w:r>
                </w:p>
              </w:tc>
            </w:tr>
          </w:tbl>
          <w:p w14:paraId="5499AD49">
            <w:pPr>
              <w:adjustRightInd w:val="0"/>
              <w:snapToGrid w:val="0"/>
              <w:spacing w:before="120" w:beforeLines="50" w:line="360" w:lineRule="auto"/>
              <w:ind w:left="420"/>
              <w:rPr>
                <w:rFonts w:hint="eastAsia"/>
                <w:b/>
                <w:color w:val="auto"/>
                <w:kern w:val="0"/>
                <w:sz w:val="24"/>
              </w:rPr>
            </w:pPr>
            <w:r>
              <w:rPr>
                <w:rFonts w:hint="eastAsia"/>
                <w:b/>
                <w:color w:val="auto"/>
                <w:kern w:val="0"/>
                <w:sz w:val="24"/>
                <w:lang w:val="en-US" w:eastAsia="zh-CN"/>
              </w:rPr>
              <w:t>4</w:t>
            </w:r>
            <w:r>
              <w:rPr>
                <w:rFonts w:hint="eastAsia"/>
                <w:b/>
                <w:color w:val="auto"/>
                <w:kern w:val="0"/>
                <w:sz w:val="24"/>
              </w:rPr>
              <w:t>）污染源监测计划</w:t>
            </w:r>
          </w:p>
          <w:p w14:paraId="64DCAF06">
            <w:pPr>
              <w:spacing w:line="360" w:lineRule="auto"/>
              <w:ind w:firstLine="480" w:firstLineChars="200"/>
              <w:rPr>
                <w:bCs/>
                <w:color w:val="auto"/>
                <w:sz w:val="24"/>
              </w:rPr>
            </w:pPr>
            <w:r>
              <w:rPr>
                <w:bCs/>
                <w:color w:val="auto"/>
                <w:sz w:val="24"/>
              </w:rPr>
              <w:t>按照《建设项目竣工环境保护验收技术规范 医疗机构》（HJ794-2016）、</w:t>
            </w:r>
            <w:r>
              <w:rPr>
                <w:rFonts w:hint="eastAsia"/>
                <w:bCs/>
                <w:color w:val="auto"/>
                <w:sz w:val="24"/>
              </w:rPr>
              <w:t>《</w:t>
            </w:r>
            <w:r>
              <w:rPr>
                <w:rFonts w:ascii="宋体" w:hAnsi="宋体" w:cs="宋体"/>
                <w:color w:val="auto"/>
                <w:sz w:val="24"/>
              </w:rPr>
              <w:t>排污许可证申请与核发技术规范 医疗机构</w:t>
            </w:r>
            <w:r>
              <w:rPr>
                <w:rFonts w:hint="eastAsia"/>
                <w:bCs/>
                <w:color w:val="auto"/>
                <w:sz w:val="24"/>
              </w:rPr>
              <w:t>》（HJ1105-2020）</w:t>
            </w:r>
            <w:r>
              <w:rPr>
                <w:bCs/>
                <w:color w:val="auto"/>
                <w:sz w:val="24"/>
              </w:rPr>
              <w:t>相关要求</w:t>
            </w:r>
            <w:r>
              <w:rPr>
                <w:rFonts w:hint="eastAsia"/>
                <w:bCs/>
                <w:color w:val="auto"/>
                <w:sz w:val="24"/>
              </w:rPr>
              <w:t>制定污染源监测计划</w:t>
            </w:r>
            <w:r>
              <w:rPr>
                <w:bCs/>
                <w:color w:val="auto"/>
                <w:sz w:val="24"/>
              </w:rPr>
              <w:t>，监测计划详见表4</w:t>
            </w:r>
            <w:r>
              <w:rPr>
                <w:rFonts w:hint="eastAsia"/>
                <w:bCs/>
                <w:color w:val="auto"/>
                <w:sz w:val="24"/>
                <w:lang w:val="en-US" w:eastAsia="zh-CN"/>
              </w:rPr>
              <w:t>.2</w:t>
            </w:r>
            <w:r>
              <w:rPr>
                <w:bCs/>
                <w:color w:val="auto"/>
                <w:sz w:val="24"/>
              </w:rPr>
              <w:t>-</w:t>
            </w:r>
            <w:r>
              <w:rPr>
                <w:rFonts w:hint="eastAsia"/>
                <w:bCs/>
                <w:color w:val="auto"/>
                <w:sz w:val="24"/>
              </w:rPr>
              <w:t>10</w:t>
            </w:r>
            <w:r>
              <w:rPr>
                <w:bCs/>
                <w:color w:val="auto"/>
                <w:sz w:val="24"/>
              </w:rPr>
              <w:t>。</w:t>
            </w:r>
          </w:p>
          <w:p w14:paraId="1774E666">
            <w:pPr>
              <w:jc w:val="center"/>
              <w:rPr>
                <w:b/>
                <w:color w:val="auto"/>
                <w:sz w:val="21"/>
                <w:szCs w:val="21"/>
              </w:rPr>
            </w:pPr>
            <w:r>
              <w:rPr>
                <w:b/>
                <w:color w:val="auto"/>
                <w:sz w:val="21"/>
                <w:szCs w:val="21"/>
              </w:rPr>
              <w:t>表4</w:t>
            </w:r>
            <w:r>
              <w:rPr>
                <w:rFonts w:hint="eastAsia"/>
                <w:b/>
                <w:color w:val="auto"/>
                <w:sz w:val="21"/>
                <w:szCs w:val="21"/>
                <w:lang w:val="en-US" w:eastAsia="zh-CN"/>
              </w:rPr>
              <w:t>.2</w:t>
            </w:r>
            <w:r>
              <w:rPr>
                <w:b/>
                <w:color w:val="auto"/>
                <w:sz w:val="21"/>
                <w:szCs w:val="21"/>
              </w:rPr>
              <w:t>-</w:t>
            </w:r>
            <w:r>
              <w:rPr>
                <w:rFonts w:hint="eastAsia"/>
                <w:b/>
                <w:color w:val="auto"/>
                <w:sz w:val="21"/>
                <w:szCs w:val="21"/>
              </w:rPr>
              <w:t>10</w:t>
            </w:r>
            <w:r>
              <w:rPr>
                <w:rFonts w:hint="eastAsia"/>
                <w:b/>
                <w:color w:val="auto"/>
                <w:sz w:val="21"/>
                <w:szCs w:val="21"/>
                <w:lang w:val="en-US" w:eastAsia="zh-CN"/>
              </w:rPr>
              <w:t xml:space="preserve"> </w:t>
            </w:r>
            <w:r>
              <w:rPr>
                <w:rFonts w:hint="eastAsia"/>
                <w:b/>
                <w:color w:val="auto"/>
                <w:sz w:val="21"/>
                <w:szCs w:val="21"/>
              </w:rPr>
              <w:t>废水污染源</w:t>
            </w:r>
            <w:r>
              <w:rPr>
                <w:b/>
                <w:color w:val="auto"/>
                <w:sz w:val="21"/>
                <w:szCs w:val="21"/>
              </w:rPr>
              <w:t>监测计划一览表</w:t>
            </w:r>
          </w:p>
          <w:tbl>
            <w:tblPr>
              <w:tblStyle w:val="25"/>
              <w:tblW w:w="4990"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6"/>
              <w:gridCol w:w="3703"/>
              <w:gridCol w:w="3708"/>
            </w:tblGrid>
            <w:tr w14:paraId="57C23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8" w:hRule="atLeast"/>
              </w:trPr>
              <w:tc>
                <w:tcPr>
                  <w:tcW w:w="792" w:type="pct"/>
                  <w:noWrap w:val="0"/>
                  <w:vAlign w:val="center"/>
                </w:tcPr>
                <w:p w14:paraId="1AFFB99C">
                  <w:pPr>
                    <w:pStyle w:val="68"/>
                    <w:bidi w:val="0"/>
                    <w:jc w:val="center"/>
                    <w:rPr>
                      <w:rFonts w:hint="default" w:ascii="Times New Roman" w:hAnsi="Times New Roman" w:cs="Times New Roman"/>
                      <w:color w:val="auto"/>
                    </w:rPr>
                  </w:pPr>
                  <w:r>
                    <w:rPr>
                      <w:rFonts w:hint="default" w:ascii="Times New Roman" w:hAnsi="Times New Roman" w:cs="Times New Roman"/>
                      <w:color w:val="auto"/>
                    </w:rPr>
                    <w:t>监测点位</w:t>
                  </w:r>
                </w:p>
              </w:tc>
              <w:tc>
                <w:tcPr>
                  <w:tcW w:w="2102" w:type="pct"/>
                  <w:noWrap w:val="0"/>
                  <w:vAlign w:val="center"/>
                </w:tcPr>
                <w:p w14:paraId="2D99FBA8">
                  <w:pPr>
                    <w:pStyle w:val="68"/>
                    <w:bidi w:val="0"/>
                    <w:jc w:val="center"/>
                    <w:rPr>
                      <w:rFonts w:hint="default" w:ascii="Times New Roman" w:hAnsi="Times New Roman" w:cs="Times New Roman"/>
                      <w:color w:val="auto"/>
                    </w:rPr>
                  </w:pPr>
                  <w:r>
                    <w:rPr>
                      <w:rFonts w:hint="default" w:ascii="Times New Roman" w:hAnsi="Times New Roman" w:cs="Times New Roman"/>
                      <w:color w:val="auto"/>
                    </w:rPr>
                    <w:t>监测因子</w:t>
                  </w:r>
                </w:p>
              </w:tc>
              <w:tc>
                <w:tcPr>
                  <w:tcW w:w="2105" w:type="pct"/>
                  <w:noWrap w:val="0"/>
                  <w:vAlign w:val="center"/>
                </w:tcPr>
                <w:p w14:paraId="41C45543">
                  <w:pPr>
                    <w:pStyle w:val="68"/>
                    <w:bidi w:val="0"/>
                    <w:jc w:val="center"/>
                    <w:rPr>
                      <w:rFonts w:hint="default" w:ascii="Times New Roman" w:hAnsi="Times New Roman" w:cs="Times New Roman"/>
                      <w:color w:val="auto"/>
                    </w:rPr>
                  </w:pPr>
                  <w:r>
                    <w:rPr>
                      <w:rFonts w:hint="default" w:ascii="Times New Roman" w:hAnsi="Times New Roman" w:cs="Times New Roman"/>
                      <w:color w:val="auto"/>
                    </w:rPr>
                    <w:t>监测频率</w:t>
                  </w:r>
                </w:p>
              </w:tc>
            </w:tr>
            <w:tr w14:paraId="4447C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92" w:type="pct"/>
                  <w:vMerge w:val="restart"/>
                  <w:noWrap w:val="0"/>
                  <w:vAlign w:val="center"/>
                </w:tcPr>
                <w:p w14:paraId="3F858325">
                  <w:pPr>
                    <w:pStyle w:val="68"/>
                    <w:bidi w:val="0"/>
                    <w:jc w:val="center"/>
                    <w:rPr>
                      <w:rFonts w:hint="default" w:ascii="Times New Roman" w:hAnsi="Times New Roman" w:cs="Times New Roman"/>
                      <w:color w:val="auto"/>
                    </w:rPr>
                  </w:pPr>
                  <w:r>
                    <w:rPr>
                      <w:rFonts w:hint="default" w:ascii="Times New Roman" w:hAnsi="Times New Roman" w:cs="Times New Roman"/>
                      <w:color w:val="auto"/>
                    </w:rPr>
                    <w:t>污水处理站</w:t>
                  </w:r>
                </w:p>
                <w:p w14:paraId="7E24EF86">
                  <w:pPr>
                    <w:pStyle w:val="68"/>
                    <w:bidi w:val="0"/>
                    <w:jc w:val="center"/>
                    <w:rPr>
                      <w:rFonts w:hint="default" w:ascii="Times New Roman" w:hAnsi="Times New Roman" w:cs="Times New Roman"/>
                      <w:color w:val="auto"/>
                    </w:rPr>
                  </w:pPr>
                  <w:r>
                    <w:rPr>
                      <w:rFonts w:hint="default" w:ascii="Times New Roman" w:hAnsi="Times New Roman" w:cs="Times New Roman"/>
                      <w:color w:val="auto"/>
                    </w:rPr>
                    <w:t>出口</w:t>
                  </w:r>
                </w:p>
              </w:tc>
              <w:tc>
                <w:tcPr>
                  <w:tcW w:w="2102" w:type="pct"/>
                  <w:noWrap w:val="0"/>
                  <w:vAlign w:val="center"/>
                </w:tcPr>
                <w:p w14:paraId="3AC1A61F">
                  <w:pPr>
                    <w:pStyle w:val="68"/>
                    <w:bidi w:val="0"/>
                    <w:jc w:val="center"/>
                    <w:rPr>
                      <w:rFonts w:hint="default" w:ascii="Times New Roman" w:hAnsi="Times New Roman" w:cs="Times New Roman"/>
                      <w:color w:val="auto"/>
                    </w:rPr>
                  </w:pPr>
                  <w:r>
                    <w:rPr>
                      <w:rFonts w:hint="default" w:ascii="Times New Roman" w:hAnsi="Times New Roman" w:cs="Times New Roman"/>
                      <w:color w:val="auto"/>
                    </w:rPr>
                    <w:t>pH</w:t>
                  </w:r>
                </w:p>
              </w:tc>
              <w:tc>
                <w:tcPr>
                  <w:tcW w:w="2105" w:type="pct"/>
                  <w:noWrap w:val="0"/>
                  <w:vAlign w:val="center"/>
                </w:tcPr>
                <w:p w14:paraId="64F01898">
                  <w:pPr>
                    <w:pStyle w:val="68"/>
                    <w:bidi w:val="0"/>
                    <w:jc w:val="center"/>
                    <w:rPr>
                      <w:rFonts w:hint="default" w:ascii="Times New Roman" w:hAnsi="Times New Roman" w:cs="Times New Roman"/>
                      <w:color w:val="auto"/>
                    </w:rPr>
                  </w:pPr>
                  <w:r>
                    <w:rPr>
                      <w:rFonts w:hint="default" w:ascii="Times New Roman" w:hAnsi="Times New Roman" w:cs="Times New Roman"/>
                      <w:color w:val="auto"/>
                    </w:rPr>
                    <w:t>1次/12小时</w:t>
                  </w:r>
                </w:p>
              </w:tc>
            </w:tr>
            <w:tr w14:paraId="6EEDF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792" w:type="pct"/>
                  <w:vMerge w:val="continue"/>
                  <w:noWrap w:val="0"/>
                  <w:vAlign w:val="center"/>
                </w:tcPr>
                <w:p w14:paraId="0F8F6926">
                  <w:pPr>
                    <w:pStyle w:val="68"/>
                    <w:bidi w:val="0"/>
                    <w:jc w:val="center"/>
                    <w:rPr>
                      <w:rFonts w:hint="default" w:ascii="Times New Roman" w:hAnsi="Times New Roman" w:cs="Times New Roman"/>
                      <w:color w:val="auto"/>
                    </w:rPr>
                  </w:pPr>
                </w:p>
              </w:tc>
              <w:tc>
                <w:tcPr>
                  <w:tcW w:w="2102" w:type="pct"/>
                  <w:noWrap w:val="0"/>
                  <w:vAlign w:val="center"/>
                </w:tcPr>
                <w:p w14:paraId="68517EF2">
                  <w:pPr>
                    <w:pStyle w:val="68"/>
                    <w:bidi w:val="0"/>
                    <w:jc w:val="center"/>
                    <w:rPr>
                      <w:rFonts w:hint="default" w:ascii="Times New Roman" w:hAnsi="Times New Roman" w:cs="Times New Roman"/>
                      <w:color w:val="auto"/>
                    </w:rPr>
                  </w:pPr>
                  <w:r>
                    <w:rPr>
                      <w:rFonts w:hint="default" w:ascii="Times New Roman" w:hAnsi="Times New Roman" w:cs="Times New Roman"/>
                      <w:color w:val="auto"/>
                    </w:rPr>
                    <w:t>COD、SS、</w:t>
                  </w:r>
                </w:p>
              </w:tc>
              <w:tc>
                <w:tcPr>
                  <w:tcW w:w="2105" w:type="pct"/>
                  <w:noWrap w:val="0"/>
                  <w:vAlign w:val="center"/>
                </w:tcPr>
                <w:p w14:paraId="635B20E3">
                  <w:pPr>
                    <w:pStyle w:val="68"/>
                    <w:bidi w:val="0"/>
                    <w:jc w:val="center"/>
                    <w:rPr>
                      <w:rFonts w:hint="default" w:ascii="Times New Roman" w:hAnsi="Times New Roman" w:cs="Times New Roman"/>
                      <w:color w:val="auto"/>
                    </w:rPr>
                  </w:pPr>
                  <w:r>
                    <w:rPr>
                      <w:rFonts w:hint="default" w:ascii="Times New Roman" w:hAnsi="Times New Roman" w:cs="Times New Roman"/>
                      <w:color w:val="auto"/>
                    </w:rPr>
                    <w:t>1次/周</w:t>
                  </w:r>
                </w:p>
              </w:tc>
            </w:tr>
            <w:tr w14:paraId="7AB3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92" w:type="pct"/>
                  <w:vMerge w:val="continue"/>
                  <w:noWrap w:val="0"/>
                  <w:vAlign w:val="center"/>
                </w:tcPr>
                <w:p w14:paraId="233DEF0D">
                  <w:pPr>
                    <w:pStyle w:val="68"/>
                    <w:bidi w:val="0"/>
                    <w:jc w:val="center"/>
                    <w:rPr>
                      <w:rFonts w:hint="default" w:ascii="Times New Roman" w:hAnsi="Times New Roman" w:cs="Times New Roman"/>
                      <w:color w:val="auto"/>
                    </w:rPr>
                  </w:pPr>
                </w:p>
              </w:tc>
              <w:tc>
                <w:tcPr>
                  <w:tcW w:w="2102" w:type="pct"/>
                  <w:noWrap w:val="0"/>
                  <w:vAlign w:val="center"/>
                </w:tcPr>
                <w:p w14:paraId="18ECE52C">
                  <w:pPr>
                    <w:pStyle w:val="68"/>
                    <w:bidi w:val="0"/>
                    <w:jc w:val="center"/>
                    <w:rPr>
                      <w:rFonts w:hint="default" w:ascii="Times New Roman" w:hAnsi="Times New Roman" w:cs="Times New Roman"/>
                      <w:color w:val="auto"/>
                    </w:rPr>
                  </w:pPr>
                  <w:r>
                    <w:rPr>
                      <w:rFonts w:hint="default" w:ascii="Times New Roman" w:hAnsi="Times New Roman" w:cs="Times New Roman"/>
                      <w:color w:val="auto"/>
                    </w:rPr>
                    <w:t>粪大肠菌群</w:t>
                  </w:r>
                </w:p>
              </w:tc>
              <w:tc>
                <w:tcPr>
                  <w:tcW w:w="2105" w:type="pct"/>
                  <w:noWrap w:val="0"/>
                  <w:vAlign w:val="center"/>
                </w:tcPr>
                <w:p w14:paraId="7517E500">
                  <w:pPr>
                    <w:pStyle w:val="68"/>
                    <w:bidi w:val="0"/>
                    <w:jc w:val="center"/>
                    <w:rPr>
                      <w:rFonts w:hint="default" w:ascii="Times New Roman" w:hAnsi="Times New Roman" w:cs="Times New Roman"/>
                      <w:color w:val="auto"/>
                    </w:rPr>
                  </w:pPr>
                  <w:r>
                    <w:rPr>
                      <w:rFonts w:hint="default" w:ascii="Times New Roman" w:hAnsi="Times New Roman" w:cs="Times New Roman"/>
                      <w:color w:val="auto"/>
                    </w:rPr>
                    <w:t>1次/月</w:t>
                  </w:r>
                </w:p>
              </w:tc>
            </w:tr>
            <w:tr w14:paraId="756BA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792" w:type="pct"/>
                  <w:vMerge w:val="continue"/>
                  <w:noWrap w:val="0"/>
                  <w:vAlign w:val="center"/>
                </w:tcPr>
                <w:p w14:paraId="04A57A8E">
                  <w:pPr>
                    <w:pStyle w:val="68"/>
                    <w:bidi w:val="0"/>
                    <w:jc w:val="center"/>
                    <w:rPr>
                      <w:rFonts w:hint="default" w:ascii="Times New Roman" w:hAnsi="Times New Roman" w:cs="Times New Roman"/>
                      <w:color w:val="auto"/>
                    </w:rPr>
                  </w:pPr>
                </w:p>
              </w:tc>
              <w:tc>
                <w:tcPr>
                  <w:tcW w:w="2102" w:type="pct"/>
                  <w:noWrap w:val="0"/>
                  <w:vAlign w:val="center"/>
                </w:tcPr>
                <w:p w14:paraId="1A00B00F">
                  <w:pPr>
                    <w:pStyle w:val="68"/>
                    <w:bidi w:val="0"/>
                    <w:jc w:val="center"/>
                    <w:rPr>
                      <w:rFonts w:hint="eastAsia" w:eastAsia="宋体" w:cs="Times New Roman"/>
                      <w:color w:val="auto"/>
                      <w:lang w:val="en-US" w:eastAsia="zh-CN"/>
                    </w:rPr>
                  </w:pPr>
                  <w:r>
                    <w:rPr>
                      <w:rFonts w:hint="default" w:ascii="Times New Roman" w:hAnsi="Times New Roman" w:cs="Times New Roman"/>
                      <w:color w:val="auto"/>
                    </w:rPr>
                    <w:t>BOD</w:t>
                  </w:r>
                  <w:r>
                    <w:rPr>
                      <w:rFonts w:hint="default" w:ascii="Times New Roman" w:hAnsi="Times New Roman" w:cs="Times New Roman"/>
                      <w:color w:val="auto"/>
                      <w:vertAlign w:val="subscript"/>
                    </w:rPr>
                    <w:t>5</w:t>
                  </w:r>
                  <w:r>
                    <w:rPr>
                      <w:rFonts w:hint="default" w:ascii="Times New Roman" w:hAnsi="Times New Roman" w:cs="Times New Roman"/>
                      <w:color w:val="auto"/>
                    </w:rPr>
                    <w:t>、LAS、</w:t>
                  </w:r>
                  <w:r>
                    <w:rPr>
                      <w:rFonts w:hint="eastAsia" w:cs="Times New Roman"/>
                      <w:color w:val="auto"/>
                      <w:lang w:val="en-US" w:eastAsia="zh-CN"/>
                    </w:rPr>
                    <w:t>石油类、</w:t>
                  </w:r>
                </w:p>
                <w:p w14:paraId="3EF9925C">
                  <w:pPr>
                    <w:pStyle w:val="68"/>
                    <w:bidi w:val="0"/>
                    <w:jc w:val="center"/>
                    <w:rPr>
                      <w:rFonts w:hint="default" w:ascii="Times New Roman" w:hAnsi="Times New Roman" w:eastAsia="宋体" w:cs="Times New Roman"/>
                      <w:color w:val="auto"/>
                      <w:lang w:val="en-US" w:eastAsia="zh-CN"/>
                    </w:rPr>
                  </w:pPr>
                  <w:r>
                    <w:rPr>
                      <w:rFonts w:hint="eastAsia" w:cs="Times New Roman"/>
                      <w:color w:val="auto"/>
                      <w:lang w:eastAsia="zh-CN"/>
                    </w:rPr>
                    <w:t>动植物油、</w:t>
                  </w:r>
                  <w:r>
                    <w:rPr>
                      <w:rFonts w:hint="eastAsia" w:cs="Times New Roman"/>
                      <w:color w:val="auto"/>
                      <w:lang w:val="en-US" w:eastAsia="zh-CN"/>
                    </w:rPr>
                    <w:t>总氰化物、挥发酚</w:t>
                  </w:r>
                </w:p>
              </w:tc>
              <w:tc>
                <w:tcPr>
                  <w:tcW w:w="2105" w:type="pct"/>
                  <w:noWrap w:val="0"/>
                  <w:vAlign w:val="center"/>
                </w:tcPr>
                <w:p w14:paraId="45D45F59">
                  <w:pPr>
                    <w:pStyle w:val="68"/>
                    <w:bidi w:val="0"/>
                    <w:jc w:val="center"/>
                    <w:rPr>
                      <w:rFonts w:hint="default" w:ascii="Times New Roman" w:hAnsi="Times New Roman" w:cs="Times New Roman"/>
                      <w:color w:val="auto"/>
                    </w:rPr>
                  </w:pPr>
                  <w:r>
                    <w:rPr>
                      <w:rFonts w:hint="default" w:ascii="Times New Roman" w:hAnsi="Times New Roman" w:cs="Times New Roman"/>
                      <w:color w:val="auto"/>
                    </w:rPr>
                    <w:t>1次/季度</w:t>
                  </w:r>
                </w:p>
              </w:tc>
            </w:tr>
            <w:tr w14:paraId="77470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792" w:type="pct"/>
                  <w:vMerge w:val="continue"/>
                  <w:noWrap w:val="0"/>
                  <w:vAlign w:val="center"/>
                </w:tcPr>
                <w:p w14:paraId="1CF282EA">
                  <w:pPr>
                    <w:pStyle w:val="68"/>
                    <w:bidi w:val="0"/>
                    <w:jc w:val="center"/>
                    <w:rPr>
                      <w:rFonts w:hint="default" w:ascii="Times New Roman" w:hAnsi="Times New Roman" w:cs="Times New Roman"/>
                      <w:color w:val="auto"/>
                    </w:rPr>
                  </w:pPr>
                </w:p>
              </w:tc>
              <w:tc>
                <w:tcPr>
                  <w:tcW w:w="2102" w:type="pct"/>
                  <w:noWrap w:val="0"/>
                  <w:vAlign w:val="center"/>
                </w:tcPr>
                <w:p w14:paraId="35E86519">
                  <w:pPr>
                    <w:pStyle w:val="68"/>
                    <w:bidi w:val="0"/>
                    <w:jc w:val="center"/>
                    <w:rPr>
                      <w:rFonts w:hint="eastAsia" w:eastAsia="宋体" w:cs="Times New Roman"/>
                      <w:color w:val="auto"/>
                      <w:lang w:eastAsia="zh-CN"/>
                    </w:rPr>
                  </w:pPr>
                  <w:r>
                    <w:rPr>
                      <w:rFonts w:hint="default" w:ascii="Times New Roman" w:hAnsi="Times New Roman" w:cs="Times New Roman"/>
                      <w:color w:val="auto"/>
                    </w:rPr>
                    <w:t>总余氯</w:t>
                  </w:r>
                  <w:r>
                    <w:rPr>
                      <w:rFonts w:hint="eastAsia" w:cs="Times New Roman"/>
                      <w:color w:val="auto"/>
                      <w:lang w:eastAsia="zh-CN"/>
                    </w:rPr>
                    <w:t>、肠道致病菌(沙门氏菌)、色度、</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-N</w:t>
                  </w:r>
                </w:p>
              </w:tc>
              <w:tc>
                <w:tcPr>
                  <w:tcW w:w="2105" w:type="pct"/>
                  <w:noWrap w:val="0"/>
                  <w:vAlign w:val="center"/>
                </w:tcPr>
                <w:p w14:paraId="5FAD4209">
                  <w:pPr>
                    <w:pStyle w:val="68"/>
                    <w:bidi w:val="0"/>
                    <w:jc w:val="center"/>
                    <w:rPr>
                      <w:rFonts w:hint="default" w:ascii="Times New Roman" w:hAnsi="Times New Roman" w:cs="Times New Roman"/>
                      <w:color w:val="auto"/>
                    </w:rPr>
                  </w:pPr>
                  <w:r>
                    <w:rPr>
                      <w:rFonts w:hint="eastAsia" w:cs="Times New Roman"/>
                      <w:color w:val="auto"/>
                      <w:lang w:val="en-US" w:eastAsia="zh-CN"/>
                    </w:rPr>
                    <w:t>/</w:t>
                  </w:r>
                </w:p>
              </w:tc>
            </w:tr>
            <w:tr w14:paraId="05D9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792" w:type="pct"/>
                  <w:noWrap w:val="0"/>
                  <w:vAlign w:val="center"/>
                </w:tcPr>
                <w:p w14:paraId="772CD22B">
                  <w:pPr>
                    <w:pStyle w:val="68"/>
                    <w:bidi w:val="0"/>
                    <w:jc w:val="center"/>
                    <w:rPr>
                      <w:rFonts w:hint="eastAsia" w:ascii="Times New Roman" w:hAnsi="Times New Roman" w:eastAsia="宋体" w:cs="Times New Roman"/>
                      <w:color w:val="auto"/>
                      <w:lang w:eastAsia="zh-CN"/>
                    </w:rPr>
                  </w:pPr>
                  <w:r>
                    <w:rPr>
                      <w:rFonts w:hint="eastAsia" w:cs="Times New Roman"/>
                      <w:color w:val="auto"/>
                      <w:lang w:eastAsia="zh-CN"/>
                    </w:rPr>
                    <w:t>接触池出口</w:t>
                  </w:r>
                </w:p>
              </w:tc>
              <w:tc>
                <w:tcPr>
                  <w:tcW w:w="2102" w:type="pct"/>
                  <w:noWrap w:val="0"/>
                  <w:vAlign w:val="center"/>
                </w:tcPr>
                <w:p w14:paraId="3FC4BCFD">
                  <w:pPr>
                    <w:pStyle w:val="68"/>
                    <w:bidi w:val="0"/>
                    <w:jc w:val="center"/>
                    <w:rPr>
                      <w:rFonts w:hint="default" w:ascii="Times New Roman" w:hAnsi="Times New Roman" w:cs="Times New Roman"/>
                      <w:color w:val="auto"/>
                    </w:rPr>
                  </w:pPr>
                  <w:r>
                    <w:rPr>
                      <w:rFonts w:hint="default" w:ascii="Times New Roman" w:hAnsi="Times New Roman" w:cs="Times New Roman"/>
                      <w:color w:val="auto"/>
                    </w:rPr>
                    <w:t>总余氯</w:t>
                  </w:r>
                </w:p>
              </w:tc>
              <w:tc>
                <w:tcPr>
                  <w:tcW w:w="2105" w:type="pct"/>
                  <w:noWrap w:val="0"/>
                  <w:vAlign w:val="center"/>
                </w:tcPr>
                <w:p w14:paraId="0A2145F1">
                  <w:pPr>
                    <w:pStyle w:val="68"/>
                    <w:bidi w:val="0"/>
                    <w:jc w:val="center"/>
                    <w:rPr>
                      <w:rFonts w:hint="eastAsia" w:ascii="Times New Roman" w:hAnsi="Times New Roman" w:eastAsia="宋体" w:cs="Times New Roman"/>
                      <w:color w:val="auto"/>
                      <w:lang w:eastAsia="zh-CN"/>
                    </w:rPr>
                  </w:pPr>
                  <w:r>
                    <w:rPr>
                      <w:rFonts w:hint="eastAsia" w:cs="Times New Roman"/>
                      <w:color w:val="auto"/>
                      <w:lang w:val="en-US" w:eastAsia="zh-CN"/>
                    </w:rPr>
                    <w:t>/</w:t>
                  </w:r>
                </w:p>
              </w:tc>
            </w:tr>
          </w:tbl>
          <w:p w14:paraId="733E196E">
            <w:pPr>
              <w:spacing w:before="120" w:beforeLines="50" w:line="360" w:lineRule="auto"/>
              <w:rPr>
                <w:b/>
                <w:bCs/>
                <w:color w:val="auto"/>
                <w:sz w:val="24"/>
              </w:rPr>
            </w:pPr>
            <w:r>
              <w:rPr>
                <w:b/>
                <w:bCs/>
                <w:color w:val="auto"/>
                <w:sz w:val="24"/>
              </w:rPr>
              <w:t>4.2.</w:t>
            </w:r>
            <w:r>
              <w:rPr>
                <w:rFonts w:hint="eastAsia"/>
                <w:b/>
                <w:bCs/>
                <w:color w:val="auto"/>
                <w:sz w:val="24"/>
              </w:rPr>
              <w:t>3</w:t>
            </w:r>
            <w:r>
              <w:rPr>
                <w:b/>
                <w:bCs/>
                <w:color w:val="auto"/>
                <w:sz w:val="24"/>
              </w:rPr>
              <w:t>声环境影响</w:t>
            </w:r>
            <w:r>
              <w:rPr>
                <w:b/>
                <w:color w:val="auto"/>
                <w:sz w:val="24"/>
              </w:rPr>
              <w:t>分析</w:t>
            </w:r>
            <w:r>
              <w:rPr>
                <w:b/>
                <w:bCs/>
                <w:color w:val="auto"/>
                <w:sz w:val="24"/>
              </w:rPr>
              <w:t>及防治措施</w:t>
            </w:r>
          </w:p>
          <w:p w14:paraId="42CE7783">
            <w:pPr>
              <w:spacing w:line="360" w:lineRule="auto"/>
              <w:ind w:firstLine="482" w:firstLineChars="200"/>
              <w:rPr>
                <w:rFonts w:hint="default" w:ascii="Times New Roman" w:hAnsi="Times New Roman" w:eastAsia="宋体" w:cs="Times New Roman"/>
                <w:b/>
                <w:bCs w:val="0"/>
                <w:color w:val="auto"/>
                <w:sz w:val="24"/>
                <w:szCs w:val="26"/>
                <w:lang w:val="en-US" w:eastAsia="zh-CN"/>
              </w:rPr>
            </w:pPr>
            <w:r>
              <w:rPr>
                <w:rFonts w:hint="default" w:ascii="Times New Roman" w:hAnsi="Times New Roman" w:eastAsia="宋体" w:cs="Times New Roman"/>
                <w:b/>
                <w:bCs w:val="0"/>
                <w:color w:val="auto"/>
                <w:sz w:val="24"/>
                <w:szCs w:val="26"/>
                <w:lang w:val="en-US" w:eastAsia="zh-CN"/>
              </w:rPr>
              <w:t>1）噪声源强分析</w:t>
            </w:r>
          </w:p>
          <w:p w14:paraId="09611451">
            <w:pPr>
              <w:spacing w:line="360" w:lineRule="auto"/>
              <w:ind w:firstLine="480" w:firstLineChars="200"/>
              <w:rPr>
                <w:rFonts w:hint="eastAsia" w:ascii="Times New Roman" w:hAnsi="Times New Roman" w:eastAsia="宋体" w:cs="Times New Roman"/>
                <w:bCs/>
                <w:color w:val="auto"/>
                <w:sz w:val="24"/>
                <w:szCs w:val="26"/>
                <w:lang w:val="en-US" w:eastAsia="zh-CN"/>
              </w:rPr>
            </w:pPr>
            <w:r>
              <w:rPr>
                <w:rFonts w:hint="default" w:ascii="Times New Roman" w:hAnsi="Times New Roman" w:eastAsia="宋体" w:cs="Times New Roman"/>
                <w:bCs/>
                <w:color w:val="auto"/>
                <w:sz w:val="24"/>
                <w:szCs w:val="26"/>
                <w:lang w:val="en-US" w:eastAsia="zh-CN"/>
              </w:rPr>
              <w:t>医院本身作为环境敏感点，需要给病人营造一个良好的就医环境，医院四周各房间均安装双层中空玻璃。医院内部使用各医疗器械噪声甚小</w:t>
            </w:r>
            <w:r>
              <w:rPr>
                <w:rFonts w:hint="eastAsia" w:cs="Times New Roman"/>
                <w:bCs/>
                <w:color w:val="auto"/>
                <w:sz w:val="24"/>
                <w:szCs w:val="26"/>
                <w:lang w:val="en-US" w:eastAsia="zh-CN"/>
              </w:rPr>
              <w:t>，空调挂机外机噪声小</w:t>
            </w:r>
            <w:r>
              <w:rPr>
                <w:rFonts w:hint="eastAsia" w:ascii="Times New Roman" w:hAnsi="Times New Roman" w:eastAsia="宋体" w:cs="Times New Roman"/>
                <w:bCs/>
                <w:color w:val="auto"/>
                <w:sz w:val="24"/>
                <w:szCs w:val="26"/>
                <w:lang w:val="en-US" w:eastAsia="zh-CN"/>
              </w:rPr>
              <w:t>。</w:t>
            </w:r>
            <w:r>
              <w:rPr>
                <w:rFonts w:hint="default" w:ascii="Times New Roman" w:hAnsi="Times New Roman" w:eastAsia="宋体" w:cs="Times New Roman"/>
                <w:bCs/>
                <w:color w:val="auto"/>
                <w:sz w:val="24"/>
                <w:szCs w:val="26"/>
                <w:lang w:val="en-US" w:eastAsia="zh-CN"/>
              </w:rPr>
              <w:t>运营期噪声源主要为污水处理站活性炭吸附风机、污水处</w:t>
            </w:r>
            <w:r>
              <w:rPr>
                <w:rFonts w:hint="eastAsia" w:cs="Times New Roman"/>
                <w:bCs/>
                <w:color w:val="auto"/>
                <w:sz w:val="24"/>
                <w:szCs w:val="26"/>
                <w:lang w:val="en-US" w:eastAsia="zh-CN"/>
              </w:rPr>
              <w:t>理站水泵、加药泵</w:t>
            </w:r>
            <w:r>
              <w:rPr>
                <w:rFonts w:hint="default" w:ascii="Times New Roman" w:hAnsi="Times New Roman" w:eastAsia="宋体" w:cs="Times New Roman"/>
                <w:bCs/>
                <w:color w:val="auto"/>
                <w:sz w:val="24"/>
                <w:szCs w:val="26"/>
                <w:lang w:val="en-US" w:eastAsia="zh-CN"/>
              </w:rPr>
              <w:t>(设备间)的噪声</w:t>
            </w:r>
            <w:r>
              <w:rPr>
                <w:rFonts w:hint="eastAsia" w:ascii="Times New Roman" w:hAnsi="Times New Roman" w:eastAsia="宋体" w:cs="Times New Roman"/>
                <w:bCs/>
                <w:color w:val="auto"/>
                <w:sz w:val="24"/>
                <w:szCs w:val="26"/>
                <w:lang w:val="en-US" w:eastAsia="zh-CN"/>
              </w:rPr>
              <w:t>。</w:t>
            </w:r>
          </w:p>
          <w:p w14:paraId="34D54DE3">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ascii="Times New Roman" w:hAnsi="宋体"/>
                <w:b/>
                <w:bCs/>
                <w:color w:val="auto"/>
                <w:sz w:val="21"/>
                <w:szCs w:val="21"/>
              </w:rPr>
            </w:pPr>
            <w:r>
              <w:rPr>
                <w:rFonts w:hint="eastAsia" w:ascii="Times New Roman" w:hAnsi="宋体"/>
                <w:b/>
                <w:bCs/>
                <w:color w:val="auto"/>
                <w:sz w:val="21"/>
                <w:szCs w:val="21"/>
                <w:lang w:val="en-US" w:eastAsia="zh-CN"/>
              </w:rPr>
              <w:t xml:space="preserve">表4.2-11  主要噪声源源强一览表 (厂房外)  </w:t>
            </w:r>
            <w:r>
              <w:rPr>
                <w:rFonts w:hint="default" w:ascii="Times New Roman" w:hAnsi="宋体"/>
                <w:b/>
                <w:bCs/>
                <w:color w:val="auto"/>
                <w:sz w:val="21"/>
                <w:szCs w:val="21"/>
                <w:lang w:eastAsia="zh-CN"/>
              </w:rPr>
              <w:t xml:space="preserve"> </w:t>
            </w:r>
            <w:r>
              <w:rPr>
                <w:rFonts w:hint="eastAsia" w:ascii="Times New Roman" w:hAnsi="宋体"/>
                <w:b/>
                <w:bCs/>
                <w:color w:val="auto"/>
                <w:sz w:val="21"/>
                <w:szCs w:val="21"/>
                <w:lang w:val="en-US" w:eastAsia="zh-Hans"/>
              </w:rPr>
              <w:t>单位</w:t>
            </w:r>
            <w:r>
              <w:rPr>
                <w:rFonts w:hint="default" w:ascii="Times New Roman" w:hAnsi="宋体"/>
                <w:b/>
                <w:bCs/>
                <w:color w:val="auto"/>
                <w:sz w:val="21"/>
                <w:szCs w:val="21"/>
                <w:lang w:eastAsia="zh-Hans"/>
              </w:rPr>
              <w:t>：</w:t>
            </w:r>
            <w:r>
              <w:rPr>
                <w:rFonts w:hint="default"/>
                <w:b/>
                <w:bCs/>
                <w:color w:val="auto"/>
                <w:sz w:val="21"/>
                <w:szCs w:val="21"/>
              </w:rPr>
              <w:t>dB（A）</w:t>
            </w:r>
          </w:p>
          <w:tbl>
            <w:tblPr>
              <w:tblStyle w:val="25"/>
              <w:tblW w:w="86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727"/>
              <w:gridCol w:w="651"/>
              <w:gridCol w:w="777"/>
              <w:gridCol w:w="901"/>
              <w:gridCol w:w="1426"/>
              <w:gridCol w:w="1068"/>
              <w:gridCol w:w="1173"/>
              <w:gridCol w:w="1215"/>
            </w:tblGrid>
            <w:tr w14:paraId="012CA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729" w:type="dxa"/>
                  <w:vMerge w:val="restart"/>
                  <w:tcBorders>
                    <w:tl2br w:val="nil"/>
                    <w:tr2bl w:val="nil"/>
                  </w:tcBorders>
                  <w:noWrap w:val="0"/>
                  <w:vAlign w:val="center"/>
                </w:tcPr>
                <w:p w14:paraId="7D7F05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bCs/>
                      <w:color w:val="auto"/>
                      <w:kern w:val="0"/>
                      <w:sz w:val="21"/>
                      <w:szCs w:val="21"/>
                      <w:lang w:val="en-US" w:eastAsia="zh-CN"/>
                    </w:rPr>
                  </w:pPr>
                  <w:r>
                    <w:rPr>
                      <w:rFonts w:hint="eastAsia" w:ascii="Times New Roman" w:hAnsi="Times New Roman" w:eastAsia="宋体"/>
                      <w:bCs/>
                      <w:color w:val="auto"/>
                      <w:kern w:val="0"/>
                      <w:sz w:val="21"/>
                      <w:szCs w:val="21"/>
                      <w:lang w:val="en-US" w:eastAsia="zh-CN"/>
                    </w:rPr>
                    <w:t>序号</w:t>
                  </w:r>
                </w:p>
              </w:tc>
              <w:tc>
                <w:tcPr>
                  <w:tcW w:w="727" w:type="dxa"/>
                  <w:vMerge w:val="restart"/>
                  <w:tcBorders>
                    <w:tl2br w:val="nil"/>
                    <w:tr2bl w:val="nil"/>
                  </w:tcBorders>
                  <w:noWrap w:val="0"/>
                  <w:vAlign w:val="center"/>
                </w:tcPr>
                <w:p w14:paraId="6C8287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bCs/>
                      <w:color w:val="auto"/>
                      <w:kern w:val="0"/>
                      <w:sz w:val="21"/>
                      <w:szCs w:val="21"/>
                      <w:lang w:val="en-US" w:eastAsia="zh-CN" w:bidi="ar-SA"/>
                    </w:rPr>
                  </w:pPr>
                  <w:r>
                    <w:rPr>
                      <w:rFonts w:hint="eastAsia" w:ascii="Times New Roman" w:hAnsi="Times New Roman"/>
                      <w:bCs/>
                      <w:color w:val="auto"/>
                      <w:kern w:val="0"/>
                      <w:sz w:val="21"/>
                      <w:szCs w:val="21"/>
                      <w:lang w:val="en-US" w:eastAsia="zh-CN"/>
                    </w:rPr>
                    <w:t>噪声源</w:t>
                  </w:r>
                </w:p>
              </w:tc>
              <w:tc>
                <w:tcPr>
                  <w:tcW w:w="651" w:type="dxa"/>
                  <w:vMerge w:val="restart"/>
                  <w:tcBorders>
                    <w:tl2br w:val="nil"/>
                    <w:tr2bl w:val="nil"/>
                  </w:tcBorders>
                  <w:noWrap w:val="0"/>
                  <w:vAlign w:val="center"/>
                </w:tcPr>
                <w:p w14:paraId="192B9F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bCs/>
                      <w:color w:val="auto"/>
                      <w:kern w:val="0"/>
                      <w:sz w:val="21"/>
                      <w:szCs w:val="21"/>
                      <w:lang w:eastAsia="zh-CN"/>
                    </w:rPr>
                  </w:pPr>
                  <w:r>
                    <w:rPr>
                      <w:rFonts w:hint="eastAsia" w:ascii="Times New Roman" w:hAnsi="Times New Roman"/>
                      <w:bCs/>
                      <w:color w:val="auto"/>
                      <w:kern w:val="0"/>
                      <w:sz w:val="21"/>
                      <w:szCs w:val="21"/>
                      <w:lang w:val="en-US" w:eastAsia="zh-CN"/>
                    </w:rPr>
                    <w:t>型号</w:t>
                  </w:r>
                </w:p>
              </w:tc>
              <w:tc>
                <w:tcPr>
                  <w:tcW w:w="3104" w:type="dxa"/>
                  <w:gridSpan w:val="3"/>
                  <w:tcBorders>
                    <w:tl2br w:val="nil"/>
                    <w:tr2bl w:val="nil"/>
                  </w:tcBorders>
                  <w:noWrap w:val="0"/>
                  <w:vAlign w:val="center"/>
                </w:tcPr>
                <w:p w14:paraId="56E810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bCs/>
                      <w:color w:val="auto"/>
                      <w:kern w:val="0"/>
                      <w:sz w:val="21"/>
                      <w:szCs w:val="21"/>
                      <w:lang w:val="en-US" w:eastAsia="zh-CN" w:bidi="ar-SA"/>
                    </w:rPr>
                  </w:pPr>
                  <w:r>
                    <w:rPr>
                      <w:rFonts w:hint="eastAsia" w:ascii="Times New Roman" w:hAnsi="Times New Roman"/>
                      <w:bCs/>
                      <w:color w:val="auto"/>
                      <w:kern w:val="0"/>
                      <w:sz w:val="21"/>
                      <w:szCs w:val="21"/>
                      <w:lang w:val="en-US" w:eastAsia="zh-CN" w:bidi="ar-SA"/>
                    </w:rPr>
                    <w:t>空间相对位置/m（以本项目中心 为原点，1F地面为Z轴原点）</w:t>
                  </w:r>
                </w:p>
              </w:tc>
              <w:tc>
                <w:tcPr>
                  <w:tcW w:w="1068" w:type="dxa"/>
                  <w:vMerge w:val="restart"/>
                  <w:tcBorders>
                    <w:tl2br w:val="nil"/>
                    <w:tr2bl w:val="nil"/>
                  </w:tcBorders>
                  <w:noWrap w:val="0"/>
                  <w:vAlign w:val="center"/>
                </w:tcPr>
                <w:p w14:paraId="72881A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color w:val="auto"/>
                      <w:sz w:val="21"/>
                      <w:szCs w:val="21"/>
                    </w:rPr>
                  </w:pPr>
                  <w:r>
                    <w:rPr>
                      <w:rFonts w:hint="eastAsia" w:ascii="Times New Roman"/>
                      <w:color w:val="auto"/>
                      <w:sz w:val="21"/>
                      <w:szCs w:val="21"/>
                      <w:lang w:val="en-US" w:eastAsia="zh-CN"/>
                    </w:rPr>
                    <w:t>声功能级</w:t>
                  </w:r>
                  <w:r>
                    <w:rPr>
                      <w:rFonts w:hint="eastAsia" w:ascii="Times New Roman"/>
                      <w:color w:val="auto"/>
                      <w:sz w:val="21"/>
                      <w:szCs w:val="21"/>
                    </w:rPr>
                    <w:t>（dB（A））</w:t>
                  </w:r>
                </w:p>
              </w:tc>
              <w:tc>
                <w:tcPr>
                  <w:tcW w:w="1173" w:type="dxa"/>
                  <w:vMerge w:val="restart"/>
                  <w:tcBorders>
                    <w:tl2br w:val="nil"/>
                    <w:tr2bl w:val="nil"/>
                  </w:tcBorders>
                  <w:noWrap w:val="0"/>
                  <w:vAlign w:val="center"/>
                </w:tcPr>
                <w:p w14:paraId="0FAC3B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eastAsia="宋体"/>
                      <w:color w:val="auto"/>
                      <w:kern w:val="2"/>
                      <w:sz w:val="21"/>
                      <w:szCs w:val="21"/>
                      <w:lang w:val="en-US" w:eastAsia="zh-CN" w:bidi="ar-SA"/>
                    </w:rPr>
                  </w:pPr>
                  <w:r>
                    <w:rPr>
                      <w:rFonts w:hint="eastAsia" w:ascii="Times New Roman"/>
                      <w:color w:val="auto"/>
                      <w:sz w:val="21"/>
                      <w:szCs w:val="21"/>
                    </w:rPr>
                    <w:t>声源</w:t>
                  </w:r>
                  <w:r>
                    <w:rPr>
                      <w:rFonts w:hint="eastAsia" w:ascii="Times New Roman"/>
                      <w:color w:val="auto"/>
                      <w:sz w:val="21"/>
                      <w:szCs w:val="21"/>
                      <w:lang w:val="en-US" w:eastAsia="zh-CN"/>
                    </w:rPr>
                    <w:t>控制措施</w:t>
                  </w:r>
                </w:p>
              </w:tc>
              <w:tc>
                <w:tcPr>
                  <w:tcW w:w="1215" w:type="dxa"/>
                  <w:vMerge w:val="restart"/>
                  <w:tcBorders>
                    <w:tl2br w:val="nil"/>
                    <w:tr2bl w:val="nil"/>
                  </w:tcBorders>
                  <w:noWrap w:val="0"/>
                  <w:vAlign w:val="center"/>
                </w:tcPr>
                <w:p w14:paraId="334B9F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宋体"/>
                      <w:color w:val="auto"/>
                      <w:kern w:val="2"/>
                      <w:sz w:val="21"/>
                      <w:szCs w:val="21"/>
                      <w:lang w:val="en-US" w:eastAsia="zh-CN" w:bidi="ar-SA"/>
                    </w:rPr>
                  </w:pPr>
                  <w:r>
                    <w:rPr>
                      <w:rFonts w:hint="eastAsia" w:ascii="Times New Roman" w:hAnsi="宋体"/>
                      <w:color w:val="auto"/>
                      <w:kern w:val="2"/>
                      <w:sz w:val="21"/>
                      <w:szCs w:val="21"/>
                      <w:lang w:val="en-US" w:eastAsia="zh-CN" w:bidi="ar-SA"/>
                    </w:rPr>
                    <w:t>运行时段</w:t>
                  </w:r>
                </w:p>
              </w:tc>
            </w:tr>
            <w:tr w14:paraId="43092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729" w:type="dxa"/>
                  <w:vMerge w:val="continue"/>
                  <w:tcBorders>
                    <w:tl2br w:val="nil"/>
                    <w:tr2bl w:val="nil"/>
                  </w:tcBorders>
                  <w:noWrap w:val="0"/>
                  <w:vAlign w:val="center"/>
                </w:tcPr>
                <w:p w14:paraId="4DB20C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27" w:type="dxa"/>
                  <w:vMerge w:val="continue"/>
                  <w:tcBorders>
                    <w:tl2br w:val="nil"/>
                    <w:tr2bl w:val="nil"/>
                  </w:tcBorders>
                  <w:noWrap w:val="0"/>
                  <w:vAlign w:val="center"/>
                </w:tcPr>
                <w:p w14:paraId="6EAE57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651" w:type="dxa"/>
                  <w:vMerge w:val="continue"/>
                  <w:tcBorders>
                    <w:tl2br w:val="nil"/>
                    <w:tr2bl w:val="nil"/>
                  </w:tcBorders>
                  <w:noWrap w:val="0"/>
                  <w:vAlign w:val="center"/>
                </w:tcPr>
                <w:p w14:paraId="67EA68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p>
              </w:tc>
              <w:tc>
                <w:tcPr>
                  <w:tcW w:w="777" w:type="dxa"/>
                  <w:tcBorders>
                    <w:tl2br w:val="nil"/>
                    <w:tr2bl w:val="nil"/>
                  </w:tcBorders>
                  <w:noWrap w:val="0"/>
                  <w:vAlign w:val="center"/>
                </w:tcPr>
                <w:p w14:paraId="23B4A8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eastAsia="宋体"/>
                      <w:color w:val="auto"/>
                      <w:sz w:val="21"/>
                      <w:szCs w:val="21"/>
                      <w:lang w:val="en-US" w:eastAsia="zh-CN"/>
                    </w:rPr>
                  </w:pPr>
                  <w:r>
                    <w:rPr>
                      <w:rFonts w:hint="eastAsia" w:ascii="Times New Roman"/>
                      <w:color w:val="auto"/>
                      <w:sz w:val="21"/>
                      <w:szCs w:val="21"/>
                      <w:lang w:val="en-US" w:eastAsia="zh-CN"/>
                    </w:rPr>
                    <w:t>X</w:t>
                  </w:r>
                </w:p>
              </w:tc>
              <w:tc>
                <w:tcPr>
                  <w:tcW w:w="901" w:type="dxa"/>
                  <w:tcBorders>
                    <w:tl2br w:val="nil"/>
                    <w:tr2bl w:val="nil"/>
                  </w:tcBorders>
                  <w:noWrap w:val="0"/>
                  <w:vAlign w:val="center"/>
                </w:tcPr>
                <w:p w14:paraId="17ACD6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eastAsia="宋体"/>
                      <w:color w:val="auto"/>
                      <w:sz w:val="21"/>
                      <w:szCs w:val="21"/>
                      <w:lang w:val="en-US" w:eastAsia="zh-CN"/>
                    </w:rPr>
                  </w:pPr>
                  <w:r>
                    <w:rPr>
                      <w:rFonts w:hint="eastAsia" w:ascii="Times New Roman"/>
                      <w:color w:val="auto"/>
                      <w:sz w:val="21"/>
                      <w:szCs w:val="21"/>
                      <w:lang w:val="en-US" w:eastAsia="zh-CN"/>
                    </w:rPr>
                    <w:t>Y</w:t>
                  </w:r>
                </w:p>
              </w:tc>
              <w:tc>
                <w:tcPr>
                  <w:tcW w:w="1426" w:type="dxa"/>
                  <w:tcBorders>
                    <w:tl2br w:val="nil"/>
                    <w:tr2bl w:val="nil"/>
                  </w:tcBorders>
                  <w:noWrap w:val="0"/>
                  <w:vAlign w:val="center"/>
                </w:tcPr>
                <w:p w14:paraId="143666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eastAsia="宋体"/>
                      <w:color w:val="auto"/>
                      <w:sz w:val="21"/>
                      <w:szCs w:val="21"/>
                      <w:lang w:val="en-US" w:eastAsia="zh-CN"/>
                    </w:rPr>
                  </w:pPr>
                  <w:r>
                    <w:rPr>
                      <w:rFonts w:hint="eastAsia" w:ascii="Times New Roman"/>
                      <w:color w:val="auto"/>
                      <w:sz w:val="21"/>
                      <w:szCs w:val="21"/>
                      <w:lang w:val="en-US" w:eastAsia="zh-CN"/>
                    </w:rPr>
                    <w:t>Z</w:t>
                  </w:r>
                </w:p>
              </w:tc>
              <w:tc>
                <w:tcPr>
                  <w:tcW w:w="1068" w:type="dxa"/>
                  <w:vMerge w:val="continue"/>
                  <w:tcBorders>
                    <w:tl2br w:val="nil"/>
                    <w:tr2bl w:val="nil"/>
                  </w:tcBorders>
                  <w:noWrap w:val="0"/>
                  <w:vAlign w:val="center"/>
                </w:tcPr>
                <w:p w14:paraId="043D04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color w:val="auto"/>
                      <w:sz w:val="21"/>
                      <w:szCs w:val="21"/>
                    </w:rPr>
                  </w:pPr>
                </w:p>
              </w:tc>
              <w:tc>
                <w:tcPr>
                  <w:tcW w:w="1173" w:type="dxa"/>
                  <w:vMerge w:val="continue"/>
                  <w:tcBorders>
                    <w:tl2br w:val="nil"/>
                    <w:tr2bl w:val="nil"/>
                  </w:tcBorders>
                  <w:noWrap w:val="0"/>
                  <w:vAlign w:val="center"/>
                </w:tcPr>
                <w:p w14:paraId="00A14F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eastAsia="宋体"/>
                      <w:color w:val="auto"/>
                      <w:kern w:val="2"/>
                      <w:sz w:val="21"/>
                      <w:szCs w:val="21"/>
                      <w:lang w:val="en-US" w:eastAsia="zh-CN" w:bidi="ar-SA"/>
                    </w:rPr>
                  </w:pPr>
                </w:p>
              </w:tc>
              <w:tc>
                <w:tcPr>
                  <w:tcW w:w="1215" w:type="dxa"/>
                  <w:vMerge w:val="continue"/>
                  <w:tcBorders>
                    <w:tl2br w:val="nil"/>
                    <w:tr2bl w:val="nil"/>
                  </w:tcBorders>
                  <w:noWrap w:val="0"/>
                  <w:vAlign w:val="center"/>
                </w:tcPr>
                <w:p w14:paraId="3FA172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color w:val="auto"/>
                      <w:sz w:val="21"/>
                      <w:szCs w:val="21"/>
                    </w:rPr>
                  </w:pPr>
                </w:p>
              </w:tc>
            </w:tr>
            <w:tr w14:paraId="439B1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729" w:type="dxa"/>
                  <w:tcBorders>
                    <w:tl2br w:val="nil"/>
                    <w:tr2bl w:val="nil"/>
                  </w:tcBorders>
                  <w:noWrap w:val="0"/>
                  <w:vAlign w:val="center"/>
                </w:tcPr>
                <w:p w14:paraId="7652FF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1</w:t>
                  </w:r>
                </w:p>
              </w:tc>
              <w:tc>
                <w:tcPr>
                  <w:tcW w:w="727" w:type="dxa"/>
                  <w:tcBorders>
                    <w:tl2br w:val="nil"/>
                    <w:tr2bl w:val="nil"/>
                  </w:tcBorders>
                  <w:noWrap w:val="0"/>
                  <w:vAlign w:val="center"/>
                </w:tcPr>
                <w:p w14:paraId="7A3B081A">
                  <w:pPr>
                    <w:pStyle w:val="73"/>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活性炭吸附风机</w:t>
                  </w:r>
                </w:p>
              </w:tc>
              <w:tc>
                <w:tcPr>
                  <w:tcW w:w="651" w:type="dxa"/>
                  <w:tcBorders>
                    <w:tl2br w:val="nil"/>
                    <w:tr2bl w:val="nil"/>
                  </w:tcBorders>
                  <w:noWrap w:val="0"/>
                  <w:vAlign w:val="center"/>
                </w:tcPr>
                <w:p w14:paraId="2E667CB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777" w:type="dxa"/>
                  <w:tcBorders>
                    <w:tl2br w:val="nil"/>
                    <w:tr2bl w:val="nil"/>
                  </w:tcBorders>
                  <w:noWrap w:val="0"/>
                  <w:vAlign w:val="center"/>
                </w:tcPr>
                <w:p w14:paraId="7151A5F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eastAsia="宋体"/>
                      <w:color w:val="auto"/>
                      <w:sz w:val="21"/>
                      <w:szCs w:val="21"/>
                      <w:lang w:val="en-US" w:eastAsia="zh-CN"/>
                    </w:rPr>
                  </w:pPr>
                  <w:r>
                    <w:rPr>
                      <w:rFonts w:hint="eastAsia" w:ascii="Times New Roman" w:eastAsia="宋体"/>
                      <w:color w:val="auto"/>
                      <w:sz w:val="21"/>
                      <w:szCs w:val="21"/>
                      <w:lang w:val="en-US" w:eastAsia="zh-CN"/>
                    </w:rPr>
                    <w:t>-3</w:t>
                  </w:r>
                  <w:r>
                    <w:rPr>
                      <w:rFonts w:hint="eastAsia"/>
                      <w:color w:val="auto"/>
                      <w:sz w:val="21"/>
                      <w:szCs w:val="21"/>
                      <w:lang w:val="en-US" w:eastAsia="zh-CN"/>
                    </w:rPr>
                    <w:t>3</w:t>
                  </w:r>
                </w:p>
              </w:tc>
              <w:tc>
                <w:tcPr>
                  <w:tcW w:w="901" w:type="dxa"/>
                  <w:tcBorders>
                    <w:tl2br w:val="nil"/>
                    <w:tr2bl w:val="nil"/>
                  </w:tcBorders>
                  <w:noWrap w:val="0"/>
                  <w:vAlign w:val="center"/>
                </w:tcPr>
                <w:p w14:paraId="745821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eastAsia="宋体"/>
                      <w:color w:val="auto"/>
                      <w:sz w:val="21"/>
                      <w:szCs w:val="21"/>
                      <w:lang w:val="en-US" w:eastAsia="zh-CN"/>
                    </w:rPr>
                  </w:pPr>
                  <w:r>
                    <w:rPr>
                      <w:rFonts w:hint="eastAsia" w:ascii="Times New Roman" w:eastAsia="宋体"/>
                      <w:color w:val="auto"/>
                      <w:sz w:val="21"/>
                      <w:szCs w:val="21"/>
                      <w:lang w:val="en-US" w:eastAsia="zh-CN"/>
                    </w:rPr>
                    <w:t>-4.9</w:t>
                  </w:r>
                </w:p>
              </w:tc>
              <w:tc>
                <w:tcPr>
                  <w:tcW w:w="1426" w:type="dxa"/>
                  <w:tcBorders>
                    <w:tl2br w:val="nil"/>
                    <w:tr2bl w:val="nil"/>
                  </w:tcBorders>
                  <w:noWrap w:val="0"/>
                  <w:vAlign w:val="center"/>
                </w:tcPr>
                <w:p w14:paraId="5CD8DE4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eastAsia="宋体"/>
                      <w:color w:val="auto"/>
                      <w:sz w:val="21"/>
                      <w:szCs w:val="21"/>
                      <w:lang w:val="en-US" w:eastAsia="zh-CN"/>
                    </w:rPr>
                  </w:pPr>
                  <w:r>
                    <w:rPr>
                      <w:rFonts w:hint="eastAsia"/>
                      <w:color w:val="auto"/>
                      <w:sz w:val="21"/>
                      <w:szCs w:val="21"/>
                      <w:lang w:val="en-US" w:eastAsia="zh-CN"/>
                    </w:rPr>
                    <w:t>0.1</w:t>
                  </w:r>
                </w:p>
              </w:tc>
              <w:tc>
                <w:tcPr>
                  <w:tcW w:w="1068" w:type="dxa"/>
                  <w:tcBorders>
                    <w:tl2br w:val="nil"/>
                    <w:tr2bl w:val="nil"/>
                  </w:tcBorders>
                  <w:noWrap w:val="0"/>
                  <w:vAlign w:val="center"/>
                </w:tcPr>
                <w:p w14:paraId="40D3C5B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eastAsia="宋体"/>
                      <w:color w:val="auto"/>
                      <w:sz w:val="21"/>
                      <w:szCs w:val="21"/>
                      <w:lang w:val="en-US" w:eastAsia="zh-CN"/>
                    </w:rPr>
                  </w:pPr>
                  <w:r>
                    <w:rPr>
                      <w:rFonts w:hint="eastAsia"/>
                      <w:color w:val="auto"/>
                      <w:sz w:val="21"/>
                      <w:szCs w:val="21"/>
                      <w:lang w:val="en-US" w:eastAsia="zh-CN"/>
                    </w:rPr>
                    <w:t>6</w:t>
                  </w:r>
                  <w:r>
                    <w:rPr>
                      <w:rFonts w:hint="eastAsia" w:ascii="Times New Roman" w:eastAsia="宋体"/>
                      <w:color w:val="auto"/>
                      <w:sz w:val="21"/>
                      <w:szCs w:val="21"/>
                      <w:lang w:val="en-US" w:eastAsia="zh-CN"/>
                    </w:rPr>
                    <w:t>0</w:t>
                  </w:r>
                </w:p>
              </w:tc>
              <w:tc>
                <w:tcPr>
                  <w:tcW w:w="1173" w:type="dxa"/>
                  <w:tcBorders>
                    <w:tl2br w:val="nil"/>
                    <w:tr2bl w:val="nil"/>
                  </w:tcBorders>
                  <w:noWrap w:val="0"/>
                  <w:vAlign w:val="center"/>
                </w:tcPr>
                <w:p w14:paraId="452A33E9">
                  <w:pPr>
                    <w:keepNext w:val="0"/>
                    <w:keepLines w:val="0"/>
                    <w:widowControl/>
                    <w:suppressLineNumbers w:val="0"/>
                    <w:jc w:val="left"/>
                    <w:rPr>
                      <w:rFonts w:hint="eastAsia" w:ascii="Times New Roman"/>
                      <w:color w:val="auto"/>
                      <w:sz w:val="21"/>
                      <w:szCs w:val="21"/>
                    </w:rPr>
                  </w:pPr>
                  <w:r>
                    <w:rPr>
                      <w:rFonts w:hint="eastAsia" w:ascii="宋体" w:hAnsi="宋体" w:eastAsia="宋体" w:cs="宋体"/>
                      <w:color w:val="auto"/>
                      <w:kern w:val="0"/>
                      <w:sz w:val="20"/>
                      <w:szCs w:val="20"/>
                      <w:lang w:val="en-US" w:eastAsia="zh-CN" w:bidi="ar"/>
                    </w:rPr>
                    <w:t>低噪声设备、基础减振</w:t>
                  </w:r>
                </w:p>
              </w:tc>
              <w:tc>
                <w:tcPr>
                  <w:tcW w:w="1215" w:type="dxa"/>
                  <w:tcBorders>
                    <w:tl2br w:val="nil"/>
                    <w:tr2bl w:val="nil"/>
                  </w:tcBorders>
                  <w:noWrap w:val="0"/>
                  <w:vAlign w:val="center"/>
                </w:tcPr>
                <w:p w14:paraId="28C9E3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olor w:val="auto"/>
                      <w:kern w:val="0"/>
                      <w:sz w:val="21"/>
                      <w:szCs w:val="21"/>
                      <w:lang w:val="en-US" w:eastAsia="zh-CN"/>
                    </w:rPr>
                  </w:pPr>
                  <w:r>
                    <w:rPr>
                      <w:rFonts w:hint="eastAsia" w:ascii="Times New Roman"/>
                      <w:color w:val="auto"/>
                      <w:sz w:val="21"/>
                      <w:szCs w:val="21"/>
                      <w:lang w:val="en-US" w:eastAsia="zh-CN"/>
                    </w:rPr>
                    <w:t>0:00~24:00</w:t>
                  </w:r>
                </w:p>
              </w:tc>
            </w:tr>
            <w:tr w14:paraId="7A012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67" w:type="dxa"/>
                  <w:gridSpan w:val="9"/>
                  <w:tcBorders>
                    <w:tl2br w:val="nil"/>
                    <w:tr2bl w:val="nil"/>
                  </w:tcBorders>
                  <w:noWrap w:val="0"/>
                  <w:vAlign w:val="center"/>
                </w:tcPr>
                <w:p w14:paraId="3D134E82">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Times New Roman"/>
                      <w:color w:val="auto"/>
                      <w:sz w:val="21"/>
                      <w:szCs w:val="21"/>
                      <w:lang w:val="en-US" w:eastAsia="zh-CN"/>
                    </w:rPr>
                  </w:pPr>
                  <w:r>
                    <w:rPr>
                      <w:rFonts w:hint="default" w:ascii="Times New Roman" w:hAnsi="Times New Roman" w:cs="Times New Roman" w:eastAsiaTheme="minorEastAsia"/>
                      <w:b w:val="0"/>
                      <w:bCs/>
                      <w:color w:val="auto"/>
                      <w:sz w:val="21"/>
                      <w:szCs w:val="21"/>
                      <w:lang w:val="en-US" w:eastAsia="zh-CN"/>
                    </w:rPr>
                    <w:t>坐标以厂界中心（106.472412</w:t>
                  </w:r>
                  <w:r>
                    <w:rPr>
                      <w:rFonts w:hint="eastAsia" w:cs="Times New Roman" w:eastAsiaTheme="minorEastAsia"/>
                      <w:b w:val="0"/>
                      <w:bCs/>
                      <w:color w:val="auto"/>
                      <w:sz w:val="21"/>
                      <w:szCs w:val="21"/>
                      <w:lang w:val="en-US" w:eastAsia="zh-CN"/>
                    </w:rPr>
                    <w:t>，</w:t>
                  </w:r>
                  <w:r>
                    <w:rPr>
                      <w:rFonts w:hint="default" w:ascii="Times New Roman" w:hAnsi="Times New Roman" w:cs="Times New Roman" w:eastAsiaTheme="minorEastAsia"/>
                      <w:b w:val="0"/>
                      <w:bCs/>
                      <w:color w:val="auto"/>
                      <w:sz w:val="21"/>
                      <w:szCs w:val="21"/>
                      <w:lang w:val="en-US" w:eastAsia="zh-CN"/>
                    </w:rPr>
                    <w:t>29.525821）为坐标原点，正东向为X轴正方向，正北向为Y轴正方向</w:t>
                  </w:r>
                  <w:r>
                    <w:rPr>
                      <w:rFonts w:hint="eastAsia" w:ascii="Times New Roman" w:hAnsi="Times New Roman" w:cs="Times New Roman" w:eastAsiaTheme="minorEastAsia"/>
                      <w:b w:val="0"/>
                      <w:bCs/>
                      <w:color w:val="auto"/>
                      <w:sz w:val="21"/>
                      <w:szCs w:val="21"/>
                      <w:lang w:val="en-US" w:eastAsia="zh-CN"/>
                    </w:rPr>
                    <w:t>。</w:t>
                  </w:r>
                </w:p>
              </w:tc>
            </w:tr>
          </w:tbl>
          <w:p w14:paraId="00D0A4C0">
            <w:pPr>
              <w:spacing w:line="360" w:lineRule="auto"/>
              <w:ind w:firstLine="480" w:firstLineChars="200"/>
              <w:rPr>
                <w:rFonts w:hint="eastAsia"/>
                <w:b w:val="0"/>
                <w:bCs/>
                <w:color w:val="auto"/>
                <w:sz w:val="24"/>
                <w:szCs w:val="26"/>
                <w:lang w:val="en-US" w:eastAsia="zh-CN"/>
              </w:rPr>
            </w:pPr>
          </w:p>
          <w:p w14:paraId="08A914FC">
            <w:pPr>
              <w:adjustRightInd w:val="0"/>
              <w:snapToGrid w:val="0"/>
              <w:spacing w:line="360" w:lineRule="auto"/>
              <w:rPr>
                <w:bCs/>
                <w:color w:val="auto"/>
                <w:spacing w:val="-10"/>
                <w:szCs w:val="21"/>
              </w:rPr>
            </w:pPr>
          </w:p>
        </w:tc>
      </w:tr>
    </w:tbl>
    <w:p w14:paraId="3C333F23">
      <w:pP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6411A93">
      <w:pPr>
        <w:pStyle w:val="23"/>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 xml:space="preserve">表 </w:t>
      </w:r>
      <w:r>
        <w:rPr>
          <w:rFonts w:hint="default" w:ascii="Times New Roman" w:hAnsi="Times New Roman" w:cs="Times New Roman"/>
          <w:b/>
          <w:bCs/>
          <w:color w:val="auto"/>
          <w:sz w:val="21"/>
          <w:szCs w:val="21"/>
          <w:lang w:val="en-US" w:eastAsia="zh-CN"/>
        </w:rPr>
        <w:t>4</w:t>
      </w:r>
      <w:r>
        <w:rPr>
          <w:rFonts w:hint="eastAsia" w:ascii="Times New Roman" w:hAnsi="Times New Roman" w:cs="Times New Roman"/>
          <w:b/>
          <w:bCs/>
          <w:color w:val="auto"/>
          <w:sz w:val="21"/>
          <w:szCs w:val="21"/>
          <w:lang w:val="en-US" w:eastAsia="zh-CN"/>
        </w:rPr>
        <w:t xml:space="preserve">.2-13   </w:t>
      </w:r>
      <w:r>
        <w:rPr>
          <w:rFonts w:hint="default" w:ascii="Times New Roman" w:hAnsi="Times New Roman" w:eastAsia="宋体" w:cs="Times New Roman"/>
          <w:b/>
          <w:bCs/>
          <w:color w:val="auto"/>
          <w:sz w:val="21"/>
          <w:szCs w:val="21"/>
        </w:rPr>
        <w:t>主要噪声设备源强一览表表（室内声源）</w:t>
      </w:r>
    </w:p>
    <w:tbl>
      <w:tblPr>
        <w:tblStyle w:val="25"/>
        <w:tblW w:w="52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647"/>
        <w:gridCol w:w="1020"/>
        <w:gridCol w:w="1380"/>
        <w:gridCol w:w="922"/>
        <w:gridCol w:w="1320"/>
        <w:gridCol w:w="570"/>
        <w:gridCol w:w="563"/>
        <w:gridCol w:w="555"/>
        <w:gridCol w:w="1134"/>
        <w:gridCol w:w="1374"/>
        <w:gridCol w:w="673"/>
        <w:gridCol w:w="978"/>
        <w:gridCol w:w="1230"/>
        <w:gridCol w:w="1081"/>
      </w:tblGrid>
      <w:tr w14:paraId="7FC3C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exact"/>
          <w:jc w:val="center"/>
        </w:trPr>
        <w:tc>
          <w:tcPr>
            <w:tcW w:w="198" w:type="pct"/>
            <w:vMerge w:val="restart"/>
            <w:noWrap w:val="0"/>
            <w:vAlign w:val="center"/>
          </w:tcPr>
          <w:p w14:paraId="5DD1D9C5">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序号</w:t>
            </w:r>
          </w:p>
        </w:tc>
        <w:tc>
          <w:tcPr>
            <w:tcW w:w="231" w:type="pct"/>
            <w:vMerge w:val="restart"/>
            <w:noWrap w:val="0"/>
            <w:vAlign w:val="center"/>
          </w:tcPr>
          <w:p w14:paraId="0A0C48F5">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建筑物名称</w:t>
            </w:r>
          </w:p>
        </w:tc>
        <w:tc>
          <w:tcPr>
            <w:tcW w:w="364" w:type="pct"/>
            <w:vMerge w:val="restart"/>
            <w:noWrap w:val="0"/>
            <w:vAlign w:val="center"/>
          </w:tcPr>
          <w:p w14:paraId="0503C1A8">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声源</w:t>
            </w:r>
          </w:p>
          <w:p w14:paraId="3D1EB658">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名称</w:t>
            </w:r>
          </w:p>
        </w:tc>
        <w:tc>
          <w:tcPr>
            <w:tcW w:w="822" w:type="pct"/>
            <w:gridSpan w:val="2"/>
            <w:noWrap w:val="0"/>
            <w:vAlign w:val="center"/>
          </w:tcPr>
          <w:p w14:paraId="7455C7CB">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声源源强（任选一种）</w:t>
            </w:r>
          </w:p>
        </w:tc>
        <w:tc>
          <w:tcPr>
            <w:tcW w:w="471" w:type="pct"/>
            <w:vMerge w:val="restart"/>
            <w:noWrap w:val="0"/>
            <w:vAlign w:val="center"/>
          </w:tcPr>
          <w:p w14:paraId="764D06A1">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声源控制措施</w:t>
            </w:r>
          </w:p>
        </w:tc>
        <w:tc>
          <w:tcPr>
            <w:tcW w:w="602" w:type="pct"/>
            <w:gridSpan w:val="3"/>
            <w:noWrap w:val="0"/>
            <w:vAlign w:val="center"/>
          </w:tcPr>
          <w:p w14:paraId="7E9DD067">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空间相对位置/m</w:t>
            </w:r>
          </w:p>
        </w:tc>
        <w:tc>
          <w:tcPr>
            <w:tcW w:w="404" w:type="pct"/>
            <w:vMerge w:val="restart"/>
            <w:noWrap w:val="0"/>
            <w:vAlign w:val="center"/>
          </w:tcPr>
          <w:p w14:paraId="3EBEBE11">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距室内边界距离/m</w:t>
            </w:r>
          </w:p>
        </w:tc>
        <w:tc>
          <w:tcPr>
            <w:tcW w:w="490" w:type="pct"/>
            <w:vMerge w:val="restart"/>
            <w:noWrap w:val="0"/>
            <w:vAlign w:val="center"/>
          </w:tcPr>
          <w:p w14:paraId="7BFCBD70">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室内边界声级/dB(A)</w:t>
            </w:r>
          </w:p>
        </w:tc>
        <w:tc>
          <w:tcPr>
            <w:tcW w:w="240" w:type="pct"/>
            <w:vMerge w:val="restart"/>
            <w:noWrap w:val="0"/>
            <w:vAlign w:val="center"/>
          </w:tcPr>
          <w:p w14:paraId="5AC6F871">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运行时段</w:t>
            </w:r>
          </w:p>
        </w:tc>
        <w:tc>
          <w:tcPr>
            <w:tcW w:w="349" w:type="pct"/>
            <w:vMerge w:val="restart"/>
            <w:noWrap w:val="0"/>
            <w:vAlign w:val="center"/>
          </w:tcPr>
          <w:p w14:paraId="56A4B8AB">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建筑物插入损失 / dB(A)</w:t>
            </w:r>
          </w:p>
        </w:tc>
        <w:tc>
          <w:tcPr>
            <w:tcW w:w="825" w:type="pct"/>
            <w:gridSpan w:val="2"/>
            <w:noWrap w:val="0"/>
            <w:vAlign w:val="center"/>
          </w:tcPr>
          <w:p w14:paraId="7502B7E6">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建筑物外噪声</w:t>
            </w:r>
          </w:p>
        </w:tc>
      </w:tr>
      <w:tr w14:paraId="38889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 w:type="pct"/>
            <w:vMerge w:val="continue"/>
            <w:noWrap w:val="0"/>
            <w:vAlign w:val="center"/>
          </w:tcPr>
          <w:p w14:paraId="05CDBE45">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231" w:type="pct"/>
            <w:vMerge w:val="continue"/>
            <w:noWrap w:val="0"/>
            <w:vAlign w:val="center"/>
          </w:tcPr>
          <w:p w14:paraId="25CFDCFE">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364" w:type="pct"/>
            <w:vMerge w:val="continue"/>
            <w:noWrap w:val="0"/>
            <w:vAlign w:val="center"/>
          </w:tcPr>
          <w:p w14:paraId="47AAAEA7">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492" w:type="pct"/>
            <w:noWrap w:val="0"/>
            <w:vAlign w:val="center"/>
          </w:tcPr>
          <w:p w14:paraId="3B7F53B0">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（声压级/距声源距离）/（dB(A)/m）</w:t>
            </w:r>
          </w:p>
        </w:tc>
        <w:tc>
          <w:tcPr>
            <w:tcW w:w="329" w:type="pct"/>
            <w:noWrap w:val="0"/>
            <w:vAlign w:val="center"/>
          </w:tcPr>
          <w:p w14:paraId="46118FAD">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声功率级/dB(A)</w:t>
            </w:r>
          </w:p>
        </w:tc>
        <w:tc>
          <w:tcPr>
            <w:tcW w:w="471" w:type="pct"/>
            <w:vMerge w:val="continue"/>
            <w:noWrap w:val="0"/>
            <w:vAlign w:val="center"/>
          </w:tcPr>
          <w:p w14:paraId="70497951">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203" w:type="pct"/>
            <w:noWrap w:val="0"/>
            <w:vAlign w:val="center"/>
          </w:tcPr>
          <w:p w14:paraId="5E31E455">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X</w:t>
            </w:r>
          </w:p>
        </w:tc>
        <w:tc>
          <w:tcPr>
            <w:tcW w:w="201" w:type="pct"/>
            <w:noWrap w:val="0"/>
            <w:vAlign w:val="center"/>
          </w:tcPr>
          <w:p w14:paraId="07277190">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Y</w:t>
            </w:r>
          </w:p>
        </w:tc>
        <w:tc>
          <w:tcPr>
            <w:tcW w:w="198" w:type="pct"/>
            <w:noWrap w:val="0"/>
            <w:vAlign w:val="center"/>
          </w:tcPr>
          <w:p w14:paraId="4B61FA70">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Z</w:t>
            </w:r>
          </w:p>
        </w:tc>
        <w:tc>
          <w:tcPr>
            <w:tcW w:w="404" w:type="pct"/>
            <w:vMerge w:val="continue"/>
            <w:noWrap w:val="0"/>
            <w:vAlign w:val="center"/>
          </w:tcPr>
          <w:p w14:paraId="0168C752">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490" w:type="pct"/>
            <w:vMerge w:val="continue"/>
            <w:noWrap w:val="0"/>
            <w:vAlign w:val="center"/>
          </w:tcPr>
          <w:p w14:paraId="279A81D4">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240" w:type="pct"/>
            <w:vMerge w:val="continue"/>
            <w:noWrap w:val="0"/>
            <w:vAlign w:val="center"/>
          </w:tcPr>
          <w:p w14:paraId="37764B62">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349" w:type="pct"/>
            <w:vMerge w:val="continue"/>
            <w:noWrap w:val="0"/>
            <w:vAlign w:val="center"/>
          </w:tcPr>
          <w:p w14:paraId="058D0D5B">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p>
        </w:tc>
        <w:tc>
          <w:tcPr>
            <w:tcW w:w="439" w:type="pct"/>
            <w:noWrap w:val="0"/>
            <w:vAlign w:val="center"/>
          </w:tcPr>
          <w:p w14:paraId="539A45B4">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声压级/dB(A)</w:t>
            </w:r>
          </w:p>
        </w:tc>
        <w:tc>
          <w:tcPr>
            <w:tcW w:w="386" w:type="pct"/>
            <w:noWrap w:val="0"/>
            <w:vAlign w:val="center"/>
          </w:tcPr>
          <w:p w14:paraId="298D8DCC">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eastAsia="zh-CN"/>
              </w:rPr>
            </w:pPr>
            <w:r>
              <w:rPr>
                <w:rFonts w:hint="eastAsia" w:eastAsia="宋体"/>
                <w:color w:val="auto"/>
                <w:sz w:val="21"/>
                <w:szCs w:val="18"/>
                <w:highlight w:val="none"/>
                <w:shd w:val="clear" w:color="auto" w:fill="auto"/>
                <w:lang w:eastAsia="zh-CN"/>
              </w:rPr>
              <w:t>建筑物外距离</w:t>
            </w:r>
          </w:p>
        </w:tc>
      </w:tr>
      <w:tr w14:paraId="1C822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198" w:type="pct"/>
            <w:vMerge w:val="restart"/>
            <w:noWrap w:val="0"/>
            <w:vAlign w:val="center"/>
          </w:tcPr>
          <w:p w14:paraId="25BA9DD0">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rPr>
              <w:t>1</w:t>
            </w:r>
          </w:p>
        </w:tc>
        <w:tc>
          <w:tcPr>
            <w:tcW w:w="231" w:type="pct"/>
            <w:vMerge w:val="restart"/>
            <w:noWrap w:val="0"/>
            <w:vAlign w:val="center"/>
          </w:tcPr>
          <w:p w14:paraId="25558778">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污水处理站</w:t>
            </w:r>
          </w:p>
        </w:tc>
        <w:tc>
          <w:tcPr>
            <w:tcW w:w="364" w:type="pct"/>
            <w:noWrap w:val="0"/>
            <w:vAlign w:val="center"/>
          </w:tcPr>
          <w:p w14:paraId="65155676">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default" w:eastAsia="宋体"/>
                <w:color w:val="auto"/>
                <w:sz w:val="21"/>
                <w:szCs w:val="18"/>
                <w:highlight w:val="none"/>
                <w:shd w:val="clear" w:color="auto" w:fill="auto"/>
                <w:lang w:val="en-US" w:eastAsia="zh-CN"/>
              </w:rPr>
              <w:t>加药泵</w:t>
            </w:r>
          </w:p>
        </w:tc>
        <w:tc>
          <w:tcPr>
            <w:tcW w:w="492" w:type="pct"/>
            <w:noWrap w:val="0"/>
            <w:vAlign w:val="center"/>
          </w:tcPr>
          <w:p w14:paraId="6AB470D9">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w:t>
            </w:r>
          </w:p>
        </w:tc>
        <w:tc>
          <w:tcPr>
            <w:tcW w:w="329" w:type="pct"/>
            <w:noWrap w:val="0"/>
            <w:vAlign w:val="center"/>
          </w:tcPr>
          <w:p w14:paraId="1CFFE94A">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70</w:t>
            </w:r>
          </w:p>
        </w:tc>
        <w:tc>
          <w:tcPr>
            <w:tcW w:w="471" w:type="pct"/>
            <w:vMerge w:val="restart"/>
            <w:noWrap w:val="0"/>
            <w:vAlign w:val="center"/>
          </w:tcPr>
          <w:p w14:paraId="75B3DBEB">
            <w:pPr>
              <w:pStyle w:val="68"/>
              <w:keepNext w:val="0"/>
              <w:keepLines w:val="0"/>
              <w:suppressLineNumbers w:val="0"/>
              <w:bidi w:val="0"/>
              <w:spacing w:before="0" w:beforeAutospacing="0" w:after="0" w:afterAutospacing="0"/>
              <w:ind w:left="0" w:leftChars="0" w:right="0" w:firstLine="0" w:firstLineChars="0"/>
              <w:jc w:val="center"/>
              <w:rPr>
                <w:rFonts w:hint="default"/>
                <w:color w:val="auto"/>
                <w:highlight w:val="none"/>
                <w:shd w:val="clear" w:color="auto" w:fill="auto"/>
              </w:rPr>
            </w:pPr>
            <w:r>
              <w:rPr>
                <w:rFonts w:hint="default"/>
                <w:color w:val="auto"/>
                <w:highlight w:val="none"/>
                <w:shd w:val="clear" w:color="auto" w:fill="auto"/>
              </w:rPr>
              <w:t>低噪声设备，基础减振、弹性连接/软连接，建筑隔声，吸声，加强设备维保</w:t>
            </w:r>
          </w:p>
        </w:tc>
        <w:tc>
          <w:tcPr>
            <w:tcW w:w="203" w:type="pct"/>
            <w:noWrap w:val="0"/>
            <w:vAlign w:val="center"/>
          </w:tcPr>
          <w:p w14:paraId="158CBE14">
            <w:pPr>
              <w:rPr>
                <w:rFonts w:hint="default" w:ascii="Times New Roman" w:hAnsi="Times New Roman" w:eastAsia="宋体" w:cs="Times New Roman"/>
                <w:color w:val="auto"/>
                <w:w w:val="100"/>
                <w:kern w:val="2"/>
                <w:sz w:val="21"/>
                <w:szCs w:val="18"/>
                <w:highlight w:val="none"/>
                <w:shd w:val="clear" w:color="auto" w:fill="auto"/>
                <w:lang w:val="en-US" w:eastAsia="zh-CN" w:bidi="ar-SA"/>
              </w:rPr>
            </w:pPr>
            <w:r>
              <w:rPr>
                <w:rFonts w:hint="eastAsia" w:ascii="Times New Roman" w:hAnsi="Times New Roman" w:eastAsia="宋体" w:cs="Times New Roman"/>
                <w:color w:val="auto"/>
                <w:w w:val="100"/>
                <w:kern w:val="2"/>
                <w:sz w:val="21"/>
                <w:szCs w:val="18"/>
                <w:highlight w:val="none"/>
                <w:shd w:val="clear" w:color="auto" w:fill="auto"/>
                <w:lang w:val="en-US" w:eastAsia="zh-CN" w:bidi="ar-SA"/>
              </w:rPr>
              <w:t>-19</w:t>
            </w:r>
          </w:p>
        </w:tc>
        <w:tc>
          <w:tcPr>
            <w:tcW w:w="201" w:type="pct"/>
            <w:noWrap w:val="0"/>
            <w:vAlign w:val="center"/>
          </w:tcPr>
          <w:p w14:paraId="5E969A4F">
            <w:pPr>
              <w:rPr>
                <w:rFonts w:hint="default" w:ascii="Times New Roman" w:hAnsi="Times New Roman" w:eastAsia="宋体" w:cs="Times New Roman"/>
                <w:color w:val="auto"/>
                <w:w w:val="100"/>
                <w:kern w:val="2"/>
                <w:sz w:val="21"/>
                <w:szCs w:val="18"/>
                <w:highlight w:val="none"/>
                <w:shd w:val="clear" w:color="auto" w:fill="auto"/>
                <w:lang w:val="en-US" w:eastAsia="zh-CN" w:bidi="ar-SA"/>
              </w:rPr>
            </w:pPr>
            <w:r>
              <w:rPr>
                <w:rFonts w:hint="eastAsia" w:ascii="Times New Roman" w:hAnsi="Times New Roman" w:eastAsia="宋体" w:cs="Times New Roman"/>
                <w:color w:val="auto"/>
                <w:w w:val="100"/>
                <w:kern w:val="2"/>
                <w:sz w:val="21"/>
                <w:szCs w:val="18"/>
                <w:highlight w:val="none"/>
                <w:shd w:val="clear" w:color="auto" w:fill="auto"/>
                <w:lang w:val="en-US" w:eastAsia="zh-CN" w:bidi="ar-SA"/>
              </w:rPr>
              <w:t>-36</w:t>
            </w:r>
          </w:p>
        </w:tc>
        <w:tc>
          <w:tcPr>
            <w:tcW w:w="198" w:type="pct"/>
            <w:noWrap w:val="0"/>
            <w:vAlign w:val="center"/>
          </w:tcPr>
          <w:p w14:paraId="69823221">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0.5</w:t>
            </w:r>
          </w:p>
        </w:tc>
        <w:tc>
          <w:tcPr>
            <w:tcW w:w="404" w:type="pct"/>
            <w:noWrap w:val="0"/>
            <w:vAlign w:val="center"/>
          </w:tcPr>
          <w:p w14:paraId="3679A1F4">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18</w:t>
            </w:r>
          </w:p>
          <w:p w14:paraId="5115712E">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10</w:t>
            </w:r>
          </w:p>
          <w:p w14:paraId="66DC7318">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32</w:t>
            </w:r>
          </w:p>
          <w:p w14:paraId="774CD0D2">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44</w:t>
            </w:r>
          </w:p>
        </w:tc>
        <w:tc>
          <w:tcPr>
            <w:tcW w:w="490" w:type="pct"/>
            <w:noWrap w:val="0"/>
            <w:vAlign w:val="center"/>
          </w:tcPr>
          <w:p w14:paraId="3A3C10B3">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40</w:t>
            </w:r>
          </w:p>
          <w:p w14:paraId="1B3662A7">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50</w:t>
            </w:r>
          </w:p>
          <w:p w14:paraId="0A45FEA9">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40</w:t>
            </w:r>
          </w:p>
          <w:p w14:paraId="4F195B0B">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37</w:t>
            </w:r>
          </w:p>
        </w:tc>
        <w:tc>
          <w:tcPr>
            <w:tcW w:w="240" w:type="pct"/>
            <w:noWrap w:val="0"/>
            <w:vAlign w:val="center"/>
          </w:tcPr>
          <w:p w14:paraId="4F85DB93">
            <w:pPr>
              <w:pStyle w:val="68"/>
              <w:keepNext w:val="0"/>
              <w:keepLines w:val="0"/>
              <w:suppressLineNumbers w:val="0"/>
              <w:bidi w:val="0"/>
              <w:spacing w:before="0" w:beforeAutospacing="0" w:after="0" w:afterAutospacing="0"/>
              <w:ind w:left="0" w:leftChars="0" w:right="0" w:firstLine="0" w:firstLineChars="0"/>
              <w:jc w:val="both"/>
              <w:rPr>
                <w:rFonts w:hint="eastAsia" w:ascii="Times New Roman Regular" w:hAnsi="Times New Roman Regular" w:eastAsia="宋体" w:cs="Times New Roman Regular"/>
                <w:color w:val="auto"/>
                <w:lang w:val="en-US" w:eastAsia="zh-Hans"/>
              </w:rPr>
            </w:pPr>
            <w:r>
              <w:rPr>
                <w:rFonts w:hint="eastAsia" w:ascii="Times New Roman Regular" w:hAnsi="Times New Roman Regular" w:eastAsia="宋体" w:cs="Times New Roman Regular"/>
                <w:color w:val="auto"/>
                <w:lang w:val="en-US" w:eastAsia="zh-Hans"/>
              </w:rPr>
              <w:t>昼间</w:t>
            </w:r>
            <w:r>
              <w:rPr>
                <w:rFonts w:hint="eastAsia" w:ascii="Times New Roman Regular" w:hAnsi="Times New Roman Regular" w:cs="Times New Roman Regular"/>
                <w:color w:val="auto"/>
                <w:lang w:val="en-US" w:eastAsia="zh-CN"/>
              </w:rPr>
              <w:t>、夜</w:t>
            </w:r>
            <w:r>
              <w:rPr>
                <w:rFonts w:hint="eastAsia" w:ascii="Times New Roman Regular" w:hAnsi="Times New Roman Regular" w:eastAsia="宋体" w:cs="Times New Roman Regular"/>
                <w:color w:val="auto"/>
                <w:lang w:val="en-US" w:eastAsia="zh-Hans"/>
              </w:rPr>
              <w:t>间</w:t>
            </w:r>
          </w:p>
        </w:tc>
        <w:tc>
          <w:tcPr>
            <w:tcW w:w="349" w:type="pct"/>
            <w:noWrap w:val="0"/>
            <w:vAlign w:val="center"/>
          </w:tcPr>
          <w:p w14:paraId="7B62FE47">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15</w:t>
            </w:r>
          </w:p>
        </w:tc>
        <w:tc>
          <w:tcPr>
            <w:tcW w:w="439" w:type="pct"/>
            <w:noWrap w:val="0"/>
            <w:vAlign w:val="center"/>
          </w:tcPr>
          <w:p w14:paraId="76328839">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25</w:t>
            </w:r>
          </w:p>
          <w:p w14:paraId="5DE652D1">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35</w:t>
            </w:r>
          </w:p>
          <w:p w14:paraId="675E36D0">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25</w:t>
            </w:r>
          </w:p>
          <w:p w14:paraId="0C14493D">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22</w:t>
            </w:r>
          </w:p>
        </w:tc>
        <w:tc>
          <w:tcPr>
            <w:tcW w:w="386" w:type="pct"/>
            <w:noWrap w:val="0"/>
            <w:vAlign w:val="center"/>
          </w:tcPr>
          <w:p w14:paraId="6D792DC7">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1</w:t>
            </w:r>
          </w:p>
          <w:p w14:paraId="3F89D342">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1</w:t>
            </w:r>
          </w:p>
          <w:p w14:paraId="3B264D9C">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1</w:t>
            </w:r>
          </w:p>
          <w:p w14:paraId="5879FEBD">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1</w:t>
            </w:r>
          </w:p>
        </w:tc>
      </w:tr>
      <w:tr w14:paraId="4BD3A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0" w:hRule="atLeast"/>
          <w:jc w:val="center"/>
        </w:trPr>
        <w:tc>
          <w:tcPr>
            <w:tcW w:w="198" w:type="pct"/>
            <w:vMerge w:val="continue"/>
            <w:noWrap w:val="0"/>
            <w:vAlign w:val="center"/>
          </w:tcPr>
          <w:p w14:paraId="47E70501">
            <w:pPr>
              <w:pStyle w:val="68"/>
              <w:keepNext w:val="0"/>
              <w:keepLines w:val="0"/>
              <w:suppressLineNumbers w:val="0"/>
              <w:bidi w:val="0"/>
              <w:spacing w:before="0" w:beforeAutospacing="0" w:after="0" w:afterAutospacing="0"/>
              <w:ind w:left="0" w:leftChars="0" w:right="0" w:firstLine="0" w:firstLineChars="0"/>
              <w:jc w:val="center"/>
              <w:rPr>
                <w:rFonts w:hint="eastAsia" w:ascii="Times New Roman" w:hAnsi="Times New Roman" w:eastAsia="宋体" w:cs="Times New Roman"/>
                <w:color w:val="auto"/>
                <w:szCs w:val="21"/>
                <w:highlight w:val="none"/>
                <w:shd w:val="clear" w:color="auto" w:fill="auto"/>
                <w:lang w:val="en-US" w:eastAsia="zh-CN"/>
              </w:rPr>
            </w:pPr>
          </w:p>
        </w:tc>
        <w:tc>
          <w:tcPr>
            <w:tcW w:w="231" w:type="pct"/>
            <w:vMerge w:val="continue"/>
            <w:noWrap w:val="0"/>
            <w:vAlign w:val="center"/>
          </w:tcPr>
          <w:p w14:paraId="4486EA4F">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p>
        </w:tc>
        <w:tc>
          <w:tcPr>
            <w:tcW w:w="364" w:type="pct"/>
            <w:noWrap w:val="0"/>
            <w:vAlign w:val="center"/>
          </w:tcPr>
          <w:p w14:paraId="3DF9E67B">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污水处理站水泵</w:t>
            </w:r>
          </w:p>
        </w:tc>
        <w:tc>
          <w:tcPr>
            <w:tcW w:w="492" w:type="pct"/>
            <w:shd w:val="clear" w:color="auto" w:fill="auto"/>
            <w:noWrap w:val="0"/>
            <w:vAlign w:val="center"/>
          </w:tcPr>
          <w:p w14:paraId="0C25EAC2">
            <w:pPr>
              <w:pStyle w:val="68"/>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w w:val="100"/>
                <w:kern w:val="2"/>
                <w:sz w:val="21"/>
                <w:szCs w:val="18"/>
                <w:highlight w:val="none"/>
                <w:shd w:val="clear" w:color="auto" w:fill="auto"/>
                <w:lang w:val="en-US" w:eastAsia="zh-CN" w:bidi="ar-SA"/>
              </w:rPr>
            </w:pPr>
            <w:r>
              <w:rPr>
                <w:rFonts w:hint="eastAsia" w:eastAsia="宋体"/>
                <w:color w:val="auto"/>
                <w:sz w:val="21"/>
                <w:szCs w:val="18"/>
                <w:highlight w:val="none"/>
                <w:shd w:val="clear" w:color="auto" w:fill="auto"/>
                <w:lang w:val="en-US" w:eastAsia="zh-CN"/>
              </w:rPr>
              <w:t>/</w:t>
            </w:r>
          </w:p>
        </w:tc>
        <w:tc>
          <w:tcPr>
            <w:tcW w:w="329" w:type="pct"/>
            <w:shd w:val="clear" w:color="auto" w:fill="auto"/>
            <w:noWrap w:val="0"/>
            <w:vAlign w:val="center"/>
          </w:tcPr>
          <w:p w14:paraId="34DFD906">
            <w:pPr>
              <w:pStyle w:val="68"/>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w w:val="100"/>
                <w:kern w:val="2"/>
                <w:sz w:val="21"/>
                <w:szCs w:val="18"/>
                <w:highlight w:val="none"/>
                <w:shd w:val="clear" w:color="auto" w:fill="auto"/>
                <w:lang w:val="en-US" w:eastAsia="zh-CN" w:bidi="ar-SA"/>
              </w:rPr>
            </w:pPr>
            <w:r>
              <w:rPr>
                <w:rFonts w:hint="eastAsia"/>
                <w:color w:val="auto"/>
                <w:sz w:val="21"/>
                <w:szCs w:val="18"/>
                <w:highlight w:val="none"/>
                <w:shd w:val="clear" w:color="auto" w:fill="auto"/>
                <w:lang w:val="en-US" w:eastAsia="zh-CN"/>
              </w:rPr>
              <w:t>75</w:t>
            </w:r>
          </w:p>
        </w:tc>
        <w:tc>
          <w:tcPr>
            <w:tcW w:w="471" w:type="pct"/>
            <w:vMerge w:val="continue"/>
            <w:noWrap w:val="0"/>
            <w:vAlign w:val="center"/>
          </w:tcPr>
          <w:p w14:paraId="2EBC435A">
            <w:pPr>
              <w:pStyle w:val="68"/>
              <w:keepNext w:val="0"/>
              <w:keepLines w:val="0"/>
              <w:suppressLineNumbers w:val="0"/>
              <w:bidi w:val="0"/>
              <w:spacing w:before="0" w:beforeAutospacing="0" w:after="0" w:afterAutospacing="0"/>
              <w:ind w:left="0" w:leftChars="0" w:right="0" w:firstLine="0" w:firstLineChars="0"/>
              <w:jc w:val="center"/>
              <w:rPr>
                <w:rFonts w:hint="default"/>
                <w:color w:val="auto"/>
                <w:highlight w:val="none"/>
                <w:shd w:val="clear" w:color="auto" w:fill="auto"/>
              </w:rPr>
            </w:pPr>
          </w:p>
        </w:tc>
        <w:tc>
          <w:tcPr>
            <w:tcW w:w="203" w:type="pct"/>
            <w:shd w:val="clear" w:color="auto" w:fill="auto"/>
            <w:noWrap w:val="0"/>
            <w:vAlign w:val="center"/>
          </w:tcPr>
          <w:p w14:paraId="5D4DEEF9">
            <w:pPr>
              <w:rPr>
                <w:rFonts w:hint="default" w:ascii="Times New Roman" w:hAnsi="Times New Roman" w:eastAsia="宋体" w:cs="Times New Roman"/>
                <w:color w:val="auto"/>
                <w:w w:val="100"/>
                <w:kern w:val="2"/>
                <w:sz w:val="21"/>
                <w:szCs w:val="18"/>
                <w:highlight w:val="none"/>
                <w:shd w:val="clear" w:color="auto" w:fill="auto"/>
                <w:lang w:val="en-US" w:eastAsia="zh-CN" w:bidi="ar-SA"/>
              </w:rPr>
            </w:pPr>
            <w:r>
              <w:rPr>
                <w:rFonts w:hint="eastAsia" w:ascii="Times New Roman" w:hAnsi="Times New Roman" w:eastAsia="宋体" w:cs="Times New Roman"/>
                <w:color w:val="auto"/>
                <w:w w:val="100"/>
                <w:kern w:val="2"/>
                <w:sz w:val="21"/>
                <w:szCs w:val="18"/>
                <w:highlight w:val="none"/>
                <w:shd w:val="clear" w:color="auto" w:fill="auto"/>
                <w:lang w:val="en-US" w:eastAsia="zh-CN" w:bidi="ar-SA"/>
              </w:rPr>
              <w:t>-18</w:t>
            </w:r>
          </w:p>
        </w:tc>
        <w:tc>
          <w:tcPr>
            <w:tcW w:w="201" w:type="pct"/>
            <w:shd w:val="clear" w:color="auto" w:fill="auto"/>
            <w:noWrap w:val="0"/>
            <w:vAlign w:val="center"/>
          </w:tcPr>
          <w:p w14:paraId="4F537F36">
            <w:pPr>
              <w:rPr>
                <w:rFonts w:hint="default" w:ascii="Times New Roman" w:hAnsi="Times New Roman" w:eastAsia="宋体" w:cs="Times New Roman"/>
                <w:color w:val="auto"/>
                <w:w w:val="100"/>
                <w:kern w:val="2"/>
                <w:sz w:val="21"/>
                <w:szCs w:val="18"/>
                <w:highlight w:val="none"/>
                <w:shd w:val="clear" w:color="auto" w:fill="auto"/>
                <w:lang w:val="en-US" w:eastAsia="zh-CN" w:bidi="ar-SA"/>
              </w:rPr>
            </w:pPr>
            <w:r>
              <w:rPr>
                <w:rFonts w:hint="eastAsia" w:ascii="Times New Roman" w:hAnsi="Times New Roman" w:eastAsia="宋体" w:cs="Times New Roman"/>
                <w:color w:val="auto"/>
                <w:w w:val="100"/>
                <w:kern w:val="2"/>
                <w:sz w:val="21"/>
                <w:szCs w:val="18"/>
                <w:highlight w:val="none"/>
                <w:shd w:val="clear" w:color="auto" w:fill="auto"/>
                <w:lang w:val="en-US" w:eastAsia="zh-CN" w:bidi="ar-SA"/>
              </w:rPr>
              <w:t>-36</w:t>
            </w:r>
          </w:p>
        </w:tc>
        <w:tc>
          <w:tcPr>
            <w:tcW w:w="198" w:type="pct"/>
            <w:shd w:val="clear" w:color="auto" w:fill="auto"/>
            <w:noWrap w:val="0"/>
            <w:vAlign w:val="center"/>
          </w:tcPr>
          <w:p w14:paraId="5CFAD745">
            <w:pPr>
              <w:pStyle w:val="68"/>
              <w:keepNext w:val="0"/>
              <w:keepLines w:val="0"/>
              <w:suppressLineNumbers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w w:val="100"/>
                <w:kern w:val="2"/>
                <w:sz w:val="21"/>
                <w:szCs w:val="18"/>
                <w:highlight w:val="none"/>
                <w:shd w:val="clear" w:color="auto" w:fill="auto"/>
                <w:lang w:val="en-US" w:eastAsia="zh-CN" w:bidi="ar-SA"/>
              </w:rPr>
            </w:pPr>
            <w:r>
              <w:rPr>
                <w:rFonts w:hint="eastAsia"/>
                <w:color w:val="auto"/>
                <w:sz w:val="21"/>
                <w:szCs w:val="18"/>
                <w:highlight w:val="none"/>
                <w:shd w:val="clear" w:color="auto" w:fill="auto"/>
                <w:lang w:val="en-US" w:eastAsia="zh-CN"/>
              </w:rPr>
              <w:t>0.5</w:t>
            </w:r>
          </w:p>
        </w:tc>
        <w:tc>
          <w:tcPr>
            <w:tcW w:w="404" w:type="pct"/>
            <w:noWrap w:val="0"/>
            <w:vAlign w:val="center"/>
          </w:tcPr>
          <w:p w14:paraId="2C808864">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18</w:t>
            </w:r>
          </w:p>
          <w:p w14:paraId="61A8BDB6">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11</w:t>
            </w:r>
          </w:p>
          <w:p w14:paraId="72B0B649">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32</w:t>
            </w:r>
          </w:p>
          <w:p w14:paraId="5E16B0A8">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43</w:t>
            </w:r>
          </w:p>
        </w:tc>
        <w:tc>
          <w:tcPr>
            <w:tcW w:w="490" w:type="pct"/>
            <w:noWrap w:val="0"/>
            <w:vAlign w:val="center"/>
          </w:tcPr>
          <w:p w14:paraId="7027F7F4">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45</w:t>
            </w:r>
          </w:p>
          <w:p w14:paraId="0E612F6E">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49</w:t>
            </w:r>
          </w:p>
          <w:p w14:paraId="773EEC2B">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40</w:t>
            </w:r>
          </w:p>
          <w:p w14:paraId="48DB7707">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37</w:t>
            </w:r>
          </w:p>
        </w:tc>
        <w:tc>
          <w:tcPr>
            <w:tcW w:w="240" w:type="pct"/>
            <w:noWrap w:val="0"/>
            <w:vAlign w:val="center"/>
          </w:tcPr>
          <w:p w14:paraId="778AF2E1">
            <w:pPr>
              <w:pStyle w:val="68"/>
              <w:keepNext w:val="0"/>
              <w:keepLines w:val="0"/>
              <w:suppressLineNumbers w:val="0"/>
              <w:bidi w:val="0"/>
              <w:spacing w:before="0" w:beforeAutospacing="0" w:after="0" w:afterAutospacing="0"/>
              <w:ind w:left="0" w:leftChars="0" w:right="0" w:firstLine="0" w:firstLineChars="0"/>
              <w:jc w:val="both"/>
              <w:rPr>
                <w:rFonts w:hint="eastAsia" w:ascii="Times New Roman Regular" w:hAnsi="Times New Roman Regular" w:eastAsia="宋体" w:cs="Times New Roman Regular"/>
                <w:color w:val="auto"/>
                <w:lang w:val="en-US" w:eastAsia="zh-Hans"/>
              </w:rPr>
            </w:pPr>
            <w:r>
              <w:rPr>
                <w:rFonts w:hint="eastAsia" w:ascii="Times New Roman Regular" w:hAnsi="Times New Roman Regular" w:eastAsia="宋体" w:cs="Times New Roman Regular"/>
                <w:color w:val="auto"/>
                <w:lang w:val="en-US" w:eastAsia="zh-Hans"/>
              </w:rPr>
              <w:t>昼间</w:t>
            </w:r>
            <w:r>
              <w:rPr>
                <w:rFonts w:hint="eastAsia" w:ascii="Times New Roman Regular" w:hAnsi="Times New Roman Regular" w:cs="Times New Roman Regular"/>
                <w:color w:val="auto"/>
                <w:lang w:val="en-US" w:eastAsia="zh-CN"/>
              </w:rPr>
              <w:t>、夜</w:t>
            </w:r>
            <w:r>
              <w:rPr>
                <w:rFonts w:hint="eastAsia" w:ascii="Times New Roman Regular" w:hAnsi="Times New Roman Regular" w:eastAsia="宋体" w:cs="Times New Roman Regular"/>
                <w:color w:val="auto"/>
                <w:lang w:val="en-US" w:eastAsia="zh-Hans"/>
              </w:rPr>
              <w:t>间</w:t>
            </w:r>
          </w:p>
        </w:tc>
        <w:tc>
          <w:tcPr>
            <w:tcW w:w="349" w:type="pct"/>
            <w:noWrap w:val="0"/>
            <w:vAlign w:val="center"/>
          </w:tcPr>
          <w:p w14:paraId="2DA7429A">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color w:val="auto"/>
                <w:sz w:val="21"/>
                <w:szCs w:val="18"/>
                <w:highlight w:val="none"/>
                <w:shd w:val="clear" w:color="auto" w:fill="auto"/>
                <w:lang w:val="en-US" w:eastAsia="zh-CN"/>
              </w:rPr>
              <w:t>15</w:t>
            </w:r>
          </w:p>
        </w:tc>
        <w:tc>
          <w:tcPr>
            <w:tcW w:w="439" w:type="pct"/>
            <w:noWrap w:val="0"/>
            <w:vAlign w:val="center"/>
          </w:tcPr>
          <w:p w14:paraId="0D393D4B">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30</w:t>
            </w:r>
          </w:p>
          <w:p w14:paraId="100E796C">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34</w:t>
            </w:r>
          </w:p>
          <w:p w14:paraId="3467B07A">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25</w:t>
            </w:r>
          </w:p>
          <w:p w14:paraId="02C06B6A">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22</w:t>
            </w:r>
          </w:p>
        </w:tc>
        <w:tc>
          <w:tcPr>
            <w:tcW w:w="386" w:type="pct"/>
            <w:noWrap w:val="0"/>
            <w:vAlign w:val="center"/>
          </w:tcPr>
          <w:p w14:paraId="69B82B38">
            <w:pPr>
              <w:pStyle w:val="68"/>
              <w:keepNext w:val="0"/>
              <w:keepLines w:val="0"/>
              <w:suppressLineNumbers w:val="0"/>
              <w:bidi w:val="0"/>
              <w:spacing w:before="0" w:beforeAutospacing="0" w:after="0" w:afterAutospacing="0"/>
              <w:ind w:left="0" w:leftChars="0" w:right="0" w:firstLine="0" w:firstLineChars="0"/>
              <w:jc w:val="center"/>
              <w:rPr>
                <w:rFonts w:hint="default"/>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西：</w:t>
            </w:r>
            <w:r>
              <w:rPr>
                <w:rFonts w:hint="eastAsia"/>
                <w:color w:val="auto"/>
                <w:sz w:val="21"/>
                <w:szCs w:val="18"/>
                <w:highlight w:val="none"/>
                <w:shd w:val="clear" w:color="auto" w:fill="auto"/>
                <w:lang w:val="en-US" w:eastAsia="zh-CN"/>
              </w:rPr>
              <w:t>1</w:t>
            </w:r>
          </w:p>
          <w:p w14:paraId="69E4B466">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南：</w:t>
            </w:r>
            <w:r>
              <w:rPr>
                <w:rFonts w:hint="eastAsia"/>
                <w:color w:val="auto"/>
                <w:sz w:val="21"/>
                <w:szCs w:val="18"/>
                <w:highlight w:val="none"/>
                <w:shd w:val="clear" w:color="auto" w:fill="auto"/>
                <w:lang w:val="en-US" w:eastAsia="zh-CN"/>
              </w:rPr>
              <w:t>1</w:t>
            </w:r>
          </w:p>
          <w:p w14:paraId="4B536CA6">
            <w:pPr>
              <w:pStyle w:val="68"/>
              <w:keepNext w:val="0"/>
              <w:keepLines w:val="0"/>
              <w:suppressLineNumbers w:val="0"/>
              <w:bidi w:val="0"/>
              <w:spacing w:before="0" w:beforeAutospacing="0" w:after="0" w:afterAutospacing="0"/>
              <w:ind w:left="0" w:leftChars="0" w:right="0" w:firstLine="0" w:firstLineChars="0"/>
              <w:jc w:val="center"/>
              <w:rPr>
                <w:rFonts w:hint="default"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东：</w:t>
            </w:r>
            <w:r>
              <w:rPr>
                <w:rFonts w:hint="eastAsia"/>
                <w:color w:val="auto"/>
                <w:sz w:val="21"/>
                <w:szCs w:val="18"/>
                <w:highlight w:val="none"/>
                <w:shd w:val="clear" w:color="auto" w:fill="auto"/>
                <w:lang w:val="en-US" w:eastAsia="zh-CN"/>
              </w:rPr>
              <w:t>1</w:t>
            </w:r>
          </w:p>
          <w:p w14:paraId="0CF5B513">
            <w:pPr>
              <w:pStyle w:val="68"/>
              <w:keepNext w:val="0"/>
              <w:keepLines w:val="0"/>
              <w:suppressLineNumbers w:val="0"/>
              <w:bidi w:val="0"/>
              <w:spacing w:before="0" w:beforeAutospacing="0" w:after="0" w:afterAutospacing="0"/>
              <w:ind w:left="0" w:leftChars="0" w:right="0" w:firstLine="0" w:firstLineChars="0"/>
              <w:jc w:val="center"/>
              <w:rPr>
                <w:rFonts w:hint="eastAsia" w:eastAsia="宋体"/>
                <w:color w:val="auto"/>
                <w:sz w:val="21"/>
                <w:szCs w:val="18"/>
                <w:highlight w:val="none"/>
                <w:shd w:val="clear" w:color="auto" w:fill="auto"/>
                <w:lang w:val="en-US" w:eastAsia="zh-CN"/>
              </w:rPr>
            </w:pPr>
            <w:r>
              <w:rPr>
                <w:rFonts w:hint="eastAsia" w:eastAsia="宋体"/>
                <w:color w:val="auto"/>
                <w:sz w:val="21"/>
                <w:szCs w:val="18"/>
                <w:highlight w:val="none"/>
                <w:shd w:val="clear" w:color="auto" w:fill="auto"/>
                <w:lang w:val="en-US" w:eastAsia="zh-CN"/>
              </w:rPr>
              <w:t>北：</w:t>
            </w:r>
            <w:r>
              <w:rPr>
                <w:rFonts w:hint="eastAsia"/>
                <w:color w:val="auto"/>
                <w:sz w:val="21"/>
                <w:szCs w:val="18"/>
                <w:highlight w:val="none"/>
                <w:shd w:val="clear" w:color="auto" w:fill="auto"/>
                <w:lang w:val="en-US" w:eastAsia="zh-CN"/>
              </w:rPr>
              <w:t>1</w:t>
            </w:r>
          </w:p>
        </w:tc>
      </w:tr>
      <w:tr w14:paraId="52787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5000" w:type="pct"/>
            <w:gridSpan w:val="15"/>
            <w:noWrap w:val="0"/>
            <w:vAlign w:val="center"/>
          </w:tcPr>
          <w:p w14:paraId="1583672B">
            <w:pPr>
              <w:pStyle w:val="68"/>
              <w:keepNext w:val="0"/>
              <w:keepLines w:val="0"/>
              <w:suppressLineNumbers w:val="0"/>
              <w:bidi w:val="0"/>
              <w:spacing w:before="0" w:beforeAutospacing="0" w:after="0" w:afterAutospacing="0"/>
              <w:ind w:left="0" w:leftChars="0" w:right="0" w:firstLine="0" w:firstLineChars="0"/>
              <w:jc w:val="left"/>
              <w:rPr>
                <w:rFonts w:hint="eastAsia" w:eastAsia="宋体"/>
                <w:color w:val="auto"/>
                <w:sz w:val="21"/>
                <w:szCs w:val="18"/>
                <w:highlight w:val="none"/>
                <w:shd w:val="clear" w:color="auto" w:fill="auto"/>
                <w:lang w:val="en-US" w:eastAsia="zh-CN"/>
              </w:rPr>
            </w:pPr>
            <w:r>
              <w:rPr>
                <w:rFonts w:hint="default" w:ascii="Times New Roman" w:hAnsi="Times New Roman" w:cs="Times New Roman" w:eastAsiaTheme="minorEastAsia"/>
                <w:b w:val="0"/>
                <w:bCs/>
                <w:color w:val="auto"/>
                <w:sz w:val="21"/>
                <w:szCs w:val="21"/>
                <w:lang w:val="en-US" w:eastAsia="zh-CN"/>
              </w:rPr>
              <w:t>坐标以厂界中心（</w:t>
            </w:r>
            <w:bookmarkStart w:id="0" w:name="PO_7"/>
            <w:r>
              <w:rPr>
                <w:rFonts w:hint="default" w:ascii="Times New Roman" w:hAnsi="Times New Roman" w:cs="Times New Roman" w:eastAsiaTheme="minorEastAsia"/>
                <w:b w:val="0"/>
                <w:bCs/>
                <w:color w:val="auto"/>
                <w:sz w:val="21"/>
                <w:szCs w:val="21"/>
                <w:lang w:val="en-US" w:eastAsia="zh-CN"/>
              </w:rPr>
              <w:t>106.472412,29.525821</w:t>
            </w:r>
            <w:bookmarkEnd w:id="0"/>
            <w:r>
              <w:rPr>
                <w:rFonts w:hint="default" w:ascii="Times New Roman" w:hAnsi="Times New Roman" w:cs="Times New Roman" w:eastAsiaTheme="minorEastAsia"/>
                <w:b w:val="0"/>
                <w:bCs/>
                <w:color w:val="auto"/>
                <w:sz w:val="21"/>
                <w:szCs w:val="21"/>
                <w:lang w:val="en-US" w:eastAsia="zh-CN"/>
              </w:rPr>
              <w:t>）为坐标原点，正东向为X轴正方向，正北向为Y轴正方向</w:t>
            </w:r>
            <w:r>
              <w:rPr>
                <w:rFonts w:hint="eastAsia" w:ascii="Times New Roman" w:hAnsi="Times New Roman" w:cs="Times New Roman" w:eastAsiaTheme="minorEastAsia"/>
                <w:b w:val="0"/>
                <w:bCs/>
                <w:color w:val="auto"/>
                <w:sz w:val="21"/>
                <w:szCs w:val="21"/>
                <w:lang w:val="en-US" w:eastAsia="zh-CN"/>
              </w:rPr>
              <w:t>。</w:t>
            </w:r>
          </w:p>
        </w:tc>
      </w:tr>
    </w:tbl>
    <w:p w14:paraId="08E13740">
      <w:pPr>
        <w:pStyle w:val="23"/>
        <w:adjustRightInd w:val="0"/>
        <w:snapToGrid w:val="0"/>
        <w:spacing w:before="0" w:beforeAutospacing="0" w:after="0" w:afterAutospacing="0"/>
        <w:jc w:val="left"/>
        <w:outlineLvl w:val="0"/>
        <w:rPr>
          <w:rFonts w:hint="default" w:ascii="Times New Roman" w:hAnsi="Times New Roman" w:eastAsia="宋体" w:cs="Times New Roman"/>
          <w:b/>
          <w:bCs/>
          <w:snapToGrid w:val="0"/>
          <w:color w:val="auto"/>
          <w:sz w:val="30"/>
          <w:szCs w:val="30"/>
        </w:rPr>
      </w:pPr>
    </w:p>
    <w:p w14:paraId="2F1A77EB">
      <w:pPr>
        <w:pStyle w:val="7"/>
        <w:ind w:left="0" w:leftChars="0" w:firstLine="0" w:firstLineChars="0"/>
        <w:rPr>
          <w:rFonts w:hint="default"/>
          <w:color w:val="auto"/>
        </w:rPr>
      </w:pPr>
    </w:p>
    <w:p w14:paraId="0149B84D">
      <w:pPr>
        <w:pStyle w:val="5"/>
        <w:rPr>
          <w:color w:val="auto"/>
        </w:rPr>
        <w:sectPr>
          <w:pgSz w:w="16838" w:h="11905" w:orient="landscape"/>
          <w:pgMar w:top="1531" w:right="1701" w:bottom="1531" w:left="2126"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74D2DDAB">
      <w:pPr>
        <w:rPr>
          <w:color w:val="auto"/>
        </w:rPr>
      </w:pPr>
    </w:p>
    <w:tbl>
      <w:tblPr>
        <w:tblStyle w:val="25"/>
        <w:tblW w:w="93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09"/>
        <w:gridCol w:w="9051"/>
      </w:tblGrid>
      <w:tr w14:paraId="298C58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0" w:hRule="atLeast"/>
          <w:jc w:val="center"/>
        </w:trPr>
        <w:tc>
          <w:tcPr>
            <w:tcW w:w="309" w:type="dxa"/>
            <w:noWrap w:val="0"/>
            <w:tcMar>
              <w:left w:w="28" w:type="dxa"/>
              <w:right w:w="28" w:type="dxa"/>
            </w:tcMar>
            <w:vAlign w:val="center"/>
          </w:tcPr>
          <w:p w14:paraId="6B72E608">
            <w:pPr>
              <w:adjustRightInd w:val="0"/>
              <w:snapToGrid w:val="0"/>
              <w:jc w:val="center"/>
              <w:rPr>
                <w:bCs/>
                <w:color w:val="auto"/>
                <w:sz w:val="24"/>
              </w:rPr>
            </w:pPr>
            <w:r>
              <w:rPr>
                <w:bCs/>
                <w:color w:val="auto"/>
                <w:sz w:val="24"/>
              </w:rPr>
              <w:t>运营</w:t>
            </w:r>
          </w:p>
          <w:p w14:paraId="64976184">
            <w:pPr>
              <w:adjustRightInd w:val="0"/>
              <w:snapToGrid w:val="0"/>
              <w:jc w:val="center"/>
              <w:rPr>
                <w:bCs/>
                <w:color w:val="auto"/>
                <w:sz w:val="24"/>
              </w:rPr>
            </w:pPr>
            <w:r>
              <w:rPr>
                <w:bCs/>
                <w:color w:val="auto"/>
                <w:sz w:val="24"/>
              </w:rPr>
              <w:t>期环</w:t>
            </w:r>
          </w:p>
          <w:p w14:paraId="2B25DD09">
            <w:pPr>
              <w:adjustRightInd w:val="0"/>
              <w:snapToGrid w:val="0"/>
              <w:jc w:val="center"/>
              <w:rPr>
                <w:bCs/>
                <w:color w:val="auto"/>
                <w:sz w:val="24"/>
              </w:rPr>
            </w:pPr>
            <w:r>
              <w:rPr>
                <w:bCs/>
                <w:color w:val="auto"/>
                <w:sz w:val="24"/>
              </w:rPr>
              <w:t>境影</w:t>
            </w:r>
          </w:p>
          <w:p w14:paraId="54AEA3A5">
            <w:pPr>
              <w:adjustRightInd w:val="0"/>
              <w:snapToGrid w:val="0"/>
              <w:jc w:val="center"/>
              <w:rPr>
                <w:bCs/>
                <w:color w:val="auto"/>
                <w:sz w:val="24"/>
              </w:rPr>
            </w:pPr>
            <w:r>
              <w:rPr>
                <w:bCs/>
                <w:color w:val="auto"/>
                <w:sz w:val="24"/>
              </w:rPr>
              <w:t>响和</w:t>
            </w:r>
          </w:p>
          <w:p w14:paraId="12302B8C">
            <w:pPr>
              <w:adjustRightInd w:val="0"/>
              <w:snapToGrid w:val="0"/>
              <w:jc w:val="center"/>
              <w:rPr>
                <w:bCs/>
                <w:color w:val="auto"/>
                <w:sz w:val="24"/>
              </w:rPr>
            </w:pPr>
            <w:r>
              <w:rPr>
                <w:bCs/>
                <w:color w:val="auto"/>
                <w:sz w:val="24"/>
              </w:rPr>
              <w:t>保护</w:t>
            </w:r>
          </w:p>
          <w:p w14:paraId="66A9A52F">
            <w:pPr>
              <w:adjustRightInd w:val="0"/>
              <w:snapToGrid w:val="0"/>
              <w:jc w:val="center"/>
              <w:rPr>
                <w:bCs/>
                <w:color w:val="auto"/>
                <w:szCs w:val="21"/>
              </w:rPr>
            </w:pPr>
            <w:r>
              <w:rPr>
                <w:bCs/>
                <w:color w:val="auto"/>
                <w:sz w:val="24"/>
              </w:rPr>
              <w:t>措施</w:t>
            </w:r>
          </w:p>
        </w:tc>
        <w:tc>
          <w:tcPr>
            <w:tcW w:w="9051" w:type="dxa"/>
            <w:noWrap w:val="0"/>
            <w:vAlign w:val="center"/>
          </w:tcPr>
          <w:p w14:paraId="3BA5BBD9">
            <w:pPr>
              <w:pStyle w:val="63"/>
              <w:keepNext w:val="0"/>
              <w:keepLines w:val="0"/>
              <w:pageBreakBefore w:val="0"/>
              <w:widowControl w:val="0"/>
              <w:tabs>
                <w:tab w:val="left" w:leader="middleDot" w:pos="7710"/>
              </w:tabs>
              <w:kinsoku/>
              <w:wordWrap/>
              <w:overflowPunct/>
              <w:topLinePunct w:val="0"/>
              <w:autoSpaceDE/>
              <w:autoSpaceDN/>
              <w:bidi w:val="0"/>
              <w:snapToGrid w:val="0"/>
              <w:spacing w:line="360" w:lineRule="auto"/>
              <w:textAlignment w:val="auto"/>
              <w:rPr>
                <w:rFonts w:hint="default" w:ascii="Times New Roman" w:hAnsi="Times New Roman" w:eastAsia="宋体" w:cs="Times New Roman"/>
                <w:b/>
                <w:bCs w:val="0"/>
                <w:snapToGrid w:val="0"/>
                <w:color w:val="auto"/>
                <w:lang w:val="en-US" w:eastAsia="zh-CN"/>
              </w:rPr>
            </w:pPr>
            <w:r>
              <w:rPr>
                <w:rFonts w:hint="default" w:ascii="Times New Roman" w:hAnsi="Times New Roman" w:eastAsia="宋体" w:cs="Times New Roman"/>
                <w:b/>
                <w:bCs w:val="0"/>
                <w:snapToGrid w:val="0"/>
                <w:color w:val="auto"/>
                <w:lang w:val="en-US" w:eastAsia="zh-CN"/>
              </w:rPr>
              <w:t>2）环境影响分析</w:t>
            </w:r>
          </w:p>
          <w:p w14:paraId="58A0DCE1">
            <w:pPr>
              <w:pStyle w:val="63"/>
              <w:keepNext w:val="0"/>
              <w:keepLines w:val="0"/>
              <w:pageBreakBefore w:val="0"/>
              <w:widowControl w:val="0"/>
              <w:tabs>
                <w:tab w:val="left" w:leader="middleDot" w:pos="7710"/>
              </w:tabs>
              <w:kinsoku/>
              <w:wordWrap/>
              <w:overflowPunct/>
              <w:topLinePunct w:val="0"/>
              <w:autoSpaceDE/>
              <w:autoSpaceDN/>
              <w:bidi w:val="0"/>
              <w:snapToGrid w:val="0"/>
              <w:spacing w:line="360" w:lineRule="auto"/>
              <w:textAlignment w:val="auto"/>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lang w:val="en-US" w:eastAsia="zh-CN"/>
              </w:rPr>
              <w:t>声环境影响预测方法：</w:t>
            </w:r>
          </w:p>
          <w:p w14:paraId="6A6CD4F9">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color w:val="auto"/>
                <w:sz w:val="24"/>
                <w:szCs w:val="24"/>
              </w:rPr>
              <w:t>评价采用《环境影响评价技术导则</w:t>
            </w:r>
            <w:r>
              <w:rPr>
                <w:rFonts w:ascii="Times New Roman" w:hAnsi="Times New Roman"/>
                <w:color w:val="auto"/>
                <w:sz w:val="24"/>
                <w:szCs w:val="24"/>
              </w:rPr>
              <w:t xml:space="preserve"> </w:t>
            </w:r>
            <w:r>
              <w:rPr>
                <w:color w:val="auto"/>
                <w:sz w:val="24"/>
                <w:szCs w:val="24"/>
              </w:rPr>
              <w:t>声环境》（</w:t>
            </w:r>
            <w:r>
              <w:rPr>
                <w:rFonts w:ascii="Times New Roman" w:hAnsi="Times New Roman"/>
                <w:color w:val="auto"/>
                <w:sz w:val="24"/>
                <w:szCs w:val="24"/>
              </w:rPr>
              <w:t>HJ2.4-20</w:t>
            </w:r>
            <w:r>
              <w:rPr>
                <w:rFonts w:hint="eastAsia" w:ascii="Times New Roman" w:hAnsi="Times New Roman"/>
                <w:color w:val="auto"/>
                <w:sz w:val="24"/>
                <w:szCs w:val="24"/>
                <w:lang w:val="en-US" w:eastAsia="zh-CN"/>
              </w:rPr>
              <w:t>21</w:t>
            </w:r>
            <w:r>
              <w:rPr>
                <w:color w:val="auto"/>
                <w:sz w:val="24"/>
                <w:szCs w:val="24"/>
              </w:rPr>
              <w:t>）</w:t>
            </w:r>
            <w:r>
              <w:rPr>
                <w:rFonts w:hint="default" w:ascii="Times New Roman" w:hAnsi="Times New Roman" w:cs="Times New Roman"/>
                <w:color w:val="auto"/>
                <w:sz w:val="24"/>
                <w:szCs w:val="24"/>
              </w:rPr>
              <w:t>中户外声传播衰减计算的方法来预测设备运营过程中对室外声环境影响情况</w:t>
            </w:r>
            <w:r>
              <w:rPr>
                <w:rFonts w:hint="default" w:ascii="Times New Roman" w:hAnsi="Times New Roman" w:cs="Times New Roman"/>
                <w:color w:val="auto"/>
                <w:sz w:val="24"/>
                <w:szCs w:val="24"/>
                <w:lang w:val="en-US" w:eastAsia="zh-CN"/>
              </w:rPr>
              <w:t>。</w:t>
            </w:r>
          </w:p>
          <w:p w14:paraId="6BD7C7B2">
            <w:pPr>
              <w:keepNext w:val="0"/>
              <w:keepLines w:val="0"/>
              <w:suppressLineNumbers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fldChar w:fldCharType="begin"/>
            </w:r>
            <w:r>
              <w:rPr>
                <w:rFonts w:hint="default"/>
                <w:color w:val="auto"/>
                <w:sz w:val="24"/>
                <w:szCs w:val="24"/>
              </w:rPr>
              <w:instrText xml:space="preserve"> = 1 \* GB3 </w:instrText>
            </w:r>
            <w:r>
              <w:rPr>
                <w:rFonts w:hint="default"/>
                <w:color w:val="auto"/>
                <w:sz w:val="24"/>
                <w:szCs w:val="24"/>
              </w:rPr>
              <w:fldChar w:fldCharType="separate"/>
            </w:r>
            <w:r>
              <w:rPr>
                <w:rFonts w:hint="eastAsia"/>
                <w:color w:val="auto"/>
                <w:sz w:val="24"/>
                <w:szCs w:val="24"/>
              </w:rPr>
              <w:t>①</w:t>
            </w:r>
            <w:r>
              <w:rPr>
                <w:rFonts w:hint="default"/>
                <w:color w:val="auto"/>
                <w:sz w:val="24"/>
                <w:szCs w:val="24"/>
              </w:rPr>
              <w:fldChar w:fldCharType="end"/>
            </w:r>
            <w:r>
              <w:rPr>
                <w:rFonts w:hint="default"/>
                <w:color w:val="auto"/>
                <w:sz w:val="24"/>
                <w:szCs w:val="24"/>
              </w:rPr>
              <w:t>等效室外声源计算</w:t>
            </w:r>
          </w:p>
          <w:p w14:paraId="75BAC2B4">
            <w:pPr>
              <w:keepNext w:val="0"/>
              <w:keepLines w:val="0"/>
              <w:suppressLineNumbers w:val="0"/>
              <w:spacing w:before="0" w:beforeAutospacing="0" w:after="0" w:afterAutospacing="0" w:line="360" w:lineRule="auto"/>
              <w:ind w:left="0" w:right="0" w:firstLine="480" w:firstLineChars="200"/>
              <w:rPr>
                <w:rFonts w:hint="default"/>
                <w:color w:val="auto"/>
                <w:sz w:val="24"/>
                <w:szCs w:val="24"/>
              </w:rPr>
            </w:pPr>
            <w:r>
              <w:rPr>
                <w:rFonts w:hint="default"/>
                <w:color w:val="auto"/>
                <w:sz w:val="24"/>
                <w:szCs w:val="24"/>
              </w:rPr>
              <w:t>所有室内声源在围护结构处产生的倍频带叠加声压级</w:t>
            </w:r>
          </w:p>
          <w:p w14:paraId="1A5B02D0">
            <w:pPr>
              <w:keepNext w:val="0"/>
              <w:keepLines w:val="0"/>
              <w:suppressLineNumbers w:val="0"/>
              <w:spacing w:before="0" w:beforeAutospacing="0" w:after="0" w:afterAutospacing="0" w:line="360" w:lineRule="auto"/>
              <w:ind w:left="0" w:right="0"/>
              <w:jc w:val="center"/>
              <w:rPr>
                <w:rFonts w:hint="default"/>
                <w:color w:val="auto"/>
                <w:sz w:val="24"/>
                <w:szCs w:val="24"/>
              </w:rPr>
            </w:pPr>
            <w:r>
              <w:rPr>
                <w:rFonts w:hint="default"/>
                <w:color w:val="auto"/>
                <w:sz w:val="24"/>
                <w:szCs w:val="24"/>
              </w:rPr>
              <w:object>
                <v:shape id="_x0000_i1025" o:spt="75" type="#_x0000_t75" style="height:37.8pt;width:133.2pt;" o:ole="t" filled="f" o:preferrelative="t" stroked="f" coordsize="21600,21600">
                  <v:path/>
                  <v:fill on="f" focussize="0,0"/>
                  <v:stroke on="f"/>
                  <v:imagedata r:id="rId21" o:title=""/>
                  <o:lock v:ext="edit" aspectratio="t"/>
                  <w10:wrap type="none"/>
                  <w10:anchorlock/>
                </v:shape>
                <o:OLEObject Type="Embed" ProgID="Equation.3" ShapeID="_x0000_i1025" DrawAspect="Content" ObjectID="_1468075725" r:id="rId20">
                  <o:LockedField>false</o:LockedField>
                </o:OLEObject>
              </w:object>
            </w:r>
          </w:p>
          <w:p w14:paraId="59A267E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rPr>
            </w:pPr>
            <w:r>
              <w:rPr>
                <w:rFonts w:hint="default"/>
                <w:color w:val="auto"/>
                <w:sz w:val="24"/>
                <w:szCs w:val="24"/>
              </w:rPr>
              <w:t>式</w:t>
            </w:r>
            <w:r>
              <w:rPr>
                <w:rFonts w:hint="default" w:ascii="Times New Roman" w:hAnsi="Times New Roman" w:cs="Times New Roman" w:eastAsiaTheme="minorEastAsia"/>
                <w:color w:val="auto"/>
                <w:sz w:val="24"/>
                <w:szCs w:val="24"/>
              </w:rPr>
              <w:t>中：L</w:t>
            </w:r>
            <w:r>
              <w:rPr>
                <w:rFonts w:hint="default" w:ascii="Times New Roman" w:hAnsi="Times New Roman" w:cs="Times New Roman" w:eastAsiaTheme="minorEastAsia"/>
                <w:color w:val="auto"/>
                <w:sz w:val="24"/>
                <w:szCs w:val="24"/>
                <w:vertAlign w:val="subscript"/>
              </w:rPr>
              <w:t>p1i</w:t>
            </w:r>
            <w:r>
              <w:rPr>
                <w:rFonts w:hint="default" w:ascii="Times New Roman" w:hAnsi="Times New Roman" w:cs="Times New Roman" w:eastAsiaTheme="minorEastAsia"/>
                <w:color w:val="auto"/>
                <w:sz w:val="24"/>
                <w:szCs w:val="24"/>
              </w:rPr>
              <w:t>（T）——靠近围护结构处室内N个声源i倍频带的叠加声压级，dB；</w:t>
            </w:r>
          </w:p>
          <w:p w14:paraId="07BEEEF8">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sz w:val="24"/>
                <w:szCs w:val="24"/>
                <w:vertAlign w:val="subscript"/>
              </w:rPr>
              <w:t>p1ij</w:t>
            </w:r>
            <w:r>
              <w:rPr>
                <w:rFonts w:hint="default" w:ascii="Times New Roman" w:hAnsi="Times New Roman" w:cs="Times New Roman" w:eastAsiaTheme="minorEastAsia"/>
                <w:color w:val="auto"/>
                <w:sz w:val="24"/>
                <w:szCs w:val="24"/>
              </w:rPr>
              <w:t>——室内j声源i倍频带的声压级，dB；</w:t>
            </w:r>
          </w:p>
          <w:p w14:paraId="39B0A2D0">
            <w:pPr>
              <w:keepNext w:val="0"/>
              <w:keepLines w:val="0"/>
              <w:suppressLineNumbers w:val="0"/>
              <w:spacing w:before="0" w:beforeAutospacing="0" w:after="0" w:afterAutospacing="0" w:line="360" w:lineRule="auto"/>
              <w:ind w:left="0" w:right="0" w:firstLine="1200" w:firstLineChars="5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N——室内声源总数。</w:t>
            </w:r>
          </w:p>
          <w:p w14:paraId="05295209">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声源所在室内声场为近似扩散声场， 则室外的倍频带声压级可按下式近似求出：</w:t>
            </w:r>
          </w:p>
          <w:p w14:paraId="6DA5373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3096" w:right="0"/>
              <w:jc w:val="both"/>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position w:val="-1"/>
                <w:sz w:val="24"/>
                <w:szCs w:val="24"/>
                <w:vertAlign w:val="subscript"/>
              </w:rPr>
              <w:t>p</w:t>
            </w:r>
            <w:r>
              <w:rPr>
                <w:rFonts w:hint="default" w:ascii="Times New Roman" w:hAnsi="Times New Roman" w:cs="Times New Roman" w:eastAsiaTheme="minorEastAsia"/>
                <w:color w:val="auto"/>
                <w:spacing w:val="-1"/>
                <w:position w:val="-1"/>
                <w:sz w:val="24"/>
                <w:szCs w:val="24"/>
                <w:vertAlign w:val="subscript"/>
              </w:rPr>
              <w:t>2</w:t>
            </w:r>
            <w:r>
              <w:rPr>
                <w:rFonts w:hint="default" w:ascii="Times New Roman" w:hAnsi="Times New Roman" w:cs="Times New Roman" w:eastAsiaTheme="minorEastAsia"/>
                <w:color w:val="auto"/>
                <w:position w:val="-1"/>
                <w:sz w:val="24"/>
                <w:szCs w:val="24"/>
                <w:vertAlign w:val="subscript"/>
              </w:rPr>
              <w:t>i</w:t>
            </w:r>
            <w:r>
              <w:rPr>
                <w:rFonts w:hint="default" w:ascii="Times New Roman" w:hAnsi="Times New Roman" w:cs="Times New Roman" w:eastAsiaTheme="minorEastAsia"/>
                <w:color w:val="auto"/>
                <w:spacing w:val="-1"/>
                <w:position w:val="-1"/>
                <w:sz w:val="24"/>
                <w:szCs w:val="24"/>
                <w:vertAlign w:val="subscript"/>
              </w:rPr>
              <w:t xml:space="preserve"> </w:t>
            </w:r>
            <w:r>
              <w:rPr>
                <w:rFonts w:hint="default" w:ascii="Times New Roman" w:hAnsi="Times New Roman" w:cs="Times New Roman" w:eastAsiaTheme="minorEastAsia"/>
                <w:color w:val="auto"/>
                <w:spacing w:val="-1"/>
                <w:sz w:val="24"/>
                <w:szCs w:val="24"/>
              </w:rPr>
              <w:t>(</w:t>
            </w:r>
            <w:r>
              <w:rPr>
                <w:rFonts w:hint="default" w:ascii="Times New Roman" w:hAnsi="Times New Roman" w:cs="Times New Roman" w:eastAsiaTheme="minorEastAsia"/>
                <w:color w:val="auto"/>
                <w:sz w:val="24"/>
                <w:szCs w:val="24"/>
              </w:rPr>
              <w:t>T</w:t>
            </w:r>
            <w:r>
              <w:rPr>
                <w:rFonts w:hint="default" w:ascii="Times New Roman" w:hAnsi="Times New Roman" w:cs="Times New Roman" w:eastAsiaTheme="minorEastAsia"/>
                <w:color w:val="auto"/>
                <w:spacing w:val="-1"/>
                <w:sz w:val="24"/>
                <w:szCs w:val="24"/>
              </w:rPr>
              <w:t>) =</w:t>
            </w:r>
            <w:r>
              <w:rPr>
                <w:rFonts w:hint="default" w:ascii="Times New Roman" w:hAnsi="Times New Roman" w:cs="Times New Roman" w:eastAsiaTheme="minorEastAsia"/>
                <w:color w:val="auto"/>
                <w:sz w:val="24"/>
                <w:szCs w:val="24"/>
              </w:rPr>
              <w:t>L</w:t>
            </w:r>
            <w:r>
              <w:rPr>
                <w:rFonts w:hint="default" w:ascii="Times New Roman" w:hAnsi="Times New Roman" w:cs="Times New Roman" w:eastAsiaTheme="minorEastAsia"/>
                <w:color w:val="auto"/>
                <w:position w:val="-1"/>
                <w:sz w:val="24"/>
                <w:szCs w:val="24"/>
                <w:vertAlign w:val="subscript"/>
              </w:rPr>
              <w:t>p1i</w:t>
            </w:r>
            <w:r>
              <w:rPr>
                <w:rFonts w:hint="default" w:ascii="Times New Roman" w:hAnsi="Times New Roman" w:cs="Times New Roman" w:eastAsiaTheme="minorEastAsia"/>
                <w:color w:val="auto"/>
                <w:spacing w:val="-1"/>
                <w:position w:val="-1"/>
                <w:sz w:val="24"/>
                <w:szCs w:val="24"/>
                <w:vertAlign w:val="subscript"/>
              </w:rPr>
              <w:t xml:space="preserve"> </w:t>
            </w:r>
            <w:r>
              <w:rPr>
                <w:rFonts w:hint="default" w:ascii="Times New Roman" w:hAnsi="Times New Roman" w:cs="Times New Roman" w:eastAsiaTheme="minorEastAsia"/>
                <w:color w:val="auto"/>
                <w:sz w:val="24"/>
                <w:szCs w:val="24"/>
              </w:rPr>
              <w:t>(T) -(TL</w:t>
            </w:r>
            <w:r>
              <w:rPr>
                <w:rFonts w:hint="default" w:ascii="Times New Roman" w:hAnsi="Times New Roman" w:cs="Times New Roman" w:eastAsiaTheme="minorEastAsia"/>
                <w:color w:val="auto"/>
                <w:position w:val="-1"/>
                <w:sz w:val="24"/>
                <w:szCs w:val="24"/>
                <w:vertAlign w:val="subscript"/>
              </w:rPr>
              <w:t>i</w:t>
            </w:r>
            <w:r>
              <w:rPr>
                <w:rFonts w:hint="default" w:ascii="Times New Roman" w:hAnsi="Times New Roman" w:cs="Times New Roman" w:eastAsiaTheme="minorEastAsia"/>
                <w:color w:val="auto"/>
                <w:sz w:val="24"/>
                <w:szCs w:val="24"/>
              </w:rPr>
              <w:t>+6)</w:t>
            </w:r>
          </w:p>
          <w:p w14:paraId="219001C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1391" w:leftChars="393" w:right="45" w:hanging="566" w:hangingChars="295"/>
              <w:jc w:val="both"/>
              <w:textAlignment w:val="auto"/>
              <w:outlineLvl w:val="9"/>
              <w:rPr>
                <w:rFonts w:hint="default" w:ascii="Times New Roman" w:hAnsi="Times New Roman" w:cs="Times New Roman" w:eastAsiaTheme="minorEastAsia"/>
                <w:color w:val="auto"/>
                <w:spacing w:val="-12"/>
                <w:sz w:val="24"/>
                <w:szCs w:val="24"/>
              </w:rPr>
            </w:pPr>
            <w:r>
              <w:rPr>
                <w:rFonts w:hint="default" w:ascii="Times New Roman" w:hAnsi="Times New Roman" w:cs="Times New Roman" w:eastAsiaTheme="minorEastAsia"/>
                <w:color w:val="auto"/>
                <w:spacing w:val="-24"/>
                <w:sz w:val="24"/>
                <w:szCs w:val="24"/>
              </w:rPr>
              <w:t>式</w:t>
            </w:r>
            <w:r>
              <w:rPr>
                <w:rFonts w:hint="default" w:ascii="Times New Roman" w:hAnsi="Times New Roman" w:cs="Times New Roman" w:eastAsiaTheme="minorEastAsia"/>
                <w:color w:val="auto"/>
                <w:spacing w:val="-19"/>
                <w:sz w:val="24"/>
                <w:szCs w:val="24"/>
              </w:rPr>
              <w:t>中</w:t>
            </w:r>
            <w:r>
              <w:rPr>
                <w:rFonts w:hint="default" w:ascii="Times New Roman" w:hAnsi="Times New Roman" w:cs="Times New Roman" w:eastAsiaTheme="minorEastAsia"/>
                <w:color w:val="auto"/>
                <w:spacing w:val="-12"/>
                <w:sz w:val="24"/>
                <w:szCs w:val="24"/>
              </w:rPr>
              <w:t>：L</w:t>
            </w:r>
            <w:r>
              <w:rPr>
                <w:rFonts w:hint="default" w:ascii="Times New Roman" w:hAnsi="Times New Roman" w:cs="Times New Roman" w:eastAsiaTheme="minorEastAsia"/>
                <w:color w:val="auto"/>
                <w:spacing w:val="-12"/>
                <w:position w:val="-1"/>
                <w:sz w:val="24"/>
                <w:szCs w:val="24"/>
                <w:vertAlign w:val="subscript"/>
              </w:rPr>
              <w:t xml:space="preserve">p2i </w:t>
            </w:r>
            <w:r>
              <w:rPr>
                <w:rFonts w:hint="default" w:ascii="Times New Roman" w:hAnsi="Times New Roman" w:cs="Times New Roman" w:eastAsiaTheme="minorEastAsia"/>
                <w:color w:val="auto"/>
                <w:spacing w:val="-12"/>
                <w:sz w:val="24"/>
                <w:szCs w:val="24"/>
              </w:rPr>
              <w:t>(T) ——靠近围护结构处室内N个声源倍频带的叠加声压级，dB；</w:t>
            </w:r>
          </w:p>
          <w:p w14:paraId="797678F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right="45" w:firstLine="1380" w:firstLineChars="600"/>
              <w:jc w:val="both"/>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5"/>
                <w:sz w:val="24"/>
                <w:szCs w:val="24"/>
              </w:rPr>
              <w:t>L</w:t>
            </w:r>
            <w:r>
              <w:rPr>
                <w:rFonts w:hint="default" w:ascii="Times New Roman" w:hAnsi="Times New Roman" w:cs="Times New Roman" w:eastAsiaTheme="minorEastAsia"/>
                <w:color w:val="auto"/>
                <w:spacing w:val="-5"/>
                <w:position w:val="-1"/>
                <w:sz w:val="24"/>
                <w:szCs w:val="24"/>
                <w:vertAlign w:val="subscript"/>
              </w:rPr>
              <w:t>p</w:t>
            </w:r>
            <w:r>
              <w:rPr>
                <w:rFonts w:hint="default" w:ascii="Times New Roman" w:hAnsi="Times New Roman" w:cs="Times New Roman" w:eastAsiaTheme="minorEastAsia"/>
                <w:color w:val="auto"/>
                <w:spacing w:val="-10"/>
                <w:position w:val="-1"/>
                <w:sz w:val="24"/>
                <w:szCs w:val="24"/>
                <w:vertAlign w:val="subscript"/>
              </w:rPr>
              <w:t>2</w:t>
            </w:r>
            <w:r>
              <w:rPr>
                <w:rFonts w:hint="default" w:ascii="Times New Roman" w:hAnsi="Times New Roman" w:cs="Times New Roman" w:eastAsiaTheme="minorEastAsia"/>
                <w:color w:val="auto"/>
                <w:spacing w:val="-10"/>
                <w:sz w:val="24"/>
                <w:szCs w:val="24"/>
              </w:rPr>
              <w:t>—</w:t>
            </w:r>
            <w:r>
              <w:rPr>
                <w:rFonts w:hint="default" w:ascii="Times New Roman" w:hAnsi="Times New Roman" w:cs="Times New Roman" w:eastAsiaTheme="minorEastAsia"/>
                <w:color w:val="auto"/>
                <w:spacing w:val="-9"/>
                <w:sz w:val="24"/>
                <w:szCs w:val="24"/>
              </w:rPr>
              <w:t>—</w:t>
            </w:r>
            <w:r>
              <w:rPr>
                <w:rFonts w:hint="default" w:ascii="Times New Roman" w:hAnsi="Times New Roman" w:cs="Times New Roman" w:eastAsiaTheme="minorEastAsia"/>
                <w:color w:val="auto"/>
                <w:spacing w:val="-5"/>
                <w:sz w:val="24"/>
                <w:szCs w:val="24"/>
              </w:rPr>
              <w:t>靠近围护结构处室外N个声源倍频带的叠加声压级，dB；</w:t>
            </w:r>
          </w:p>
          <w:p w14:paraId="5C5BB02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right="0" w:firstLine="1540" w:firstLineChars="700"/>
              <w:jc w:val="both"/>
              <w:textAlignment w:val="auto"/>
              <w:outlineLvl w:val="9"/>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pacing w:val="-10"/>
                <w:position w:val="16"/>
                <w:sz w:val="24"/>
                <w:szCs w:val="24"/>
              </w:rPr>
              <w:t>TL</w:t>
            </w:r>
            <w:r>
              <w:rPr>
                <w:rFonts w:hint="default" w:ascii="Times New Roman" w:hAnsi="Times New Roman" w:cs="Times New Roman" w:eastAsiaTheme="minorEastAsia"/>
                <w:color w:val="auto"/>
                <w:spacing w:val="-10"/>
                <w:position w:val="15"/>
                <w:sz w:val="24"/>
                <w:szCs w:val="24"/>
                <w:vertAlign w:val="subscript"/>
              </w:rPr>
              <w:t>i</w:t>
            </w:r>
            <w:r>
              <w:rPr>
                <w:rFonts w:hint="default" w:ascii="Times New Roman" w:hAnsi="Times New Roman" w:cs="Times New Roman" w:eastAsiaTheme="minorEastAsia"/>
                <w:color w:val="auto"/>
                <w:spacing w:val="-16"/>
                <w:position w:val="16"/>
                <w:sz w:val="24"/>
                <w:szCs w:val="24"/>
              </w:rPr>
              <w:t>—</w:t>
            </w:r>
            <w:r>
              <w:rPr>
                <w:rFonts w:hint="default" w:ascii="Times New Roman" w:hAnsi="Times New Roman" w:cs="Times New Roman" w:eastAsiaTheme="minorEastAsia"/>
                <w:color w:val="auto"/>
                <w:spacing w:val="-10"/>
                <w:position w:val="16"/>
                <w:sz w:val="24"/>
                <w:szCs w:val="24"/>
              </w:rPr>
              <w:t>— 围护结构 i 倍频带隔声量，dB。</w:t>
            </w:r>
          </w:p>
          <w:p w14:paraId="4C6A2E0D">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②噪声衰减计算</w:t>
            </w:r>
          </w:p>
          <w:p w14:paraId="3F31F70A">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A</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无指向性点声源的几何发散衰减</w:t>
            </w:r>
          </w:p>
          <w:p w14:paraId="09EC4E56">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object>
                <v:shape id="_x0000_i1026" o:spt="75" type="#_x0000_t75" style="height:19.2pt;width:135pt;" o:ole="t" filled="f" o:preferrelative="t" stroked="f" coordsize="21600,21600">
                  <v:path/>
                  <v:fill on="f" focussize="0,0"/>
                  <v:stroke on="f"/>
                  <v:imagedata r:id="rId23" o:title=""/>
                  <o:lock v:ext="edit" aspectratio="t"/>
                  <w10:wrap type="none"/>
                  <w10:anchorlock/>
                </v:shape>
                <o:OLEObject Type="Embed" ProgID="Equation.3" ShapeID="_x0000_i1026" DrawAspect="Content" ObjectID="_1468075726" r:id="rId22">
                  <o:LockedField>false</o:LockedField>
                </o:OLEObject>
              </w:object>
            </w:r>
          </w:p>
          <w:p w14:paraId="35D1A95C">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式中：Lp（r）——预测点处声压级，dB；</w:t>
            </w:r>
          </w:p>
          <w:p w14:paraId="5A56B3C0">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Lp（r</w:t>
            </w:r>
            <w:r>
              <w:rPr>
                <w:rFonts w:hint="default" w:ascii="Times New Roman" w:hAnsi="Times New Roman" w:cs="Times New Roman" w:eastAsiaTheme="minorEastAsia"/>
                <w:color w:val="auto"/>
                <w:sz w:val="24"/>
                <w:szCs w:val="24"/>
                <w:vertAlign w:val="subscript"/>
              </w:rPr>
              <w:t>0</w:t>
            </w:r>
            <w:r>
              <w:rPr>
                <w:rFonts w:hint="default" w:ascii="Times New Roman" w:hAnsi="Times New Roman" w:cs="Times New Roman" w:eastAsiaTheme="minorEastAsia"/>
                <w:color w:val="auto"/>
                <w:sz w:val="24"/>
                <w:szCs w:val="24"/>
              </w:rPr>
              <w:t>）——参考位置r0处的声压级，dB；</w:t>
            </w:r>
          </w:p>
          <w:p w14:paraId="19A27B74">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r——预测点距离声源的距离，m；</w:t>
            </w:r>
          </w:p>
          <w:p w14:paraId="4356DCC0">
            <w:pPr>
              <w:keepNext w:val="0"/>
              <w:keepLines w:val="0"/>
              <w:suppressLineNumbers w:val="0"/>
              <w:spacing w:before="0" w:beforeAutospacing="0" w:after="0" w:afterAutospacing="0" w:line="360" w:lineRule="auto"/>
              <w:ind w:left="0" w:right="0" w:firstLine="1200" w:firstLineChars="500"/>
              <w:jc w:val="left"/>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r</w:t>
            </w:r>
            <w:r>
              <w:rPr>
                <w:rFonts w:hint="default" w:ascii="Times New Roman" w:hAnsi="Times New Roman" w:cs="Times New Roman" w:eastAsiaTheme="minorEastAsia"/>
                <w:color w:val="auto"/>
                <w:sz w:val="24"/>
                <w:szCs w:val="24"/>
                <w:vertAlign w:val="subscript"/>
              </w:rPr>
              <w:t>0</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lang w:eastAsia="zh-CN"/>
              </w:rPr>
              <w:t>参考位置距离声源的距离</w:t>
            </w:r>
            <w:r>
              <w:rPr>
                <w:rFonts w:hint="default" w:ascii="Times New Roman" w:hAnsi="Times New Roman" w:cs="Times New Roman" w:eastAsiaTheme="minorEastAsia"/>
                <w:color w:val="auto"/>
                <w:sz w:val="24"/>
                <w:szCs w:val="24"/>
              </w:rPr>
              <w:t>，m。</w:t>
            </w:r>
          </w:p>
          <w:p w14:paraId="37490C72">
            <w:pPr>
              <w:keepNext w:val="0"/>
              <w:keepLines w:val="0"/>
              <w:suppressLineNumbers w:val="0"/>
              <w:spacing w:before="0" w:beforeAutospacing="0" w:after="0" w:afterAutospacing="0" w:line="360" w:lineRule="auto"/>
              <w:ind w:left="0" w:right="0" w:firstLine="480" w:firstLineChars="200"/>
              <w:jc w:val="left"/>
              <w:rPr>
                <w:rFonts w:hint="eastAsia"/>
                <w:color w:val="auto"/>
                <w:sz w:val="24"/>
                <w:szCs w:val="24"/>
                <w:lang w:eastAsia="zh-CN"/>
              </w:rPr>
            </w:pPr>
            <w:r>
              <w:rPr>
                <w:rFonts w:hint="eastAsia"/>
                <w:color w:val="auto"/>
                <w:sz w:val="24"/>
                <w:szCs w:val="24"/>
                <w:lang w:eastAsia="zh-CN"/>
              </w:rPr>
              <w:t>③噪声贡献值计算</w:t>
            </w:r>
          </w:p>
          <w:p w14:paraId="5F262A36">
            <w:pPr>
              <w:keepNext w:val="0"/>
              <w:keepLines w:val="0"/>
              <w:suppressLineNumbers w:val="0"/>
              <w:spacing w:before="0" w:beforeAutospacing="0" w:after="0" w:afterAutospacing="0" w:line="360" w:lineRule="auto"/>
              <w:ind w:left="0" w:right="0" w:firstLine="480" w:firstLineChars="200"/>
              <w:jc w:val="left"/>
              <w:rPr>
                <w:rFonts w:hint="eastAsia"/>
                <w:color w:val="auto"/>
                <w:sz w:val="24"/>
                <w:szCs w:val="24"/>
                <w:lang w:eastAsia="zh-CN"/>
              </w:rPr>
            </w:pPr>
            <w:r>
              <w:rPr>
                <w:rFonts w:hint="eastAsia"/>
                <w:color w:val="auto"/>
                <w:sz w:val="24"/>
                <w:szCs w:val="24"/>
                <w:lang w:eastAsia="zh-CN"/>
              </w:rPr>
              <w:t>第i个室外声源在预测点产生的A声级为L</w:t>
            </w:r>
            <w:r>
              <w:rPr>
                <w:rFonts w:hint="eastAsia"/>
                <w:color w:val="auto"/>
                <w:sz w:val="24"/>
                <w:szCs w:val="24"/>
                <w:vertAlign w:val="subscript"/>
                <w:lang w:eastAsia="zh-CN"/>
              </w:rPr>
              <w:t>A</w:t>
            </w:r>
            <w:r>
              <w:rPr>
                <w:rFonts w:hint="default"/>
                <w:color w:val="auto"/>
                <w:sz w:val="24"/>
                <w:szCs w:val="24"/>
                <w:vertAlign w:val="subscript"/>
                <w:lang w:eastAsia="zh-CN"/>
              </w:rPr>
              <w:t>i</w:t>
            </w:r>
            <w:r>
              <w:rPr>
                <w:rFonts w:hint="eastAsia"/>
                <w:color w:val="auto"/>
                <w:sz w:val="24"/>
                <w:szCs w:val="24"/>
                <w:lang w:eastAsia="zh-CN"/>
              </w:rPr>
              <w:t>，在T时间内该声源工作时间</w:t>
            </w:r>
          </w:p>
          <w:p w14:paraId="7E212543">
            <w:pPr>
              <w:keepNext w:val="0"/>
              <w:keepLines w:val="0"/>
              <w:suppressLineNumbers w:val="0"/>
              <w:spacing w:before="0" w:beforeAutospacing="0" w:after="0" w:afterAutospacing="0" w:line="360" w:lineRule="auto"/>
              <w:ind w:left="0" w:right="0"/>
              <w:jc w:val="left"/>
              <w:rPr>
                <w:rFonts w:hint="eastAsia"/>
                <w:color w:val="auto"/>
                <w:sz w:val="24"/>
                <w:szCs w:val="24"/>
                <w:lang w:eastAsia="zh-CN"/>
              </w:rPr>
            </w:pPr>
            <w:r>
              <w:rPr>
                <w:rFonts w:hint="eastAsia"/>
                <w:color w:val="auto"/>
                <w:sz w:val="24"/>
                <w:szCs w:val="24"/>
                <w:lang w:eastAsia="zh-CN"/>
              </w:rPr>
              <w:t>为t</w:t>
            </w:r>
            <w:r>
              <w:rPr>
                <w:rFonts w:hint="eastAsia"/>
                <w:color w:val="auto"/>
                <w:sz w:val="24"/>
                <w:szCs w:val="24"/>
                <w:vertAlign w:val="subscript"/>
                <w:lang w:eastAsia="zh-CN"/>
              </w:rPr>
              <w:t>i</w:t>
            </w:r>
            <w:r>
              <w:rPr>
                <w:rFonts w:hint="eastAsia"/>
                <w:color w:val="auto"/>
                <w:sz w:val="24"/>
                <w:szCs w:val="24"/>
                <w:lang w:eastAsia="zh-CN"/>
              </w:rPr>
              <w:t>；第</w:t>
            </w:r>
            <w:r>
              <w:rPr>
                <w:rFonts w:hint="default"/>
                <w:color w:val="auto"/>
                <w:sz w:val="24"/>
                <w:szCs w:val="24"/>
                <w:lang w:eastAsia="zh-CN"/>
              </w:rPr>
              <w:t>j</w:t>
            </w:r>
            <w:r>
              <w:rPr>
                <w:rFonts w:hint="eastAsia"/>
                <w:color w:val="auto"/>
                <w:sz w:val="24"/>
                <w:szCs w:val="24"/>
                <w:lang w:eastAsia="zh-CN"/>
              </w:rPr>
              <w:t>个等效室外声源在预测点产生的A声级为L</w:t>
            </w:r>
            <w:r>
              <w:rPr>
                <w:rFonts w:hint="eastAsia"/>
                <w:color w:val="auto"/>
                <w:sz w:val="24"/>
                <w:szCs w:val="24"/>
                <w:vertAlign w:val="subscript"/>
                <w:lang w:eastAsia="zh-CN"/>
              </w:rPr>
              <w:t>A</w:t>
            </w:r>
            <w:r>
              <w:rPr>
                <w:rFonts w:hint="default"/>
                <w:color w:val="auto"/>
                <w:sz w:val="24"/>
                <w:szCs w:val="24"/>
                <w:vertAlign w:val="subscript"/>
                <w:lang w:eastAsia="zh-CN"/>
              </w:rPr>
              <w:t>j</w:t>
            </w:r>
            <w:r>
              <w:rPr>
                <w:rFonts w:hint="eastAsia"/>
                <w:color w:val="auto"/>
                <w:sz w:val="24"/>
                <w:szCs w:val="24"/>
                <w:lang w:eastAsia="zh-CN"/>
              </w:rPr>
              <w:t>，在T时间内该声源工作</w:t>
            </w:r>
          </w:p>
          <w:p w14:paraId="4CB5E525">
            <w:pPr>
              <w:keepNext w:val="0"/>
              <w:keepLines w:val="0"/>
              <w:suppressLineNumbers w:val="0"/>
              <w:spacing w:before="0" w:beforeAutospacing="0" w:after="0" w:afterAutospacing="0" w:line="360" w:lineRule="auto"/>
              <w:ind w:left="0" w:right="0"/>
              <w:jc w:val="left"/>
              <w:rPr>
                <w:rFonts w:hint="eastAsia"/>
                <w:color w:val="auto"/>
                <w:sz w:val="24"/>
                <w:szCs w:val="24"/>
                <w:lang w:eastAsia="zh-CN"/>
              </w:rPr>
            </w:pPr>
            <w:r>
              <w:rPr>
                <w:rFonts w:hint="eastAsia"/>
                <w:color w:val="auto"/>
                <w:sz w:val="24"/>
                <w:szCs w:val="24"/>
                <w:lang w:eastAsia="zh-CN"/>
              </w:rPr>
              <w:t>时间为t</w:t>
            </w:r>
            <w:r>
              <w:rPr>
                <w:rFonts w:hint="eastAsia"/>
                <w:color w:val="auto"/>
                <w:sz w:val="24"/>
                <w:szCs w:val="24"/>
                <w:vertAlign w:val="subscript"/>
                <w:lang w:eastAsia="zh-CN"/>
              </w:rPr>
              <w:t>j</w:t>
            </w:r>
            <w:r>
              <w:rPr>
                <w:rFonts w:hint="eastAsia"/>
                <w:color w:val="auto"/>
                <w:sz w:val="24"/>
                <w:szCs w:val="24"/>
                <w:lang w:eastAsia="zh-CN"/>
              </w:rPr>
              <w:t>，则</w:t>
            </w:r>
            <w:r>
              <w:rPr>
                <w:rFonts w:hint="eastAsia"/>
                <w:color w:val="auto"/>
                <w:sz w:val="24"/>
                <w:szCs w:val="24"/>
                <w:lang w:val="en-US" w:eastAsia="zh-Hans"/>
              </w:rPr>
              <w:t>项目</w:t>
            </w:r>
            <w:r>
              <w:rPr>
                <w:rFonts w:hint="eastAsia"/>
                <w:color w:val="auto"/>
                <w:sz w:val="24"/>
                <w:szCs w:val="24"/>
                <w:lang w:eastAsia="zh-CN"/>
              </w:rPr>
              <w:t>声源对预测点产生的贡献值（L</w:t>
            </w:r>
            <w:r>
              <w:rPr>
                <w:rFonts w:hint="eastAsia"/>
                <w:color w:val="auto"/>
                <w:sz w:val="24"/>
                <w:szCs w:val="24"/>
                <w:vertAlign w:val="subscript"/>
                <w:lang w:eastAsia="zh-CN"/>
              </w:rPr>
              <w:t>e</w:t>
            </w:r>
            <w:r>
              <w:rPr>
                <w:rFonts w:hint="default"/>
                <w:color w:val="auto"/>
                <w:sz w:val="24"/>
                <w:szCs w:val="24"/>
                <w:vertAlign w:val="subscript"/>
                <w:lang w:eastAsia="zh-CN"/>
              </w:rPr>
              <w:t>q</w:t>
            </w:r>
            <w:r>
              <w:rPr>
                <w:rFonts w:hint="eastAsia"/>
                <w:color w:val="auto"/>
                <w:sz w:val="24"/>
                <w:szCs w:val="24"/>
                <w:vertAlign w:val="subscript"/>
                <w:lang w:eastAsia="zh-CN"/>
              </w:rPr>
              <w:t>g）</w:t>
            </w:r>
            <w:r>
              <w:rPr>
                <w:rFonts w:hint="eastAsia"/>
                <w:color w:val="auto"/>
                <w:sz w:val="24"/>
                <w:szCs w:val="24"/>
                <w:lang w:eastAsia="zh-CN"/>
              </w:rPr>
              <w:t>为：</w:t>
            </w:r>
          </w:p>
          <w:p w14:paraId="76017D5E">
            <w:pPr>
              <w:pStyle w:val="31"/>
              <w:keepNext w:val="0"/>
              <w:keepLines w:val="0"/>
              <w:suppressLineNumbers w:val="0"/>
              <w:spacing w:before="0" w:beforeAutospacing="0" w:after="0" w:afterAutospacing="0"/>
              <w:ind w:left="0" w:right="0"/>
              <w:rPr>
                <w:rFonts w:hint="eastAsia"/>
                <w:color w:val="auto"/>
                <w:lang w:eastAsia="zh-CN"/>
              </w:rPr>
            </w:pPr>
            <w:r>
              <w:rPr>
                <w:rFonts w:hint="default"/>
                <w:color w:val="auto"/>
              </w:rPr>
              <w:drawing>
                <wp:inline distT="0" distB="0" distL="114300" distR="114300">
                  <wp:extent cx="3267075" cy="619125"/>
                  <wp:effectExtent l="0" t="0" r="9525" b="952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24"/>
                          <a:stretch>
                            <a:fillRect/>
                          </a:stretch>
                        </pic:blipFill>
                        <pic:spPr>
                          <a:xfrm>
                            <a:off x="0" y="0"/>
                            <a:ext cx="3267075" cy="619125"/>
                          </a:xfrm>
                          <a:prstGeom prst="rect">
                            <a:avLst/>
                          </a:prstGeom>
                          <a:noFill/>
                          <a:ln>
                            <a:noFill/>
                          </a:ln>
                        </pic:spPr>
                      </pic:pic>
                    </a:graphicData>
                  </a:graphic>
                </wp:inline>
              </w:drawing>
            </w:r>
          </w:p>
          <w:p w14:paraId="08C0CE8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式中</w:t>
            </w:r>
            <w:r>
              <w:rPr>
                <w:rFonts w:hint="eastAsia" w:ascii="Times New Roman Regular" w:hAnsi="Times New Roman Regular" w:cs="Times New Roman Regular"/>
                <w:color w:val="auto"/>
                <w:sz w:val="24"/>
                <w:szCs w:val="24"/>
                <w:lang w:eastAsia="zh-CN"/>
              </w:rPr>
              <w:t>：</w:t>
            </w:r>
            <w:r>
              <w:rPr>
                <w:rFonts w:hint="default" w:ascii="Times New Roman Regular" w:hAnsi="Times New Roman Regular" w:eastAsia="宋体" w:cs="Times New Roman Regular"/>
                <w:color w:val="auto"/>
                <w:sz w:val="24"/>
                <w:szCs w:val="24"/>
              </w:rPr>
              <w:t>L</w:t>
            </w:r>
            <w:r>
              <w:rPr>
                <w:rFonts w:hint="default" w:ascii="Times New Roman Regular" w:hAnsi="Times New Roman Regular" w:eastAsia="宋体" w:cs="Times New Roman Regular"/>
                <w:color w:val="auto"/>
                <w:sz w:val="24"/>
                <w:szCs w:val="24"/>
                <w:vertAlign w:val="subscript"/>
                <w:lang w:eastAsia="zh-CN"/>
              </w:rPr>
              <w:t>eqg</w:t>
            </w:r>
            <w:r>
              <w:rPr>
                <w:rFonts w:hint="default" w:ascii="Times New Roman Regular" w:hAnsi="Times New Roman Regular" w:eastAsia="宋体" w:cs="Times New Roman Regular"/>
                <w:color w:val="auto"/>
                <w:sz w:val="24"/>
                <w:szCs w:val="24"/>
              </w:rPr>
              <w:t>——建设项目声源在预测点产生的噪声贡献值，dB;</w:t>
            </w:r>
          </w:p>
          <w:p w14:paraId="411D19C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960" w:firstLineChars="4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T——用于计算等效声级的时间，s;</w:t>
            </w:r>
          </w:p>
          <w:p w14:paraId="42493DB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960" w:firstLineChars="4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N——室外声源个数</w:t>
            </w:r>
            <w:r>
              <w:rPr>
                <w:rFonts w:hint="eastAsia" w:ascii="Times New Roman Regular" w:hAnsi="Times New Roman Regular" w:cs="Times New Roman Regular"/>
                <w:color w:val="auto"/>
                <w:sz w:val="24"/>
                <w:szCs w:val="24"/>
                <w:lang w:eastAsia="zh-CN"/>
              </w:rPr>
              <w:t>；</w:t>
            </w:r>
          </w:p>
          <w:p w14:paraId="2609B3B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960" w:firstLineChars="4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t——在T时间内i声源工作时间，s;</w:t>
            </w:r>
          </w:p>
          <w:p w14:paraId="42FCCEE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960" w:firstLineChars="4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M——等效室外声源个数</w:t>
            </w:r>
            <w:r>
              <w:rPr>
                <w:rFonts w:hint="eastAsia" w:ascii="Times New Roman Regular" w:hAnsi="Times New Roman Regular" w:cs="Times New Roman Regular"/>
                <w:color w:val="auto"/>
                <w:sz w:val="24"/>
                <w:szCs w:val="24"/>
                <w:lang w:eastAsia="zh-CN"/>
              </w:rPr>
              <w:t>：</w:t>
            </w:r>
          </w:p>
          <w:p w14:paraId="5F08247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rightChars="0" w:firstLine="960" w:firstLineChars="400"/>
              <w:jc w:val="left"/>
              <w:textAlignment w:val="auto"/>
              <w:outlineLvl w:val="9"/>
              <w:rPr>
                <w:rFonts w:hint="default" w:ascii="Times New Roman Regular" w:hAnsi="Times New Roman Regular" w:eastAsia="宋体" w:cs="Times New Roman Regular"/>
                <w:color w:val="auto"/>
                <w:sz w:val="24"/>
                <w:szCs w:val="24"/>
              </w:rPr>
            </w:pPr>
            <w:r>
              <w:rPr>
                <w:rFonts w:hint="default" w:ascii="Times New Roman Regular" w:hAnsi="Times New Roman Regular" w:eastAsia="宋体" w:cs="Times New Roman Regular"/>
                <w:color w:val="auto"/>
                <w:sz w:val="24"/>
                <w:szCs w:val="24"/>
              </w:rPr>
              <w:t>t——在T时间内j声源工作时间，s。</w:t>
            </w:r>
          </w:p>
          <w:p w14:paraId="1AD0189F">
            <w:pPr>
              <w:keepNext w:val="0"/>
              <w:keepLines w:val="0"/>
              <w:suppressLineNumbers w:val="0"/>
              <w:spacing w:before="0" w:beforeAutospacing="0" w:after="0" w:afterAutospacing="0" w:line="360" w:lineRule="auto"/>
              <w:ind w:left="0" w:right="0" w:firstLine="480" w:firstLineChars="200"/>
              <w:jc w:val="left"/>
              <w:rPr>
                <w:rFonts w:hint="default"/>
                <w:color w:val="auto"/>
                <w:sz w:val="24"/>
                <w:szCs w:val="24"/>
              </w:rPr>
            </w:pPr>
            <w:r>
              <w:rPr>
                <w:rFonts w:hint="eastAsia" w:ascii="Hiragino Sans GB" w:hAnsi="Hiragino Sans GB" w:eastAsia="Hiragino Sans GB" w:cs="Hiragino Sans GB"/>
                <w:color w:val="auto"/>
                <w:sz w:val="24"/>
                <w:szCs w:val="24"/>
              </w:rPr>
              <w:t>④</w:t>
            </w:r>
            <w:r>
              <w:rPr>
                <w:rFonts w:hint="default"/>
                <w:color w:val="auto"/>
                <w:sz w:val="24"/>
                <w:szCs w:val="24"/>
              </w:rPr>
              <w:t>预测点的</w:t>
            </w:r>
            <w:r>
              <w:rPr>
                <w:rFonts w:hint="eastAsia"/>
                <w:color w:val="auto"/>
                <w:sz w:val="24"/>
                <w:szCs w:val="24"/>
              </w:rPr>
              <w:t>噪声预测值（L</w:t>
            </w:r>
            <w:r>
              <w:rPr>
                <w:rFonts w:hint="eastAsia"/>
                <w:color w:val="auto"/>
                <w:sz w:val="24"/>
                <w:szCs w:val="24"/>
                <w:vertAlign w:val="subscript"/>
              </w:rPr>
              <w:t>eq</w:t>
            </w:r>
            <w:r>
              <w:rPr>
                <w:rFonts w:hint="eastAsia"/>
                <w:color w:val="auto"/>
                <w:sz w:val="24"/>
                <w:szCs w:val="24"/>
              </w:rPr>
              <w:t>）计算公式为</w:t>
            </w:r>
          </w:p>
          <w:p w14:paraId="7C23AAFF">
            <w:pPr>
              <w:keepNext w:val="0"/>
              <w:keepLines w:val="0"/>
              <w:suppressLineNumbers w:val="0"/>
              <w:spacing w:before="0" w:beforeAutospacing="0" w:after="0" w:afterAutospacing="0" w:line="360" w:lineRule="auto"/>
              <w:ind w:left="0" w:right="0"/>
              <w:jc w:val="center"/>
              <w:rPr>
                <w:rFonts w:hint="default"/>
                <w:color w:val="auto"/>
                <w:sz w:val="24"/>
                <w:szCs w:val="24"/>
              </w:rPr>
            </w:pPr>
            <w:r>
              <w:rPr>
                <w:rFonts w:hint="default"/>
                <w:color w:val="auto"/>
                <w:sz w:val="24"/>
                <w:szCs w:val="24"/>
              </w:rPr>
              <w:object>
                <v:shape id="_x0000_i1027" o:spt="75" type="#_x0000_t75" style="height:21pt;width:135pt;" o:ole="t" filled="f" o:preferrelative="t" stroked="f" coordsize="21600,21600">
                  <v:path/>
                  <v:fill on="f" focussize="0,0"/>
                  <v:stroke on="f"/>
                  <v:imagedata r:id="rId26" o:title=""/>
                  <o:lock v:ext="edit" aspectratio="t"/>
                  <w10:wrap type="none"/>
                  <w10:anchorlock/>
                </v:shape>
                <o:OLEObject Type="Embed" ProgID="Equation.3" ShapeID="_x0000_i1027" DrawAspect="Content" ObjectID="_1468075727" r:id="rId25">
                  <o:LockedField>false</o:LockedField>
                </o:OLEObject>
              </w:object>
            </w:r>
          </w:p>
          <w:p w14:paraId="73C56C8B">
            <w:pPr>
              <w:pStyle w:val="74"/>
              <w:keepNext w:val="0"/>
              <w:keepLines w:val="0"/>
              <w:suppressLineNumbers w:val="0"/>
              <w:spacing w:before="0" w:beforeAutospacing="0" w:after="0" w:afterAutospacing="0" w:line="360" w:lineRule="auto"/>
              <w:ind w:left="0" w:right="0" w:firstLine="480" w:firstLineChars="200"/>
              <w:jc w:val="left"/>
              <w:rPr>
                <w:rFonts w:hint="default"/>
                <w:color w:val="auto"/>
                <w:sz w:val="24"/>
                <w:szCs w:val="24"/>
                <w:lang w:val="en-US" w:eastAsia="zh-CN"/>
              </w:rPr>
            </w:pPr>
            <w:r>
              <w:rPr>
                <w:rFonts w:hint="default"/>
                <w:color w:val="auto"/>
                <w:sz w:val="24"/>
                <w:szCs w:val="24"/>
                <w:lang w:val="en-US" w:eastAsia="zh-CN"/>
              </w:rPr>
              <w:t>式中：L</w:t>
            </w:r>
            <w:r>
              <w:rPr>
                <w:rFonts w:hint="default"/>
                <w:color w:val="auto"/>
                <w:sz w:val="24"/>
                <w:szCs w:val="24"/>
                <w:vertAlign w:val="subscript"/>
                <w:lang w:val="en-US" w:eastAsia="zh-CN"/>
              </w:rPr>
              <w:t>eq</w:t>
            </w:r>
            <w:r>
              <w:rPr>
                <w:rFonts w:hint="default"/>
                <w:color w:val="auto"/>
                <w:sz w:val="24"/>
                <w:szCs w:val="24"/>
                <w:lang w:val="en-US" w:eastAsia="zh-CN"/>
              </w:rPr>
              <w:t>——</w:t>
            </w:r>
            <w:r>
              <w:rPr>
                <w:rFonts w:hint="eastAsia"/>
                <w:color w:val="auto"/>
                <w:sz w:val="24"/>
                <w:szCs w:val="24"/>
                <w:lang w:val="en-US" w:eastAsia="zh-CN"/>
              </w:rPr>
              <w:t>预测点的噪声预测值</w:t>
            </w:r>
            <w:r>
              <w:rPr>
                <w:rFonts w:hint="default"/>
                <w:color w:val="auto"/>
                <w:sz w:val="24"/>
                <w:szCs w:val="24"/>
                <w:lang w:val="en-US" w:eastAsia="zh-CN"/>
              </w:rPr>
              <w:t>，dB（A）；</w:t>
            </w:r>
          </w:p>
          <w:p w14:paraId="1731ABFB">
            <w:pPr>
              <w:pStyle w:val="74"/>
              <w:keepNext w:val="0"/>
              <w:keepLines w:val="0"/>
              <w:suppressLineNumbers w:val="0"/>
              <w:spacing w:before="0" w:beforeAutospacing="0" w:after="0" w:afterAutospacing="0" w:line="360" w:lineRule="auto"/>
              <w:ind w:left="0" w:right="0" w:firstLine="1200" w:firstLineChars="500"/>
              <w:jc w:val="left"/>
              <w:rPr>
                <w:rFonts w:hint="default"/>
                <w:color w:val="auto"/>
                <w:sz w:val="24"/>
                <w:szCs w:val="24"/>
                <w:lang w:val="en-US" w:eastAsia="zh-CN"/>
              </w:rPr>
            </w:pPr>
            <w:r>
              <w:rPr>
                <w:rFonts w:hint="default"/>
                <w:color w:val="auto"/>
                <w:sz w:val="24"/>
                <w:szCs w:val="24"/>
                <w:lang w:val="en-US" w:eastAsia="zh-CN"/>
              </w:rPr>
              <w:t>L</w:t>
            </w:r>
            <w:r>
              <w:rPr>
                <w:rFonts w:hint="default"/>
                <w:color w:val="auto"/>
                <w:sz w:val="24"/>
                <w:szCs w:val="24"/>
                <w:vertAlign w:val="subscript"/>
                <w:lang w:val="en-US" w:eastAsia="zh-CN"/>
              </w:rPr>
              <w:t>eqg</w:t>
            </w:r>
            <w:r>
              <w:rPr>
                <w:rFonts w:hint="default"/>
                <w:color w:val="auto"/>
                <w:sz w:val="24"/>
                <w:szCs w:val="24"/>
                <w:lang w:val="en-US" w:eastAsia="zh-CN"/>
              </w:rPr>
              <w:t>——</w:t>
            </w:r>
            <w:r>
              <w:rPr>
                <w:rFonts w:hint="eastAsia"/>
                <w:color w:val="auto"/>
                <w:sz w:val="24"/>
                <w:szCs w:val="24"/>
                <w:lang w:val="en-US" w:eastAsia="zh-CN"/>
              </w:rPr>
              <w:t>建设项目声源在预测点产生的噪声贡献值</w:t>
            </w:r>
            <w:r>
              <w:rPr>
                <w:rFonts w:hint="default"/>
                <w:color w:val="auto"/>
                <w:sz w:val="24"/>
                <w:szCs w:val="24"/>
                <w:lang w:val="en-US" w:eastAsia="zh-CN"/>
              </w:rPr>
              <w:t>，dB（A）；</w:t>
            </w:r>
          </w:p>
          <w:p w14:paraId="6C41FB26">
            <w:pPr>
              <w:pStyle w:val="57"/>
              <w:keepNext w:val="0"/>
              <w:keepLines w:val="0"/>
              <w:suppressLineNumbers w:val="0"/>
              <w:adjustRightInd w:val="0"/>
              <w:snapToGrid w:val="0"/>
              <w:spacing w:before="0" w:beforeAutospacing="0" w:after="0" w:afterAutospacing="0" w:line="240" w:lineRule="auto"/>
              <w:ind w:left="0" w:right="0" w:firstLine="1200" w:firstLineChars="500"/>
              <w:jc w:val="both"/>
              <w:rPr>
                <w:rFonts w:hint="default"/>
                <w:color w:val="auto"/>
                <w:sz w:val="24"/>
                <w:szCs w:val="24"/>
              </w:rPr>
            </w:pPr>
            <w:r>
              <w:rPr>
                <w:rFonts w:hint="default"/>
                <w:b w:val="0"/>
                <w:bCs/>
                <w:color w:val="auto"/>
                <w:sz w:val="24"/>
                <w:szCs w:val="24"/>
              </w:rPr>
              <w:t>L</w:t>
            </w:r>
            <w:r>
              <w:rPr>
                <w:rFonts w:hint="default"/>
                <w:b w:val="0"/>
                <w:bCs/>
                <w:color w:val="auto"/>
                <w:sz w:val="24"/>
                <w:szCs w:val="24"/>
                <w:vertAlign w:val="subscript"/>
              </w:rPr>
              <w:t>eqb</w:t>
            </w:r>
            <w:r>
              <w:rPr>
                <w:rFonts w:hint="default"/>
                <w:b w:val="0"/>
                <w:bCs/>
                <w:color w:val="auto"/>
                <w:sz w:val="24"/>
                <w:szCs w:val="24"/>
              </w:rPr>
              <w:t>——预测点的背景</w:t>
            </w:r>
            <w:r>
              <w:rPr>
                <w:rFonts w:hint="eastAsia"/>
                <w:b w:val="0"/>
                <w:bCs/>
                <w:color w:val="auto"/>
                <w:sz w:val="24"/>
                <w:szCs w:val="24"/>
                <w:lang w:eastAsia="zh-CN"/>
              </w:rPr>
              <w:t>噪声</w:t>
            </w:r>
            <w:r>
              <w:rPr>
                <w:rFonts w:hint="default"/>
                <w:b w:val="0"/>
                <w:bCs/>
                <w:color w:val="auto"/>
                <w:sz w:val="24"/>
                <w:szCs w:val="24"/>
              </w:rPr>
              <w:t>值，dB（A）</w:t>
            </w:r>
            <w:r>
              <w:rPr>
                <w:rFonts w:hint="default" w:ascii="Times New Roman" w:hAnsi="Times New Roman" w:cs="Times New Roman"/>
                <w:b w:val="0"/>
                <w:bCs/>
                <w:color w:val="auto"/>
                <w:sz w:val="24"/>
                <w:szCs w:val="24"/>
              </w:rPr>
              <w:t>。</w:t>
            </w:r>
          </w:p>
          <w:p w14:paraId="239D60F6">
            <w:pPr>
              <w:pStyle w:val="57"/>
              <w:keepNext w:val="0"/>
              <w:keepLines w:val="0"/>
              <w:suppressLineNumbers w:val="0"/>
              <w:adjustRightInd w:val="0"/>
              <w:snapToGrid w:val="0"/>
              <w:spacing w:before="0" w:beforeAutospacing="0" w:after="0" w:afterAutospacing="0" w:line="240" w:lineRule="auto"/>
              <w:ind w:left="0" w:right="0" w:firstLine="0"/>
              <w:rPr>
                <w:rFonts w:hint="default" w:ascii="Times New Roman" w:hAnsi="Times New Roman" w:eastAsia="宋体" w:cs="Times New Roman"/>
                <w:b/>
                <w:bCs/>
                <w:color w:val="auto"/>
                <w:sz w:val="21"/>
                <w:szCs w:val="21"/>
              </w:rPr>
            </w:pPr>
          </w:p>
          <w:p w14:paraId="0A2CC366">
            <w:pPr>
              <w:pStyle w:val="57"/>
              <w:keepNext w:val="0"/>
              <w:keepLines w:val="0"/>
              <w:suppressLineNumbers w:val="0"/>
              <w:adjustRightInd w:val="0"/>
              <w:snapToGrid w:val="0"/>
              <w:spacing w:before="0" w:beforeAutospacing="0" w:after="0" w:afterAutospacing="0" w:line="360" w:lineRule="auto"/>
              <w:ind w:right="0" w:firstLine="480" w:firstLineChars="200"/>
              <w:jc w:val="both"/>
              <w:rPr>
                <w:rFonts w:hint="default"/>
                <w:b w:val="0"/>
                <w:bCs/>
                <w:color w:val="auto"/>
                <w:sz w:val="24"/>
                <w:szCs w:val="24"/>
              </w:rPr>
            </w:pPr>
            <w:r>
              <w:rPr>
                <w:rFonts w:hint="eastAsia"/>
                <w:b w:val="0"/>
                <w:bCs/>
                <w:color w:val="auto"/>
                <w:sz w:val="24"/>
                <w:szCs w:val="24"/>
                <w:lang w:val="en-US" w:eastAsia="zh-CN"/>
              </w:rPr>
              <w:t>扩建</w:t>
            </w:r>
            <w:r>
              <w:rPr>
                <w:rFonts w:hint="default"/>
                <w:b w:val="0"/>
                <w:bCs/>
                <w:color w:val="auto"/>
                <w:sz w:val="24"/>
                <w:szCs w:val="24"/>
              </w:rPr>
              <w:t>项目位于</w:t>
            </w:r>
            <w:r>
              <w:rPr>
                <w:color w:val="auto"/>
                <w:sz w:val="24"/>
                <w:lang w:val="en-US" w:eastAsia="zh-CN"/>
              </w:rPr>
              <w:t>重庆同心医院</w:t>
            </w:r>
            <w:r>
              <w:rPr>
                <w:rFonts w:hint="default"/>
                <w:b w:val="0"/>
                <w:bCs/>
                <w:color w:val="auto"/>
                <w:sz w:val="24"/>
                <w:szCs w:val="24"/>
              </w:rPr>
              <w:t>现有工程范围内，</w:t>
            </w:r>
            <w:r>
              <w:rPr>
                <w:rFonts w:hint="default"/>
                <w:b w:val="0"/>
                <w:bCs/>
                <w:color w:val="auto"/>
                <w:sz w:val="24"/>
                <w:szCs w:val="24"/>
                <w:lang w:val="en-US" w:eastAsia="zh-CN"/>
              </w:rPr>
              <w:t>本次</w:t>
            </w:r>
            <w:r>
              <w:rPr>
                <w:rFonts w:hint="eastAsia"/>
                <w:b w:val="0"/>
                <w:bCs/>
                <w:color w:val="auto"/>
                <w:sz w:val="24"/>
                <w:szCs w:val="24"/>
                <w:lang w:val="en-US" w:eastAsia="zh-CN"/>
              </w:rPr>
              <w:t>环评对南、西侧</w:t>
            </w:r>
            <w:r>
              <w:rPr>
                <w:rFonts w:hint="default"/>
                <w:b w:val="0"/>
                <w:bCs/>
                <w:color w:val="auto"/>
                <w:sz w:val="24"/>
                <w:szCs w:val="24"/>
              </w:rPr>
              <w:t>厂界</w:t>
            </w:r>
            <w:r>
              <w:rPr>
                <w:rFonts w:hint="eastAsia"/>
                <w:b w:val="0"/>
                <w:bCs/>
                <w:color w:val="auto"/>
                <w:sz w:val="24"/>
                <w:szCs w:val="24"/>
                <w:lang w:val="en-US" w:eastAsia="zh-CN"/>
              </w:rPr>
              <w:t>噪声</w:t>
            </w:r>
            <w:r>
              <w:rPr>
                <w:rFonts w:hint="default"/>
                <w:b w:val="0"/>
                <w:bCs/>
                <w:color w:val="auto"/>
                <w:sz w:val="24"/>
                <w:szCs w:val="24"/>
              </w:rPr>
              <w:t>值</w:t>
            </w:r>
            <w:r>
              <w:rPr>
                <w:rFonts w:hint="eastAsia"/>
                <w:b w:val="0"/>
                <w:bCs/>
                <w:color w:val="auto"/>
                <w:sz w:val="24"/>
                <w:szCs w:val="24"/>
                <w:lang w:val="en-US" w:eastAsia="zh-CN"/>
              </w:rPr>
              <w:t>进行了监测，</w:t>
            </w:r>
            <w:r>
              <w:rPr>
                <w:rFonts w:hint="default"/>
                <w:b w:val="0"/>
                <w:bCs/>
                <w:color w:val="auto"/>
                <w:sz w:val="24"/>
                <w:szCs w:val="24"/>
              </w:rPr>
              <w:t>项目</w:t>
            </w:r>
            <w:r>
              <w:rPr>
                <w:rFonts w:hint="eastAsia"/>
                <w:b w:val="0"/>
                <w:bCs/>
                <w:color w:val="auto"/>
                <w:sz w:val="24"/>
                <w:szCs w:val="24"/>
                <w:lang w:val="en-US" w:eastAsia="zh-CN"/>
              </w:rPr>
              <w:t>东</w:t>
            </w:r>
            <w:r>
              <w:rPr>
                <w:rFonts w:hint="default"/>
                <w:b w:val="0"/>
                <w:bCs/>
                <w:color w:val="auto"/>
                <w:sz w:val="24"/>
                <w:szCs w:val="24"/>
              </w:rPr>
              <w:t>、南</w:t>
            </w:r>
            <w:r>
              <w:rPr>
                <w:rFonts w:hint="eastAsia"/>
                <w:b w:val="0"/>
                <w:bCs/>
                <w:color w:val="auto"/>
                <w:sz w:val="24"/>
                <w:szCs w:val="24"/>
                <w:lang w:eastAsia="zh-CN"/>
              </w:rPr>
              <w:t>、</w:t>
            </w:r>
            <w:r>
              <w:rPr>
                <w:rFonts w:hint="eastAsia"/>
                <w:b w:val="0"/>
                <w:bCs/>
                <w:color w:val="auto"/>
                <w:sz w:val="24"/>
                <w:szCs w:val="24"/>
                <w:lang w:val="en-US" w:eastAsia="zh-CN"/>
              </w:rPr>
              <w:t>北</w:t>
            </w:r>
            <w:r>
              <w:rPr>
                <w:rFonts w:hint="default"/>
                <w:b w:val="0"/>
                <w:bCs/>
                <w:color w:val="auto"/>
                <w:sz w:val="24"/>
                <w:szCs w:val="24"/>
              </w:rPr>
              <w:t>侧现状值噪声参照现有噪声</w:t>
            </w:r>
            <w:r>
              <w:rPr>
                <w:rFonts w:hint="eastAsia"/>
                <w:b w:val="0"/>
                <w:bCs/>
                <w:color w:val="auto"/>
                <w:sz w:val="24"/>
                <w:szCs w:val="24"/>
                <w:highlight w:val="none"/>
                <w:lang w:val="en-US" w:eastAsia="zh-CN"/>
              </w:rPr>
              <w:t>南</w:t>
            </w:r>
            <w:r>
              <w:rPr>
                <w:rFonts w:hint="default"/>
                <w:b w:val="0"/>
                <w:bCs/>
                <w:color w:val="auto"/>
                <w:sz w:val="24"/>
                <w:szCs w:val="24"/>
                <w:highlight w:val="none"/>
              </w:rPr>
              <w:t>侧</w:t>
            </w:r>
            <w:r>
              <w:rPr>
                <w:rFonts w:hint="default"/>
                <w:b w:val="0"/>
                <w:bCs/>
                <w:color w:val="auto"/>
                <w:sz w:val="24"/>
                <w:szCs w:val="24"/>
              </w:rPr>
              <w:t>厂界值计，项目</w:t>
            </w:r>
            <w:r>
              <w:rPr>
                <w:rFonts w:hint="eastAsia"/>
                <w:b w:val="0"/>
                <w:bCs/>
                <w:color w:val="auto"/>
                <w:sz w:val="24"/>
                <w:szCs w:val="24"/>
                <w:lang w:val="en-US" w:eastAsia="zh-CN"/>
              </w:rPr>
              <w:t>西</w:t>
            </w:r>
            <w:r>
              <w:rPr>
                <w:rFonts w:hint="default"/>
                <w:b w:val="0"/>
                <w:bCs/>
                <w:color w:val="auto"/>
                <w:sz w:val="24"/>
                <w:szCs w:val="24"/>
              </w:rPr>
              <w:t>侧现状值噪声参照现有噪声</w:t>
            </w:r>
            <w:r>
              <w:rPr>
                <w:rFonts w:hint="eastAsia"/>
                <w:b w:val="0"/>
                <w:bCs/>
                <w:color w:val="auto"/>
                <w:sz w:val="24"/>
                <w:szCs w:val="24"/>
                <w:lang w:val="en-US" w:eastAsia="zh-CN"/>
              </w:rPr>
              <w:t>西</w:t>
            </w:r>
            <w:r>
              <w:rPr>
                <w:rFonts w:hint="default"/>
                <w:b w:val="0"/>
                <w:bCs/>
                <w:color w:val="auto"/>
                <w:sz w:val="24"/>
                <w:szCs w:val="24"/>
              </w:rPr>
              <w:t>侧厂界值计，预测结果详见表</w:t>
            </w:r>
            <w:r>
              <w:rPr>
                <w:rFonts w:hint="default" w:ascii="Times New Roman" w:hAnsi="Times New Roman" w:eastAsia="宋体" w:cs="Times New Roman"/>
                <w:color w:val="auto"/>
                <w:lang w:val="en-US" w:eastAsia="zh-CN"/>
              </w:rPr>
              <w:t>4.2-14</w:t>
            </w:r>
            <w:r>
              <w:rPr>
                <w:rFonts w:hint="default"/>
                <w:color w:val="auto"/>
              </w:rPr>
              <w:t>。</w:t>
            </w:r>
          </w:p>
          <w:p w14:paraId="6F593149">
            <w:pPr>
              <w:pStyle w:val="57"/>
              <w:keepNext w:val="0"/>
              <w:keepLines w:val="0"/>
              <w:suppressLineNumbers w:val="0"/>
              <w:adjustRightInd w:val="0"/>
              <w:snapToGrid w:val="0"/>
              <w:spacing w:before="0" w:beforeAutospacing="0" w:after="0" w:afterAutospacing="0" w:line="240" w:lineRule="auto"/>
              <w:ind w:left="0" w:right="0" w:firstLine="0"/>
              <w:rPr>
                <w:rFonts w:hint="default" w:ascii="Times New Roman" w:hAnsi="Times New Roman" w:eastAsia="宋体" w:cs="Times New Roman"/>
                <w:b/>
                <w:bCs/>
                <w:color w:val="auto"/>
                <w:sz w:val="21"/>
                <w:szCs w:val="21"/>
                <w:lang w:val="en-US" w:eastAsia="zh-Hans"/>
              </w:rPr>
            </w:pPr>
            <w:r>
              <w:rPr>
                <w:rFonts w:hint="default" w:ascii="Times New Roman" w:hAnsi="Times New Roman" w:eastAsia="宋体" w:cs="Times New Roman"/>
                <w:b/>
                <w:bCs/>
                <w:color w:val="auto"/>
                <w:sz w:val="21"/>
                <w:szCs w:val="21"/>
              </w:rPr>
              <w:t>表4</w:t>
            </w:r>
            <w:r>
              <w:rPr>
                <w:rFonts w:hint="eastAsia" w:ascii="Times New Roman" w:hAnsi="Times New Roman" w:eastAsia="宋体" w:cs="Times New Roman"/>
                <w:b/>
                <w:bCs/>
                <w:color w:val="auto"/>
                <w:sz w:val="21"/>
                <w:szCs w:val="21"/>
                <w:lang w:val="en-US" w:eastAsia="zh-CN"/>
              </w:rPr>
              <w:t>.2-14</w:t>
            </w:r>
            <w:r>
              <w:rPr>
                <w:rFonts w:hint="default" w:ascii="Times New Roman" w:hAnsi="Times New Roman" w:eastAsia="宋体" w:cs="Times New Roman"/>
                <w:b/>
                <w:bCs/>
                <w:color w:val="auto"/>
                <w:sz w:val="21"/>
                <w:szCs w:val="21"/>
              </w:rPr>
              <w:t xml:space="preserve">  </w:t>
            </w:r>
            <w:r>
              <w:rPr>
                <w:rFonts w:ascii="Times New Roman" w:hAnsi="Times New Roman" w:eastAsia="宋体" w:cs="Times New Roman"/>
                <w:b/>
                <w:color w:val="auto"/>
                <w:sz w:val="21"/>
                <w:szCs w:val="21"/>
              </w:rPr>
              <w:t>厂界噪声预测结果与达标分析表</w:t>
            </w:r>
          </w:p>
          <w:tbl>
            <w:tblPr>
              <w:tblStyle w:val="25"/>
              <w:tblW w:w="0" w:type="auto"/>
              <w:jc w:val="center"/>
              <w:tblBorders>
                <w:top w:val="single" w:color="auto" w:sz="2" w:space="0"/>
                <w:left w:val="none" w:color="auto" w:sz="0" w:space="0"/>
                <w:bottom w:val="single" w:color="auto" w:sz="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91"/>
              <w:gridCol w:w="1105"/>
              <w:gridCol w:w="1221"/>
              <w:gridCol w:w="1391"/>
              <w:gridCol w:w="1391"/>
              <w:gridCol w:w="1118"/>
              <w:gridCol w:w="1002"/>
            </w:tblGrid>
            <w:tr w14:paraId="55E18FB5">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restart"/>
                  <w:tcBorders>
                    <w:top w:val="single" w:color="auto" w:sz="6" w:space="0"/>
                    <w:left w:val="single" w:color="auto" w:sz="0" w:space="0"/>
                    <w:bottom w:val="single" w:color="auto" w:sz="4" w:space="0"/>
                    <w:right w:val="single" w:color="auto" w:sz="4" w:space="0"/>
                  </w:tcBorders>
                  <w:vAlign w:val="center"/>
                </w:tcPr>
                <w:p w14:paraId="10F99A6E">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预测方位</w:t>
                  </w:r>
                </w:p>
              </w:tc>
              <w:tc>
                <w:tcPr>
                  <w:tcW w:w="1105" w:type="dxa"/>
                  <w:vMerge w:val="restart"/>
                  <w:tcBorders>
                    <w:top w:val="single" w:color="auto" w:sz="6" w:space="0"/>
                    <w:left w:val="single" w:color="auto" w:sz="4" w:space="0"/>
                    <w:bottom w:val="single" w:color="auto" w:sz="4" w:space="0"/>
                    <w:right w:val="single" w:color="auto" w:sz="4" w:space="0"/>
                  </w:tcBorders>
                  <w:vAlign w:val="center"/>
                </w:tcPr>
                <w:p w14:paraId="4986010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时段</w:t>
                  </w:r>
                </w:p>
              </w:tc>
              <w:tc>
                <w:tcPr>
                  <w:tcW w:w="1221" w:type="dxa"/>
                  <w:vMerge w:val="restart"/>
                  <w:tcBorders>
                    <w:top w:val="single" w:color="auto" w:sz="6" w:space="0"/>
                    <w:left w:val="single" w:color="auto" w:sz="4" w:space="0"/>
                    <w:bottom w:val="single" w:color="auto" w:sz="4" w:space="0"/>
                    <w:right w:val="single" w:color="auto" w:sz="4" w:space="0"/>
                  </w:tcBorders>
                  <w:vAlign w:val="center"/>
                </w:tcPr>
                <w:p w14:paraId="34E3780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贡献值dB(A)</w:t>
                  </w:r>
                </w:p>
              </w:tc>
              <w:tc>
                <w:tcPr>
                  <w:tcW w:w="1391" w:type="dxa"/>
                  <w:vMerge w:val="restart"/>
                  <w:tcBorders>
                    <w:top w:val="single" w:color="auto" w:sz="6" w:space="0"/>
                    <w:left w:val="single" w:color="auto" w:sz="4" w:space="0"/>
                    <w:bottom w:val="single" w:color="auto" w:sz="4" w:space="0"/>
                    <w:right w:val="single" w:color="auto" w:sz="4" w:space="0"/>
                  </w:tcBorders>
                  <w:vAlign w:val="center"/>
                </w:tcPr>
                <w:p w14:paraId="2969524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界噪声</w:t>
                  </w:r>
                  <w:r>
                    <w:rPr>
                      <w:rFonts w:hint="eastAsia" w:cs="Times New Roman"/>
                      <w:color w:val="auto"/>
                      <w:szCs w:val="21"/>
                      <w:lang w:val="en-US" w:eastAsia="zh-CN"/>
                    </w:rPr>
                    <w:t>背景</w:t>
                  </w:r>
                  <w:r>
                    <w:rPr>
                      <w:rFonts w:hint="default" w:ascii="Times New Roman" w:hAnsi="Times New Roman" w:cs="Times New Roman"/>
                      <w:color w:val="auto"/>
                      <w:szCs w:val="21"/>
                    </w:rPr>
                    <w:t>值dB(A)</w:t>
                  </w:r>
                </w:p>
              </w:tc>
              <w:tc>
                <w:tcPr>
                  <w:tcW w:w="1391" w:type="dxa"/>
                  <w:vMerge w:val="restart"/>
                  <w:tcBorders>
                    <w:top w:val="single" w:color="auto" w:sz="6" w:space="0"/>
                    <w:left w:val="single" w:color="auto" w:sz="4" w:space="0"/>
                    <w:bottom w:val="single" w:color="auto" w:sz="4" w:space="0"/>
                    <w:right w:val="single" w:color="auto" w:sz="4" w:space="0"/>
                  </w:tcBorders>
                </w:tcPr>
                <w:p w14:paraId="126E87D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叠加后</w:t>
                  </w: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界噪声预测值dB(A)</w:t>
                  </w:r>
                </w:p>
              </w:tc>
              <w:tc>
                <w:tcPr>
                  <w:tcW w:w="1118" w:type="dxa"/>
                  <w:vMerge w:val="restart"/>
                  <w:tcBorders>
                    <w:top w:val="single" w:color="auto" w:sz="6" w:space="0"/>
                    <w:left w:val="single" w:color="auto" w:sz="4" w:space="0"/>
                    <w:bottom w:val="single" w:color="auto" w:sz="4" w:space="0"/>
                    <w:right w:val="single" w:color="auto" w:sz="4" w:space="0"/>
                  </w:tcBorders>
                  <w:vAlign w:val="center"/>
                </w:tcPr>
                <w:p w14:paraId="157FE39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标准限值dB(A)</w:t>
                  </w:r>
                </w:p>
              </w:tc>
              <w:tc>
                <w:tcPr>
                  <w:tcW w:w="1002" w:type="dxa"/>
                  <w:vMerge w:val="restart"/>
                  <w:tcBorders>
                    <w:top w:val="single" w:color="auto" w:sz="6" w:space="0"/>
                    <w:left w:val="single" w:color="auto" w:sz="4" w:space="0"/>
                    <w:bottom w:val="single" w:color="auto" w:sz="4" w:space="0"/>
                    <w:right w:val="single" w:color="auto" w:sz="6" w:space="0"/>
                  </w:tcBorders>
                  <w:vAlign w:val="center"/>
                </w:tcPr>
                <w:p w14:paraId="664A927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r>
            <w:tr w14:paraId="148D7C0B">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continue"/>
                  <w:tcBorders>
                    <w:top w:val="single" w:color="auto" w:sz="4" w:space="0"/>
                    <w:left w:val="single" w:color="auto" w:sz="4" w:space="0"/>
                    <w:bottom w:val="single" w:color="auto" w:sz="4" w:space="0"/>
                    <w:right w:val="single" w:color="auto" w:sz="4" w:space="0"/>
                  </w:tcBorders>
                  <w:vAlign w:val="center"/>
                </w:tcPr>
                <w:p w14:paraId="4953009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05" w:type="dxa"/>
                  <w:vMerge w:val="continue"/>
                  <w:tcBorders>
                    <w:top w:val="single" w:color="auto" w:sz="4" w:space="0"/>
                    <w:left w:val="single" w:color="auto" w:sz="4" w:space="0"/>
                    <w:bottom w:val="single" w:color="auto" w:sz="4" w:space="0"/>
                    <w:right w:val="single" w:color="auto" w:sz="4" w:space="0"/>
                  </w:tcBorders>
                  <w:vAlign w:val="center"/>
                </w:tcPr>
                <w:p w14:paraId="62F93E5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221" w:type="dxa"/>
                  <w:vMerge w:val="continue"/>
                  <w:tcBorders>
                    <w:top w:val="single" w:color="auto" w:sz="4" w:space="0"/>
                    <w:left w:val="single" w:color="auto" w:sz="4" w:space="0"/>
                    <w:bottom w:val="single" w:color="auto" w:sz="4" w:space="0"/>
                    <w:right w:val="single" w:color="auto" w:sz="4" w:space="0"/>
                  </w:tcBorders>
                  <w:vAlign w:val="center"/>
                </w:tcPr>
                <w:p w14:paraId="0ED865BF">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391" w:type="dxa"/>
                  <w:vMerge w:val="continue"/>
                  <w:tcBorders>
                    <w:top w:val="single" w:color="auto" w:sz="4" w:space="0"/>
                    <w:left w:val="single" w:color="auto" w:sz="4" w:space="0"/>
                    <w:bottom w:val="single" w:color="auto" w:sz="4" w:space="0"/>
                    <w:right w:val="single" w:color="auto" w:sz="4" w:space="0"/>
                  </w:tcBorders>
                  <w:vAlign w:val="center"/>
                </w:tcPr>
                <w:p w14:paraId="5A754C16">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391" w:type="dxa"/>
                  <w:vMerge w:val="continue"/>
                  <w:tcBorders>
                    <w:top w:val="single" w:color="auto" w:sz="4" w:space="0"/>
                    <w:left w:val="single" w:color="auto" w:sz="4" w:space="0"/>
                    <w:bottom w:val="single" w:color="auto" w:sz="4" w:space="0"/>
                    <w:right w:val="single" w:color="auto" w:sz="4" w:space="0"/>
                  </w:tcBorders>
                </w:tcPr>
                <w:p w14:paraId="122B635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18" w:type="dxa"/>
                  <w:vMerge w:val="continue"/>
                  <w:tcBorders>
                    <w:top w:val="single" w:color="auto" w:sz="4" w:space="0"/>
                    <w:left w:val="single" w:color="auto" w:sz="4" w:space="0"/>
                    <w:bottom w:val="single" w:color="auto" w:sz="4" w:space="0"/>
                    <w:right w:val="single" w:color="auto" w:sz="4" w:space="0"/>
                  </w:tcBorders>
                  <w:vAlign w:val="center"/>
                </w:tcPr>
                <w:p w14:paraId="1EC40C5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002" w:type="dxa"/>
                  <w:vMerge w:val="continue"/>
                  <w:tcBorders>
                    <w:top w:val="single" w:color="auto" w:sz="4" w:space="0"/>
                    <w:left w:val="single" w:color="auto" w:sz="4" w:space="0"/>
                    <w:bottom w:val="single" w:color="auto" w:sz="4" w:space="0"/>
                    <w:right w:val="single" w:color="auto" w:sz="6" w:space="0"/>
                  </w:tcBorders>
                  <w:vAlign w:val="center"/>
                </w:tcPr>
                <w:p w14:paraId="6219D85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r>
            <w:tr w14:paraId="0693CCE3">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restart"/>
                  <w:tcBorders>
                    <w:top w:val="single" w:color="auto" w:sz="4" w:space="0"/>
                    <w:left w:val="single" w:color="auto" w:sz="4" w:space="0"/>
                    <w:right w:val="single" w:color="auto" w:sz="4" w:space="0"/>
                  </w:tcBorders>
                  <w:vAlign w:val="center"/>
                </w:tcPr>
                <w:p w14:paraId="12DC5DD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东侧</w:t>
                  </w: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w:t>
                  </w:r>
                </w:p>
              </w:tc>
              <w:tc>
                <w:tcPr>
                  <w:tcW w:w="1105" w:type="dxa"/>
                  <w:tcBorders>
                    <w:top w:val="single" w:color="auto" w:sz="4" w:space="0"/>
                    <w:left w:val="single" w:color="auto" w:sz="4" w:space="0"/>
                    <w:bottom w:val="single" w:color="auto" w:sz="4" w:space="0"/>
                    <w:right w:val="single" w:color="auto" w:sz="4" w:space="0"/>
                  </w:tcBorders>
                  <w:vAlign w:val="center"/>
                </w:tcPr>
                <w:p w14:paraId="52A105FF">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val="en-US" w:eastAsia="zh-CN"/>
                    </w:rPr>
                    <w:t>昼夜</w:t>
                  </w:r>
                </w:p>
              </w:tc>
              <w:tc>
                <w:tcPr>
                  <w:tcW w:w="1221" w:type="dxa"/>
                  <w:tcBorders>
                    <w:top w:val="single" w:color="auto" w:sz="4" w:space="0"/>
                    <w:left w:val="single" w:color="auto" w:sz="4" w:space="0"/>
                    <w:bottom w:val="single" w:color="auto" w:sz="4" w:space="0"/>
                    <w:right w:val="single" w:color="auto" w:sz="4" w:space="0"/>
                  </w:tcBorders>
                  <w:vAlign w:val="center"/>
                </w:tcPr>
                <w:p w14:paraId="066FD95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rPr>
                  </w:pPr>
                  <w:r>
                    <w:rPr>
                      <w:rFonts w:hint="eastAsia" w:cs="Times New Roman"/>
                      <w:color w:val="auto"/>
                      <w:lang w:val="en-US" w:eastAsia="zh-CN"/>
                    </w:rPr>
                    <w:t>28</w:t>
                  </w:r>
                </w:p>
              </w:tc>
              <w:tc>
                <w:tcPr>
                  <w:tcW w:w="1391" w:type="dxa"/>
                  <w:tcBorders>
                    <w:top w:val="single" w:color="auto" w:sz="4" w:space="0"/>
                    <w:left w:val="single" w:color="auto" w:sz="4" w:space="0"/>
                    <w:bottom w:val="single" w:color="auto" w:sz="4" w:space="0"/>
                    <w:right w:val="single" w:color="auto" w:sz="4" w:space="0"/>
                  </w:tcBorders>
                  <w:vAlign w:val="center"/>
                </w:tcPr>
                <w:p w14:paraId="634AA0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59</w:t>
                  </w:r>
                </w:p>
              </w:tc>
              <w:tc>
                <w:tcPr>
                  <w:tcW w:w="1391" w:type="dxa"/>
                  <w:tcBorders>
                    <w:top w:val="single" w:color="auto" w:sz="4" w:space="0"/>
                    <w:left w:val="single" w:color="auto" w:sz="4" w:space="0"/>
                    <w:bottom w:val="single" w:color="auto" w:sz="4" w:space="0"/>
                    <w:right w:val="single" w:color="auto" w:sz="4" w:space="0"/>
                  </w:tcBorders>
                  <w:vAlign w:val="center"/>
                </w:tcPr>
                <w:p w14:paraId="4FB5DF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59</w:t>
                  </w:r>
                </w:p>
              </w:tc>
              <w:tc>
                <w:tcPr>
                  <w:tcW w:w="1118" w:type="dxa"/>
                  <w:tcBorders>
                    <w:top w:val="single" w:color="auto" w:sz="4" w:space="0"/>
                    <w:left w:val="single" w:color="auto" w:sz="4" w:space="0"/>
                    <w:bottom w:val="single" w:color="auto" w:sz="4" w:space="0"/>
                    <w:right w:val="single" w:color="auto" w:sz="4" w:space="0"/>
                  </w:tcBorders>
                  <w:vAlign w:val="center"/>
                </w:tcPr>
                <w:p w14:paraId="0BF0851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color w:val="auto"/>
                      <w:szCs w:val="21"/>
                    </w:rPr>
                    <w:t>6</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252E919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070A2CFF">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continue"/>
                  <w:tcBorders>
                    <w:left w:val="single" w:color="auto" w:sz="4" w:space="0"/>
                    <w:bottom w:val="single" w:color="auto" w:sz="4" w:space="0"/>
                    <w:right w:val="single" w:color="auto" w:sz="4" w:space="0"/>
                  </w:tcBorders>
                  <w:vAlign w:val="center"/>
                </w:tcPr>
                <w:p w14:paraId="50CF7F8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05" w:type="dxa"/>
                  <w:tcBorders>
                    <w:top w:val="single" w:color="auto" w:sz="4" w:space="0"/>
                    <w:left w:val="single" w:color="auto" w:sz="4" w:space="0"/>
                    <w:bottom w:val="single" w:color="auto" w:sz="4" w:space="0"/>
                    <w:right w:val="single" w:color="auto" w:sz="4" w:space="0"/>
                  </w:tcBorders>
                  <w:vAlign w:val="center"/>
                </w:tcPr>
                <w:p w14:paraId="66438F61">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rPr>
                    <w:t>夜间</w:t>
                  </w:r>
                </w:p>
              </w:tc>
              <w:tc>
                <w:tcPr>
                  <w:tcW w:w="1221" w:type="dxa"/>
                  <w:tcBorders>
                    <w:top w:val="single" w:color="auto" w:sz="4" w:space="0"/>
                    <w:left w:val="single" w:color="auto" w:sz="4" w:space="0"/>
                    <w:bottom w:val="single" w:color="auto" w:sz="4" w:space="0"/>
                    <w:right w:val="single" w:color="auto" w:sz="4" w:space="0"/>
                  </w:tcBorders>
                  <w:vAlign w:val="center"/>
                </w:tcPr>
                <w:p w14:paraId="4D7DD95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rPr>
                  </w:pPr>
                  <w:r>
                    <w:rPr>
                      <w:rFonts w:hint="eastAsia" w:cs="Times New Roman"/>
                      <w:color w:val="auto"/>
                      <w:lang w:val="en-US" w:eastAsia="zh-CN"/>
                    </w:rPr>
                    <w:t>28</w:t>
                  </w:r>
                </w:p>
              </w:tc>
              <w:tc>
                <w:tcPr>
                  <w:tcW w:w="1391" w:type="dxa"/>
                  <w:tcBorders>
                    <w:top w:val="single" w:color="auto" w:sz="4" w:space="0"/>
                    <w:left w:val="single" w:color="auto" w:sz="4" w:space="0"/>
                    <w:bottom w:val="single" w:color="auto" w:sz="4" w:space="0"/>
                    <w:right w:val="single" w:color="auto" w:sz="4" w:space="0"/>
                  </w:tcBorders>
                  <w:vAlign w:val="center"/>
                </w:tcPr>
                <w:p w14:paraId="65A06A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48</w:t>
                  </w:r>
                </w:p>
              </w:tc>
              <w:tc>
                <w:tcPr>
                  <w:tcW w:w="1391" w:type="dxa"/>
                  <w:tcBorders>
                    <w:top w:val="single" w:color="auto" w:sz="4" w:space="0"/>
                    <w:left w:val="single" w:color="auto" w:sz="4" w:space="0"/>
                    <w:bottom w:val="single" w:color="auto" w:sz="4" w:space="0"/>
                    <w:right w:val="single" w:color="auto" w:sz="4" w:space="0"/>
                  </w:tcBorders>
                  <w:vAlign w:val="center"/>
                </w:tcPr>
                <w:p w14:paraId="43DE89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48</w:t>
                  </w:r>
                </w:p>
              </w:tc>
              <w:tc>
                <w:tcPr>
                  <w:tcW w:w="1118" w:type="dxa"/>
                  <w:tcBorders>
                    <w:top w:val="single" w:color="auto" w:sz="4" w:space="0"/>
                    <w:left w:val="single" w:color="auto" w:sz="4" w:space="0"/>
                    <w:bottom w:val="single" w:color="auto" w:sz="4" w:space="0"/>
                    <w:right w:val="single" w:color="auto" w:sz="4" w:space="0"/>
                  </w:tcBorders>
                  <w:vAlign w:val="center"/>
                </w:tcPr>
                <w:p w14:paraId="0365121A">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eastAsia"/>
                      <w:color w:val="auto"/>
                      <w:szCs w:val="21"/>
                    </w:rPr>
                    <w:t>5</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332F980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2C8F2B04">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restart"/>
                  <w:tcBorders>
                    <w:top w:val="single" w:color="auto" w:sz="4" w:space="0"/>
                    <w:left w:val="single" w:color="auto" w:sz="4" w:space="0"/>
                    <w:right w:val="single" w:color="auto" w:sz="4" w:space="0"/>
                  </w:tcBorders>
                  <w:vAlign w:val="center"/>
                </w:tcPr>
                <w:p w14:paraId="23023C3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南侧</w:t>
                  </w: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w:t>
                  </w:r>
                </w:p>
              </w:tc>
              <w:tc>
                <w:tcPr>
                  <w:tcW w:w="1105" w:type="dxa"/>
                  <w:tcBorders>
                    <w:top w:val="single" w:color="auto" w:sz="4" w:space="0"/>
                    <w:left w:val="single" w:color="auto" w:sz="4" w:space="0"/>
                    <w:bottom w:val="single" w:color="auto" w:sz="4" w:space="0"/>
                    <w:right w:val="single" w:color="auto" w:sz="4" w:space="0"/>
                  </w:tcBorders>
                  <w:vAlign w:val="center"/>
                </w:tcPr>
                <w:p w14:paraId="1141E32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昼夜</w:t>
                  </w:r>
                </w:p>
              </w:tc>
              <w:tc>
                <w:tcPr>
                  <w:tcW w:w="1221" w:type="dxa"/>
                  <w:tcBorders>
                    <w:top w:val="single" w:color="auto" w:sz="4" w:space="0"/>
                    <w:left w:val="single" w:color="auto" w:sz="4" w:space="0"/>
                    <w:bottom w:val="single" w:color="auto" w:sz="4" w:space="0"/>
                    <w:right w:val="single" w:color="auto" w:sz="4" w:space="0"/>
                  </w:tcBorders>
                  <w:vAlign w:val="center"/>
                </w:tcPr>
                <w:p w14:paraId="27B3D7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38</w:t>
                  </w:r>
                </w:p>
              </w:tc>
              <w:tc>
                <w:tcPr>
                  <w:tcW w:w="1391" w:type="dxa"/>
                  <w:tcBorders>
                    <w:top w:val="single" w:color="auto" w:sz="4" w:space="0"/>
                    <w:left w:val="single" w:color="auto" w:sz="4" w:space="0"/>
                    <w:bottom w:val="single" w:color="auto" w:sz="4" w:space="0"/>
                    <w:right w:val="single" w:color="auto" w:sz="4" w:space="0"/>
                  </w:tcBorders>
                  <w:vAlign w:val="center"/>
                </w:tcPr>
                <w:p w14:paraId="4414C5E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59</w:t>
                  </w:r>
                </w:p>
              </w:tc>
              <w:tc>
                <w:tcPr>
                  <w:tcW w:w="1391" w:type="dxa"/>
                  <w:tcBorders>
                    <w:top w:val="single" w:color="auto" w:sz="4" w:space="0"/>
                    <w:left w:val="single" w:color="auto" w:sz="4" w:space="0"/>
                    <w:bottom w:val="single" w:color="auto" w:sz="4" w:space="0"/>
                    <w:right w:val="single" w:color="auto" w:sz="4" w:space="0"/>
                  </w:tcBorders>
                  <w:vAlign w:val="center"/>
                </w:tcPr>
                <w:p w14:paraId="004BA9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59</w:t>
                  </w:r>
                </w:p>
              </w:tc>
              <w:tc>
                <w:tcPr>
                  <w:tcW w:w="1118" w:type="dxa"/>
                  <w:tcBorders>
                    <w:top w:val="single" w:color="auto" w:sz="4" w:space="0"/>
                    <w:left w:val="single" w:color="auto" w:sz="4" w:space="0"/>
                    <w:bottom w:val="single" w:color="auto" w:sz="4" w:space="0"/>
                    <w:right w:val="single" w:color="auto" w:sz="4" w:space="0"/>
                  </w:tcBorders>
                  <w:vAlign w:val="center"/>
                </w:tcPr>
                <w:p w14:paraId="395030C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default"/>
                      <w:color w:val="auto"/>
                      <w:szCs w:val="21"/>
                    </w:rPr>
                    <w:t>6</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546B1EF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108F1B02">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continue"/>
                  <w:tcBorders>
                    <w:left w:val="single" w:color="auto" w:sz="4" w:space="0"/>
                    <w:bottom w:val="single" w:color="auto" w:sz="4" w:space="0"/>
                    <w:right w:val="single" w:color="auto" w:sz="4" w:space="0"/>
                  </w:tcBorders>
                  <w:vAlign w:val="center"/>
                </w:tcPr>
                <w:p w14:paraId="065F409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05" w:type="dxa"/>
                  <w:tcBorders>
                    <w:top w:val="single" w:color="auto" w:sz="4" w:space="0"/>
                    <w:left w:val="single" w:color="auto" w:sz="4" w:space="0"/>
                    <w:bottom w:val="single" w:color="auto" w:sz="4" w:space="0"/>
                    <w:right w:val="single" w:color="auto" w:sz="4" w:space="0"/>
                  </w:tcBorders>
                  <w:vAlign w:val="center"/>
                </w:tcPr>
                <w:p w14:paraId="6994FC9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rPr>
                    <w:t>夜间</w:t>
                  </w:r>
                </w:p>
              </w:tc>
              <w:tc>
                <w:tcPr>
                  <w:tcW w:w="1221" w:type="dxa"/>
                  <w:tcBorders>
                    <w:top w:val="single" w:color="auto" w:sz="4" w:space="0"/>
                    <w:left w:val="single" w:color="auto" w:sz="4" w:space="0"/>
                    <w:bottom w:val="single" w:color="auto" w:sz="4" w:space="0"/>
                    <w:right w:val="single" w:color="auto" w:sz="4" w:space="0"/>
                  </w:tcBorders>
                  <w:vAlign w:val="center"/>
                </w:tcPr>
                <w:p w14:paraId="79183B5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38</w:t>
                  </w:r>
                </w:p>
              </w:tc>
              <w:tc>
                <w:tcPr>
                  <w:tcW w:w="1391" w:type="dxa"/>
                  <w:tcBorders>
                    <w:top w:val="single" w:color="auto" w:sz="4" w:space="0"/>
                    <w:left w:val="single" w:color="auto" w:sz="4" w:space="0"/>
                    <w:bottom w:val="single" w:color="auto" w:sz="4" w:space="0"/>
                    <w:right w:val="single" w:color="auto" w:sz="4" w:space="0"/>
                  </w:tcBorders>
                  <w:vAlign w:val="center"/>
                </w:tcPr>
                <w:p w14:paraId="11DED613">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48</w:t>
                  </w:r>
                </w:p>
              </w:tc>
              <w:tc>
                <w:tcPr>
                  <w:tcW w:w="1391" w:type="dxa"/>
                  <w:tcBorders>
                    <w:top w:val="single" w:color="auto" w:sz="4" w:space="0"/>
                    <w:left w:val="single" w:color="auto" w:sz="4" w:space="0"/>
                    <w:bottom w:val="single" w:color="auto" w:sz="4" w:space="0"/>
                    <w:right w:val="single" w:color="auto" w:sz="4" w:space="0"/>
                  </w:tcBorders>
                  <w:vAlign w:val="center"/>
                </w:tcPr>
                <w:p w14:paraId="7DC474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48</w:t>
                  </w:r>
                </w:p>
              </w:tc>
              <w:tc>
                <w:tcPr>
                  <w:tcW w:w="1118" w:type="dxa"/>
                  <w:tcBorders>
                    <w:top w:val="single" w:color="auto" w:sz="4" w:space="0"/>
                    <w:left w:val="single" w:color="auto" w:sz="4" w:space="0"/>
                    <w:bottom w:val="single" w:color="auto" w:sz="4" w:space="0"/>
                    <w:right w:val="single" w:color="auto" w:sz="4" w:space="0"/>
                  </w:tcBorders>
                  <w:vAlign w:val="center"/>
                </w:tcPr>
                <w:p w14:paraId="5B84644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color w:val="auto"/>
                      <w:szCs w:val="21"/>
                    </w:rPr>
                    <w:t>5</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31AA840A">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4B3F03C5">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restart"/>
                  <w:tcBorders>
                    <w:top w:val="single" w:color="auto" w:sz="4" w:space="0"/>
                    <w:left w:val="single" w:color="auto" w:sz="4" w:space="0"/>
                    <w:right w:val="single" w:color="auto" w:sz="4" w:space="0"/>
                  </w:tcBorders>
                  <w:vAlign w:val="center"/>
                </w:tcPr>
                <w:p w14:paraId="528E373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西侧</w:t>
                  </w: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w:t>
                  </w:r>
                </w:p>
              </w:tc>
              <w:tc>
                <w:tcPr>
                  <w:tcW w:w="1105" w:type="dxa"/>
                  <w:tcBorders>
                    <w:top w:val="single" w:color="auto" w:sz="4" w:space="0"/>
                    <w:left w:val="single" w:color="auto" w:sz="4" w:space="0"/>
                    <w:bottom w:val="single" w:color="auto" w:sz="4" w:space="0"/>
                    <w:right w:val="single" w:color="auto" w:sz="4" w:space="0"/>
                  </w:tcBorders>
                  <w:vAlign w:val="center"/>
                </w:tcPr>
                <w:p w14:paraId="6E337BA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昼夜</w:t>
                  </w:r>
                </w:p>
              </w:tc>
              <w:tc>
                <w:tcPr>
                  <w:tcW w:w="1221" w:type="dxa"/>
                  <w:tcBorders>
                    <w:top w:val="single" w:color="auto" w:sz="4" w:space="0"/>
                    <w:left w:val="single" w:color="auto" w:sz="4" w:space="0"/>
                    <w:bottom w:val="single" w:color="auto" w:sz="4" w:space="0"/>
                    <w:right w:val="single" w:color="auto" w:sz="4" w:space="0"/>
                  </w:tcBorders>
                  <w:vAlign w:val="center"/>
                </w:tcPr>
                <w:p w14:paraId="481C7C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42</w:t>
                  </w:r>
                </w:p>
              </w:tc>
              <w:tc>
                <w:tcPr>
                  <w:tcW w:w="1391" w:type="dxa"/>
                  <w:tcBorders>
                    <w:top w:val="single" w:color="auto" w:sz="4" w:space="0"/>
                    <w:left w:val="single" w:color="auto" w:sz="4" w:space="0"/>
                    <w:bottom w:val="single" w:color="auto" w:sz="4" w:space="0"/>
                    <w:right w:val="single" w:color="auto" w:sz="4" w:space="0"/>
                  </w:tcBorders>
                  <w:vAlign w:val="center"/>
                </w:tcPr>
                <w:p w14:paraId="5DB508C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61</w:t>
                  </w:r>
                </w:p>
              </w:tc>
              <w:tc>
                <w:tcPr>
                  <w:tcW w:w="1391" w:type="dxa"/>
                  <w:tcBorders>
                    <w:top w:val="single" w:color="auto" w:sz="4" w:space="0"/>
                    <w:left w:val="single" w:color="auto" w:sz="4" w:space="0"/>
                    <w:bottom w:val="single" w:color="auto" w:sz="4" w:space="0"/>
                    <w:right w:val="single" w:color="auto" w:sz="4" w:space="0"/>
                  </w:tcBorders>
                  <w:vAlign w:val="center"/>
                </w:tcPr>
                <w:p w14:paraId="164897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61</w:t>
                  </w:r>
                </w:p>
              </w:tc>
              <w:tc>
                <w:tcPr>
                  <w:tcW w:w="1118" w:type="dxa"/>
                  <w:tcBorders>
                    <w:top w:val="single" w:color="auto" w:sz="4" w:space="0"/>
                    <w:left w:val="single" w:color="auto" w:sz="4" w:space="0"/>
                    <w:bottom w:val="single" w:color="auto" w:sz="4" w:space="0"/>
                    <w:right w:val="single" w:color="auto" w:sz="4" w:space="0"/>
                  </w:tcBorders>
                  <w:vAlign w:val="center"/>
                </w:tcPr>
                <w:p w14:paraId="07D8A7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70</w:t>
                  </w:r>
                </w:p>
              </w:tc>
              <w:tc>
                <w:tcPr>
                  <w:tcW w:w="1002" w:type="dxa"/>
                  <w:tcBorders>
                    <w:top w:val="single" w:color="auto" w:sz="4" w:space="0"/>
                    <w:left w:val="single" w:color="auto" w:sz="4" w:space="0"/>
                    <w:bottom w:val="single" w:color="auto" w:sz="4" w:space="0"/>
                    <w:right w:val="single" w:color="auto" w:sz="6" w:space="0"/>
                  </w:tcBorders>
                  <w:vAlign w:val="center"/>
                </w:tcPr>
                <w:p w14:paraId="1D972A5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562AF98D">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continue"/>
                  <w:tcBorders>
                    <w:left w:val="single" w:color="auto" w:sz="4" w:space="0"/>
                    <w:bottom w:val="single" w:color="auto" w:sz="4" w:space="0"/>
                    <w:right w:val="single" w:color="auto" w:sz="4" w:space="0"/>
                  </w:tcBorders>
                  <w:vAlign w:val="center"/>
                </w:tcPr>
                <w:p w14:paraId="706F745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05" w:type="dxa"/>
                  <w:tcBorders>
                    <w:top w:val="single" w:color="auto" w:sz="4" w:space="0"/>
                    <w:left w:val="single" w:color="auto" w:sz="4" w:space="0"/>
                    <w:bottom w:val="single" w:color="auto" w:sz="4" w:space="0"/>
                    <w:right w:val="single" w:color="auto" w:sz="4" w:space="0"/>
                  </w:tcBorders>
                  <w:vAlign w:val="center"/>
                </w:tcPr>
                <w:p w14:paraId="5D98051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rPr>
                    <w:t>夜间</w:t>
                  </w:r>
                </w:p>
              </w:tc>
              <w:tc>
                <w:tcPr>
                  <w:tcW w:w="1221" w:type="dxa"/>
                  <w:tcBorders>
                    <w:top w:val="single" w:color="auto" w:sz="4" w:space="0"/>
                    <w:left w:val="single" w:color="auto" w:sz="4" w:space="0"/>
                    <w:bottom w:val="single" w:color="auto" w:sz="4" w:space="0"/>
                    <w:right w:val="single" w:color="auto" w:sz="4" w:space="0"/>
                  </w:tcBorders>
                  <w:vAlign w:val="center"/>
                </w:tcPr>
                <w:p w14:paraId="477464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42</w:t>
                  </w:r>
                </w:p>
              </w:tc>
              <w:tc>
                <w:tcPr>
                  <w:tcW w:w="1391" w:type="dxa"/>
                  <w:tcBorders>
                    <w:top w:val="single" w:color="auto" w:sz="4" w:space="0"/>
                    <w:left w:val="single" w:color="auto" w:sz="4" w:space="0"/>
                    <w:bottom w:val="single" w:color="auto" w:sz="4" w:space="0"/>
                    <w:right w:val="single" w:color="auto" w:sz="4" w:space="0"/>
                  </w:tcBorders>
                  <w:vAlign w:val="center"/>
                </w:tcPr>
                <w:p w14:paraId="7BE377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49</w:t>
                  </w:r>
                </w:p>
              </w:tc>
              <w:tc>
                <w:tcPr>
                  <w:tcW w:w="1391" w:type="dxa"/>
                  <w:tcBorders>
                    <w:top w:val="single" w:color="auto" w:sz="4" w:space="0"/>
                    <w:left w:val="single" w:color="auto" w:sz="4" w:space="0"/>
                    <w:bottom w:val="single" w:color="auto" w:sz="4" w:space="0"/>
                    <w:right w:val="single" w:color="auto" w:sz="4" w:space="0"/>
                  </w:tcBorders>
                  <w:vAlign w:val="center"/>
                </w:tcPr>
                <w:p w14:paraId="77E629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50</w:t>
                  </w:r>
                </w:p>
              </w:tc>
              <w:tc>
                <w:tcPr>
                  <w:tcW w:w="1118" w:type="dxa"/>
                  <w:tcBorders>
                    <w:top w:val="single" w:color="auto" w:sz="4" w:space="0"/>
                    <w:left w:val="single" w:color="auto" w:sz="4" w:space="0"/>
                    <w:bottom w:val="single" w:color="auto" w:sz="4" w:space="0"/>
                    <w:right w:val="single" w:color="auto" w:sz="4" w:space="0"/>
                  </w:tcBorders>
                  <w:vAlign w:val="center"/>
                </w:tcPr>
                <w:p w14:paraId="47EF64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55</w:t>
                  </w:r>
                </w:p>
              </w:tc>
              <w:tc>
                <w:tcPr>
                  <w:tcW w:w="1002" w:type="dxa"/>
                  <w:tcBorders>
                    <w:top w:val="single" w:color="auto" w:sz="4" w:space="0"/>
                    <w:left w:val="single" w:color="auto" w:sz="4" w:space="0"/>
                    <w:bottom w:val="single" w:color="auto" w:sz="4" w:space="0"/>
                    <w:right w:val="single" w:color="auto" w:sz="6" w:space="0"/>
                  </w:tcBorders>
                  <w:vAlign w:val="center"/>
                </w:tcPr>
                <w:p w14:paraId="6DE385E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2893D025">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restart"/>
                  <w:tcBorders>
                    <w:top w:val="single" w:color="auto" w:sz="4" w:space="0"/>
                    <w:left w:val="single" w:color="auto" w:sz="4" w:space="0"/>
                    <w:right w:val="single" w:color="auto" w:sz="4" w:space="0"/>
                  </w:tcBorders>
                  <w:vAlign w:val="center"/>
                </w:tcPr>
                <w:p w14:paraId="59BFBAD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北侧</w:t>
                  </w:r>
                  <w:r>
                    <w:rPr>
                      <w:rFonts w:hint="eastAsia" w:ascii="Times New Roman" w:hAnsi="Times New Roman" w:cs="Times New Roman"/>
                      <w:color w:val="auto"/>
                      <w:szCs w:val="21"/>
                      <w:lang w:val="en-US" w:eastAsia="zh-CN"/>
                    </w:rPr>
                    <w:t>场</w:t>
                  </w:r>
                  <w:r>
                    <w:rPr>
                      <w:rFonts w:hint="default" w:ascii="Times New Roman" w:hAnsi="Times New Roman" w:cs="Times New Roman"/>
                      <w:color w:val="auto"/>
                      <w:szCs w:val="21"/>
                    </w:rPr>
                    <w:t>界</w:t>
                  </w:r>
                </w:p>
              </w:tc>
              <w:tc>
                <w:tcPr>
                  <w:tcW w:w="1105" w:type="dxa"/>
                  <w:tcBorders>
                    <w:top w:val="single" w:color="auto" w:sz="4" w:space="0"/>
                    <w:left w:val="single" w:color="auto" w:sz="4" w:space="0"/>
                    <w:bottom w:val="single" w:color="auto" w:sz="4" w:space="0"/>
                    <w:right w:val="single" w:color="auto" w:sz="4" w:space="0"/>
                  </w:tcBorders>
                  <w:vAlign w:val="center"/>
                </w:tcPr>
                <w:p w14:paraId="27E70F0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昼夜</w:t>
                  </w:r>
                </w:p>
              </w:tc>
              <w:tc>
                <w:tcPr>
                  <w:tcW w:w="1221" w:type="dxa"/>
                  <w:tcBorders>
                    <w:top w:val="single" w:color="auto" w:sz="4" w:space="0"/>
                    <w:left w:val="single" w:color="auto" w:sz="4" w:space="0"/>
                    <w:bottom w:val="single" w:color="auto" w:sz="4" w:space="0"/>
                    <w:right w:val="single" w:color="auto" w:sz="4" w:space="0"/>
                  </w:tcBorders>
                  <w:vAlign w:val="center"/>
                </w:tcPr>
                <w:p w14:paraId="66394D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w:t>
                  </w:r>
                </w:p>
              </w:tc>
              <w:tc>
                <w:tcPr>
                  <w:tcW w:w="1391" w:type="dxa"/>
                  <w:tcBorders>
                    <w:top w:val="single" w:color="auto" w:sz="4" w:space="0"/>
                    <w:left w:val="single" w:color="auto" w:sz="4" w:space="0"/>
                    <w:bottom w:val="single" w:color="auto" w:sz="4" w:space="0"/>
                    <w:right w:val="single" w:color="auto" w:sz="4" w:space="0"/>
                  </w:tcBorders>
                  <w:vAlign w:val="center"/>
                </w:tcPr>
                <w:p w14:paraId="214D4C6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59</w:t>
                  </w:r>
                </w:p>
              </w:tc>
              <w:tc>
                <w:tcPr>
                  <w:tcW w:w="1391" w:type="dxa"/>
                  <w:tcBorders>
                    <w:top w:val="single" w:color="auto" w:sz="4" w:space="0"/>
                    <w:left w:val="single" w:color="auto" w:sz="4" w:space="0"/>
                    <w:bottom w:val="single" w:color="auto" w:sz="4" w:space="0"/>
                    <w:right w:val="single" w:color="auto" w:sz="4" w:space="0"/>
                  </w:tcBorders>
                  <w:vAlign w:val="center"/>
                </w:tcPr>
                <w:p w14:paraId="2E4F9B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59</w:t>
                  </w:r>
                </w:p>
              </w:tc>
              <w:tc>
                <w:tcPr>
                  <w:tcW w:w="1118" w:type="dxa"/>
                  <w:tcBorders>
                    <w:top w:val="single" w:color="auto" w:sz="4" w:space="0"/>
                    <w:left w:val="single" w:color="auto" w:sz="4" w:space="0"/>
                    <w:bottom w:val="single" w:color="auto" w:sz="4" w:space="0"/>
                    <w:right w:val="single" w:color="auto" w:sz="4" w:space="0"/>
                  </w:tcBorders>
                  <w:vAlign w:val="center"/>
                </w:tcPr>
                <w:p w14:paraId="3F6D504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default"/>
                      <w:color w:val="auto"/>
                      <w:szCs w:val="21"/>
                    </w:rPr>
                    <w:t>6</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5FADC60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52FD4363">
              <w:tblPrEx>
                <w:tblBorders>
                  <w:top w:val="single" w:color="auto" w:sz="2" w:space="0"/>
                  <w:left w:val="none" w:color="auto" w:sz="0" w:space="0"/>
                  <w:bottom w:val="single" w:color="auto" w:sz="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1191" w:type="dxa"/>
                  <w:vMerge w:val="continue"/>
                  <w:tcBorders>
                    <w:left w:val="single" w:color="auto" w:sz="4" w:space="0"/>
                    <w:right w:val="single" w:color="auto" w:sz="4" w:space="0"/>
                  </w:tcBorders>
                  <w:vAlign w:val="center"/>
                </w:tcPr>
                <w:p w14:paraId="777EF206">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1105" w:type="dxa"/>
                  <w:tcBorders>
                    <w:top w:val="single" w:color="auto" w:sz="4" w:space="0"/>
                    <w:left w:val="single" w:color="auto" w:sz="4" w:space="0"/>
                    <w:bottom w:val="single" w:color="auto" w:sz="4" w:space="0"/>
                    <w:right w:val="single" w:color="auto" w:sz="4" w:space="0"/>
                  </w:tcBorders>
                  <w:vAlign w:val="center"/>
                </w:tcPr>
                <w:p w14:paraId="34D24F8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rPr>
                    <w:t>夜间</w:t>
                  </w:r>
                </w:p>
              </w:tc>
              <w:tc>
                <w:tcPr>
                  <w:tcW w:w="1221" w:type="dxa"/>
                  <w:tcBorders>
                    <w:top w:val="single" w:color="auto" w:sz="4" w:space="0"/>
                    <w:left w:val="single" w:color="auto" w:sz="4" w:space="0"/>
                    <w:bottom w:val="single" w:color="auto" w:sz="4" w:space="0"/>
                    <w:right w:val="single" w:color="auto" w:sz="4" w:space="0"/>
                  </w:tcBorders>
                  <w:vAlign w:val="center"/>
                </w:tcPr>
                <w:p w14:paraId="58EEF5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w:t>
                  </w:r>
                </w:p>
              </w:tc>
              <w:tc>
                <w:tcPr>
                  <w:tcW w:w="1391" w:type="dxa"/>
                  <w:tcBorders>
                    <w:top w:val="single" w:color="auto" w:sz="4" w:space="0"/>
                    <w:left w:val="single" w:color="auto" w:sz="4" w:space="0"/>
                    <w:bottom w:val="single" w:color="auto" w:sz="4" w:space="0"/>
                    <w:right w:val="single" w:color="auto" w:sz="4" w:space="0"/>
                  </w:tcBorders>
                  <w:vAlign w:val="center"/>
                </w:tcPr>
                <w:p w14:paraId="1BCDFB2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48</w:t>
                  </w:r>
                </w:p>
              </w:tc>
              <w:tc>
                <w:tcPr>
                  <w:tcW w:w="1391" w:type="dxa"/>
                  <w:tcBorders>
                    <w:top w:val="single" w:color="auto" w:sz="4" w:space="0"/>
                    <w:left w:val="single" w:color="auto" w:sz="4" w:space="0"/>
                    <w:bottom w:val="single" w:color="auto" w:sz="4" w:space="0"/>
                    <w:right w:val="single" w:color="auto" w:sz="4" w:space="0"/>
                  </w:tcBorders>
                  <w:vAlign w:val="center"/>
                </w:tcPr>
                <w:p w14:paraId="2AA0A6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48</w:t>
                  </w:r>
                </w:p>
              </w:tc>
              <w:tc>
                <w:tcPr>
                  <w:tcW w:w="1118" w:type="dxa"/>
                  <w:tcBorders>
                    <w:top w:val="single" w:color="auto" w:sz="4" w:space="0"/>
                    <w:left w:val="single" w:color="auto" w:sz="4" w:space="0"/>
                    <w:bottom w:val="single" w:color="auto" w:sz="4" w:space="0"/>
                    <w:right w:val="single" w:color="auto" w:sz="4" w:space="0"/>
                  </w:tcBorders>
                  <w:vAlign w:val="center"/>
                </w:tcPr>
                <w:p w14:paraId="4B1F91B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rPr>
                  </w:pPr>
                  <w:r>
                    <w:rPr>
                      <w:rFonts w:hint="eastAsia"/>
                      <w:color w:val="auto"/>
                      <w:szCs w:val="21"/>
                    </w:rPr>
                    <w:t>5</w:t>
                  </w:r>
                  <w:r>
                    <w:rPr>
                      <w:rFonts w:hint="eastAsia"/>
                      <w:color w:val="auto"/>
                      <w:szCs w:val="21"/>
                      <w:lang w:val="en-US" w:eastAsia="zh-CN"/>
                    </w:rPr>
                    <w:t>0</w:t>
                  </w:r>
                </w:p>
              </w:tc>
              <w:tc>
                <w:tcPr>
                  <w:tcW w:w="1002" w:type="dxa"/>
                  <w:tcBorders>
                    <w:top w:val="single" w:color="auto" w:sz="4" w:space="0"/>
                    <w:left w:val="single" w:color="auto" w:sz="4" w:space="0"/>
                    <w:bottom w:val="single" w:color="auto" w:sz="4" w:space="0"/>
                    <w:right w:val="single" w:color="auto" w:sz="6" w:space="0"/>
                  </w:tcBorders>
                  <w:vAlign w:val="center"/>
                </w:tcPr>
                <w:p w14:paraId="7D05C2C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bl>
          <w:p w14:paraId="4D8F5220">
            <w:pPr>
              <w:rPr>
                <w:rFonts w:hint="default" w:ascii="Times New Roman" w:hAnsi="Times New Roman" w:eastAsia="宋体" w:cs="Times New Roman"/>
                <w:b/>
                <w:bCs/>
                <w:color w:val="auto"/>
                <w:sz w:val="21"/>
                <w:szCs w:val="21"/>
                <w:lang w:val="en-US" w:eastAsia="zh-Hans"/>
              </w:rPr>
            </w:pPr>
          </w:p>
          <w:p w14:paraId="650A760E">
            <w:pPr>
              <w:pStyle w:val="63"/>
              <w:tabs>
                <w:tab w:val="left" w:leader="middleDot" w:pos="7710"/>
              </w:tabs>
              <w:spacing w:line="240" w:lineRule="auto"/>
              <w:ind w:firstLine="482"/>
              <w:jc w:val="center"/>
              <w:rPr>
                <w:rFonts w:hint="default" w:ascii="Times New Roman" w:hAnsi="Times New Roman" w:eastAsia="宋体" w:cs="Times New Roman"/>
                <w:b/>
                <w:bCs w:val="0"/>
                <w:snapToGrid w:val="0"/>
                <w:color w:val="auto"/>
                <w:sz w:val="21"/>
                <w:szCs w:val="21"/>
                <w:lang w:val="en-US" w:eastAsia="zh-CN" w:bidi="ar"/>
              </w:rPr>
            </w:pPr>
          </w:p>
          <w:p w14:paraId="521C6CB0">
            <w:pPr>
              <w:pStyle w:val="63"/>
              <w:tabs>
                <w:tab w:val="left" w:leader="middleDot" w:pos="7710"/>
              </w:tabs>
              <w:spacing w:line="240" w:lineRule="auto"/>
              <w:ind w:firstLine="482"/>
              <w:jc w:val="center"/>
              <w:rPr>
                <w:rFonts w:hint="default" w:ascii="Times New Roman" w:hAnsi="Times New Roman" w:eastAsia="宋体" w:cs="Times New Roman"/>
                <w:b/>
                <w:bCs w:val="0"/>
                <w:snapToGrid w:val="0"/>
                <w:color w:val="auto"/>
                <w:sz w:val="21"/>
                <w:szCs w:val="21"/>
                <w:lang w:val="en-US" w:eastAsia="zh-CN" w:bidi="ar"/>
              </w:rPr>
            </w:pPr>
          </w:p>
          <w:p w14:paraId="0AEEF700">
            <w:pPr>
              <w:pStyle w:val="63"/>
              <w:tabs>
                <w:tab w:val="left" w:leader="middleDot" w:pos="7710"/>
              </w:tabs>
              <w:spacing w:line="240" w:lineRule="auto"/>
              <w:ind w:firstLine="482"/>
              <w:jc w:val="center"/>
              <w:rPr>
                <w:rFonts w:hint="default" w:ascii="Times New Roman" w:hAnsi="Times New Roman" w:eastAsia="宋体" w:cs="Times New Roman"/>
                <w:b/>
                <w:bCs w:val="0"/>
                <w:snapToGrid w:val="0"/>
                <w:color w:val="auto"/>
                <w:sz w:val="21"/>
                <w:szCs w:val="21"/>
                <w:lang w:val="en-US" w:eastAsia="zh-CN" w:bidi="ar"/>
              </w:rPr>
            </w:pPr>
            <w:r>
              <w:rPr>
                <w:rFonts w:hint="default" w:ascii="Times New Roman" w:hAnsi="Times New Roman" w:eastAsia="宋体" w:cs="Times New Roman"/>
                <w:b/>
                <w:bCs w:val="0"/>
                <w:snapToGrid w:val="0"/>
                <w:color w:val="auto"/>
                <w:sz w:val="21"/>
                <w:szCs w:val="21"/>
                <w:lang w:val="en-US" w:eastAsia="zh-CN" w:bidi="ar"/>
              </w:rPr>
              <w:t>表4</w:t>
            </w:r>
            <w:r>
              <w:rPr>
                <w:rFonts w:hint="eastAsia" w:ascii="Times New Roman" w:hAnsi="Times New Roman" w:eastAsia="宋体" w:cs="Times New Roman"/>
                <w:b/>
                <w:bCs w:val="0"/>
                <w:snapToGrid w:val="0"/>
                <w:color w:val="auto"/>
                <w:sz w:val="21"/>
                <w:szCs w:val="21"/>
                <w:lang w:val="en-US" w:eastAsia="zh-CN" w:bidi="ar"/>
              </w:rPr>
              <w:t>.2-15 敏感点</w:t>
            </w:r>
            <w:r>
              <w:rPr>
                <w:rFonts w:hint="default" w:ascii="Times New Roman" w:hAnsi="Times New Roman" w:eastAsia="宋体" w:cs="Times New Roman"/>
                <w:b/>
                <w:bCs w:val="0"/>
                <w:snapToGrid w:val="0"/>
                <w:color w:val="auto"/>
                <w:sz w:val="21"/>
                <w:szCs w:val="21"/>
                <w:lang w:val="en-US" w:eastAsia="zh-CN" w:bidi="ar"/>
              </w:rPr>
              <w:t>噪声影响预测结果  单位dB(A)</w:t>
            </w:r>
          </w:p>
          <w:tbl>
            <w:tblPr>
              <w:tblStyle w:val="25"/>
              <w:tblW w:w="45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717"/>
              <w:gridCol w:w="717"/>
              <w:gridCol w:w="705"/>
              <w:gridCol w:w="719"/>
              <w:gridCol w:w="691"/>
              <w:gridCol w:w="772"/>
              <w:gridCol w:w="756"/>
              <w:gridCol w:w="758"/>
              <w:gridCol w:w="870"/>
            </w:tblGrid>
            <w:tr w14:paraId="06BE1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restart"/>
                  <w:noWrap w:val="0"/>
                  <w:vAlign w:val="center"/>
                </w:tcPr>
                <w:p w14:paraId="6D0BF197">
                  <w:pPr>
                    <w:spacing w:line="240" w:lineRule="exact"/>
                    <w:jc w:val="center"/>
                    <w:rPr>
                      <w:rFonts w:hint="eastAsia" w:ascii="Times New Roman" w:hAnsi="Times New Roman" w:eastAsia="宋体" w:cs="Times New Roman"/>
                      <w:b/>
                      <w:color w:val="auto"/>
                      <w:szCs w:val="21"/>
                      <w:lang w:eastAsia="zh-CN"/>
                    </w:rPr>
                  </w:pPr>
                  <w:r>
                    <w:rPr>
                      <w:rFonts w:hint="eastAsia" w:ascii="Times New Roman" w:hAnsi="Times New Roman" w:eastAsia="宋体" w:cs="Times New Roman"/>
                      <w:b/>
                      <w:color w:val="auto"/>
                      <w:szCs w:val="21"/>
                      <w:lang w:val="en-US" w:eastAsia="zh-CN"/>
                    </w:rPr>
                    <w:t>敏感点</w:t>
                  </w:r>
                </w:p>
              </w:tc>
              <w:tc>
                <w:tcPr>
                  <w:tcW w:w="888" w:type="pct"/>
                  <w:gridSpan w:val="2"/>
                  <w:noWrap w:val="0"/>
                  <w:vAlign w:val="center"/>
                </w:tcPr>
                <w:p w14:paraId="09D084B5">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lang w:eastAsia="zh-CN"/>
                    </w:rPr>
                    <w:t>距离衰减后贡献</w:t>
                  </w:r>
                  <w:r>
                    <w:rPr>
                      <w:rFonts w:hint="default" w:ascii="Times New Roman" w:hAnsi="Times New Roman" w:eastAsia="宋体" w:cs="Times New Roman"/>
                      <w:b/>
                      <w:color w:val="auto"/>
                      <w:szCs w:val="21"/>
                    </w:rPr>
                    <w:t>值</w:t>
                  </w:r>
                </w:p>
              </w:tc>
              <w:tc>
                <w:tcPr>
                  <w:tcW w:w="882" w:type="pct"/>
                  <w:gridSpan w:val="2"/>
                  <w:noWrap w:val="0"/>
                  <w:vAlign w:val="center"/>
                </w:tcPr>
                <w:p w14:paraId="42BB934C">
                  <w:pPr>
                    <w:spacing w:line="240" w:lineRule="exact"/>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b/>
                      <w:color w:val="auto"/>
                      <w:szCs w:val="21"/>
                      <w:lang w:eastAsia="zh-CN"/>
                    </w:rPr>
                    <w:t>现状（背景）值</w:t>
                  </w:r>
                </w:p>
              </w:tc>
              <w:tc>
                <w:tcPr>
                  <w:tcW w:w="906" w:type="pct"/>
                  <w:gridSpan w:val="2"/>
                  <w:noWrap w:val="0"/>
                  <w:vAlign w:val="center"/>
                </w:tcPr>
                <w:p w14:paraId="2C02620B">
                  <w:pPr>
                    <w:spacing w:line="240" w:lineRule="exact"/>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b/>
                      <w:color w:val="auto"/>
                      <w:szCs w:val="21"/>
                      <w:lang w:eastAsia="zh-CN"/>
                    </w:rPr>
                    <w:t>叠加后噪声预测值</w:t>
                  </w:r>
                </w:p>
              </w:tc>
              <w:tc>
                <w:tcPr>
                  <w:tcW w:w="938" w:type="pct"/>
                  <w:gridSpan w:val="2"/>
                  <w:noWrap w:val="0"/>
                  <w:vAlign w:val="center"/>
                </w:tcPr>
                <w:p w14:paraId="202D7925">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评价结果</w:t>
                  </w:r>
                </w:p>
              </w:tc>
              <w:tc>
                <w:tcPr>
                  <w:tcW w:w="539" w:type="pct"/>
                  <w:vMerge w:val="restart"/>
                  <w:noWrap w:val="0"/>
                  <w:vAlign w:val="center"/>
                </w:tcPr>
                <w:p w14:paraId="27E195E0">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标准值</w:t>
                  </w:r>
                </w:p>
              </w:tc>
            </w:tr>
            <w:tr w14:paraId="4FE29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vMerge w:val="continue"/>
                  <w:noWrap w:val="0"/>
                  <w:vAlign w:val="center"/>
                </w:tcPr>
                <w:p w14:paraId="499BA120">
                  <w:pPr>
                    <w:spacing w:line="240" w:lineRule="exact"/>
                    <w:jc w:val="center"/>
                    <w:rPr>
                      <w:rFonts w:hint="default" w:ascii="Times New Roman" w:hAnsi="Times New Roman" w:eastAsia="宋体" w:cs="Times New Roman"/>
                      <w:b/>
                      <w:color w:val="auto"/>
                      <w:szCs w:val="21"/>
                    </w:rPr>
                  </w:pPr>
                </w:p>
              </w:tc>
              <w:tc>
                <w:tcPr>
                  <w:tcW w:w="444" w:type="pct"/>
                  <w:noWrap w:val="0"/>
                  <w:vAlign w:val="center"/>
                </w:tcPr>
                <w:p w14:paraId="4D563171">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昼间</w:t>
                  </w:r>
                </w:p>
              </w:tc>
              <w:tc>
                <w:tcPr>
                  <w:tcW w:w="444" w:type="pct"/>
                  <w:noWrap w:val="0"/>
                  <w:vAlign w:val="center"/>
                </w:tcPr>
                <w:p w14:paraId="46A5D584">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夜间</w:t>
                  </w:r>
                </w:p>
              </w:tc>
              <w:tc>
                <w:tcPr>
                  <w:tcW w:w="436" w:type="pct"/>
                  <w:noWrap w:val="0"/>
                  <w:vAlign w:val="center"/>
                </w:tcPr>
                <w:p w14:paraId="0131310C">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昼间</w:t>
                  </w:r>
                </w:p>
              </w:tc>
              <w:tc>
                <w:tcPr>
                  <w:tcW w:w="445" w:type="pct"/>
                  <w:noWrap w:val="0"/>
                  <w:vAlign w:val="center"/>
                </w:tcPr>
                <w:p w14:paraId="49A757CA">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夜间</w:t>
                  </w:r>
                </w:p>
              </w:tc>
              <w:tc>
                <w:tcPr>
                  <w:tcW w:w="428" w:type="pct"/>
                  <w:noWrap w:val="0"/>
                  <w:vAlign w:val="center"/>
                </w:tcPr>
                <w:p w14:paraId="678A9260">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昼间</w:t>
                  </w:r>
                </w:p>
              </w:tc>
              <w:tc>
                <w:tcPr>
                  <w:tcW w:w="478" w:type="pct"/>
                  <w:noWrap w:val="0"/>
                  <w:vAlign w:val="center"/>
                </w:tcPr>
                <w:p w14:paraId="264D0A25">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夜间</w:t>
                  </w:r>
                </w:p>
              </w:tc>
              <w:tc>
                <w:tcPr>
                  <w:tcW w:w="468" w:type="pct"/>
                  <w:noWrap w:val="0"/>
                  <w:vAlign w:val="center"/>
                </w:tcPr>
                <w:p w14:paraId="145FB921">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昼间</w:t>
                  </w:r>
                </w:p>
              </w:tc>
              <w:tc>
                <w:tcPr>
                  <w:tcW w:w="469" w:type="pct"/>
                  <w:noWrap w:val="0"/>
                  <w:vAlign w:val="center"/>
                </w:tcPr>
                <w:p w14:paraId="649B3BE5">
                  <w:pPr>
                    <w:spacing w:line="24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夜间</w:t>
                  </w:r>
                </w:p>
              </w:tc>
              <w:tc>
                <w:tcPr>
                  <w:tcW w:w="539" w:type="pct"/>
                  <w:vMerge w:val="continue"/>
                  <w:noWrap w:val="0"/>
                  <w:vAlign w:val="center"/>
                </w:tcPr>
                <w:p w14:paraId="64D575E1">
                  <w:pPr>
                    <w:spacing w:line="240" w:lineRule="exact"/>
                    <w:jc w:val="center"/>
                    <w:rPr>
                      <w:rFonts w:hint="default" w:ascii="Times New Roman" w:hAnsi="Times New Roman" w:eastAsia="宋体" w:cs="Times New Roman"/>
                      <w:b/>
                      <w:color w:val="auto"/>
                      <w:szCs w:val="21"/>
                    </w:rPr>
                  </w:pPr>
                </w:p>
              </w:tc>
            </w:tr>
            <w:tr w14:paraId="6D0A6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14:paraId="76E7D9FF">
                  <w:pPr>
                    <w:tabs>
                      <w:tab w:val="left" w:pos="525"/>
                    </w:tabs>
                    <w:adjustRightInd w:val="0"/>
                    <w:snapToGrid w:val="0"/>
                    <w:jc w:val="center"/>
                    <w:rPr>
                      <w:rFonts w:hint="default" w:ascii="Times New Roman" w:hAnsi="Times New Roman" w:eastAsia="宋体" w:cs="Times New Roman"/>
                      <w:color w:val="auto"/>
                      <w:sz w:val="21"/>
                      <w:szCs w:val="21"/>
                      <w:lang w:val="en-US"/>
                    </w:rPr>
                  </w:pPr>
                  <w:r>
                    <w:rPr>
                      <w:rFonts w:hint="eastAsia"/>
                      <w:color w:val="auto"/>
                      <w:szCs w:val="21"/>
                      <w:lang w:eastAsia="zh-CN"/>
                    </w:rPr>
                    <w:t>渝州新城</w:t>
                  </w:r>
                  <w:r>
                    <w:rPr>
                      <w:rFonts w:hint="eastAsia"/>
                      <w:color w:val="auto"/>
                      <w:szCs w:val="21"/>
                      <w:lang w:val="en-US" w:eastAsia="zh-CN"/>
                    </w:rPr>
                    <w:t>7</w:t>
                  </w:r>
                  <w:r>
                    <w:rPr>
                      <w:rFonts w:hint="eastAsia"/>
                      <w:color w:val="auto"/>
                      <w:szCs w:val="21"/>
                      <w:lang w:eastAsia="zh-CN"/>
                    </w:rPr>
                    <w:t>号</w:t>
                  </w:r>
                  <w:r>
                    <w:rPr>
                      <w:rFonts w:hint="eastAsia"/>
                      <w:color w:val="auto"/>
                      <w:szCs w:val="21"/>
                    </w:rPr>
                    <w:t>住宅楼</w:t>
                  </w:r>
                </w:p>
              </w:tc>
              <w:tc>
                <w:tcPr>
                  <w:tcW w:w="444" w:type="pct"/>
                  <w:noWrap w:val="0"/>
                  <w:vAlign w:val="center"/>
                </w:tcPr>
                <w:p w14:paraId="352F4D31">
                  <w:pPr>
                    <w:tabs>
                      <w:tab w:val="left" w:pos="525"/>
                    </w:tabs>
                    <w:adjustRightInd w:val="0"/>
                    <w:snapToGrid w:val="0"/>
                    <w:jc w:val="center"/>
                    <w:rPr>
                      <w:rFonts w:hint="default"/>
                      <w:color w:val="auto"/>
                      <w:szCs w:val="21"/>
                      <w:lang w:val="en-US" w:eastAsia="zh-CN"/>
                    </w:rPr>
                  </w:pPr>
                  <w:r>
                    <w:rPr>
                      <w:rFonts w:hint="eastAsia"/>
                      <w:color w:val="auto"/>
                      <w:szCs w:val="21"/>
                      <w:lang w:val="en-US" w:eastAsia="zh-CN"/>
                    </w:rPr>
                    <w:t>38</w:t>
                  </w:r>
                </w:p>
              </w:tc>
              <w:tc>
                <w:tcPr>
                  <w:tcW w:w="444" w:type="pct"/>
                  <w:noWrap w:val="0"/>
                  <w:vAlign w:val="center"/>
                </w:tcPr>
                <w:p w14:paraId="73B92C6C">
                  <w:pPr>
                    <w:tabs>
                      <w:tab w:val="left" w:pos="525"/>
                    </w:tabs>
                    <w:adjustRightInd w:val="0"/>
                    <w:snapToGrid w:val="0"/>
                    <w:jc w:val="center"/>
                    <w:rPr>
                      <w:rFonts w:hint="default"/>
                      <w:color w:val="auto"/>
                      <w:szCs w:val="21"/>
                      <w:lang w:val="en-US" w:eastAsia="zh-CN"/>
                    </w:rPr>
                  </w:pPr>
                  <w:r>
                    <w:rPr>
                      <w:rFonts w:hint="eastAsia"/>
                      <w:color w:val="auto"/>
                      <w:szCs w:val="21"/>
                      <w:lang w:val="en-US" w:eastAsia="zh-CN"/>
                    </w:rPr>
                    <w:t>38</w:t>
                  </w:r>
                </w:p>
              </w:tc>
              <w:tc>
                <w:tcPr>
                  <w:tcW w:w="436" w:type="pct"/>
                  <w:noWrap w:val="0"/>
                  <w:vAlign w:val="center"/>
                </w:tcPr>
                <w:p w14:paraId="4938688A">
                  <w:pPr>
                    <w:tabs>
                      <w:tab w:val="left" w:pos="525"/>
                    </w:tabs>
                    <w:adjustRightInd w:val="0"/>
                    <w:snapToGrid w:val="0"/>
                    <w:jc w:val="center"/>
                    <w:rPr>
                      <w:rFonts w:hint="default"/>
                      <w:color w:val="auto"/>
                      <w:szCs w:val="21"/>
                      <w:lang w:eastAsia="zh-CN"/>
                    </w:rPr>
                  </w:pPr>
                  <w:r>
                    <w:rPr>
                      <w:rFonts w:hint="eastAsia"/>
                      <w:color w:val="auto"/>
                      <w:szCs w:val="21"/>
                      <w:lang w:eastAsia="zh-CN"/>
                    </w:rPr>
                    <w:t>58</w:t>
                  </w:r>
                </w:p>
              </w:tc>
              <w:tc>
                <w:tcPr>
                  <w:tcW w:w="445" w:type="pct"/>
                  <w:noWrap w:val="0"/>
                  <w:vAlign w:val="center"/>
                </w:tcPr>
                <w:p w14:paraId="798C13AC">
                  <w:pPr>
                    <w:tabs>
                      <w:tab w:val="left" w:pos="525"/>
                    </w:tabs>
                    <w:adjustRightInd w:val="0"/>
                    <w:snapToGrid w:val="0"/>
                    <w:jc w:val="center"/>
                    <w:rPr>
                      <w:rFonts w:hint="default"/>
                      <w:color w:val="auto"/>
                      <w:szCs w:val="21"/>
                      <w:lang w:eastAsia="zh-CN"/>
                    </w:rPr>
                  </w:pPr>
                  <w:r>
                    <w:rPr>
                      <w:rFonts w:hint="eastAsia"/>
                      <w:color w:val="auto"/>
                      <w:szCs w:val="21"/>
                      <w:lang w:eastAsia="zh-CN"/>
                    </w:rPr>
                    <w:t>48</w:t>
                  </w:r>
                </w:p>
              </w:tc>
              <w:tc>
                <w:tcPr>
                  <w:tcW w:w="428" w:type="pct"/>
                  <w:noWrap w:val="0"/>
                  <w:vAlign w:val="center"/>
                </w:tcPr>
                <w:p w14:paraId="0052219A">
                  <w:pPr>
                    <w:tabs>
                      <w:tab w:val="left" w:pos="525"/>
                    </w:tabs>
                    <w:adjustRightInd w:val="0"/>
                    <w:snapToGrid w:val="0"/>
                    <w:jc w:val="center"/>
                    <w:rPr>
                      <w:rFonts w:hint="default"/>
                      <w:color w:val="auto"/>
                      <w:szCs w:val="21"/>
                      <w:lang w:val="en-US" w:eastAsia="zh-CN"/>
                    </w:rPr>
                  </w:pPr>
                  <w:r>
                    <w:rPr>
                      <w:rFonts w:hint="eastAsia"/>
                      <w:color w:val="auto"/>
                      <w:szCs w:val="21"/>
                      <w:lang w:eastAsia="zh-CN"/>
                    </w:rPr>
                    <w:t>58</w:t>
                  </w:r>
                </w:p>
              </w:tc>
              <w:tc>
                <w:tcPr>
                  <w:tcW w:w="478" w:type="pct"/>
                  <w:noWrap w:val="0"/>
                  <w:vAlign w:val="center"/>
                </w:tcPr>
                <w:p w14:paraId="6F4DD74D">
                  <w:pPr>
                    <w:tabs>
                      <w:tab w:val="left" w:pos="525"/>
                    </w:tabs>
                    <w:adjustRightInd w:val="0"/>
                    <w:snapToGrid w:val="0"/>
                    <w:jc w:val="center"/>
                    <w:rPr>
                      <w:rFonts w:hint="default"/>
                      <w:color w:val="auto"/>
                      <w:szCs w:val="21"/>
                      <w:lang w:val="en-US" w:eastAsia="zh-CN"/>
                    </w:rPr>
                  </w:pPr>
                  <w:r>
                    <w:rPr>
                      <w:rFonts w:hint="eastAsia"/>
                      <w:color w:val="auto"/>
                      <w:szCs w:val="21"/>
                      <w:lang w:eastAsia="zh-CN"/>
                    </w:rPr>
                    <w:t>48.</w:t>
                  </w:r>
                  <w:r>
                    <w:rPr>
                      <w:rFonts w:hint="eastAsia"/>
                      <w:color w:val="auto"/>
                      <w:szCs w:val="21"/>
                      <w:lang w:val="en-US" w:eastAsia="zh-CN"/>
                    </w:rPr>
                    <w:t>4</w:t>
                  </w:r>
                </w:p>
              </w:tc>
              <w:tc>
                <w:tcPr>
                  <w:tcW w:w="468" w:type="pct"/>
                  <w:noWrap w:val="0"/>
                  <w:vAlign w:val="center"/>
                </w:tcPr>
                <w:p w14:paraId="358511A4">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469" w:type="pct"/>
                  <w:noWrap w:val="0"/>
                  <w:vAlign w:val="center"/>
                </w:tcPr>
                <w:p w14:paraId="12DE8280">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539" w:type="pct"/>
                  <w:vMerge w:val="restart"/>
                  <w:noWrap w:val="0"/>
                  <w:vAlign w:val="center"/>
                </w:tcPr>
                <w:p w14:paraId="0BB5F3DA">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昼间：60夜间：50</w:t>
                  </w:r>
                </w:p>
              </w:tc>
            </w:tr>
            <w:tr w14:paraId="638A9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14:paraId="64EDFD6D">
                  <w:pPr>
                    <w:tabs>
                      <w:tab w:val="left" w:pos="525"/>
                    </w:tabs>
                    <w:adjustRightInd w:val="0"/>
                    <w:snapToGrid w:val="0"/>
                    <w:jc w:val="center"/>
                    <w:rPr>
                      <w:rFonts w:hint="eastAsia" w:ascii="Times New Roman" w:hAnsi="Times New Roman" w:eastAsia="宋体" w:cs="Times New Roman"/>
                      <w:color w:val="auto"/>
                      <w:sz w:val="21"/>
                      <w:szCs w:val="21"/>
                      <w:lang w:val="en-US" w:eastAsia="zh-CN"/>
                    </w:rPr>
                  </w:pPr>
                  <w:r>
                    <w:rPr>
                      <w:rFonts w:hint="eastAsia"/>
                      <w:color w:val="auto"/>
                      <w:szCs w:val="21"/>
                      <w:lang w:eastAsia="zh-CN"/>
                    </w:rPr>
                    <w:t>渝州新城（</w:t>
                  </w:r>
                  <w:r>
                    <w:rPr>
                      <w:rFonts w:hint="eastAsia"/>
                      <w:color w:val="auto"/>
                      <w:szCs w:val="21"/>
                      <w:lang w:val="en-US" w:eastAsia="zh-CN"/>
                    </w:rPr>
                    <w:t>5</w:t>
                  </w:r>
                  <w:r>
                    <w:rPr>
                      <w:rFonts w:hint="eastAsia"/>
                      <w:color w:val="auto"/>
                      <w:szCs w:val="21"/>
                      <w:lang w:eastAsia="zh-CN"/>
                    </w:rPr>
                    <w:t>、</w:t>
                  </w:r>
                  <w:r>
                    <w:rPr>
                      <w:rFonts w:hint="eastAsia"/>
                      <w:color w:val="auto"/>
                      <w:szCs w:val="21"/>
                      <w:lang w:val="en-US" w:eastAsia="zh-CN"/>
                    </w:rPr>
                    <w:t>8</w:t>
                  </w:r>
                  <w:r>
                    <w:rPr>
                      <w:rFonts w:hint="eastAsia"/>
                      <w:color w:val="auto"/>
                      <w:szCs w:val="21"/>
                      <w:lang w:eastAsia="zh-CN"/>
                    </w:rPr>
                    <w:t>号</w:t>
                  </w:r>
                  <w:r>
                    <w:rPr>
                      <w:rFonts w:hint="eastAsia"/>
                      <w:color w:val="auto"/>
                      <w:szCs w:val="21"/>
                    </w:rPr>
                    <w:t>住宅</w:t>
                  </w:r>
                  <w:r>
                    <w:rPr>
                      <w:rFonts w:hint="eastAsia"/>
                      <w:color w:val="auto"/>
                      <w:szCs w:val="21"/>
                      <w:lang w:val="en-US" w:eastAsia="zh-CN"/>
                    </w:rPr>
                    <w:t>塔</w:t>
                  </w:r>
                  <w:r>
                    <w:rPr>
                      <w:rFonts w:hint="eastAsia"/>
                      <w:color w:val="auto"/>
                      <w:szCs w:val="21"/>
                    </w:rPr>
                    <w:t>楼</w:t>
                  </w:r>
                  <w:r>
                    <w:rPr>
                      <w:rFonts w:hint="eastAsia"/>
                      <w:color w:val="auto"/>
                      <w:szCs w:val="21"/>
                      <w:lang w:eastAsia="zh-CN"/>
                    </w:rPr>
                    <w:t>）</w:t>
                  </w:r>
                </w:p>
              </w:tc>
              <w:tc>
                <w:tcPr>
                  <w:tcW w:w="444" w:type="pct"/>
                  <w:noWrap w:val="0"/>
                  <w:vAlign w:val="center"/>
                </w:tcPr>
                <w:p w14:paraId="3A56552A">
                  <w:pPr>
                    <w:tabs>
                      <w:tab w:val="left" w:pos="525"/>
                    </w:tabs>
                    <w:adjustRightInd w:val="0"/>
                    <w:snapToGrid w:val="0"/>
                    <w:jc w:val="center"/>
                    <w:rPr>
                      <w:rFonts w:hint="default"/>
                      <w:color w:val="auto"/>
                      <w:szCs w:val="21"/>
                      <w:lang w:val="en-US" w:eastAsia="zh-CN"/>
                    </w:rPr>
                  </w:pPr>
                  <w:r>
                    <w:rPr>
                      <w:rFonts w:hint="eastAsia"/>
                      <w:color w:val="auto"/>
                      <w:szCs w:val="21"/>
                      <w:lang w:val="en-US" w:eastAsia="zh-CN"/>
                    </w:rPr>
                    <w:t>1</w:t>
                  </w:r>
                </w:p>
              </w:tc>
              <w:tc>
                <w:tcPr>
                  <w:tcW w:w="444" w:type="pct"/>
                  <w:noWrap w:val="0"/>
                  <w:vAlign w:val="center"/>
                </w:tcPr>
                <w:p w14:paraId="5171717D">
                  <w:pPr>
                    <w:tabs>
                      <w:tab w:val="left" w:pos="525"/>
                    </w:tabs>
                    <w:adjustRightInd w:val="0"/>
                    <w:snapToGrid w:val="0"/>
                    <w:jc w:val="center"/>
                    <w:rPr>
                      <w:rFonts w:hint="eastAsia"/>
                      <w:color w:val="auto"/>
                      <w:szCs w:val="21"/>
                      <w:lang w:val="en-US" w:eastAsia="zh-CN"/>
                    </w:rPr>
                  </w:pPr>
                  <w:r>
                    <w:rPr>
                      <w:rFonts w:hint="eastAsia"/>
                      <w:color w:val="auto"/>
                      <w:szCs w:val="21"/>
                      <w:lang w:val="en-US" w:eastAsia="zh-CN"/>
                    </w:rPr>
                    <w:t>1</w:t>
                  </w:r>
                </w:p>
              </w:tc>
              <w:tc>
                <w:tcPr>
                  <w:tcW w:w="436" w:type="pct"/>
                  <w:noWrap w:val="0"/>
                  <w:vAlign w:val="center"/>
                </w:tcPr>
                <w:p w14:paraId="71AC98A4">
                  <w:pPr>
                    <w:tabs>
                      <w:tab w:val="left" w:pos="525"/>
                    </w:tabs>
                    <w:adjustRightInd w:val="0"/>
                    <w:snapToGrid w:val="0"/>
                    <w:jc w:val="center"/>
                    <w:rPr>
                      <w:rFonts w:hint="eastAsia"/>
                      <w:color w:val="auto"/>
                      <w:szCs w:val="21"/>
                      <w:lang w:val="en-US" w:eastAsia="zh-CN"/>
                    </w:rPr>
                  </w:pPr>
                  <w:r>
                    <w:rPr>
                      <w:rFonts w:hint="eastAsia"/>
                      <w:color w:val="auto"/>
                      <w:szCs w:val="21"/>
                      <w:lang w:eastAsia="zh-CN"/>
                    </w:rPr>
                    <w:t>58</w:t>
                  </w:r>
                </w:p>
              </w:tc>
              <w:tc>
                <w:tcPr>
                  <w:tcW w:w="445" w:type="pct"/>
                  <w:noWrap w:val="0"/>
                  <w:vAlign w:val="center"/>
                </w:tcPr>
                <w:p w14:paraId="208CF097">
                  <w:pPr>
                    <w:tabs>
                      <w:tab w:val="left" w:pos="525"/>
                    </w:tabs>
                    <w:adjustRightInd w:val="0"/>
                    <w:snapToGrid w:val="0"/>
                    <w:jc w:val="center"/>
                    <w:rPr>
                      <w:rFonts w:hint="eastAsia"/>
                      <w:color w:val="auto"/>
                      <w:szCs w:val="21"/>
                      <w:lang w:val="en-US" w:eastAsia="zh-CN"/>
                    </w:rPr>
                  </w:pPr>
                  <w:r>
                    <w:rPr>
                      <w:rFonts w:hint="eastAsia"/>
                      <w:color w:val="auto"/>
                      <w:szCs w:val="21"/>
                      <w:lang w:eastAsia="zh-CN"/>
                    </w:rPr>
                    <w:t>48</w:t>
                  </w:r>
                </w:p>
              </w:tc>
              <w:tc>
                <w:tcPr>
                  <w:tcW w:w="428" w:type="pct"/>
                  <w:noWrap w:val="0"/>
                  <w:vAlign w:val="center"/>
                </w:tcPr>
                <w:p w14:paraId="046CA6EA">
                  <w:pPr>
                    <w:tabs>
                      <w:tab w:val="left" w:pos="525"/>
                    </w:tabs>
                    <w:adjustRightInd w:val="0"/>
                    <w:snapToGrid w:val="0"/>
                    <w:jc w:val="center"/>
                    <w:rPr>
                      <w:rFonts w:hint="eastAsia"/>
                      <w:color w:val="auto"/>
                      <w:szCs w:val="21"/>
                      <w:lang w:val="en-US" w:eastAsia="zh-CN"/>
                    </w:rPr>
                  </w:pPr>
                  <w:r>
                    <w:rPr>
                      <w:rFonts w:hint="eastAsia"/>
                      <w:color w:val="auto"/>
                      <w:szCs w:val="21"/>
                      <w:lang w:eastAsia="zh-CN"/>
                    </w:rPr>
                    <w:t>58</w:t>
                  </w:r>
                </w:p>
              </w:tc>
              <w:tc>
                <w:tcPr>
                  <w:tcW w:w="478" w:type="pct"/>
                  <w:noWrap w:val="0"/>
                  <w:vAlign w:val="center"/>
                </w:tcPr>
                <w:p w14:paraId="53E7638E">
                  <w:pPr>
                    <w:tabs>
                      <w:tab w:val="left" w:pos="525"/>
                    </w:tabs>
                    <w:adjustRightInd w:val="0"/>
                    <w:snapToGrid w:val="0"/>
                    <w:jc w:val="center"/>
                    <w:rPr>
                      <w:rFonts w:hint="default"/>
                      <w:color w:val="auto"/>
                      <w:szCs w:val="21"/>
                      <w:lang w:val="en-US" w:eastAsia="zh-CN"/>
                    </w:rPr>
                  </w:pPr>
                  <w:r>
                    <w:rPr>
                      <w:rFonts w:hint="eastAsia"/>
                      <w:color w:val="auto"/>
                      <w:szCs w:val="21"/>
                      <w:lang w:eastAsia="zh-CN"/>
                    </w:rPr>
                    <w:t>48.</w:t>
                  </w:r>
                  <w:r>
                    <w:rPr>
                      <w:rFonts w:hint="eastAsia"/>
                      <w:color w:val="auto"/>
                      <w:szCs w:val="21"/>
                      <w:lang w:val="en-US" w:eastAsia="zh-CN"/>
                    </w:rPr>
                    <w:t>0</w:t>
                  </w:r>
                </w:p>
              </w:tc>
              <w:tc>
                <w:tcPr>
                  <w:tcW w:w="468" w:type="pct"/>
                  <w:noWrap w:val="0"/>
                  <w:vAlign w:val="center"/>
                </w:tcPr>
                <w:p w14:paraId="7BDA5407">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达标</w:t>
                  </w:r>
                </w:p>
              </w:tc>
              <w:tc>
                <w:tcPr>
                  <w:tcW w:w="469" w:type="pct"/>
                  <w:noWrap w:val="0"/>
                  <w:vAlign w:val="center"/>
                </w:tcPr>
                <w:p w14:paraId="4E1730B8">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达标</w:t>
                  </w:r>
                </w:p>
              </w:tc>
              <w:tc>
                <w:tcPr>
                  <w:tcW w:w="539" w:type="pct"/>
                  <w:vMerge w:val="continue"/>
                  <w:noWrap w:val="0"/>
                  <w:vAlign w:val="center"/>
                </w:tcPr>
                <w:p w14:paraId="20961B3A">
                  <w:pPr>
                    <w:spacing w:line="240" w:lineRule="exact"/>
                    <w:jc w:val="center"/>
                    <w:rPr>
                      <w:rFonts w:hint="default" w:ascii="Times New Roman" w:hAnsi="Times New Roman" w:eastAsia="宋体" w:cs="Times New Roman"/>
                      <w:color w:val="auto"/>
                      <w:szCs w:val="21"/>
                    </w:rPr>
                  </w:pPr>
                </w:p>
              </w:tc>
            </w:tr>
            <w:tr w14:paraId="7A7A1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noWrap w:val="0"/>
                  <w:vAlign w:val="center"/>
                </w:tcPr>
                <w:p w14:paraId="6CDBC6DE">
                  <w:pPr>
                    <w:tabs>
                      <w:tab w:val="left" w:pos="525"/>
                    </w:tabs>
                    <w:adjustRightInd w:val="0"/>
                    <w:snapToGrid w:val="0"/>
                    <w:jc w:val="center"/>
                    <w:rPr>
                      <w:rFonts w:hint="eastAsia" w:ascii="Times New Roman" w:hAnsi="Times New Roman" w:eastAsia="宋体" w:cs="Times New Roman"/>
                      <w:color w:val="auto"/>
                      <w:sz w:val="21"/>
                      <w:szCs w:val="21"/>
                      <w:lang w:val="en-US" w:eastAsia="zh-CN"/>
                    </w:rPr>
                  </w:pPr>
                  <w:r>
                    <w:rPr>
                      <w:rFonts w:hint="eastAsia"/>
                      <w:color w:val="auto"/>
                      <w:szCs w:val="21"/>
                      <w:lang w:eastAsia="zh-CN"/>
                    </w:rPr>
                    <w:t>鑫泰铭居</w:t>
                  </w:r>
                </w:p>
              </w:tc>
              <w:tc>
                <w:tcPr>
                  <w:tcW w:w="444" w:type="pct"/>
                  <w:noWrap w:val="0"/>
                  <w:vAlign w:val="center"/>
                </w:tcPr>
                <w:p w14:paraId="5EDA88D5">
                  <w:pPr>
                    <w:tabs>
                      <w:tab w:val="left" w:pos="525"/>
                    </w:tabs>
                    <w:adjustRightInd w:val="0"/>
                    <w:snapToGrid w:val="0"/>
                    <w:jc w:val="center"/>
                    <w:rPr>
                      <w:rFonts w:hint="default"/>
                      <w:color w:val="auto"/>
                      <w:szCs w:val="21"/>
                      <w:lang w:val="en-US" w:eastAsia="zh-CN"/>
                    </w:rPr>
                  </w:pPr>
                  <w:r>
                    <w:rPr>
                      <w:rFonts w:hint="eastAsia"/>
                      <w:color w:val="auto"/>
                      <w:szCs w:val="21"/>
                      <w:lang w:val="en-US" w:eastAsia="zh-CN"/>
                    </w:rPr>
                    <w:t>6</w:t>
                  </w:r>
                </w:p>
              </w:tc>
              <w:tc>
                <w:tcPr>
                  <w:tcW w:w="444" w:type="pct"/>
                  <w:noWrap w:val="0"/>
                  <w:vAlign w:val="center"/>
                </w:tcPr>
                <w:p w14:paraId="510DF0E6">
                  <w:pPr>
                    <w:tabs>
                      <w:tab w:val="left" w:pos="525"/>
                    </w:tabs>
                    <w:adjustRightInd w:val="0"/>
                    <w:snapToGrid w:val="0"/>
                    <w:jc w:val="center"/>
                    <w:rPr>
                      <w:rFonts w:hint="eastAsia"/>
                      <w:color w:val="auto"/>
                      <w:szCs w:val="21"/>
                      <w:lang w:val="en-US" w:eastAsia="zh-CN"/>
                    </w:rPr>
                  </w:pPr>
                  <w:r>
                    <w:rPr>
                      <w:rFonts w:hint="eastAsia"/>
                      <w:color w:val="auto"/>
                      <w:szCs w:val="21"/>
                      <w:lang w:val="en-US" w:eastAsia="zh-CN"/>
                    </w:rPr>
                    <w:t>6</w:t>
                  </w:r>
                </w:p>
              </w:tc>
              <w:tc>
                <w:tcPr>
                  <w:tcW w:w="436" w:type="pct"/>
                  <w:noWrap w:val="0"/>
                  <w:vAlign w:val="center"/>
                </w:tcPr>
                <w:p w14:paraId="080E1DFC">
                  <w:pPr>
                    <w:tabs>
                      <w:tab w:val="left" w:pos="525"/>
                    </w:tabs>
                    <w:adjustRightInd w:val="0"/>
                    <w:snapToGrid w:val="0"/>
                    <w:jc w:val="center"/>
                    <w:rPr>
                      <w:rFonts w:hint="eastAsia"/>
                      <w:color w:val="auto"/>
                      <w:szCs w:val="21"/>
                      <w:lang w:val="en-US" w:eastAsia="zh-CN"/>
                    </w:rPr>
                  </w:pPr>
                  <w:r>
                    <w:rPr>
                      <w:rFonts w:hint="eastAsia"/>
                      <w:color w:val="auto"/>
                      <w:szCs w:val="21"/>
                      <w:lang w:eastAsia="zh-CN"/>
                    </w:rPr>
                    <w:t>56</w:t>
                  </w:r>
                </w:p>
              </w:tc>
              <w:tc>
                <w:tcPr>
                  <w:tcW w:w="445" w:type="pct"/>
                  <w:noWrap w:val="0"/>
                  <w:vAlign w:val="center"/>
                </w:tcPr>
                <w:p w14:paraId="36BE857F">
                  <w:pPr>
                    <w:tabs>
                      <w:tab w:val="left" w:pos="525"/>
                    </w:tabs>
                    <w:adjustRightInd w:val="0"/>
                    <w:snapToGrid w:val="0"/>
                    <w:jc w:val="center"/>
                    <w:rPr>
                      <w:rFonts w:hint="eastAsia"/>
                      <w:color w:val="auto"/>
                      <w:szCs w:val="21"/>
                      <w:lang w:val="en-US" w:eastAsia="zh-CN"/>
                    </w:rPr>
                  </w:pPr>
                  <w:r>
                    <w:rPr>
                      <w:rFonts w:hint="eastAsia"/>
                      <w:color w:val="auto"/>
                      <w:szCs w:val="21"/>
                      <w:lang w:eastAsia="zh-CN"/>
                    </w:rPr>
                    <w:t>46</w:t>
                  </w:r>
                </w:p>
              </w:tc>
              <w:tc>
                <w:tcPr>
                  <w:tcW w:w="428" w:type="pct"/>
                  <w:noWrap w:val="0"/>
                  <w:vAlign w:val="center"/>
                </w:tcPr>
                <w:p w14:paraId="72359557">
                  <w:pPr>
                    <w:tabs>
                      <w:tab w:val="left" w:pos="525"/>
                    </w:tabs>
                    <w:adjustRightInd w:val="0"/>
                    <w:snapToGrid w:val="0"/>
                    <w:jc w:val="center"/>
                    <w:rPr>
                      <w:rFonts w:hint="eastAsia"/>
                      <w:color w:val="auto"/>
                      <w:szCs w:val="21"/>
                      <w:lang w:val="en-US" w:eastAsia="zh-CN"/>
                    </w:rPr>
                  </w:pPr>
                  <w:r>
                    <w:rPr>
                      <w:rFonts w:hint="eastAsia"/>
                      <w:color w:val="auto"/>
                      <w:szCs w:val="21"/>
                      <w:lang w:eastAsia="zh-CN"/>
                    </w:rPr>
                    <w:t>56</w:t>
                  </w:r>
                </w:p>
              </w:tc>
              <w:tc>
                <w:tcPr>
                  <w:tcW w:w="478" w:type="pct"/>
                  <w:noWrap w:val="0"/>
                  <w:vAlign w:val="center"/>
                </w:tcPr>
                <w:p w14:paraId="52D79862">
                  <w:pPr>
                    <w:tabs>
                      <w:tab w:val="left" w:pos="525"/>
                    </w:tabs>
                    <w:adjustRightInd w:val="0"/>
                    <w:snapToGrid w:val="0"/>
                    <w:jc w:val="center"/>
                    <w:rPr>
                      <w:rFonts w:hint="default"/>
                      <w:color w:val="auto"/>
                      <w:szCs w:val="21"/>
                      <w:lang w:val="en-US" w:eastAsia="zh-CN"/>
                    </w:rPr>
                  </w:pPr>
                  <w:r>
                    <w:rPr>
                      <w:rFonts w:hint="eastAsia"/>
                      <w:color w:val="auto"/>
                      <w:szCs w:val="21"/>
                      <w:lang w:eastAsia="zh-CN"/>
                    </w:rPr>
                    <w:t>46.0</w:t>
                  </w:r>
                </w:p>
              </w:tc>
              <w:tc>
                <w:tcPr>
                  <w:tcW w:w="468" w:type="pct"/>
                  <w:noWrap w:val="0"/>
                  <w:vAlign w:val="center"/>
                </w:tcPr>
                <w:p w14:paraId="541CB3FE">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达标</w:t>
                  </w:r>
                </w:p>
              </w:tc>
              <w:tc>
                <w:tcPr>
                  <w:tcW w:w="469" w:type="pct"/>
                  <w:noWrap w:val="0"/>
                  <w:vAlign w:val="center"/>
                </w:tcPr>
                <w:p w14:paraId="04783A34">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达标</w:t>
                  </w:r>
                </w:p>
              </w:tc>
              <w:tc>
                <w:tcPr>
                  <w:tcW w:w="539" w:type="pct"/>
                  <w:vMerge w:val="continue"/>
                  <w:noWrap w:val="0"/>
                  <w:vAlign w:val="center"/>
                </w:tcPr>
                <w:p w14:paraId="2D4E7452">
                  <w:pPr>
                    <w:spacing w:line="240" w:lineRule="exact"/>
                    <w:jc w:val="center"/>
                    <w:rPr>
                      <w:rFonts w:hint="default" w:ascii="Times New Roman" w:hAnsi="Times New Roman" w:eastAsia="宋体" w:cs="Times New Roman"/>
                      <w:color w:val="auto"/>
                      <w:szCs w:val="21"/>
                    </w:rPr>
                  </w:pPr>
                </w:p>
              </w:tc>
            </w:tr>
          </w:tbl>
          <w:p w14:paraId="4ED0E62B">
            <w:pPr>
              <w:pStyle w:val="63"/>
              <w:tabs>
                <w:tab w:val="left" w:leader="middleDot" w:pos="7710"/>
              </w:tabs>
              <w:spacing w:before="156" w:beforeLines="50" w:line="360" w:lineRule="auto"/>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lang w:val="en-US" w:eastAsia="zh-CN"/>
              </w:rPr>
              <w:t>由上表可知，项目</w:t>
            </w:r>
            <w:r>
              <w:rPr>
                <w:rFonts w:hint="eastAsia" w:ascii="Times New Roman" w:hAnsi="Times New Roman" w:eastAsia="宋体" w:cs="Times New Roman"/>
                <w:snapToGrid w:val="0"/>
                <w:color w:val="auto"/>
                <w:lang w:val="en-US" w:eastAsia="zh-CN"/>
              </w:rPr>
              <w:t>建设</w:t>
            </w:r>
            <w:r>
              <w:rPr>
                <w:rFonts w:hint="default" w:ascii="Times New Roman" w:hAnsi="Times New Roman" w:eastAsia="宋体" w:cs="Times New Roman"/>
                <w:snapToGrid w:val="0"/>
                <w:color w:val="auto"/>
                <w:lang w:val="en-US" w:eastAsia="zh-CN"/>
              </w:rPr>
              <w:t>后服务期昼、夜间噪声场界噪声均满足</w:t>
            </w:r>
            <w:r>
              <w:rPr>
                <w:rFonts w:hint="default" w:ascii="Times New Roman" w:hAnsi="Times New Roman" w:eastAsia="宋体" w:cs="Times New Roman"/>
                <w:color w:val="auto"/>
                <w:kern w:val="0"/>
                <w:sz w:val="24"/>
                <w:szCs w:val="24"/>
              </w:rPr>
              <w:t>《声环境质量标准》（GB3096-2008）满足2类</w:t>
            </w:r>
            <w:r>
              <w:rPr>
                <w:rFonts w:hint="default" w:ascii="Times New Roman" w:hAnsi="Times New Roman" w:eastAsia="宋体" w:cs="Times New Roman"/>
                <w:color w:val="auto"/>
                <w:kern w:val="0"/>
                <w:sz w:val="24"/>
                <w:szCs w:val="24"/>
                <w:lang w:eastAsia="zh-CN"/>
              </w:rPr>
              <w:t>标准</w:t>
            </w:r>
            <w:r>
              <w:rPr>
                <w:rFonts w:hint="default" w:ascii="Times New Roman" w:hAnsi="Times New Roman" w:eastAsia="宋体" w:cs="Times New Roman"/>
                <w:snapToGrid w:val="0"/>
                <w:color w:val="auto"/>
                <w:lang w:val="en-US" w:eastAsia="zh-CN"/>
              </w:rPr>
              <w:t>，环境可以接受。</w:t>
            </w:r>
          </w:p>
          <w:p w14:paraId="2301A42A">
            <w:pPr>
              <w:pStyle w:val="63"/>
              <w:tabs>
                <w:tab w:val="left" w:leader="middleDot" w:pos="7710"/>
              </w:tabs>
              <w:spacing w:line="360" w:lineRule="auto"/>
              <w:rPr>
                <w:rFonts w:hint="default" w:ascii="Times New Roman" w:hAnsi="Times New Roman" w:eastAsia="宋体" w:cs="Times New Roman"/>
                <w:b/>
                <w:bCs w:val="0"/>
                <w:snapToGrid w:val="0"/>
                <w:color w:val="auto"/>
                <w:lang w:val="en-US" w:eastAsia="zh-CN"/>
              </w:rPr>
            </w:pPr>
            <w:r>
              <w:rPr>
                <w:rFonts w:hint="default" w:ascii="Times New Roman" w:hAnsi="Times New Roman" w:eastAsia="宋体" w:cs="Times New Roman"/>
                <w:b/>
                <w:bCs w:val="0"/>
                <w:snapToGrid w:val="0"/>
                <w:color w:val="auto"/>
                <w:lang w:val="en-US" w:eastAsia="zh-CN"/>
              </w:rPr>
              <w:t>3）降噪措施</w:t>
            </w:r>
          </w:p>
          <w:p w14:paraId="0F367C9C">
            <w:pPr>
              <w:pStyle w:val="63"/>
              <w:tabs>
                <w:tab w:val="left" w:leader="middleDot" w:pos="7710"/>
              </w:tabs>
              <w:spacing w:line="360" w:lineRule="auto"/>
              <w:rPr>
                <w:rFonts w:ascii="Times New Roman" w:hAnsi="Times New Roman"/>
                <w:snapToGrid w:val="0"/>
                <w:color w:val="auto"/>
              </w:rPr>
            </w:pPr>
            <w:r>
              <w:rPr>
                <w:rFonts w:ascii="Times New Roman" w:hAnsi="Times New Roman"/>
                <w:snapToGrid w:val="0"/>
                <w:color w:val="auto"/>
              </w:rPr>
              <w:t>本环评要求建设单位拟采取严格的降噪措施和管理方式，具体采用的降噪措施有：</w:t>
            </w:r>
          </w:p>
          <w:p w14:paraId="2BAD9C11">
            <w:pPr>
              <w:pStyle w:val="63"/>
              <w:tabs>
                <w:tab w:val="left" w:leader="middleDot" w:pos="7710"/>
              </w:tabs>
              <w:spacing w:line="360" w:lineRule="auto"/>
              <w:rPr>
                <w:rFonts w:ascii="Times New Roman" w:hAnsi="Times New Roman"/>
                <w:snapToGrid w:val="0"/>
                <w:color w:val="auto"/>
              </w:rPr>
            </w:pPr>
            <w:r>
              <w:rPr>
                <w:rFonts w:ascii="Times New Roman" w:hAnsi="Times New Roman"/>
                <w:snapToGrid w:val="0"/>
                <w:color w:val="auto"/>
              </w:rPr>
              <w:t>①合理布置声源，对分体式空调设置减振垫，并选用低噪声设备。</w:t>
            </w:r>
          </w:p>
          <w:p w14:paraId="0E1CA16B">
            <w:pPr>
              <w:pStyle w:val="63"/>
              <w:tabs>
                <w:tab w:val="left" w:leader="middleDot" w:pos="7710"/>
              </w:tabs>
              <w:spacing w:line="360" w:lineRule="auto"/>
              <w:rPr>
                <w:rFonts w:ascii="Times New Roman" w:hAnsi="Times New Roman"/>
                <w:snapToGrid w:val="0"/>
                <w:color w:val="auto"/>
              </w:rPr>
            </w:pPr>
            <w:r>
              <w:rPr>
                <w:rFonts w:ascii="Times New Roman" w:hAnsi="Times New Roman"/>
                <w:snapToGrid w:val="0"/>
                <w:color w:val="auto"/>
              </w:rPr>
              <w:t>②优选低噪声的优质机组以减少噪声的产生，产生噪声的机电设备与地面柔性连接，设置隔振基础；对抽风机采取减振、隔声等降噪措施。</w:t>
            </w:r>
          </w:p>
          <w:p w14:paraId="08E9F24E">
            <w:pPr>
              <w:pStyle w:val="63"/>
              <w:tabs>
                <w:tab w:val="left" w:leader="middleDot" w:pos="7710"/>
              </w:tabs>
              <w:spacing w:line="360" w:lineRule="auto"/>
              <w:rPr>
                <w:rFonts w:ascii="Times New Roman" w:hAnsi="Times New Roman"/>
                <w:snapToGrid w:val="0"/>
                <w:color w:val="auto"/>
              </w:rPr>
            </w:pPr>
            <w:r>
              <w:rPr>
                <w:rFonts w:ascii="Times New Roman" w:hAnsi="Times New Roman"/>
                <w:snapToGrid w:val="0"/>
                <w:color w:val="auto"/>
              </w:rPr>
              <w:t>③住院病人、陪同人员、医护人员日常工作和生活产生社会噪声，其源强约为50～70dB（A）。社会生活噪声是不稳定的、短暂的，医院可对求诊病人进行正确的督导，严格限制探访时间，医院内禁止大声喧哗，在途经医院路段设置车辆禁鸣喇叭标志等措施。确保医院保持相对安静的环境。</w:t>
            </w:r>
          </w:p>
          <w:p w14:paraId="5527A164">
            <w:pPr>
              <w:snapToGrid w:val="0"/>
              <w:spacing w:line="360" w:lineRule="auto"/>
              <w:ind w:firstLine="480" w:firstLineChars="200"/>
              <w:rPr>
                <w:color w:val="auto"/>
                <w:sz w:val="24"/>
              </w:rPr>
            </w:pPr>
            <w:r>
              <w:rPr>
                <w:color w:val="auto"/>
                <w:sz w:val="24"/>
              </w:rPr>
              <w:t>综上所述，本项目服务期间噪声经采取评价提出的措施后，对周围环境不会产生明显的影响。</w:t>
            </w:r>
          </w:p>
          <w:p w14:paraId="57DA5CA5">
            <w:pPr>
              <w:pStyle w:val="9"/>
              <w:ind w:firstLine="482" w:firstLineChars="200"/>
              <w:rPr>
                <w:rFonts w:hint="eastAsia" w:ascii="Times New Roman" w:hAnsi="Times New Roman"/>
                <w:b/>
                <w:bCs/>
                <w:color w:val="auto"/>
                <w:szCs w:val="24"/>
              </w:rPr>
            </w:pPr>
            <w:r>
              <w:rPr>
                <w:rFonts w:hint="eastAsia" w:ascii="Times New Roman" w:hAnsi="Times New Roman"/>
                <w:b/>
                <w:bCs/>
                <w:color w:val="auto"/>
                <w:szCs w:val="24"/>
                <w:lang w:val="en-US" w:eastAsia="zh-CN"/>
              </w:rPr>
              <w:t>4）</w:t>
            </w:r>
            <w:r>
              <w:rPr>
                <w:rFonts w:hint="eastAsia" w:ascii="Times New Roman" w:hAnsi="Times New Roman"/>
                <w:b/>
                <w:bCs/>
                <w:color w:val="auto"/>
                <w:szCs w:val="24"/>
              </w:rPr>
              <w:t>污染源监测计划</w:t>
            </w:r>
          </w:p>
          <w:p w14:paraId="7C00BF6A">
            <w:pPr>
              <w:ind w:firstLine="480" w:firstLineChars="200"/>
              <w:rPr>
                <w:rFonts w:hint="eastAsia"/>
                <w:bCs/>
                <w:color w:val="auto"/>
                <w:sz w:val="24"/>
              </w:rPr>
            </w:pPr>
            <w:r>
              <w:rPr>
                <w:bCs/>
                <w:color w:val="auto"/>
                <w:sz w:val="24"/>
              </w:rPr>
              <w:t>按照《排污单位自行监测技术指南</w:t>
            </w:r>
            <w:r>
              <w:rPr>
                <w:rFonts w:hint="eastAsia"/>
                <w:bCs/>
                <w:color w:val="auto"/>
                <w:sz w:val="24"/>
                <w:lang w:eastAsia="zh-CN"/>
              </w:rPr>
              <w:t>－</w:t>
            </w:r>
            <w:r>
              <w:rPr>
                <w:bCs/>
                <w:color w:val="auto"/>
                <w:sz w:val="24"/>
              </w:rPr>
              <w:t>总则》（HJ819-2017）</w:t>
            </w:r>
            <w:r>
              <w:rPr>
                <w:rFonts w:hint="eastAsia"/>
                <w:bCs/>
                <w:color w:val="auto"/>
                <w:sz w:val="24"/>
              </w:rPr>
              <w:t>，制定如下监测计划：</w:t>
            </w:r>
          </w:p>
          <w:p w14:paraId="58E56469">
            <w:pPr>
              <w:ind w:firstLine="2954" w:firstLineChars="1226"/>
              <w:rPr>
                <w:b/>
                <w:color w:val="auto"/>
                <w:sz w:val="24"/>
              </w:rPr>
            </w:pPr>
          </w:p>
          <w:p w14:paraId="0DE7DAFE">
            <w:pPr>
              <w:ind w:firstLine="2954" w:firstLineChars="1226"/>
              <w:rPr>
                <w:b/>
                <w:color w:val="auto"/>
                <w:sz w:val="24"/>
              </w:rPr>
            </w:pPr>
            <w:r>
              <w:rPr>
                <w:b/>
                <w:color w:val="auto"/>
                <w:sz w:val="24"/>
              </w:rPr>
              <w:t>表4</w:t>
            </w:r>
            <w:r>
              <w:rPr>
                <w:rFonts w:hint="eastAsia"/>
                <w:b/>
                <w:color w:val="auto"/>
                <w:sz w:val="24"/>
                <w:lang w:val="en-US" w:eastAsia="zh-CN"/>
              </w:rPr>
              <w:t>.2</w:t>
            </w:r>
            <w:r>
              <w:rPr>
                <w:b/>
                <w:color w:val="auto"/>
                <w:sz w:val="24"/>
              </w:rPr>
              <w:t>-</w:t>
            </w:r>
            <w:r>
              <w:rPr>
                <w:rFonts w:hint="eastAsia"/>
                <w:b/>
                <w:color w:val="auto"/>
                <w:sz w:val="24"/>
              </w:rPr>
              <w:t>1</w:t>
            </w:r>
            <w:r>
              <w:rPr>
                <w:rFonts w:hint="eastAsia"/>
                <w:b/>
                <w:color w:val="auto"/>
                <w:sz w:val="24"/>
                <w:lang w:val="en-US" w:eastAsia="zh-CN"/>
              </w:rPr>
              <w:t xml:space="preserve">6 </w:t>
            </w:r>
            <w:r>
              <w:rPr>
                <w:rFonts w:hint="eastAsia"/>
                <w:b/>
                <w:color w:val="auto"/>
                <w:sz w:val="24"/>
              </w:rPr>
              <w:t>噪声</w:t>
            </w:r>
            <w:r>
              <w:rPr>
                <w:b/>
                <w:color w:val="auto"/>
                <w:sz w:val="24"/>
              </w:rPr>
              <w:t>监测计划一览表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1433"/>
              <w:gridCol w:w="2257"/>
              <w:gridCol w:w="1349"/>
              <w:gridCol w:w="3786"/>
            </w:tblGrid>
            <w:tr w14:paraId="28289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25" w:hRule="atLeast"/>
                <w:tblHeader/>
                <w:jc w:val="center"/>
              </w:trPr>
              <w:tc>
                <w:tcPr>
                  <w:tcW w:w="811" w:type="pct"/>
                  <w:noWrap w:val="0"/>
                  <w:vAlign w:val="center"/>
                </w:tcPr>
                <w:p w14:paraId="34310876">
                  <w:pPr>
                    <w:pStyle w:val="60"/>
                    <w:spacing w:line="240" w:lineRule="auto"/>
                    <w:ind w:firstLine="0"/>
                    <w:rPr>
                      <w:b/>
                      <w:color w:val="auto"/>
                      <w:sz w:val="21"/>
                      <w:szCs w:val="21"/>
                    </w:rPr>
                  </w:pPr>
                  <w:r>
                    <w:rPr>
                      <w:b/>
                      <w:color w:val="auto"/>
                      <w:sz w:val="21"/>
                      <w:szCs w:val="21"/>
                    </w:rPr>
                    <w:t>监测对象</w:t>
                  </w:r>
                </w:p>
              </w:tc>
              <w:tc>
                <w:tcPr>
                  <w:tcW w:w="1278" w:type="pct"/>
                  <w:noWrap w:val="0"/>
                  <w:vAlign w:val="center"/>
                </w:tcPr>
                <w:p w14:paraId="41E46E4E">
                  <w:pPr>
                    <w:pStyle w:val="60"/>
                    <w:spacing w:line="240" w:lineRule="auto"/>
                    <w:ind w:firstLine="0"/>
                    <w:rPr>
                      <w:b/>
                      <w:color w:val="auto"/>
                      <w:sz w:val="21"/>
                      <w:szCs w:val="21"/>
                    </w:rPr>
                  </w:pPr>
                  <w:r>
                    <w:rPr>
                      <w:b/>
                      <w:color w:val="auto"/>
                      <w:sz w:val="21"/>
                      <w:szCs w:val="21"/>
                    </w:rPr>
                    <w:t>监测点</w:t>
                  </w:r>
                </w:p>
              </w:tc>
              <w:tc>
                <w:tcPr>
                  <w:tcW w:w="763" w:type="pct"/>
                  <w:noWrap w:val="0"/>
                  <w:vAlign w:val="center"/>
                </w:tcPr>
                <w:p w14:paraId="6155C861">
                  <w:pPr>
                    <w:pStyle w:val="60"/>
                    <w:spacing w:line="240" w:lineRule="auto"/>
                    <w:ind w:firstLine="0"/>
                    <w:rPr>
                      <w:b/>
                      <w:color w:val="auto"/>
                      <w:sz w:val="21"/>
                      <w:szCs w:val="21"/>
                    </w:rPr>
                  </w:pPr>
                  <w:r>
                    <w:rPr>
                      <w:b/>
                      <w:color w:val="auto"/>
                      <w:sz w:val="21"/>
                      <w:szCs w:val="21"/>
                    </w:rPr>
                    <w:t>监测因子</w:t>
                  </w:r>
                </w:p>
              </w:tc>
              <w:tc>
                <w:tcPr>
                  <w:tcW w:w="2145" w:type="pct"/>
                  <w:noWrap w:val="0"/>
                  <w:vAlign w:val="center"/>
                </w:tcPr>
                <w:p w14:paraId="5A864F59">
                  <w:pPr>
                    <w:pStyle w:val="60"/>
                    <w:spacing w:line="240" w:lineRule="auto"/>
                    <w:ind w:firstLine="0"/>
                    <w:rPr>
                      <w:b/>
                      <w:color w:val="auto"/>
                      <w:sz w:val="21"/>
                      <w:szCs w:val="21"/>
                    </w:rPr>
                  </w:pPr>
                  <w:r>
                    <w:rPr>
                      <w:b/>
                      <w:color w:val="auto"/>
                      <w:sz w:val="21"/>
                      <w:szCs w:val="21"/>
                    </w:rPr>
                    <w:t>监测时段与方法</w:t>
                  </w:r>
                </w:p>
              </w:tc>
            </w:tr>
            <w:tr w14:paraId="5FD7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257" w:hRule="atLeast"/>
                <w:tblHeader/>
                <w:jc w:val="center"/>
              </w:trPr>
              <w:tc>
                <w:tcPr>
                  <w:tcW w:w="811" w:type="pct"/>
                  <w:noWrap w:val="0"/>
                  <w:vAlign w:val="center"/>
                </w:tcPr>
                <w:p w14:paraId="1AF64CED">
                  <w:pPr>
                    <w:pStyle w:val="60"/>
                    <w:spacing w:line="240" w:lineRule="auto"/>
                    <w:ind w:firstLine="0"/>
                    <w:rPr>
                      <w:rFonts w:hint="eastAsia"/>
                      <w:color w:val="auto"/>
                      <w:sz w:val="21"/>
                      <w:szCs w:val="21"/>
                    </w:rPr>
                  </w:pPr>
                  <w:r>
                    <w:rPr>
                      <w:rFonts w:hint="eastAsia"/>
                      <w:color w:val="auto"/>
                      <w:sz w:val="21"/>
                      <w:szCs w:val="21"/>
                    </w:rPr>
                    <w:t>厂界噪声</w:t>
                  </w:r>
                </w:p>
              </w:tc>
              <w:tc>
                <w:tcPr>
                  <w:tcW w:w="1278" w:type="pct"/>
                  <w:noWrap w:val="0"/>
                  <w:vAlign w:val="center"/>
                </w:tcPr>
                <w:p w14:paraId="351808D0">
                  <w:pPr>
                    <w:pStyle w:val="60"/>
                    <w:spacing w:line="240" w:lineRule="auto"/>
                    <w:ind w:firstLine="0"/>
                    <w:rPr>
                      <w:color w:val="auto"/>
                      <w:sz w:val="21"/>
                      <w:szCs w:val="21"/>
                    </w:rPr>
                  </w:pPr>
                  <w:r>
                    <w:rPr>
                      <w:color w:val="auto"/>
                      <w:sz w:val="21"/>
                      <w:szCs w:val="21"/>
                    </w:rPr>
                    <w:t>东、西、南、北厂界</w:t>
                  </w:r>
                </w:p>
              </w:tc>
              <w:tc>
                <w:tcPr>
                  <w:tcW w:w="763" w:type="pct"/>
                  <w:noWrap w:val="0"/>
                  <w:vAlign w:val="center"/>
                </w:tcPr>
                <w:p w14:paraId="421BBD96">
                  <w:pPr>
                    <w:pStyle w:val="60"/>
                    <w:spacing w:line="240" w:lineRule="auto"/>
                    <w:ind w:firstLine="0"/>
                    <w:rPr>
                      <w:color w:val="auto"/>
                      <w:sz w:val="21"/>
                      <w:szCs w:val="21"/>
                    </w:rPr>
                  </w:pPr>
                  <w:r>
                    <w:rPr>
                      <w:color w:val="auto"/>
                      <w:sz w:val="21"/>
                      <w:szCs w:val="21"/>
                    </w:rPr>
                    <w:t>厂界噪声</w:t>
                  </w:r>
                </w:p>
              </w:tc>
              <w:tc>
                <w:tcPr>
                  <w:tcW w:w="2145" w:type="pct"/>
                  <w:noWrap w:val="0"/>
                  <w:vAlign w:val="center"/>
                </w:tcPr>
                <w:p w14:paraId="34B7EC85">
                  <w:pPr>
                    <w:pStyle w:val="60"/>
                    <w:spacing w:line="240" w:lineRule="auto"/>
                    <w:ind w:firstLine="0"/>
                    <w:rPr>
                      <w:color w:val="auto"/>
                      <w:sz w:val="21"/>
                      <w:szCs w:val="21"/>
                    </w:rPr>
                  </w:pPr>
                  <w:r>
                    <w:rPr>
                      <w:color w:val="auto"/>
                      <w:sz w:val="21"/>
                      <w:szCs w:val="21"/>
                    </w:rPr>
                    <w:t>验收时监测一次，</w:t>
                  </w:r>
                  <w:r>
                    <w:rPr>
                      <w:rFonts w:hint="eastAsia"/>
                      <w:color w:val="auto"/>
                      <w:sz w:val="21"/>
                      <w:szCs w:val="21"/>
                    </w:rPr>
                    <w:t>服务期</w:t>
                  </w:r>
                  <w:r>
                    <w:rPr>
                      <w:color w:val="auto"/>
                      <w:sz w:val="21"/>
                      <w:szCs w:val="21"/>
                    </w:rPr>
                    <w:t>每季度1次</w:t>
                  </w:r>
                </w:p>
              </w:tc>
            </w:tr>
          </w:tbl>
          <w:p w14:paraId="3DD698CE">
            <w:pPr>
              <w:adjustRightInd w:val="0"/>
              <w:snapToGrid w:val="0"/>
              <w:spacing w:before="120" w:beforeLines="50" w:line="360" w:lineRule="auto"/>
              <w:rPr>
                <w:b/>
                <w:color w:val="auto"/>
                <w:spacing w:val="-10"/>
                <w:sz w:val="24"/>
              </w:rPr>
            </w:pPr>
            <w:r>
              <w:rPr>
                <w:rFonts w:hint="eastAsia"/>
                <w:b/>
                <w:color w:val="auto"/>
                <w:spacing w:val="-10"/>
                <w:sz w:val="24"/>
              </w:rPr>
              <w:t>4.2.4</w:t>
            </w:r>
            <w:r>
              <w:rPr>
                <w:b/>
                <w:color w:val="auto"/>
                <w:spacing w:val="-10"/>
                <w:sz w:val="24"/>
              </w:rPr>
              <w:t>运营期固体废物环境影响和保护措施</w:t>
            </w:r>
          </w:p>
          <w:p w14:paraId="56106519">
            <w:pPr>
              <w:numPr>
                <w:ilvl w:val="0"/>
                <w:numId w:val="0"/>
              </w:numPr>
              <w:adjustRightInd w:val="0"/>
              <w:snapToGrid w:val="0"/>
              <w:spacing w:line="360" w:lineRule="auto"/>
              <w:ind w:left="420" w:leftChars="0"/>
              <w:rPr>
                <w:b/>
                <w:color w:val="auto"/>
                <w:spacing w:val="-10"/>
                <w:sz w:val="24"/>
              </w:rPr>
            </w:pPr>
            <w:r>
              <w:rPr>
                <w:rFonts w:hint="eastAsia"/>
                <w:b/>
                <w:color w:val="auto"/>
                <w:spacing w:val="-10"/>
                <w:sz w:val="24"/>
                <w:lang w:val="en-US" w:eastAsia="zh-CN"/>
              </w:rPr>
              <w:t>4.2.4.1</w:t>
            </w:r>
            <w:r>
              <w:rPr>
                <w:b/>
                <w:color w:val="auto"/>
                <w:spacing w:val="-10"/>
                <w:sz w:val="24"/>
              </w:rPr>
              <w:t>固体废物产生情况</w:t>
            </w:r>
          </w:p>
          <w:p w14:paraId="0E99284E">
            <w:pPr>
              <w:adjustRightInd w:val="0"/>
              <w:snapToGrid w:val="0"/>
              <w:spacing w:line="360" w:lineRule="auto"/>
              <w:ind w:firstLine="482" w:firstLineChars="200"/>
              <w:rPr>
                <w:b/>
                <w:bCs/>
                <w:color w:val="auto"/>
                <w:kern w:val="0"/>
                <w:sz w:val="24"/>
              </w:rPr>
            </w:pPr>
            <w:r>
              <w:rPr>
                <w:rFonts w:hint="eastAsia"/>
                <w:b/>
                <w:bCs/>
                <w:color w:val="auto"/>
                <w:kern w:val="0"/>
                <w:sz w:val="24"/>
                <w:lang w:eastAsia="zh-CN"/>
              </w:rPr>
              <w:t>（</w:t>
            </w:r>
            <w:r>
              <w:rPr>
                <w:rFonts w:hint="eastAsia"/>
                <w:b/>
                <w:bCs/>
                <w:color w:val="auto"/>
                <w:kern w:val="0"/>
                <w:sz w:val="24"/>
                <w:lang w:val="en-US" w:eastAsia="zh-CN"/>
              </w:rPr>
              <w:t>1</w:t>
            </w:r>
            <w:r>
              <w:rPr>
                <w:rFonts w:hint="eastAsia"/>
                <w:b/>
                <w:bCs/>
                <w:color w:val="auto"/>
                <w:kern w:val="0"/>
                <w:sz w:val="24"/>
                <w:lang w:eastAsia="zh-CN"/>
              </w:rPr>
              <w:t>）</w:t>
            </w:r>
            <w:r>
              <w:rPr>
                <w:b/>
                <w:bCs/>
                <w:color w:val="auto"/>
                <w:kern w:val="0"/>
                <w:sz w:val="24"/>
              </w:rPr>
              <w:t>生活垃圾</w:t>
            </w:r>
          </w:p>
          <w:p w14:paraId="373BEF9D">
            <w:pPr>
              <w:adjustRightInd w:val="0"/>
              <w:snapToGrid w:val="0"/>
              <w:spacing w:line="360" w:lineRule="auto"/>
              <w:ind w:firstLine="480" w:firstLineChars="200"/>
              <w:rPr>
                <w:color w:val="auto"/>
                <w:kern w:val="0"/>
                <w:sz w:val="24"/>
              </w:rPr>
            </w:pPr>
            <w:r>
              <w:rPr>
                <w:color w:val="auto"/>
                <w:kern w:val="0"/>
                <w:sz w:val="24"/>
              </w:rPr>
              <w:t>服务期生活垃圾主要为医院员工、病人、陪护及门诊人员产生。其中住院病人每床按照陪护1人算，则有</w:t>
            </w:r>
            <w:r>
              <w:rPr>
                <w:rFonts w:hint="eastAsia"/>
                <w:color w:val="auto"/>
                <w:kern w:val="0"/>
                <w:sz w:val="24"/>
                <w:lang w:val="en-US" w:eastAsia="zh-CN"/>
              </w:rPr>
              <w:t>60</w:t>
            </w:r>
            <w:r>
              <w:rPr>
                <w:color w:val="auto"/>
                <w:kern w:val="0"/>
                <w:sz w:val="24"/>
              </w:rPr>
              <w:t>名陪护</w:t>
            </w:r>
            <w:r>
              <w:rPr>
                <w:rFonts w:hint="eastAsia"/>
                <w:color w:val="auto"/>
                <w:kern w:val="0"/>
                <w:sz w:val="24"/>
              </w:rPr>
              <w:t>，</w:t>
            </w:r>
            <w:r>
              <w:rPr>
                <w:rFonts w:hint="default" w:ascii="Times New Roman" w:hAnsi="Times New Roman" w:eastAsia="宋体" w:cs="Times New Roman"/>
                <w:bCs/>
                <w:color w:val="auto"/>
                <w:sz w:val="24"/>
                <w:szCs w:val="24"/>
              </w:rPr>
              <w:t>根据《固体废物分类与代码目录》</w:t>
            </w:r>
            <w:r>
              <w:rPr>
                <w:rFonts w:hint="eastAsia" w:cs="Times New Roman"/>
                <w:bCs/>
                <w:color w:val="auto"/>
                <w:sz w:val="24"/>
                <w:szCs w:val="24"/>
                <w:lang w:eastAsia="zh-CN"/>
              </w:rPr>
              <w:t>（</w:t>
            </w:r>
            <w:r>
              <w:rPr>
                <w:rFonts w:hint="default" w:ascii="Times New Roman" w:hAnsi="Times New Roman" w:eastAsia="宋体" w:cs="Times New Roman"/>
                <w:bCs/>
                <w:color w:val="auto"/>
                <w:sz w:val="24"/>
                <w:szCs w:val="24"/>
              </w:rPr>
              <w:t>生态环境部 公告 2024年 第4号</w:t>
            </w:r>
            <w:r>
              <w:rPr>
                <w:rFonts w:hint="eastAsia" w:cs="Times New Roman"/>
                <w:bCs/>
                <w:color w:val="auto"/>
                <w:sz w:val="24"/>
                <w:szCs w:val="24"/>
                <w:lang w:eastAsia="zh-CN"/>
              </w:rPr>
              <w:t>）</w:t>
            </w:r>
            <w:r>
              <w:rPr>
                <w:rFonts w:hint="default" w:ascii="Times New Roman" w:hAnsi="Times New Roman" w:eastAsia="宋体" w:cs="Times New Roman"/>
                <w:bCs/>
                <w:color w:val="auto"/>
                <w:sz w:val="24"/>
                <w:szCs w:val="24"/>
              </w:rPr>
              <w:t>，生活垃圾属于SW64其他垃圾，废物代码为900-099-S64</w:t>
            </w:r>
            <w:r>
              <w:rPr>
                <w:rFonts w:hint="eastAsia" w:ascii="Times New Roman" w:hAnsi="Times New Roman" w:eastAsia="宋体" w:cs="Times New Roman"/>
                <w:bCs/>
                <w:color w:val="auto"/>
                <w:sz w:val="24"/>
                <w:szCs w:val="24"/>
                <w:lang w:eastAsia="zh-CN"/>
              </w:rPr>
              <w:t>，</w:t>
            </w:r>
            <w:r>
              <w:rPr>
                <w:color w:val="auto"/>
                <w:kern w:val="0"/>
                <w:sz w:val="24"/>
              </w:rPr>
              <w:t>生活垃圾袋装后由市政环卫部门统一处理。则生活垃圾产生量详见表4-1</w:t>
            </w:r>
            <w:r>
              <w:rPr>
                <w:rFonts w:hint="eastAsia"/>
                <w:color w:val="auto"/>
                <w:kern w:val="0"/>
                <w:sz w:val="24"/>
                <w:lang w:val="en-US" w:eastAsia="zh-CN"/>
              </w:rPr>
              <w:t>7</w:t>
            </w:r>
            <w:r>
              <w:rPr>
                <w:color w:val="auto"/>
                <w:kern w:val="0"/>
                <w:sz w:val="24"/>
              </w:rPr>
              <w:t>。</w:t>
            </w:r>
          </w:p>
          <w:p w14:paraId="37424DBF">
            <w:pPr>
              <w:jc w:val="center"/>
              <w:rPr>
                <w:b/>
                <w:color w:val="auto"/>
                <w:sz w:val="24"/>
              </w:rPr>
            </w:pPr>
            <w:r>
              <w:rPr>
                <w:b/>
                <w:color w:val="auto"/>
                <w:sz w:val="24"/>
              </w:rPr>
              <w:t>表4</w:t>
            </w:r>
            <w:r>
              <w:rPr>
                <w:rFonts w:hint="eastAsia"/>
                <w:b/>
                <w:color w:val="auto"/>
                <w:sz w:val="24"/>
                <w:lang w:val="en-US" w:eastAsia="zh-CN"/>
              </w:rPr>
              <w:t>.2</w:t>
            </w:r>
            <w:r>
              <w:rPr>
                <w:b/>
                <w:color w:val="auto"/>
                <w:sz w:val="24"/>
              </w:rPr>
              <w:t>-1</w:t>
            </w:r>
            <w:r>
              <w:rPr>
                <w:rFonts w:hint="eastAsia"/>
                <w:b/>
                <w:color w:val="auto"/>
                <w:sz w:val="24"/>
                <w:lang w:val="en-US" w:eastAsia="zh-CN"/>
              </w:rPr>
              <w:t>7</w:t>
            </w:r>
            <w:r>
              <w:rPr>
                <w:b/>
                <w:color w:val="auto"/>
                <w:sz w:val="24"/>
              </w:rPr>
              <w:t>生活垃圾产生情况表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4"/>
              <w:gridCol w:w="1307"/>
              <w:gridCol w:w="1477"/>
              <w:gridCol w:w="1531"/>
              <w:gridCol w:w="1514"/>
              <w:gridCol w:w="1488"/>
            </w:tblGrid>
            <w:tr w14:paraId="7DA02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3" w:type="pct"/>
                  <w:noWrap w:val="0"/>
                  <w:vAlign w:val="center"/>
                </w:tcPr>
                <w:p w14:paraId="58153135">
                  <w:pPr>
                    <w:adjustRightInd w:val="0"/>
                    <w:snapToGrid w:val="0"/>
                    <w:jc w:val="center"/>
                    <w:rPr>
                      <w:b/>
                      <w:color w:val="auto"/>
                      <w:szCs w:val="21"/>
                    </w:rPr>
                  </w:pPr>
                  <w:r>
                    <w:rPr>
                      <w:b/>
                      <w:color w:val="auto"/>
                      <w:szCs w:val="21"/>
                    </w:rPr>
                    <w:t>来源</w:t>
                  </w:r>
                </w:p>
              </w:tc>
              <w:tc>
                <w:tcPr>
                  <w:tcW w:w="741" w:type="pct"/>
                  <w:noWrap w:val="0"/>
                  <w:vAlign w:val="center"/>
                </w:tcPr>
                <w:p w14:paraId="6248BF87">
                  <w:pPr>
                    <w:adjustRightInd w:val="0"/>
                    <w:snapToGrid w:val="0"/>
                    <w:jc w:val="center"/>
                    <w:rPr>
                      <w:b/>
                      <w:color w:val="auto"/>
                      <w:szCs w:val="21"/>
                    </w:rPr>
                  </w:pPr>
                  <w:r>
                    <w:rPr>
                      <w:b/>
                      <w:color w:val="auto"/>
                      <w:szCs w:val="21"/>
                    </w:rPr>
                    <w:t>核算指标</w:t>
                  </w:r>
                </w:p>
              </w:tc>
              <w:tc>
                <w:tcPr>
                  <w:tcW w:w="837" w:type="pct"/>
                  <w:noWrap w:val="0"/>
                  <w:vAlign w:val="center"/>
                </w:tcPr>
                <w:p w14:paraId="65A36DC0">
                  <w:pPr>
                    <w:adjustRightInd w:val="0"/>
                    <w:snapToGrid w:val="0"/>
                    <w:jc w:val="center"/>
                    <w:rPr>
                      <w:b/>
                      <w:color w:val="auto"/>
                      <w:szCs w:val="21"/>
                    </w:rPr>
                  </w:pPr>
                  <w:r>
                    <w:rPr>
                      <w:b/>
                      <w:color w:val="auto"/>
                      <w:szCs w:val="21"/>
                    </w:rPr>
                    <w:t>数量</w:t>
                  </w:r>
                </w:p>
              </w:tc>
              <w:tc>
                <w:tcPr>
                  <w:tcW w:w="868" w:type="pct"/>
                  <w:noWrap w:val="0"/>
                  <w:vAlign w:val="center"/>
                </w:tcPr>
                <w:p w14:paraId="3A31BE22">
                  <w:pPr>
                    <w:adjustRightInd w:val="0"/>
                    <w:snapToGrid w:val="0"/>
                    <w:jc w:val="center"/>
                    <w:rPr>
                      <w:b/>
                      <w:color w:val="auto"/>
                      <w:szCs w:val="21"/>
                    </w:rPr>
                  </w:pPr>
                  <w:r>
                    <w:rPr>
                      <w:b/>
                      <w:color w:val="auto"/>
                      <w:szCs w:val="21"/>
                    </w:rPr>
                    <w:t>每天产生量</w:t>
                  </w:r>
                </w:p>
                <w:p w14:paraId="18EDD6F5">
                  <w:pPr>
                    <w:adjustRightInd w:val="0"/>
                    <w:snapToGrid w:val="0"/>
                    <w:jc w:val="center"/>
                    <w:rPr>
                      <w:b/>
                      <w:color w:val="auto"/>
                      <w:szCs w:val="21"/>
                    </w:rPr>
                  </w:pPr>
                  <w:r>
                    <w:rPr>
                      <w:b/>
                      <w:color w:val="auto"/>
                      <w:szCs w:val="21"/>
                    </w:rPr>
                    <w:t>（kg/d）</w:t>
                  </w:r>
                </w:p>
              </w:tc>
              <w:tc>
                <w:tcPr>
                  <w:tcW w:w="858" w:type="pct"/>
                  <w:noWrap w:val="0"/>
                  <w:vAlign w:val="center"/>
                </w:tcPr>
                <w:p w14:paraId="49DF47EB">
                  <w:pPr>
                    <w:adjustRightInd w:val="0"/>
                    <w:snapToGrid w:val="0"/>
                    <w:jc w:val="center"/>
                    <w:rPr>
                      <w:b/>
                      <w:color w:val="auto"/>
                      <w:szCs w:val="21"/>
                    </w:rPr>
                  </w:pPr>
                  <w:r>
                    <w:rPr>
                      <w:b/>
                      <w:color w:val="auto"/>
                      <w:szCs w:val="21"/>
                    </w:rPr>
                    <w:t>每年产生量</w:t>
                  </w:r>
                </w:p>
                <w:p w14:paraId="1283A539">
                  <w:pPr>
                    <w:adjustRightInd w:val="0"/>
                    <w:snapToGrid w:val="0"/>
                    <w:jc w:val="center"/>
                    <w:rPr>
                      <w:b/>
                      <w:color w:val="auto"/>
                      <w:szCs w:val="21"/>
                    </w:rPr>
                  </w:pPr>
                  <w:r>
                    <w:rPr>
                      <w:b/>
                      <w:color w:val="auto"/>
                      <w:szCs w:val="21"/>
                    </w:rPr>
                    <w:t>（t/a）</w:t>
                  </w:r>
                </w:p>
              </w:tc>
              <w:tc>
                <w:tcPr>
                  <w:tcW w:w="843" w:type="pct"/>
                  <w:noWrap w:val="0"/>
                  <w:vAlign w:val="center"/>
                </w:tcPr>
                <w:p w14:paraId="36E686F5">
                  <w:pPr>
                    <w:adjustRightInd w:val="0"/>
                    <w:snapToGrid w:val="0"/>
                    <w:jc w:val="center"/>
                    <w:rPr>
                      <w:b/>
                      <w:color w:val="auto"/>
                      <w:szCs w:val="21"/>
                    </w:rPr>
                  </w:pPr>
                  <w:r>
                    <w:rPr>
                      <w:b/>
                      <w:color w:val="auto"/>
                      <w:szCs w:val="21"/>
                    </w:rPr>
                    <w:t>排放去向</w:t>
                  </w:r>
                </w:p>
              </w:tc>
            </w:tr>
            <w:tr w14:paraId="508D0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3" w:type="pct"/>
                  <w:noWrap w:val="0"/>
                  <w:vAlign w:val="center"/>
                </w:tcPr>
                <w:p w14:paraId="632E1F31">
                  <w:pPr>
                    <w:adjustRightInd w:val="0"/>
                    <w:snapToGrid w:val="0"/>
                    <w:jc w:val="center"/>
                    <w:rPr>
                      <w:color w:val="auto"/>
                      <w:szCs w:val="21"/>
                    </w:rPr>
                  </w:pPr>
                  <w:r>
                    <w:rPr>
                      <w:color w:val="auto"/>
                      <w:szCs w:val="21"/>
                    </w:rPr>
                    <w:t>住院及陪护</w:t>
                  </w:r>
                </w:p>
              </w:tc>
              <w:tc>
                <w:tcPr>
                  <w:tcW w:w="741" w:type="pct"/>
                  <w:noWrap w:val="0"/>
                  <w:vAlign w:val="center"/>
                </w:tcPr>
                <w:p w14:paraId="5CE1B1A3">
                  <w:pPr>
                    <w:adjustRightInd w:val="0"/>
                    <w:snapToGrid w:val="0"/>
                    <w:jc w:val="center"/>
                    <w:rPr>
                      <w:color w:val="auto"/>
                      <w:szCs w:val="21"/>
                    </w:rPr>
                  </w:pPr>
                  <w:r>
                    <w:rPr>
                      <w:color w:val="auto"/>
                      <w:szCs w:val="21"/>
                    </w:rPr>
                    <w:t>0.5kg/人.d</w:t>
                  </w:r>
                </w:p>
              </w:tc>
              <w:tc>
                <w:tcPr>
                  <w:tcW w:w="837" w:type="pct"/>
                  <w:noWrap w:val="0"/>
                  <w:vAlign w:val="center"/>
                </w:tcPr>
                <w:p w14:paraId="2D6C7B19">
                  <w:pPr>
                    <w:adjustRightInd w:val="0"/>
                    <w:snapToGrid w:val="0"/>
                    <w:jc w:val="center"/>
                    <w:rPr>
                      <w:color w:val="auto"/>
                      <w:szCs w:val="21"/>
                    </w:rPr>
                  </w:pPr>
                  <w:r>
                    <w:rPr>
                      <w:rFonts w:hint="eastAsia"/>
                      <w:color w:val="auto"/>
                      <w:szCs w:val="21"/>
                      <w:lang w:val="en-US" w:eastAsia="zh-CN"/>
                    </w:rPr>
                    <w:t>120</w:t>
                  </w:r>
                  <w:r>
                    <w:rPr>
                      <w:color w:val="auto"/>
                      <w:szCs w:val="21"/>
                    </w:rPr>
                    <w:t>人</w:t>
                  </w:r>
                </w:p>
              </w:tc>
              <w:tc>
                <w:tcPr>
                  <w:tcW w:w="868" w:type="pct"/>
                  <w:noWrap w:val="0"/>
                  <w:vAlign w:val="center"/>
                </w:tcPr>
                <w:p w14:paraId="26B4F53F">
                  <w:pPr>
                    <w:adjustRightInd w:val="0"/>
                    <w:snapToGrid w:val="0"/>
                    <w:jc w:val="center"/>
                    <w:rPr>
                      <w:rFonts w:hint="default" w:eastAsia="宋体"/>
                      <w:color w:val="auto"/>
                      <w:szCs w:val="21"/>
                      <w:lang w:val="en-US" w:eastAsia="zh-CN"/>
                    </w:rPr>
                  </w:pPr>
                  <w:r>
                    <w:rPr>
                      <w:rFonts w:hint="eastAsia"/>
                      <w:color w:val="auto"/>
                      <w:szCs w:val="21"/>
                      <w:lang w:val="en-US" w:eastAsia="zh-CN"/>
                    </w:rPr>
                    <w:t>60</w:t>
                  </w:r>
                </w:p>
              </w:tc>
              <w:tc>
                <w:tcPr>
                  <w:tcW w:w="858" w:type="pct"/>
                  <w:noWrap w:val="0"/>
                  <w:vAlign w:val="center"/>
                </w:tcPr>
                <w:p w14:paraId="09C25700">
                  <w:pPr>
                    <w:widowControl/>
                    <w:jc w:val="center"/>
                    <w:textAlignment w:val="center"/>
                    <w:rPr>
                      <w:rFonts w:hint="default" w:eastAsia="宋体"/>
                      <w:color w:val="auto"/>
                      <w:szCs w:val="21"/>
                      <w:lang w:val="en-US" w:eastAsia="zh-CN"/>
                    </w:rPr>
                  </w:pPr>
                  <w:r>
                    <w:rPr>
                      <w:rFonts w:hint="eastAsia"/>
                      <w:color w:val="auto"/>
                      <w:szCs w:val="21"/>
                      <w:lang w:val="en-US" w:eastAsia="zh-CN"/>
                    </w:rPr>
                    <w:t>21.9</w:t>
                  </w:r>
                </w:p>
              </w:tc>
              <w:tc>
                <w:tcPr>
                  <w:tcW w:w="843" w:type="pct"/>
                  <w:vMerge w:val="restart"/>
                  <w:noWrap w:val="0"/>
                  <w:vAlign w:val="center"/>
                </w:tcPr>
                <w:p w14:paraId="3728C464">
                  <w:pPr>
                    <w:adjustRightInd w:val="0"/>
                    <w:snapToGrid w:val="0"/>
                    <w:jc w:val="center"/>
                    <w:rPr>
                      <w:color w:val="auto"/>
                      <w:szCs w:val="21"/>
                    </w:rPr>
                  </w:pPr>
                  <w:r>
                    <w:rPr>
                      <w:color w:val="auto"/>
                      <w:szCs w:val="21"/>
                    </w:rPr>
                    <w:t>与医疗垃圾分开袋装化收集，由环卫部门统一处置</w:t>
                  </w:r>
                </w:p>
              </w:tc>
            </w:tr>
            <w:tr w14:paraId="5DF32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53" w:type="pct"/>
                  <w:noWrap w:val="0"/>
                  <w:vAlign w:val="center"/>
                </w:tcPr>
                <w:p w14:paraId="19371C3C">
                  <w:pPr>
                    <w:adjustRightInd w:val="0"/>
                    <w:snapToGrid w:val="0"/>
                    <w:jc w:val="center"/>
                    <w:rPr>
                      <w:rFonts w:hint="default" w:eastAsia="宋体"/>
                      <w:color w:val="auto"/>
                      <w:szCs w:val="21"/>
                      <w:lang w:val="en-US" w:eastAsia="zh-CN"/>
                    </w:rPr>
                  </w:pPr>
                  <w:r>
                    <w:rPr>
                      <w:rFonts w:hint="eastAsia"/>
                      <w:color w:val="auto"/>
                      <w:szCs w:val="21"/>
                      <w:lang w:val="en-US" w:eastAsia="zh-CN"/>
                    </w:rPr>
                    <w:t>托老院病人</w:t>
                  </w:r>
                </w:p>
              </w:tc>
              <w:tc>
                <w:tcPr>
                  <w:tcW w:w="741" w:type="pct"/>
                  <w:noWrap w:val="0"/>
                  <w:vAlign w:val="center"/>
                </w:tcPr>
                <w:p w14:paraId="7819F84E">
                  <w:pPr>
                    <w:adjustRightInd w:val="0"/>
                    <w:snapToGrid w:val="0"/>
                    <w:jc w:val="center"/>
                    <w:rPr>
                      <w:color w:val="auto"/>
                      <w:szCs w:val="21"/>
                    </w:rPr>
                  </w:pPr>
                  <w:r>
                    <w:rPr>
                      <w:color w:val="auto"/>
                      <w:szCs w:val="21"/>
                    </w:rPr>
                    <w:t>0.5kg/人.d</w:t>
                  </w:r>
                </w:p>
              </w:tc>
              <w:tc>
                <w:tcPr>
                  <w:tcW w:w="837" w:type="pct"/>
                  <w:noWrap w:val="0"/>
                  <w:vAlign w:val="center"/>
                </w:tcPr>
                <w:p w14:paraId="34C9B177">
                  <w:pPr>
                    <w:adjustRightInd w:val="0"/>
                    <w:snapToGrid w:val="0"/>
                    <w:jc w:val="center"/>
                    <w:rPr>
                      <w:rFonts w:hint="default"/>
                      <w:color w:val="auto"/>
                      <w:szCs w:val="21"/>
                      <w:lang w:val="en-US" w:eastAsia="zh-CN"/>
                    </w:rPr>
                  </w:pPr>
                  <w:r>
                    <w:rPr>
                      <w:rFonts w:hint="eastAsia"/>
                      <w:color w:val="auto"/>
                      <w:szCs w:val="21"/>
                      <w:lang w:val="en-US" w:eastAsia="zh-CN"/>
                    </w:rPr>
                    <w:t>30人</w:t>
                  </w:r>
                </w:p>
              </w:tc>
              <w:tc>
                <w:tcPr>
                  <w:tcW w:w="868" w:type="pct"/>
                  <w:noWrap w:val="0"/>
                  <w:vAlign w:val="center"/>
                </w:tcPr>
                <w:p w14:paraId="447B1D4C">
                  <w:pPr>
                    <w:adjustRightInd w:val="0"/>
                    <w:snapToGrid w:val="0"/>
                    <w:jc w:val="center"/>
                    <w:rPr>
                      <w:rFonts w:hint="default" w:eastAsia="宋体"/>
                      <w:color w:val="auto"/>
                      <w:szCs w:val="21"/>
                      <w:lang w:val="en-US" w:eastAsia="zh-CN"/>
                    </w:rPr>
                  </w:pPr>
                  <w:r>
                    <w:rPr>
                      <w:rFonts w:hint="eastAsia"/>
                      <w:color w:val="auto"/>
                      <w:szCs w:val="21"/>
                      <w:lang w:val="en-US" w:eastAsia="zh-CN"/>
                    </w:rPr>
                    <w:t>15</w:t>
                  </w:r>
                </w:p>
              </w:tc>
              <w:tc>
                <w:tcPr>
                  <w:tcW w:w="858" w:type="pct"/>
                  <w:noWrap w:val="0"/>
                  <w:vAlign w:val="center"/>
                </w:tcPr>
                <w:p w14:paraId="399A8FAC">
                  <w:pPr>
                    <w:widowControl/>
                    <w:jc w:val="center"/>
                    <w:textAlignment w:val="center"/>
                    <w:rPr>
                      <w:rFonts w:hint="eastAsia"/>
                      <w:color w:val="auto"/>
                      <w:szCs w:val="21"/>
                    </w:rPr>
                  </w:pPr>
                  <w:r>
                    <w:rPr>
                      <w:rFonts w:hint="eastAsia"/>
                      <w:color w:val="auto"/>
                      <w:szCs w:val="21"/>
                      <w:lang w:val="en-US" w:eastAsia="zh-CN"/>
                    </w:rPr>
                    <w:t>5.475</w:t>
                  </w:r>
                </w:p>
              </w:tc>
              <w:tc>
                <w:tcPr>
                  <w:tcW w:w="843" w:type="pct"/>
                  <w:vMerge w:val="continue"/>
                  <w:noWrap w:val="0"/>
                  <w:vAlign w:val="center"/>
                </w:tcPr>
                <w:p w14:paraId="3C4F1070">
                  <w:pPr>
                    <w:adjustRightInd w:val="0"/>
                    <w:snapToGrid w:val="0"/>
                    <w:jc w:val="center"/>
                    <w:rPr>
                      <w:color w:val="auto"/>
                      <w:szCs w:val="21"/>
                    </w:rPr>
                  </w:pPr>
                </w:p>
              </w:tc>
            </w:tr>
            <w:tr w14:paraId="48116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3" w:type="pct"/>
                  <w:noWrap w:val="0"/>
                  <w:vAlign w:val="center"/>
                </w:tcPr>
                <w:p w14:paraId="6AF30237">
                  <w:pPr>
                    <w:adjustRightInd w:val="0"/>
                    <w:snapToGrid w:val="0"/>
                    <w:jc w:val="center"/>
                    <w:rPr>
                      <w:color w:val="auto"/>
                      <w:szCs w:val="21"/>
                    </w:rPr>
                  </w:pPr>
                  <w:r>
                    <w:rPr>
                      <w:color w:val="auto"/>
                      <w:szCs w:val="21"/>
                    </w:rPr>
                    <w:t>门诊病人</w:t>
                  </w:r>
                </w:p>
              </w:tc>
              <w:tc>
                <w:tcPr>
                  <w:tcW w:w="741" w:type="pct"/>
                  <w:noWrap w:val="0"/>
                  <w:vAlign w:val="center"/>
                </w:tcPr>
                <w:p w14:paraId="43112FB9">
                  <w:pPr>
                    <w:adjustRightInd w:val="0"/>
                    <w:snapToGrid w:val="0"/>
                    <w:jc w:val="center"/>
                    <w:rPr>
                      <w:color w:val="auto"/>
                      <w:szCs w:val="21"/>
                    </w:rPr>
                  </w:pPr>
                  <w:r>
                    <w:rPr>
                      <w:color w:val="auto"/>
                      <w:szCs w:val="21"/>
                    </w:rPr>
                    <w:t>0.2kg/人.d</w:t>
                  </w:r>
                </w:p>
              </w:tc>
              <w:tc>
                <w:tcPr>
                  <w:tcW w:w="837" w:type="pct"/>
                  <w:noWrap w:val="0"/>
                  <w:vAlign w:val="center"/>
                </w:tcPr>
                <w:p w14:paraId="3DAE1B7C">
                  <w:pPr>
                    <w:adjustRightInd w:val="0"/>
                    <w:snapToGrid w:val="0"/>
                    <w:jc w:val="center"/>
                    <w:rPr>
                      <w:color w:val="auto"/>
                      <w:szCs w:val="21"/>
                    </w:rPr>
                  </w:pPr>
                  <w:r>
                    <w:rPr>
                      <w:rFonts w:hint="eastAsia"/>
                      <w:color w:val="auto"/>
                      <w:szCs w:val="21"/>
                    </w:rPr>
                    <w:t>10</w:t>
                  </w:r>
                  <w:r>
                    <w:rPr>
                      <w:color w:val="auto"/>
                      <w:szCs w:val="21"/>
                    </w:rPr>
                    <w:t>0人</w:t>
                  </w:r>
                </w:p>
              </w:tc>
              <w:tc>
                <w:tcPr>
                  <w:tcW w:w="868" w:type="pct"/>
                  <w:noWrap w:val="0"/>
                  <w:vAlign w:val="center"/>
                </w:tcPr>
                <w:p w14:paraId="68A27620">
                  <w:pPr>
                    <w:adjustRightInd w:val="0"/>
                    <w:snapToGrid w:val="0"/>
                    <w:jc w:val="center"/>
                    <w:rPr>
                      <w:rFonts w:hint="default" w:eastAsia="宋体"/>
                      <w:color w:val="auto"/>
                      <w:szCs w:val="21"/>
                      <w:lang w:val="en-US" w:eastAsia="zh-CN"/>
                    </w:rPr>
                  </w:pPr>
                  <w:r>
                    <w:rPr>
                      <w:rFonts w:hint="eastAsia"/>
                      <w:color w:val="auto"/>
                      <w:szCs w:val="21"/>
                      <w:lang w:val="en-US" w:eastAsia="zh-CN"/>
                    </w:rPr>
                    <w:t>20</w:t>
                  </w:r>
                </w:p>
              </w:tc>
              <w:tc>
                <w:tcPr>
                  <w:tcW w:w="858" w:type="pct"/>
                  <w:noWrap w:val="0"/>
                  <w:vAlign w:val="center"/>
                </w:tcPr>
                <w:p w14:paraId="4BFD8697">
                  <w:pPr>
                    <w:widowControl/>
                    <w:jc w:val="center"/>
                    <w:textAlignment w:val="center"/>
                    <w:rPr>
                      <w:color w:val="auto"/>
                      <w:szCs w:val="21"/>
                    </w:rPr>
                  </w:pPr>
                  <w:r>
                    <w:rPr>
                      <w:rFonts w:hint="eastAsia"/>
                      <w:color w:val="auto"/>
                      <w:szCs w:val="21"/>
                      <w:lang w:val="en-US" w:eastAsia="zh-CN"/>
                    </w:rPr>
                    <w:t>7.3</w:t>
                  </w:r>
                </w:p>
              </w:tc>
              <w:tc>
                <w:tcPr>
                  <w:tcW w:w="843" w:type="pct"/>
                  <w:vMerge w:val="continue"/>
                  <w:noWrap w:val="0"/>
                  <w:vAlign w:val="center"/>
                </w:tcPr>
                <w:p w14:paraId="24275C50">
                  <w:pPr>
                    <w:adjustRightInd w:val="0"/>
                    <w:snapToGrid w:val="0"/>
                    <w:jc w:val="center"/>
                    <w:rPr>
                      <w:color w:val="auto"/>
                      <w:szCs w:val="21"/>
                    </w:rPr>
                  </w:pPr>
                </w:p>
              </w:tc>
            </w:tr>
            <w:tr w14:paraId="0CAC6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6" w:hRule="atLeast"/>
                <w:jc w:val="center"/>
              </w:trPr>
              <w:tc>
                <w:tcPr>
                  <w:tcW w:w="853" w:type="pct"/>
                  <w:noWrap w:val="0"/>
                  <w:vAlign w:val="center"/>
                </w:tcPr>
                <w:p w14:paraId="66536AE4">
                  <w:pPr>
                    <w:adjustRightInd w:val="0"/>
                    <w:snapToGrid w:val="0"/>
                    <w:jc w:val="center"/>
                    <w:rPr>
                      <w:color w:val="auto"/>
                      <w:szCs w:val="21"/>
                    </w:rPr>
                  </w:pPr>
                  <w:r>
                    <w:rPr>
                      <w:color w:val="auto"/>
                      <w:szCs w:val="21"/>
                    </w:rPr>
                    <w:t>医护人员</w:t>
                  </w:r>
                </w:p>
              </w:tc>
              <w:tc>
                <w:tcPr>
                  <w:tcW w:w="741" w:type="pct"/>
                  <w:noWrap w:val="0"/>
                  <w:vAlign w:val="center"/>
                </w:tcPr>
                <w:p w14:paraId="773B8C30">
                  <w:pPr>
                    <w:adjustRightInd w:val="0"/>
                    <w:snapToGrid w:val="0"/>
                    <w:jc w:val="center"/>
                    <w:rPr>
                      <w:color w:val="auto"/>
                      <w:szCs w:val="21"/>
                    </w:rPr>
                  </w:pPr>
                  <w:r>
                    <w:rPr>
                      <w:color w:val="auto"/>
                      <w:szCs w:val="21"/>
                    </w:rPr>
                    <w:t>0.5kg/人.d</w:t>
                  </w:r>
                </w:p>
              </w:tc>
              <w:tc>
                <w:tcPr>
                  <w:tcW w:w="837" w:type="pct"/>
                  <w:noWrap w:val="0"/>
                  <w:vAlign w:val="center"/>
                </w:tcPr>
                <w:p w14:paraId="6E03C1A2">
                  <w:pPr>
                    <w:adjustRightInd w:val="0"/>
                    <w:snapToGrid w:val="0"/>
                    <w:jc w:val="center"/>
                    <w:rPr>
                      <w:color w:val="auto"/>
                      <w:szCs w:val="21"/>
                    </w:rPr>
                  </w:pPr>
                  <w:r>
                    <w:rPr>
                      <w:rFonts w:hint="eastAsia"/>
                      <w:color w:val="auto"/>
                      <w:szCs w:val="21"/>
                      <w:lang w:val="en-US" w:eastAsia="zh-CN"/>
                    </w:rPr>
                    <w:t>30</w:t>
                  </w:r>
                  <w:r>
                    <w:rPr>
                      <w:color w:val="auto"/>
                      <w:szCs w:val="21"/>
                    </w:rPr>
                    <w:t>人</w:t>
                  </w:r>
                </w:p>
              </w:tc>
              <w:tc>
                <w:tcPr>
                  <w:tcW w:w="868" w:type="pct"/>
                  <w:noWrap w:val="0"/>
                  <w:vAlign w:val="center"/>
                </w:tcPr>
                <w:p w14:paraId="6D9281CA">
                  <w:pPr>
                    <w:adjustRightInd w:val="0"/>
                    <w:snapToGrid w:val="0"/>
                    <w:jc w:val="center"/>
                    <w:rPr>
                      <w:rFonts w:hint="default" w:eastAsia="宋体"/>
                      <w:color w:val="auto"/>
                      <w:szCs w:val="21"/>
                      <w:lang w:val="en-US" w:eastAsia="zh-CN"/>
                    </w:rPr>
                  </w:pPr>
                  <w:r>
                    <w:rPr>
                      <w:rFonts w:hint="eastAsia"/>
                      <w:color w:val="auto"/>
                      <w:szCs w:val="21"/>
                      <w:lang w:val="en-US" w:eastAsia="zh-CN"/>
                    </w:rPr>
                    <w:t>15</w:t>
                  </w:r>
                </w:p>
              </w:tc>
              <w:tc>
                <w:tcPr>
                  <w:tcW w:w="858" w:type="pct"/>
                  <w:noWrap w:val="0"/>
                  <w:vAlign w:val="center"/>
                </w:tcPr>
                <w:p w14:paraId="287688A1">
                  <w:pPr>
                    <w:widowControl/>
                    <w:jc w:val="center"/>
                    <w:textAlignment w:val="center"/>
                    <w:rPr>
                      <w:rFonts w:hint="default" w:eastAsia="宋体"/>
                      <w:color w:val="auto"/>
                      <w:szCs w:val="21"/>
                      <w:lang w:val="en-US" w:eastAsia="zh-CN"/>
                    </w:rPr>
                  </w:pPr>
                  <w:r>
                    <w:rPr>
                      <w:rFonts w:hint="eastAsia"/>
                      <w:color w:val="auto"/>
                      <w:szCs w:val="21"/>
                      <w:lang w:val="en-US" w:eastAsia="zh-CN"/>
                    </w:rPr>
                    <w:t>5.475</w:t>
                  </w:r>
                </w:p>
              </w:tc>
              <w:tc>
                <w:tcPr>
                  <w:tcW w:w="843" w:type="pct"/>
                  <w:vMerge w:val="continue"/>
                  <w:noWrap w:val="0"/>
                  <w:vAlign w:val="center"/>
                </w:tcPr>
                <w:p w14:paraId="43DBDF9A">
                  <w:pPr>
                    <w:adjustRightInd w:val="0"/>
                    <w:snapToGrid w:val="0"/>
                    <w:jc w:val="center"/>
                    <w:rPr>
                      <w:color w:val="auto"/>
                      <w:szCs w:val="21"/>
                    </w:rPr>
                  </w:pPr>
                </w:p>
              </w:tc>
            </w:tr>
            <w:tr w14:paraId="6207B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2431" w:type="pct"/>
                  <w:gridSpan w:val="3"/>
                  <w:noWrap w:val="0"/>
                  <w:vAlign w:val="center"/>
                </w:tcPr>
                <w:p w14:paraId="2AF16E7D">
                  <w:pPr>
                    <w:adjustRightInd w:val="0"/>
                    <w:snapToGrid w:val="0"/>
                    <w:jc w:val="center"/>
                    <w:rPr>
                      <w:color w:val="auto"/>
                      <w:szCs w:val="21"/>
                    </w:rPr>
                  </w:pPr>
                  <w:r>
                    <w:rPr>
                      <w:color w:val="auto"/>
                      <w:szCs w:val="21"/>
                    </w:rPr>
                    <w:t>合计</w:t>
                  </w:r>
                </w:p>
              </w:tc>
              <w:tc>
                <w:tcPr>
                  <w:tcW w:w="868" w:type="pct"/>
                  <w:noWrap w:val="0"/>
                  <w:vAlign w:val="center"/>
                </w:tcPr>
                <w:p w14:paraId="1157237A">
                  <w:pPr>
                    <w:adjustRightInd w:val="0"/>
                    <w:snapToGrid w:val="0"/>
                    <w:jc w:val="center"/>
                    <w:rPr>
                      <w:rFonts w:hint="default" w:eastAsia="宋体"/>
                      <w:color w:val="auto"/>
                      <w:szCs w:val="21"/>
                      <w:lang w:val="en-US" w:eastAsia="zh-CN"/>
                    </w:rPr>
                  </w:pPr>
                  <w:r>
                    <w:rPr>
                      <w:rFonts w:hint="eastAsia"/>
                      <w:color w:val="auto"/>
                      <w:szCs w:val="21"/>
                      <w:lang w:val="en-US" w:eastAsia="zh-CN"/>
                    </w:rPr>
                    <w:t>110</w:t>
                  </w:r>
                </w:p>
              </w:tc>
              <w:tc>
                <w:tcPr>
                  <w:tcW w:w="858" w:type="pct"/>
                  <w:noWrap w:val="0"/>
                  <w:vAlign w:val="center"/>
                </w:tcPr>
                <w:p w14:paraId="62E8C25F">
                  <w:pPr>
                    <w:widowControl/>
                    <w:jc w:val="center"/>
                    <w:textAlignment w:val="center"/>
                    <w:rPr>
                      <w:rFonts w:hint="default" w:eastAsia="宋体"/>
                      <w:color w:val="auto"/>
                      <w:szCs w:val="21"/>
                      <w:lang w:val="en-US" w:eastAsia="zh-CN"/>
                    </w:rPr>
                  </w:pPr>
                  <w:r>
                    <w:rPr>
                      <w:rFonts w:hint="eastAsia"/>
                      <w:color w:val="auto"/>
                      <w:szCs w:val="21"/>
                      <w:lang w:val="en-US" w:eastAsia="zh-CN"/>
                    </w:rPr>
                    <w:t>40.15</w:t>
                  </w:r>
                </w:p>
              </w:tc>
              <w:tc>
                <w:tcPr>
                  <w:tcW w:w="843" w:type="pct"/>
                  <w:vMerge w:val="continue"/>
                  <w:noWrap w:val="0"/>
                  <w:vAlign w:val="center"/>
                </w:tcPr>
                <w:p w14:paraId="04AEBD18">
                  <w:pPr>
                    <w:adjustRightInd w:val="0"/>
                    <w:snapToGrid w:val="0"/>
                    <w:jc w:val="center"/>
                    <w:rPr>
                      <w:color w:val="auto"/>
                      <w:szCs w:val="21"/>
                    </w:rPr>
                  </w:pPr>
                </w:p>
              </w:tc>
            </w:tr>
          </w:tbl>
          <w:p w14:paraId="3A072925">
            <w:pPr>
              <w:pStyle w:val="77"/>
              <w:keepNext w:val="0"/>
              <w:keepLines w:val="0"/>
              <w:pageBreakBefore w:val="0"/>
              <w:widowControl w:val="0"/>
              <w:kinsoku w:val="0"/>
              <w:wordWrap/>
              <w:overflowPunct/>
              <w:topLinePunct/>
              <w:autoSpaceDE/>
              <w:autoSpaceDN/>
              <w:bidi w:val="0"/>
              <w:spacing w:line="360" w:lineRule="auto"/>
              <w:ind w:firstLine="480"/>
              <w:textAlignment w:val="auto"/>
              <w:rPr>
                <w:rFonts w:hint="eastAsia" w:ascii="Times New Roman" w:hAnsi="Times New Roman" w:cs="Times New Roman"/>
                <w:b/>
                <w:bCs w:val="0"/>
                <w:color w:val="auto"/>
                <w:lang w:val="en-US" w:eastAsia="zh-CN"/>
              </w:rPr>
            </w:pPr>
            <w:r>
              <w:rPr>
                <w:rFonts w:hint="eastAsia" w:ascii="Times New Roman" w:hAnsi="Times New Roman" w:cs="Times New Roman"/>
                <w:b/>
                <w:bCs w:val="0"/>
                <w:color w:val="auto"/>
                <w:lang w:val="en-US" w:eastAsia="zh-CN"/>
              </w:rPr>
              <w:t>（2）一般固废</w:t>
            </w:r>
          </w:p>
          <w:p w14:paraId="7D0B8807">
            <w:pPr>
              <w:adjustRightInd w:val="0"/>
              <w:snapToGrid w:val="0"/>
              <w:spacing w:line="360" w:lineRule="auto"/>
              <w:ind w:firstLine="480" w:firstLineChars="200"/>
              <w:rPr>
                <w:rFonts w:hint="eastAsia"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无毒无害废包装材料：</w:t>
            </w:r>
            <w:r>
              <w:rPr>
                <w:rFonts w:hint="eastAsia" w:ascii="Times New Roman" w:hAnsi="Times New Roman" w:eastAsia="宋体" w:cs="Times New Roman"/>
                <w:color w:val="auto"/>
                <w:kern w:val="0"/>
                <w:sz w:val="24"/>
                <w:lang w:eastAsia="zh-CN"/>
              </w:rPr>
              <w:t>扩建</w:t>
            </w:r>
            <w:r>
              <w:rPr>
                <w:rFonts w:hint="default" w:ascii="Times New Roman" w:hAnsi="Times New Roman" w:eastAsia="宋体" w:cs="Times New Roman"/>
                <w:color w:val="auto"/>
                <w:kern w:val="0"/>
                <w:sz w:val="24"/>
                <w:lang w:eastAsia="zh-CN"/>
              </w:rPr>
              <w:t>项目运营期产生少量无毒无害废包装材料，产生量约为0.05t/a，属于一般工业固废，</w:t>
            </w:r>
            <w:r>
              <w:rPr>
                <w:rFonts w:hint="default" w:ascii="Times New Roman" w:hAnsi="Times New Roman" w:eastAsia="宋体" w:cs="Times New Roman"/>
                <w:color w:val="auto"/>
                <w:kern w:val="0"/>
                <w:sz w:val="24"/>
                <w:lang w:val="en-US" w:eastAsia="zh-CN"/>
              </w:rPr>
              <w:t>属于SW17可再生类废物，废物代码为900-00</w:t>
            </w:r>
            <w:r>
              <w:rPr>
                <w:rFonts w:hint="eastAsia" w:cs="Times New Roman"/>
                <w:color w:val="auto"/>
                <w:kern w:val="0"/>
                <w:sz w:val="24"/>
                <w:lang w:val="en-US" w:eastAsia="zh-CN"/>
              </w:rPr>
              <w:t>5</w:t>
            </w:r>
            <w:r>
              <w:rPr>
                <w:rFonts w:hint="default" w:ascii="Times New Roman" w:hAnsi="Times New Roman" w:eastAsia="宋体" w:cs="Times New Roman"/>
                <w:color w:val="auto"/>
                <w:kern w:val="0"/>
                <w:sz w:val="24"/>
                <w:lang w:val="en-US" w:eastAsia="zh-CN"/>
              </w:rPr>
              <w:t>-S17，</w:t>
            </w:r>
            <w:r>
              <w:rPr>
                <w:rFonts w:hint="default" w:ascii="Times New Roman" w:hAnsi="Times New Roman" w:eastAsia="宋体" w:cs="Times New Roman"/>
                <w:color w:val="auto"/>
                <w:kern w:val="0"/>
                <w:sz w:val="24"/>
                <w:lang w:eastAsia="zh-CN"/>
              </w:rPr>
              <w:t>定期外卖物资回收单位。</w:t>
            </w:r>
          </w:p>
          <w:p w14:paraId="0D6BBDE9">
            <w:pPr>
              <w:adjustRightInd w:val="0"/>
              <w:snapToGrid w:val="0"/>
              <w:spacing w:line="360" w:lineRule="auto"/>
              <w:ind w:firstLine="482" w:firstLineChars="200"/>
              <w:rPr>
                <w:rFonts w:hint="default" w:eastAsia="宋体"/>
                <w:b/>
                <w:bCs/>
                <w:color w:val="auto"/>
                <w:kern w:val="0"/>
                <w:sz w:val="24"/>
                <w:lang w:val="en-US" w:eastAsia="zh-CN"/>
              </w:rPr>
            </w:pPr>
            <w:r>
              <w:rPr>
                <w:rFonts w:hint="eastAsia"/>
                <w:b/>
                <w:bCs/>
                <w:color w:val="auto"/>
                <w:kern w:val="0"/>
                <w:sz w:val="24"/>
                <w:lang w:eastAsia="zh-CN"/>
              </w:rPr>
              <w:t>（</w:t>
            </w:r>
            <w:r>
              <w:rPr>
                <w:rFonts w:hint="eastAsia"/>
                <w:b/>
                <w:bCs/>
                <w:color w:val="auto"/>
                <w:kern w:val="0"/>
                <w:sz w:val="24"/>
                <w:lang w:val="en-US" w:eastAsia="zh-CN"/>
              </w:rPr>
              <w:t>3</w:t>
            </w:r>
            <w:r>
              <w:rPr>
                <w:rFonts w:hint="eastAsia"/>
                <w:b/>
                <w:bCs/>
                <w:color w:val="auto"/>
                <w:kern w:val="0"/>
                <w:sz w:val="24"/>
                <w:lang w:eastAsia="zh-CN"/>
              </w:rPr>
              <w:t>）</w:t>
            </w:r>
            <w:r>
              <w:rPr>
                <w:rFonts w:hint="eastAsia"/>
                <w:b/>
                <w:bCs/>
                <w:color w:val="auto"/>
                <w:kern w:val="0"/>
                <w:sz w:val="24"/>
                <w:lang w:val="en-US" w:eastAsia="zh-CN"/>
              </w:rPr>
              <w:t>危险废物</w:t>
            </w:r>
          </w:p>
          <w:p w14:paraId="0C0AF958">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危险废物主要分为医疗废物、污水处理站污泥、特殊废液和处理臭气的废活性炭</w:t>
            </w:r>
            <w:r>
              <w:rPr>
                <w:rFonts w:hint="eastAsia" w:ascii="Times New Roman" w:hAnsi="Times New Roman" w:cs="Times New Roman"/>
                <w:color w:val="auto"/>
                <w:sz w:val="24"/>
                <w:szCs w:val="24"/>
                <w:lang w:eastAsia="zh-CN"/>
              </w:rPr>
              <w:t>、废紫外线灯管</w:t>
            </w:r>
            <w:r>
              <w:rPr>
                <w:rFonts w:hint="default" w:ascii="Times New Roman" w:hAnsi="Times New Roman" w:cs="Times New Roman"/>
                <w:color w:val="auto"/>
                <w:sz w:val="24"/>
                <w:szCs w:val="24"/>
              </w:rPr>
              <w:t>等其他危险废物。</w:t>
            </w:r>
          </w:p>
          <w:p w14:paraId="576C5D6C">
            <w:pPr>
              <w:adjustRightInd w:val="0"/>
              <w:snapToGrid w:val="0"/>
              <w:spacing w:line="360" w:lineRule="auto"/>
              <w:ind w:firstLine="480" w:firstLineChars="200"/>
              <w:rPr>
                <w:b/>
                <w:bCs/>
                <w:color w:val="auto"/>
                <w:kern w:val="0"/>
                <w:sz w:val="24"/>
              </w:rPr>
            </w:pPr>
            <w:r>
              <w:rPr>
                <w:rFonts w:hint="eastAsia"/>
                <w:color w:val="auto"/>
                <w:kern w:val="0"/>
                <w:sz w:val="24"/>
                <w:lang w:val="en-US" w:eastAsia="zh-CN"/>
              </w:rPr>
              <w:t>A.</w:t>
            </w:r>
            <w:r>
              <w:rPr>
                <w:b/>
                <w:bCs/>
                <w:color w:val="auto"/>
                <w:kern w:val="0"/>
                <w:sz w:val="24"/>
              </w:rPr>
              <w:t>医疗废物</w:t>
            </w:r>
          </w:p>
          <w:p w14:paraId="13DB36F2">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医疗废物主要来自病人的生活废弃物、医疗诊断、治疗过程中产生的各类固体废弃物，含有大量的病原微生物、寄生虫，还含有其它有害物质。按国家危险废物名录分为医疗废物。根据《医疗废物分类目录》（卫生部、国家环保总局文件卫医发﹝2003﹞287号），医疗废物分为感染性废物、病理性废物、损伤性废物、药物性废物和化学性废物五大类：</w:t>
            </w:r>
          </w:p>
          <w:p w14:paraId="01CB37D0">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感染性废物：主要指携带病原微生物具有引发感染性疾病传播危险的医疗废物。包括被病人血液、体液、排泄物污染的物品（棉球、棉签、引流棉条、纱布及其他各种敷料、一次性使用卫生用品、一次性使用医疗用品及一次性医疗器械、废弃的被服、其他被病人血液、体液、排泄物污染的物品）、医疗机构收治的隔离传染病病人或者疑似传染病病人产生的生活垃圾、病原体的培养基、标本和菌种、毒种保存液、各种废弃的医学标本、废弃的血液、血清、使用后的一次性使用医疗用品及一次性医疗器械视为感染性废物。</w:t>
            </w:r>
          </w:p>
          <w:p w14:paraId="3B06D4DF">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②病理性废物：主要指诊疗过程中产生的人体废弃物和医学实验动物尸体等。包括手术及其他诊疗过程中产生的废弃的人体组织、器官等和病理切片后废弃的人体组织、病理组织等。</w:t>
            </w:r>
          </w:p>
          <w:p w14:paraId="142B06E3">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③损伤性废物：主要指能够刺伤或者割伤人体的废弃的医用锐器。包括医用针头、缝合针、各类医用锐器（解剖刀、手术刀、备皮刀、手术锯等）和载玻片、玻璃试管、玻璃安瓿等。</w:t>
            </w:r>
          </w:p>
          <w:p w14:paraId="22648E72">
            <w:pPr>
              <w:keepNext w:val="0"/>
              <w:keepLines w:val="0"/>
              <w:pageBreakBefore w:val="0"/>
              <w:widowControl w:val="0"/>
              <w:kinsoku w:val="0"/>
              <w:wordWrap/>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药物性废物：主要指过期、淘汰、变质或者被污染的废弃的药品。包括废弃的一般性药品（如：抗生素、非处方类药品等）、废弃的细胞毒性药物和遗传毒性药物（如：致癌性药物，如硫唑嘌呤、苯丁酸氮芥、萘氮芥、环孢霉素、环磷酰胺、苯丙胺酸氮芥、三苯氧氨、硫替派等；可疑致癌性药物，如：顺铂、丝裂霉素、阿霉素、苯巴比妥等；免疫抑制剂）和废弃的疫苗、血液制品等。</w:t>
            </w:r>
          </w:p>
          <w:p w14:paraId="7B478DF7">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⑤化学性废物：主要指具有毒性、腐蚀性、易燃易爆性的废弃的化学物品。实验室废弃的化学试剂、废弃的过氧乙酸、戊二醛等化学消毒剂和废弃的汞血压计、汞温度计。</w:t>
            </w:r>
          </w:p>
          <w:p w14:paraId="44383142">
            <w:pPr>
              <w:spacing w:line="360" w:lineRule="auto"/>
              <w:ind w:firstLine="480" w:firstLineChars="200"/>
              <w:rPr>
                <w:color w:val="auto"/>
                <w:sz w:val="24"/>
              </w:rPr>
            </w:pPr>
            <w:r>
              <w:rPr>
                <w:color w:val="auto"/>
                <w:sz w:val="24"/>
              </w:rPr>
              <w:t>对扩建项目而言，医疗废物产生量采用类比调查的方法进行确定。住院病人按每病床每日产生医疗废物0.5kg计，住院医疗废物</w:t>
            </w:r>
            <w:r>
              <w:rPr>
                <w:rFonts w:hint="eastAsia"/>
                <w:color w:val="auto"/>
                <w:sz w:val="24"/>
                <w:lang w:val="en-US" w:eastAsia="zh-CN"/>
              </w:rPr>
              <w:t>30</w:t>
            </w:r>
            <w:r>
              <w:rPr>
                <w:color w:val="auto"/>
                <w:sz w:val="24"/>
              </w:rPr>
              <w:t>kg/d；门诊医疗废物按每日每人次产生0.1kg计，门诊人次</w:t>
            </w:r>
            <w:r>
              <w:rPr>
                <w:rFonts w:hint="eastAsia"/>
                <w:color w:val="auto"/>
                <w:sz w:val="24"/>
              </w:rPr>
              <w:t>100</w:t>
            </w:r>
            <w:r>
              <w:rPr>
                <w:color w:val="auto"/>
                <w:sz w:val="24"/>
              </w:rPr>
              <w:t>人次/天，门诊医疗废物</w:t>
            </w:r>
            <w:r>
              <w:rPr>
                <w:rFonts w:hint="eastAsia"/>
                <w:color w:val="auto"/>
                <w:sz w:val="24"/>
              </w:rPr>
              <w:t>10</w:t>
            </w:r>
            <w:r>
              <w:rPr>
                <w:color w:val="auto"/>
                <w:sz w:val="24"/>
              </w:rPr>
              <w:t>kg/d；共产生一般医疗废物</w:t>
            </w:r>
            <w:r>
              <w:rPr>
                <w:rFonts w:hint="eastAsia"/>
                <w:color w:val="auto"/>
                <w:sz w:val="24"/>
                <w:lang w:val="en-US" w:eastAsia="zh-CN"/>
              </w:rPr>
              <w:t>40</w:t>
            </w:r>
            <w:r>
              <w:rPr>
                <w:color w:val="auto"/>
                <w:sz w:val="24"/>
              </w:rPr>
              <w:t>kg/d，约</w:t>
            </w:r>
            <w:r>
              <w:rPr>
                <w:rFonts w:hint="eastAsia"/>
                <w:color w:val="auto"/>
                <w:sz w:val="24"/>
                <w:lang w:val="en-US" w:eastAsia="zh-CN"/>
              </w:rPr>
              <w:t>14.6</w:t>
            </w:r>
            <w:r>
              <w:rPr>
                <w:color w:val="auto"/>
                <w:sz w:val="24"/>
              </w:rPr>
              <w:t>t/a。</w:t>
            </w:r>
          </w:p>
          <w:p w14:paraId="72A4A3A8">
            <w:pPr>
              <w:spacing w:line="360" w:lineRule="auto"/>
              <w:ind w:firstLine="480" w:firstLineChars="200"/>
              <w:rPr>
                <w:color w:val="auto"/>
                <w:sz w:val="24"/>
              </w:rPr>
            </w:pPr>
            <w:r>
              <w:rPr>
                <w:color w:val="auto"/>
                <w:sz w:val="24"/>
              </w:rPr>
              <w:t>医疗废物产生情况见表4</w:t>
            </w:r>
            <w:r>
              <w:rPr>
                <w:rFonts w:hint="eastAsia"/>
                <w:color w:val="auto"/>
                <w:sz w:val="24"/>
                <w:lang w:val="en-US" w:eastAsia="zh-CN"/>
              </w:rPr>
              <w:t>.2</w:t>
            </w:r>
            <w:r>
              <w:rPr>
                <w:color w:val="auto"/>
                <w:sz w:val="24"/>
              </w:rPr>
              <w:t>-1</w:t>
            </w:r>
            <w:r>
              <w:rPr>
                <w:rFonts w:hint="eastAsia"/>
                <w:color w:val="auto"/>
                <w:sz w:val="24"/>
                <w:lang w:val="en-US" w:eastAsia="zh-CN"/>
              </w:rPr>
              <w:t>8</w:t>
            </w:r>
            <w:r>
              <w:rPr>
                <w:color w:val="auto"/>
                <w:sz w:val="24"/>
              </w:rPr>
              <w:t>。医疗废物按联单管理制度管理，由有资质的单位用专用车辆运输、处置。</w:t>
            </w:r>
          </w:p>
          <w:p w14:paraId="5BF964C6">
            <w:pPr>
              <w:jc w:val="center"/>
              <w:rPr>
                <w:b/>
                <w:color w:val="auto"/>
                <w:sz w:val="24"/>
              </w:rPr>
            </w:pPr>
            <w:r>
              <w:rPr>
                <w:b/>
                <w:color w:val="auto"/>
                <w:sz w:val="24"/>
              </w:rPr>
              <w:t>表4</w:t>
            </w:r>
            <w:r>
              <w:rPr>
                <w:rFonts w:hint="eastAsia"/>
                <w:b/>
                <w:color w:val="auto"/>
                <w:sz w:val="24"/>
                <w:lang w:val="en-US" w:eastAsia="zh-CN"/>
              </w:rPr>
              <w:t>.2</w:t>
            </w:r>
            <w:r>
              <w:rPr>
                <w:b/>
                <w:color w:val="auto"/>
                <w:sz w:val="24"/>
              </w:rPr>
              <w:t>-1</w:t>
            </w:r>
            <w:r>
              <w:rPr>
                <w:rFonts w:hint="eastAsia"/>
                <w:b/>
                <w:color w:val="auto"/>
                <w:sz w:val="24"/>
                <w:lang w:val="en-US" w:eastAsia="zh-CN"/>
              </w:rPr>
              <w:t>8</w:t>
            </w:r>
            <w:r>
              <w:rPr>
                <w:b/>
                <w:color w:val="auto"/>
                <w:sz w:val="24"/>
              </w:rPr>
              <w:t>项目医疗废物产生情况</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4"/>
              <w:gridCol w:w="1361"/>
              <w:gridCol w:w="1565"/>
              <w:gridCol w:w="1350"/>
              <w:gridCol w:w="2166"/>
              <w:gridCol w:w="1515"/>
            </w:tblGrid>
            <w:tr w14:paraId="09AE3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261" w:type="pct"/>
                  <w:gridSpan w:val="2"/>
                  <w:noWrap w:val="0"/>
                  <w:vAlign w:val="center"/>
                </w:tcPr>
                <w:p w14:paraId="2360630E">
                  <w:pPr>
                    <w:jc w:val="center"/>
                    <w:rPr>
                      <w:b/>
                      <w:color w:val="auto"/>
                      <w:szCs w:val="21"/>
                    </w:rPr>
                  </w:pPr>
                  <w:r>
                    <w:rPr>
                      <w:b/>
                      <w:color w:val="auto"/>
                      <w:szCs w:val="21"/>
                    </w:rPr>
                    <w:t>废物名称</w:t>
                  </w:r>
                </w:p>
              </w:tc>
              <w:tc>
                <w:tcPr>
                  <w:tcW w:w="887" w:type="pct"/>
                  <w:noWrap w:val="0"/>
                  <w:vAlign w:val="center"/>
                </w:tcPr>
                <w:p w14:paraId="299105AB">
                  <w:pPr>
                    <w:jc w:val="center"/>
                    <w:rPr>
                      <w:b/>
                      <w:color w:val="auto"/>
                      <w:szCs w:val="21"/>
                    </w:rPr>
                  </w:pPr>
                  <w:r>
                    <w:rPr>
                      <w:b/>
                      <w:color w:val="auto"/>
                      <w:szCs w:val="21"/>
                    </w:rPr>
                    <w:t>废物代码</w:t>
                  </w:r>
                </w:p>
              </w:tc>
              <w:tc>
                <w:tcPr>
                  <w:tcW w:w="764" w:type="pct"/>
                  <w:noWrap w:val="0"/>
                  <w:vAlign w:val="center"/>
                </w:tcPr>
                <w:p w14:paraId="7CEA35C5">
                  <w:pPr>
                    <w:jc w:val="center"/>
                    <w:rPr>
                      <w:b/>
                      <w:color w:val="auto"/>
                      <w:szCs w:val="21"/>
                    </w:rPr>
                  </w:pPr>
                  <w:r>
                    <w:rPr>
                      <w:b/>
                      <w:color w:val="auto"/>
                      <w:szCs w:val="21"/>
                    </w:rPr>
                    <w:t>危险特性</w:t>
                  </w:r>
                </w:p>
              </w:tc>
              <w:tc>
                <w:tcPr>
                  <w:tcW w:w="1227" w:type="pct"/>
                  <w:noWrap w:val="0"/>
                  <w:vAlign w:val="center"/>
                </w:tcPr>
                <w:p w14:paraId="77C2F79D">
                  <w:pPr>
                    <w:jc w:val="center"/>
                    <w:rPr>
                      <w:b/>
                      <w:color w:val="auto"/>
                      <w:szCs w:val="21"/>
                    </w:rPr>
                  </w:pPr>
                  <w:r>
                    <w:rPr>
                      <w:b/>
                      <w:color w:val="auto"/>
                      <w:szCs w:val="21"/>
                    </w:rPr>
                    <w:t>产生量</w:t>
                  </w:r>
                  <w:r>
                    <w:rPr>
                      <w:rFonts w:hint="eastAsia"/>
                      <w:b/>
                      <w:color w:val="auto"/>
                      <w:szCs w:val="21"/>
                      <w:lang w:eastAsia="zh-CN"/>
                    </w:rPr>
                    <w:t>（</w:t>
                  </w:r>
                  <w:r>
                    <w:rPr>
                      <w:b/>
                      <w:color w:val="auto"/>
                      <w:szCs w:val="21"/>
                    </w:rPr>
                    <w:t>t/a)</w:t>
                  </w:r>
                </w:p>
              </w:tc>
              <w:tc>
                <w:tcPr>
                  <w:tcW w:w="858" w:type="pct"/>
                  <w:noWrap w:val="0"/>
                  <w:vAlign w:val="center"/>
                </w:tcPr>
                <w:p w14:paraId="1BD1AE02">
                  <w:pPr>
                    <w:jc w:val="center"/>
                    <w:rPr>
                      <w:b/>
                      <w:color w:val="auto"/>
                      <w:szCs w:val="21"/>
                    </w:rPr>
                  </w:pPr>
                  <w:r>
                    <w:rPr>
                      <w:b/>
                      <w:color w:val="auto"/>
                      <w:szCs w:val="21"/>
                    </w:rPr>
                    <w:t>所占比例（%）</w:t>
                  </w:r>
                </w:p>
              </w:tc>
            </w:tr>
            <w:tr w14:paraId="7EE93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pct"/>
                  <w:vMerge w:val="restart"/>
                  <w:noWrap w:val="0"/>
                  <w:vAlign w:val="center"/>
                </w:tcPr>
                <w:p w14:paraId="5FC4920E">
                  <w:pPr>
                    <w:jc w:val="center"/>
                    <w:rPr>
                      <w:color w:val="auto"/>
                      <w:szCs w:val="21"/>
                    </w:rPr>
                  </w:pPr>
                  <w:r>
                    <w:rPr>
                      <w:color w:val="auto"/>
                      <w:szCs w:val="21"/>
                    </w:rPr>
                    <w:t>医疗</w:t>
                  </w:r>
                </w:p>
                <w:p w14:paraId="796BDBC1">
                  <w:pPr>
                    <w:jc w:val="center"/>
                    <w:rPr>
                      <w:color w:val="auto"/>
                      <w:szCs w:val="21"/>
                    </w:rPr>
                  </w:pPr>
                  <w:r>
                    <w:rPr>
                      <w:color w:val="auto"/>
                      <w:szCs w:val="21"/>
                    </w:rPr>
                    <w:t>废物</w:t>
                  </w:r>
                </w:p>
              </w:tc>
              <w:tc>
                <w:tcPr>
                  <w:tcW w:w="772" w:type="pct"/>
                  <w:noWrap w:val="0"/>
                  <w:vAlign w:val="center"/>
                </w:tcPr>
                <w:p w14:paraId="4B1E107E">
                  <w:pPr>
                    <w:jc w:val="center"/>
                    <w:rPr>
                      <w:color w:val="auto"/>
                      <w:szCs w:val="21"/>
                    </w:rPr>
                  </w:pPr>
                  <w:r>
                    <w:rPr>
                      <w:color w:val="auto"/>
                      <w:szCs w:val="21"/>
                    </w:rPr>
                    <w:t>感染性废物</w:t>
                  </w:r>
                </w:p>
              </w:tc>
              <w:tc>
                <w:tcPr>
                  <w:tcW w:w="887" w:type="pct"/>
                  <w:noWrap w:val="0"/>
                  <w:vAlign w:val="center"/>
                </w:tcPr>
                <w:p w14:paraId="07D216AC">
                  <w:pPr>
                    <w:jc w:val="center"/>
                    <w:rPr>
                      <w:color w:val="auto"/>
                      <w:szCs w:val="21"/>
                    </w:rPr>
                  </w:pPr>
                  <w:r>
                    <w:rPr>
                      <w:color w:val="auto"/>
                      <w:szCs w:val="21"/>
                    </w:rPr>
                    <w:t>841-001-01</w:t>
                  </w:r>
                </w:p>
              </w:tc>
              <w:tc>
                <w:tcPr>
                  <w:tcW w:w="764" w:type="pct"/>
                  <w:noWrap w:val="0"/>
                  <w:vAlign w:val="center"/>
                </w:tcPr>
                <w:p w14:paraId="3F3A93AE">
                  <w:pPr>
                    <w:jc w:val="center"/>
                    <w:rPr>
                      <w:color w:val="auto"/>
                      <w:szCs w:val="21"/>
                    </w:rPr>
                  </w:pPr>
                  <w:r>
                    <w:rPr>
                      <w:color w:val="auto"/>
                      <w:szCs w:val="21"/>
                    </w:rPr>
                    <w:t>In</w:t>
                  </w:r>
                </w:p>
              </w:tc>
              <w:tc>
                <w:tcPr>
                  <w:tcW w:w="1227" w:type="pct"/>
                  <w:noWrap w:val="0"/>
                  <w:vAlign w:val="center"/>
                </w:tcPr>
                <w:p w14:paraId="47510B3D">
                  <w:pPr>
                    <w:jc w:val="center"/>
                    <w:rPr>
                      <w:rFonts w:hint="default" w:eastAsia="宋体"/>
                      <w:color w:val="auto"/>
                      <w:szCs w:val="21"/>
                      <w:lang w:val="en-US" w:eastAsia="zh-CN"/>
                    </w:rPr>
                  </w:pPr>
                  <w:r>
                    <w:rPr>
                      <w:rFonts w:hint="eastAsia"/>
                      <w:color w:val="auto"/>
                      <w:szCs w:val="21"/>
                      <w:lang w:val="en-US" w:eastAsia="zh-CN"/>
                    </w:rPr>
                    <w:t>11.68</w:t>
                  </w:r>
                </w:p>
              </w:tc>
              <w:tc>
                <w:tcPr>
                  <w:tcW w:w="858" w:type="pct"/>
                  <w:noWrap w:val="0"/>
                  <w:vAlign w:val="center"/>
                </w:tcPr>
                <w:p w14:paraId="3B8B76EA">
                  <w:pPr>
                    <w:jc w:val="center"/>
                    <w:rPr>
                      <w:color w:val="auto"/>
                      <w:szCs w:val="21"/>
                    </w:rPr>
                  </w:pPr>
                  <w:r>
                    <w:rPr>
                      <w:color w:val="auto"/>
                      <w:szCs w:val="21"/>
                    </w:rPr>
                    <w:t>80</w:t>
                  </w:r>
                </w:p>
              </w:tc>
            </w:tr>
            <w:tr w14:paraId="2E5B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pct"/>
                  <w:vMerge w:val="continue"/>
                  <w:noWrap w:val="0"/>
                  <w:vAlign w:val="center"/>
                </w:tcPr>
                <w:p w14:paraId="06C4A0E9">
                  <w:pPr>
                    <w:jc w:val="center"/>
                    <w:rPr>
                      <w:color w:val="auto"/>
                      <w:szCs w:val="21"/>
                    </w:rPr>
                  </w:pPr>
                </w:p>
              </w:tc>
              <w:tc>
                <w:tcPr>
                  <w:tcW w:w="772" w:type="pct"/>
                  <w:noWrap w:val="0"/>
                  <w:vAlign w:val="center"/>
                </w:tcPr>
                <w:p w14:paraId="7B773E47">
                  <w:pPr>
                    <w:jc w:val="center"/>
                    <w:rPr>
                      <w:color w:val="auto"/>
                      <w:szCs w:val="21"/>
                    </w:rPr>
                  </w:pPr>
                  <w:r>
                    <w:rPr>
                      <w:color w:val="auto"/>
                      <w:szCs w:val="21"/>
                    </w:rPr>
                    <w:t>损伤性废物</w:t>
                  </w:r>
                </w:p>
              </w:tc>
              <w:tc>
                <w:tcPr>
                  <w:tcW w:w="887" w:type="pct"/>
                  <w:noWrap w:val="0"/>
                  <w:vAlign w:val="center"/>
                </w:tcPr>
                <w:p w14:paraId="1528D61E">
                  <w:pPr>
                    <w:jc w:val="center"/>
                    <w:rPr>
                      <w:color w:val="auto"/>
                      <w:szCs w:val="21"/>
                    </w:rPr>
                  </w:pPr>
                  <w:r>
                    <w:rPr>
                      <w:color w:val="auto"/>
                      <w:szCs w:val="21"/>
                    </w:rPr>
                    <w:t>841-002-01</w:t>
                  </w:r>
                </w:p>
              </w:tc>
              <w:tc>
                <w:tcPr>
                  <w:tcW w:w="764" w:type="pct"/>
                  <w:noWrap w:val="0"/>
                  <w:vAlign w:val="center"/>
                </w:tcPr>
                <w:p w14:paraId="0649EB43">
                  <w:pPr>
                    <w:jc w:val="center"/>
                    <w:rPr>
                      <w:color w:val="auto"/>
                      <w:szCs w:val="21"/>
                    </w:rPr>
                  </w:pPr>
                  <w:r>
                    <w:rPr>
                      <w:color w:val="auto"/>
                      <w:szCs w:val="21"/>
                    </w:rPr>
                    <w:t>In</w:t>
                  </w:r>
                </w:p>
              </w:tc>
              <w:tc>
                <w:tcPr>
                  <w:tcW w:w="1227" w:type="pct"/>
                  <w:noWrap w:val="0"/>
                  <w:vAlign w:val="center"/>
                </w:tcPr>
                <w:p w14:paraId="0ED55D2E">
                  <w:pPr>
                    <w:jc w:val="center"/>
                    <w:rPr>
                      <w:rFonts w:hint="default" w:eastAsia="宋体"/>
                      <w:color w:val="auto"/>
                      <w:szCs w:val="21"/>
                      <w:lang w:val="en-US" w:eastAsia="zh-CN"/>
                    </w:rPr>
                  </w:pPr>
                  <w:r>
                    <w:rPr>
                      <w:rFonts w:hint="eastAsia"/>
                      <w:color w:val="auto"/>
                      <w:szCs w:val="21"/>
                    </w:rPr>
                    <w:t>0.</w:t>
                  </w:r>
                  <w:r>
                    <w:rPr>
                      <w:rFonts w:hint="eastAsia"/>
                      <w:color w:val="auto"/>
                      <w:szCs w:val="21"/>
                      <w:lang w:val="en-US" w:eastAsia="zh-CN"/>
                    </w:rPr>
                    <w:t>438</w:t>
                  </w:r>
                </w:p>
              </w:tc>
              <w:tc>
                <w:tcPr>
                  <w:tcW w:w="858" w:type="pct"/>
                  <w:noWrap w:val="0"/>
                  <w:vAlign w:val="center"/>
                </w:tcPr>
                <w:p w14:paraId="59043E7F">
                  <w:pPr>
                    <w:jc w:val="center"/>
                    <w:rPr>
                      <w:color w:val="auto"/>
                      <w:szCs w:val="21"/>
                    </w:rPr>
                  </w:pPr>
                  <w:r>
                    <w:rPr>
                      <w:color w:val="auto"/>
                      <w:szCs w:val="21"/>
                    </w:rPr>
                    <w:t>3</w:t>
                  </w:r>
                </w:p>
              </w:tc>
            </w:tr>
            <w:tr w14:paraId="34D36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pct"/>
                  <w:vMerge w:val="continue"/>
                  <w:noWrap w:val="0"/>
                  <w:vAlign w:val="center"/>
                </w:tcPr>
                <w:p w14:paraId="4ABBE1B3">
                  <w:pPr>
                    <w:jc w:val="center"/>
                    <w:rPr>
                      <w:color w:val="auto"/>
                      <w:szCs w:val="21"/>
                    </w:rPr>
                  </w:pPr>
                </w:p>
              </w:tc>
              <w:tc>
                <w:tcPr>
                  <w:tcW w:w="772" w:type="pct"/>
                  <w:noWrap w:val="0"/>
                  <w:vAlign w:val="center"/>
                </w:tcPr>
                <w:p w14:paraId="2D938F59">
                  <w:pPr>
                    <w:jc w:val="center"/>
                    <w:rPr>
                      <w:color w:val="auto"/>
                      <w:szCs w:val="21"/>
                    </w:rPr>
                  </w:pPr>
                  <w:r>
                    <w:rPr>
                      <w:color w:val="auto"/>
                      <w:szCs w:val="21"/>
                    </w:rPr>
                    <w:t>病理性废物</w:t>
                  </w:r>
                </w:p>
              </w:tc>
              <w:tc>
                <w:tcPr>
                  <w:tcW w:w="887" w:type="pct"/>
                  <w:noWrap w:val="0"/>
                  <w:vAlign w:val="center"/>
                </w:tcPr>
                <w:p w14:paraId="17BECDBD">
                  <w:pPr>
                    <w:jc w:val="center"/>
                    <w:rPr>
                      <w:color w:val="auto"/>
                      <w:szCs w:val="21"/>
                    </w:rPr>
                  </w:pPr>
                  <w:r>
                    <w:rPr>
                      <w:color w:val="auto"/>
                      <w:szCs w:val="21"/>
                    </w:rPr>
                    <w:t>841-003-01</w:t>
                  </w:r>
                </w:p>
              </w:tc>
              <w:tc>
                <w:tcPr>
                  <w:tcW w:w="764" w:type="pct"/>
                  <w:noWrap w:val="0"/>
                  <w:vAlign w:val="center"/>
                </w:tcPr>
                <w:p w14:paraId="2AEF3DE0">
                  <w:pPr>
                    <w:jc w:val="center"/>
                    <w:rPr>
                      <w:color w:val="auto"/>
                      <w:szCs w:val="21"/>
                    </w:rPr>
                  </w:pPr>
                  <w:r>
                    <w:rPr>
                      <w:color w:val="auto"/>
                      <w:szCs w:val="21"/>
                    </w:rPr>
                    <w:t>In</w:t>
                  </w:r>
                </w:p>
              </w:tc>
              <w:tc>
                <w:tcPr>
                  <w:tcW w:w="1227" w:type="pct"/>
                  <w:noWrap w:val="0"/>
                  <w:vAlign w:val="center"/>
                </w:tcPr>
                <w:p w14:paraId="6B98D2D6">
                  <w:pPr>
                    <w:jc w:val="center"/>
                    <w:rPr>
                      <w:rFonts w:hint="default" w:eastAsia="宋体"/>
                      <w:color w:val="auto"/>
                      <w:szCs w:val="21"/>
                      <w:lang w:val="en-US" w:eastAsia="zh-CN"/>
                    </w:rPr>
                  </w:pPr>
                  <w:r>
                    <w:rPr>
                      <w:rFonts w:hint="eastAsia"/>
                      <w:color w:val="auto"/>
                      <w:szCs w:val="21"/>
                      <w:lang w:val="en-US" w:eastAsia="zh-CN"/>
                    </w:rPr>
                    <w:t>0.73</w:t>
                  </w:r>
                </w:p>
              </w:tc>
              <w:tc>
                <w:tcPr>
                  <w:tcW w:w="858" w:type="pct"/>
                  <w:noWrap w:val="0"/>
                  <w:vAlign w:val="center"/>
                </w:tcPr>
                <w:p w14:paraId="3E774158">
                  <w:pPr>
                    <w:jc w:val="center"/>
                    <w:rPr>
                      <w:color w:val="auto"/>
                      <w:szCs w:val="21"/>
                    </w:rPr>
                  </w:pPr>
                  <w:r>
                    <w:rPr>
                      <w:color w:val="auto"/>
                      <w:szCs w:val="21"/>
                    </w:rPr>
                    <w:t>5</w:t>
                  </w:r>
                </w:p>
              </w:tc>
            </w:tr>
            <w:tr w14:paraId="3F258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pct"/>
                  <w:vMerge w:val="continue"/>
                  <w:noWrap w:val="0"/>
                  <w:vAlign w:val="center"/>
                </w:tcPr>
                <w:p w14:paraId="3B7904BB">
                  <w:pPr>
                    <w:jc w:val="center"/>
                    <w:rPr>
                      <w:color w:val="auto"/>
                      <w:szCs w:val="21"/>
                    </w:rPr>
                  </w:pPr>
                </w:p>
              </w:tc>
              <w:tc>
                <w:tcPr>
                  <w:tcW w:w="772" w:type="pct"/>
                  <w:noWrap w:val="0"/>
                  <w:vAlign w:val="center"/>
                </w:tcPr>
                <w:p w14:paraId="68F9E72E">
                  <w:pPr>
                    <w:jc w:val="center"/>
                    <w:rPr>
                      <w:color w:val="auto"/>
                      <w:szCs w:val="21"/>
                    </w:rPr>
                  </w:pPr>
                  <w:r>
                    <w:rPr>
                      <w:color w:val="auto"/>
                      <w:szCs w:val="21"/>
                    </w:rPr>
                    <w:t>化学性废物</w:t>
                  </w:r>
                </w:p>
              </w:tc>
              <w:tc>
                <w:tcPr>
                  <w:tcW w:w="887" w:type="pct"/>
                  <w:noWrap w:val="0"/>
                  <w:vAlign w:val="center"/>
                </w:tcPr>
                <w:p w14:paraId="3906F53E">
                  <w:pPr>
                    <w:jc w:val="center"/>
                    <w:rPr>
                      <w:color w:val="auto"/>
                      <w:szCs w:val="21"/>
                    </w:rPr>
                  </w:pPr>
                  <w:r>
                    <w:rPr>
                      <w:color w:val="auto"/>
                      <w:szCs w:val="21"/>
                    </w:rPr>
                    <w:t>841-004-01</w:t>
                  </w:r>
                </w:p>
              </w:tc>
              <w:tc>
                <w:tcPr>
                  <w:tcW w:w="764" w:type="pct"/>
                  <w:noWrap w:val="0"/>
                  <w:vAlign w:val="center"/>
                </w:tcPr>
                <w:p w14:paraId="3873F430">
                  <w:pPr>
                    <w:jc w:val="center"/>
                    <w:rPr>
                      <w:color w:val="auto"/>
                      <w:szCs w:val="21"/>
                    </w:rPr>
                  </w:pPr>
                  <w:r>
                    <w:rPr>
                      <w:color w:val="auto"/>
                      <w:szCs w:val="21"/>
                    </w:rPr>
                    <w:t>T</w:t>
                  </w:r>
                </w:p>
              </w:tc>
              <w:tc>
                <w:tcPr>
                  <w:tcW w:w="1227" w:type="pct"/>
                  <w:noWrap w:val="0"/>
                  <w:vAlign w:val="center"/>
                </w:tcPr>
                <w:p w14:paraId="73664222">
                  <w:pPr>
                    <w:jc w:val="center"/>
                    <w:rPr>
                      <w:rFonts w:hint="default" w:eastAsia="宋体"/>
                      <w:color w:val="auto"/>
                      <w:szCs w:val="21"/>
                      <w:lang w:val="en-US" w:eastAsia="zh-CN"/>
                    </w:rPr>
                  </w:pPr>
                  <w:r>
                    <w:rPr>
                      <w:rFonts w:hint="eastAsia"/>
                      <w:color w:val="auto"/>
                      <w:szCs w:val="21"/>
                      <w:lang w:val="en-US" w:eastAsia="zh-CN"/>
                    </w:rPr>
                    <w:t>0.292</w:t>
                  </w:r>
                </w:p>
              </w:tc>
              <w:tc>
                <w:tcPr>
                  <w:tcW w:w="858" w:type="pct"/>
                  <w:noWrap w:val="0"/>
                  <w:vAlign w:val="center"/>
                </w:tcPr>
                <w:p w14:paraId="3EF3D01A">
                  <w:pPr>
                    <w:jc w:val="center"/>
                    <w:rPr>
                      <w:color w:val="auto"/>
                      <w:szCs w:val="21"/>
                    </w:rPr>
                  </w:pPr>
                  <w:r>
                    <w:rPr>
                      <w:color w:val="auto"/>
                      <w:szCs w:val="21"/>
                    </w:rPr>
                    <w:t>2</w:t>
                  </w:r>
                </w:p>
              </w:tc>
            </w:tr>
            <w:tr w14:paraId="3D3D9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9" w:type="pct"/>
                  <w:vMerge w:val="continue"/>
                  <w:noWrap w:val="0"/>
                  <w:vAlign w:val="center"/>
                </w:tcPr>
                <w:p w14:paraId="632DC17B">
                  <w:pPr>
                    <w:jc w:val="center"/>
                    <w:rPr>
                      <w:color w:val="auto"/>
                      <w:szCs w:val="21"/>
                    </w:rPr>
                  </w:pPr>
                </w:p>
              </w:tc>
              <w:tc>
                <w:tcPr>
                  <w:tcW w:w="772" w:type="pct"/>
                  <w:noWrap w:val="0"/>
                  <w:vAlign w:val="center"/>
                </w:tcPr>
                <w:p w14:paraId="45E87B8E">
                  <w:pPr>
                    <w:jc w:val="center"/>
                    <w:rPr>
                      <w:color w:val="auto"/>
                      <w:szCs w:val="21"/>
                    </w:rPr>
                  </w:pPr>
                  <w:r>
                    <w:rPr>
                      <w:color w:val="auto"/>
                      <w:szCs w:val="21"/>
                    </w:rPr>
                    <w:t>药物性废物</w:t>
                  </w:r>
                </w:p>
              </w:tc>
              <w:tc>
                <w:tcPr>
                  <w:tcW w:w="887" w:type="pct"/>
                  <w:noWrap w:val="0"/>
                  <w:vAlign w:val="center"/>
                </w:tcPr>
                <w:p w14:paraId="4D4BE4D3">
                  <w:pPr>
                    <w:jc w:val="center"/>
                    <w:rPr>
                      <w:color w:val="auto"/>
                      <w:szCs w:val="21"/>
                    </w:rPr>
                  </w:pPr>
                  <w:r>
                    <w:rPr>
                      <w:color w:val="auto"/>
                      <w:szCs w:val="21"/>
                    </w:rPr>
                    <w:t>841-005-01</w:t>
                  </w:r>
                </w:p>
              </w:tc>
              <w:tc>
                <w:tcPr>
                  <w:tcW w:w="764" w:type="pct"/>
                  <w:noWrap w:val="0"/>
                  <w:vAlign w:val="center"/>
                </w:tcPr>
                <w:p w14:paraId="28BCA42A">
                  <w:pPr>
                    <w:jc w:val="center"/>
                    <w:rPr>
                      <w:color w:val="auto"/>
                      <w:szCs w:val="21"/>
                    </w:rPr>
                  </w:pPr>
                  <w:r>
                    <w:rPr>
                      <w:color w:val="auto"/>
                      <w:szCs w:val="21"/>
                    </w:rPr>
                    <w:t>T</w:t>
                  </w:r>
                </w:p>
              </w:tc>
              <w:tc>
                <w:tcPr>
                  <w:tcW w:w="1227" w:type="pct"/>
                  <w:noWrap w:val="0"/>
                  <w:vAlign w:val="center"/>
                </w:tcPr>
                <w:p w14:paraId="79BB3D72">
                  <w:pPr>
                    <w:jc w:val="center"/>
                    <w:rPr>
                      <w:rFonts w:hint="default" w:eastAsia="宋体"/>
                      <w:color w:val="auto"/>
                      <w:szCs w:val="21"/>
                      <w:lang w:val="en-US" w:eastAsia="zh-CN"/>
                    </w:rPr>
                  </w:pPr>
                  <w:r>
                    <w:rPr>
                      <w:rFonts w:hint="eastAsia"/>
                      <w:color w:val="auto"/>
                      <w:szCs w:val="21"/>
                      <w:lang w:val="en-US" w:eastAsia="zh-CN"/>
                    </w:rPr>
                    <w:t>1.46</w:t>
                  </w:r>
                </w:p>
              </w:tc>
              <w:tc>
                <w:tcPr>
                  <w:tcW w:w="858" w:type="pct"/>
                  <w:noWrap w:val="0"/>
                  <w:vAlign w:val="center"/>
                </w:tcPr>
                <w:p w14:paraId="5C0D8F3B">
                  <w:pPr>
                    <w:jc w:val="center"/>
                    <w:rPr>
                      <w:color w:val="auto"/>
                      <w:szCs w:val="21"/>
                    </w:rPr>
                  </w:pPr>
                  <w:r>
                    <w:rPr>
                      <w:color w:val="auto"/>
                      <w:szCs w:val="21"/>
                    </w:rPr>
                    <w:t>10</w:t>
                  </w:r>
                </w:p>
              </w:tc>
            </w:tr>
            <w:tr w14:paraId="789E9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pct"/>
                  <w:gridSpan w:val="2"/>
                  <w:noWrap w:val="0"/>
                  <w:vAlign w:val="center"/>
                </w:tcPr>
                <w:p w14:paraId="7CB201EC">
                  <w:pPr>
                    <w:jc w:val="center"/>
                    <w:rPr>
                      <w:color w:val="auto"/>
                      <w:szCs w:val="21"/>
                    </w:rPr>
                  </w:pPr>
                  <w:r>
                    <w:rPr>
                      <w:color w:val="auto"/>
                      <w:szCs w:val="21"/>
                    </w:rPr>
                    <w:t>合计</w:t>
                  </w:r>
                </w:p>
              </w:tc>
              <w:tc>
                <w:tcPr>
                  <w:tcW w:w="1651" w:type="pct"/>
                  <w:gridSpan w:val="2"/>
                  <w:noWrap w:val="0"/>
                  <w:vAlign w:val="center"/>
                </w:tcPr>
                <w:p w14:paraId="14C70C1A">
                  <w:pPr>
                    <w:jc w:val="center"/>
                    <w:rPr>
                      <w:color w:val="auto"/>
                      <w:szCs w:val="21"/>
                    </w:rPr>
                  </w:pPr>
                  <w:r>
                    <w:rPr>
                      <w:color w:val="auto"/>
                      <w:szCs w:val="21"/>
                    </w:rPr>
                    <w:t>/</w:t>
                  </w:r>
                </w:p>
              </w:tc>
              <w:tc>
                <w:tcPr>
                  <w:tcW w:w="1227" w:type="pct"/>
                  <w:noWrap w:val="0"/>
                  <w:vAlign w:val="center"/>
                </w:tcPr>
                <w:p w14:paraId="64522C2E">
                  <w:pPr>
                    <w:jc w:val="center"/>
                    <w:rPr>
                      <w:rFonts w:hint="default" w:eastAsia="宋体"/>
                      <w:color w:val="auto"/>
                      <w:szCs w:val="21"/>
                      <w:lang w:val="en-US" w:eastAsia="zh-CN"/>
                    </w:rPr>
                  </w:pPr>
                  <w:r>
                    <w:rPr>
                      <w:rFonts w:hint="eastAsia"/>
                      <w:color w:val="auto"/>
                      <w:szCs w:val="21"/>
                      <w:lang w:val="en-US" w:eastAsia="zh-CN"/>
                    </w:rPr>
                    <w:t>14.6</w:t>
                  </w:r>
                </w:p>
              </w:tc>
              <w:tc>
                <w:tcPr>
                  <w:tcW w:w="858" w:type="pct"/>
                  <w:noWrap w:val="0"/>
                  <w:vAlign w:val="center"/>
                </w:tcPr>
                <w:p w14:paraId="02307CF5">
                  <w:pPr>
                    <w:jc w:val="center"/>
                    <w:rPr>
                      <w:color w:val="auto"/>
                      <w:szCs w:val="21"/>
                    </w:rPr>
                  </w:pPr>
                  <w:r>
                    <w:rPr>
                      <w:color w:val="auto"/>
                      <w:szCs w:val="21"/>
                    </w:rPr>
                    <w:t>100</w:t>
                  </w:r>
                </w:p>
              </w:tc>
            </w:tr>
          </w:tbl>
          <w:p w14:paraId="04E8572E">
            <w:pPr>
              <w:adjustRightInd w:val="0"/>
              <w:snapToGrid w:val="0"/>
              <w:spacing w:line="360" w:lineRule="auto"/>
              <w:ind w:firstLine="482" w:firstLineChars="200"/>
              <w:rPr>
                <w:rFonts w:hint="default"/>
                <w:b/>
                <w:bCs/>
                <w:color w:val="auto"/>
                <w:kern w:val="0"/>
                <w:sz w:val="24"/>
                <w:lang w:val="en-US" w:eastAsia="zh-CN"/>
              </w:rPr>
            </w:pPr>
            <w:r>
              <w:rPr>
                <w:rFonts w:hint="eastAsia"/>
                <w:b/>
                <w:bCs/>
                <w:color w:val="auto"/>
                <w:kern w:val="0"/>
                <w:sz w:val="24"/>
                <w:lang w:val="en-US" w:eastAsia="zh-CN"/>
              </w:rPr>
              <w:t>B.特殊废液</w:t>
            </w:r>
          </w:p>
          <w:p w14:paraId="3568A1D2">
            <w:pPr>
              <w:keepNext w:val="0"/>
              <w:keepLines w:val="0"/>
              <w:widowControl/>
              <w:suppressLineNumbers w:val="0"/>
              <w:spacing w:line="360" w:lineRule="auto"/>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医学影像科采用数字化的X射线透视设备，DR机出片均采用数字显影、定影技术，不设洗相室，无显影、定影等含银废液产生。拟建项目放射科无放射废水排放。口腔科采用数字化成像技术，无含汞废液产生。 口腔科不涉及使用重金属材料，采用新型光固化复合树脂，故无含银、含汞废水产生。</w:t>
            </w:r>
          </w:p>
          <w:p w14:paraId="7C9B15B1">
            <w:pPr>
              <w:keepNext w:val="0"/>
              <w:keepLines w:val="0"/>
              <w:widowControl/>
              <w:suppressLineNumbers w:val="0"/>
              <w:spacing w:line="360" w:lineRule="auto"/>
              <w:ind w:firstLine="480" w:firstLineChars="200"/>
              <w:jc w:val="left"/>
              <w:rPr>
                <w:color w:val="auto"/>
              </w:rPr>
            </w:pPr>
            <w:r>
              <w:rPr>
                <w:rFonts w:hint="default" w:ascii="Times New Roman" w:hAnsi="Times New Roman" w:eastAsia="宋体" w:cs="Times New Roman"/>
                <w:color w:val="auto"/>
                <w:kern w:val="0"/>
                <w:sz w:val="24"/>
                <w:lang w:val="en-US" w:eastAsia="zh-CN"/>
              </w:rPr>
              <w:t>检验科主要进行尿常规检验、血常规检验，血常规检验所用血细胞分析清洗剂直接购买甲酸钠、氯化钠、蛋白水解酶、表面活性剂等配成的标准溶液；血细胞溶血剂直接购买表面活性剂、戊二醛、甲酸、碳酸钠、氯化钠、季铵盐等配成的标准溶液，不含重金属；尿常规应用多联试纸条对尿液进行快速筛查分析，常规尿液试纸条检查项目有pH、蛋白、隐血、比重、葡萄糖、酮体。尿胆原、硝酸盐、白细胞，有的试纸条还整合有胆红素和维生素C等；检验废溶液、废试剂盒和废血样好尿液作为检验废液，产生量约0.</w:t>
            </w:r>
            <w:r>
              <w:rPr>
                <w:rFonts w:hint="eastAsia" w:cs="Times New Roman"/>
                <w:color w:val="auto"/>
                <w:kern w:val="0"/>
                <w:sz w:val="24"/>
                <w:lang w:val="en-US" w:eastAsia="zh-CN"/>
              </w:rPr>
              <w:t>0</w:t>
            </w:r>
            <w:r>
              <w:rPr>
                <w:rFonts w:hint="default" w:ascii="Times New Roman" w:hAnsi="Times New Roman" w:eastAsia="宋体" w:cs="Times New Roman"/>
                <w:color w:val="auto"/>
                <w:kern w:val="0"/>
                <w:sz w:val="24"/>
                <w:lang w:val="en-US" w:eastAsia="zh-CN"/>
              </w:rPr>
              <w:t>1t/a。检验科废液单独收集消毒后，塑料桶装于检查室内角落，检查室内设置1个小塑料桶，用于暂存科室内的检验废液，在科室人员下班后将废液集中暂存在医疗废物集中暂存间内。该部分检验废液作为危险废物交由有危险废物处理资质的单位进行收运和处置。</w:t>
            </w:r>
          </w:p>
          <w:p w14:paraId="4C009CCF">
            <w:pPr>
              <w:adjustRightInd w:val="0"/>
              <w:snapToGrid w:val="0"/>
              <w:spacing w:line="360" w:lineRule="auto"/>
              <w:ind w:firstLine="482" w:firstLineChars="200"/>
              <w:rPr>
                <w:b/>
                <w:bCs/>
                <w:color w:val="auto"/>
                <w:kern w:val="0"/>
                <w:sz w:val="24"/>
              </w:rPr>
            </w:pPr>
            <w:r>
              <w:rPr>
                <w:rFonts w:hint="eastAsia"/>
                <w:b/>
                <w:bCs/>
                <w:color w:val="auto"/>
                <w:kern w:val="0"/>
                <w:sz w:val="24"/>
                <w:lang w:val="en-US" w:eastAsia="zh-CN"/>
              </w:rPr>
              <w:t>C.</w:t>
            </w:r>
            <w:r>
              <w:rPr>
                <w:b/>
                <w:bCs/>
                <w:color w:val="auto"/>
                <w:kern w:val="0"/>
                <w:sz w:val="24"/>
              </w:rPr>
              <w:t>废活性炭</w:t>
            </w:r>
          </w:p>
          <w:p w14:paraId="5DEC9090">
            <w:pPr>
              <w:adjustRightInd w:val="0"/>
              <w:snapToGrid w:val="0"/>
              <w:spacing w:line="360" w:lineRule="auto"/>
              <w:ind w:firstLine="480" w:firstLineChars="200"/>
              <w:rPr>
                <w:color w:val="auto"/>
                <w:kern w:val="0"/>
                <w:sz w:val="24"/>
              </w:rPr>
            </w:pPr>
            <w:r>
              <w:rPr>
                <w:color w:val="auto"/>
                <w:kern w:val="0"/>
                <w:sz w:val="24"/>
              </w:rPr>
              <w:t>污水处理站臭气采用活性炭吸附处理装置，活性炭吸附处理将产生少量废活性炭，属于《国家危险废物名录》（202</w:t>
            </w:r>
            <w:r>
              <w:rPr>
                <w:rFonts w:hint="eastAsia"/>
                <w:color w:val="auto"/>
                <w:kern w:val="0"/>
                <w:sz w:val="24"/>
                <w:lang w:val="en-US" w:eastAsia="zh-CN"/>
              </w:rPr>
              <w:t>5</w:t>
            </w:r>
            <w:r>
              <w:rPr>
                <w:color w:val="auto"/>
                <w:kern w:val="0"/>
                <w:sz w:val="24"/>
              </w:rPr>
              <w:t>年版）中HW49 900-039-49类危险废物，产生量约为</w:t>
            </w:r>
            <w:r>
              <w:rPr>
                <w:rFonts w:hint="eastAsia"/>
                <w:color w:val="auto"/>
                <w:kern w:val="0"/>
                <w:sz w:val="24"/>
              </w:rPr>
              <w:t>0</w:t>
            </w:r>
            <w:r>
              <w:rPr>
                <w:color w:val="auto"/>
                <w:kern w:val="0"/>
                <w:sz w:val="24"/>
              </w:rPr>
              <w:t>.5t/a，</w:t>
            </w:r>
            <w:r>
              <w:rPr>
                <w:rFonts w:hint="eastAsia"/>
                <w:color w:val="auto"/>
                <w:kern w:val="0"/>
                <w:sz w:val="24"/>
              </w:rPr>
              <w:t>定期更换下来后</w:t>
            </w:r>
            <w:r>
              <w:rPr>
                <w:color w:val="auto"/>
                <w:kern w:val="0"/>
                <w:sz w:val="24"/>
              </w:rPr>
              <w:t>经专用收集桶收集，交由有危废资质的单位处置。</w:t>
            </w:r>
          </w:p>
          <w:p w14:paraId="086AC317">
            <w:pPr>
              <w:adjustRightInd w:val="0"/>
              <w:snapToGrid w:val="0"/>
              <w:spacing w:line="360" w:lineRule="auto"/>
              <w:ind w:firstLine="482" w:firstLineChars="200"/>
              <w:rPr>
                <w:b/>
                <w:bCs/>
                <w:color w:val="auto"/>
                <w:kern w:val="0"/>
                <w:sz w:val="24"/>
              </w:rPr>
            </w:pPr>
            <w:r>
              <w:rPr>
                <w:rFonts w:hint="eastAsia"/>
                <w:b/>
                <w:bCs/>
                <w:color w:val="auto"/>
                <w:kern w:val="0"/>
                <w:sz w:val="24"/>
                <w:lang w:val="en-US" w:eastAsia="zh-CN"/>
              </w:rPr>
              <w:t>D.</w:t>
            </w:r>
            <w:r>
              <w:rPr>
                <w:b/>
                <w:bCs/>
                <w:color w:val="auto"/>
                <w:kern w:val="0"/>
                <w:sz w:val="24"/>
              </w:rPr>
              <w:t>医院污水处理站污泥</w:t>
            </w:r>
          </w:p>
          <w:p w14:paraId="243FF2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lang w:val="en-US" w:eastAsia="zh-CN"/>
              </w:rPr>
            </w:pPr>
            <w:r>
              <w:rPr>
                <w:color w:val="auto"/>
                <w:kern w:val="0"/>
                <w:sz w:val="24"/>
              </w:rPr>
              <w:t>医院污水处理过程产生的污泥量与原水的悬浮固体及处理工艺有关。《医院污水处理技术指南》（环发</w:t>
            </w:r>
            <w:r>
              <w:rPr>
                <w:rFonts w:hint="eastAsia"/>
                <w:color w:val="auto"/>
                <w:kern w:val="0"/>
                <w:sz w:val="24"/>
                <w:lang w:eastAsia="zh-CN"/>
              </w:rPr>
              <w:t>〔</w:t>
            </w:r>
            <w:r>
              <w:rPr>
                <w:color w:val="auto"/>
                <w:kern w:val="0"/>
                <w:sz w:val="24"/>
              </w:rPr>
              <w:t>2003</w:t>
            </w:r>
            <w:r>
              <w:rPr>
                <w:rFonts w:hint="eastAsia"/>
                <w:color w:val="auto"/>
                <w:kern w:val="0"/>
                <w:sz w:val="24"/>
                <w:lang w:eastAsia="zh-CN"/>
              </w:rPr>
              <w:t>〕</w:t>
            </w:r>
            <w:r>
              <w:rPr>
                <w:color w:val="auto"/>
                <w:kern w:val="0"/>
                <w:sz w:val="24"/>
              </w:rPr>
              <w:t>197号）中，调查统计出的医疗污水处理站污泥产生情况，住院和医护人员</w:t>
            </w:r>
            <w:r>
              <w:rPr>
                <w:color w:val="auto"/>
                <w:sz w:val="24"/>
              </w:rPr>
              <w:t>总固体取50g/人</w:t>
            </w:r>
            <w:r>
              <w:rPr>
                <w:color w:val="auto"/>
                <w:sz w:val="24"/>
                <w:vertAlign w:val="superscript"/>
              </w:rPr>
              <w:t>.</w:t>
            </w:r>
            <w:r>
              <w:rPr>
                <w:color w:val="auto"/>
                <w:sz w:val="24"/>
              </w:rPr>
              <w:t>d，门诊病人总固体取20g/人</w:t>
            </w:r>
            <w:r>
              <w:rPr>
                <w:color w:val="auto"/>
                <w:sz w:val="24"/>
                <w:vertAlign w:val="superscript"/>
              </w:rPr>
              <w:t>.</w:t>
            </w:r>
            <w:r>
              <w:rPr>
                <w:color w:val="auto"/>
                <w:sz w:val="24"/>
              </w:rPr>
              <w:t>d，扩建项目门诊接待人数约为</w:t>
            </w:r>
            <w:r>
              <w:rPr>
                <w:rFonts w:hint="eastAsia"/>
                <w:color w:val="auto"/>
                <w:sz w:val="24"/>
              </w:rPr>
              <w:t>100</w:t>
            </w:r>
            <w:r>
              <w:rPr>
                <w:color w:val="auto"/>
                <w:sz w:val="24"/>
              </w:rPr>
              <w:t>人/d，医院住院床位为</w:t>
            </w:r>
            <w:r>
              <w:rPr>
                <w:rFonts w:hint="eastAsia"/>
                <w:color w:val="auto"/>
                <w:sz w:val="24"/>
                <w:lang w:val="en-US" w:eastAsia="zh-CN"/>
              </w:rPr>
              <w:t>60</w:t>
            </w:r>
            <w:r>
              <w:rPr>
                <w:color w:val="auto"/>
                <w:sz w:val="24"/>
              </w:rPr>
              <w:t>床，</w:t>
            </w:r>
            <w:r>
              <w:rPr>
                <w:rFonts w:hint="eastAsia"/>
                <w:color w:val="auto"/>
                <w:sz w:val="24"/>
                <w:lang w:val="en-US" w:eastAsia="zh-CN"/>
              </w:rPr>
              <w:t>托老院床位为30</w:t>
            </w:r>
            <w:r>
              <w:rPr>
                <w:color w:val="auto"/>
                <w:sz w:val="24"/>
              </w:rPr>
              <w:t>床，新增医院职工共</w:t>
            </w:r>
            <w:r>
              <w:rPr>
                <w:rFonts w:hint="eastAsia"/>
                <w:color w:val="auto"/>
                <w:sz w:val="24"/>
                <w:lang w:val="en-US" w:eastAsia="zh-CN"/>
              </w:rPr>
              <w:t>30</w:t>
            </w:r>
            <w:r>
              <w:rPr>
                <w:color w:val="auto"/>
                <w:sz w:val="24"/>
              </w:rPr>
              <w:t>人，计算出医院产生总污泥量为</w:t>
            </w:r>
            <w:r>
              <w:rPr>
                <w:rFonts w:hint="eastAsia"/>
                <w:color w:val="auto"/>
                <w:sz w:val="24"/>
                <w:lang w:val="en-US" w:eastAsia="zh-CN"/>
              </w:rPr>
              <w:t>8</w:t>
            </w:r>
            <w:r>
              <w:rPr>
                <w:color w:val="auto"/>
                <w:sz w:val="24"/>
              </w:rPr>
              <w:t>kg/d，约</w:t>
            </w:r>
            <w:r>
              <w:rPr>
                <w:rFonts w:hint="eastAsia"/>
                <w:color w:val="auto"/>
                <w:sz w:val="24"/>
                <w:lang w:val="en-US" w:eastAsia="zh-CN"/>
              </w:rPr>
              <w:t>2.92</w:t>
            </w:r>
            <w:r>
              <w:rPr>
                <w:color w:val="auto"/>
                <w:sz w:val="24"/>
              </w:rPr>
              <w:t>t/a。</w:t>
            </w:r>
            <w:r>
              <w:rPr>
                <w:rFonts w:hint="default" w:ascii="Times New Roman" w:hAnsi="Times New Roman" w:eastAsia="宋体" w:cs="Times New Roman"/>
                <w:bCs/>
                <w:color w:val="auto"/>
                <w:sz w:val="24"/>
                <w:szCs w:val="24"/>
              </w:rPr>
              <w:t>根据《固体废物分类与代码目录》</w:t>
            </w:r>
            <w:r>
              <w:rPr>
                <w:rFonts w:hint="eastAsia" w:cs="Times New Roman"/>
                <w:bCs/>
                <w:color w:val="auto"/>
                <w:sz w:val="24"/>
                <w:szCs w:val="24"/>
                <w:lang w:eastAsia="zh-CN"/>
              </w:rPr>
              <w:t>（</w:t>
            </w:r>
            <w:r>
              <w:rPr>
                <w:rFonts w:hint="default" w:ascii="Times New Roman" w:hAnsi="Times New Roman" w:eastAsia="宋体" w:cs="Times New Roman"/>
                <w:bCs/>
                <w:color w:val="auto"/>
                <w:sz w:val="24"/>
                <w:szCs w:val="24"/>
              </w:rPr>
              <w:t>生态环境部 公告 2024年 第4号</w:t>
            </w:r>
            <w:r>
              <w:rPr>
                <w:rFonts w:hint="eastAsia" w:cs="Times New Roman"/>
                <w:bCs/>
                <w:color w:val="auto"/>
                <w:sz w:val="24"/>
                <w:szCs w:val="24"/>
                <w:lang w:eastAsia="zh-CN"/>
              </w:rPr>
              <w:t>）</w:t>
            </w:r>
            <w:r>
              <w:rPr>
                <w:rFonts w:hint="default"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污泥</w:t>
            </w:r>
            <w:r>
              <w:rPr>
                <w:rFonts w:hint="default" w:ascii="Times New Roman" w:hAnsi="Times New Roman" w:eastAsia="宋体" w:cs="Times New Roman"/>
                <w:bCs/>
                <w:color w:val="auto"/>
                <w:sz w:val="24"/>
                <w:szCs w:val="24"/>
              </w:rPr>
              <w:t>属于SW</w:t>
            </w:r>
            <w:r>
              <w:rPr>
                <w:rFonts w:hint="eastAsia" w:ascii="Times New Roman" w:hAnsi="Times New Roman" w:eastAsia="宋体" w:cs="Times New Roman"/>
                <w:bCs/>
                <w:color w:val="auto"/>
                <w:sz w:val="24"/>
                <w:szCs w:val="24"/>
                <w:lang w:val="en-US" w:eastAsia="zh-CN"/>
              </w:rPr>
              <w:t>07污泥</w:t>
            </w:r>
            <w:r>
              <w:rPr>
                <w:rFonts w:hint="default" w:ascii="Times New Roman" w:hAnsi="Times New Roman" w:eastAsia="宋体" w:cs="Times New Roman"/>
                <w:bCs/>
                <w:color w:val="auto"/>
                <w:sz w:val="24"/>
                <w:szCs w:val="24"/>
              </w:rPr>
              <w:t>，废物代码为900-099-S</w:t>
            </w:r>
            <w:r>
              <w:rPr>
                <w:rFonts w:hint="eastAsia" w:ascii="Times New Roman" w:hAnsi="Times New Roman" w:eastAsia="宋体" w:cs="Times New Roman"/>
                <w:bCs/>
                <w:color w:val="auto"/>
                <w:sz w:val="24"/>
                <w:szCs w:val="24"/>
                <w:lang w:val="en-US" w:eastAsia="zh-CN"/>
              </w:rPr>
              <w:t>07</w:t>
            </w:r>
            <w:r>
              <w:rPr>
                <w:rFonts w:hint="default" w:ascii="Times New Roman" w:hAnsi="Times New Roman" w:eastAsia="宋体" w:cs="Times New Roman"/>
                <w:bCs/>
                <w:color w:val="auto"/>
                <w:sz w:val="24"/>
                <w:szCs w:val="24"/>
              </w:rPr>
              <w:t>。</w:t>
            </w:r>
            <w:r>
              <w:rPr>
                <w:color w:val="auto"/>
                <w:sz w:val="24"/>
              </w:rPr>
              <w:t>根据重庆市环境保护局重庆市卫生和计划生育委员会关于印发《医疗废物分类处置指南（试行）》的通知，污泥属于感染性废物，应首先在产生地点进行化学消毒处理</w:t>
            </w:r>
            <w:r>
              <w:rPr>
                <w:rFonts w:hint="eastAsia"/>
                <w:color w:val="auto"/>
                <w:sz w:val="24"/>
                <w:lang w:eastAsia="zh-CN"/>
              </w:rPr>
              <w:t>后</w:t>
            </w:r>
            <w:r>
              <w:rPr>
                <w:color w:val="auto"/>
                <w:sz w:val="24"/>
              </w:rPr>
              <w:t>交由环卫部门进行处置。因此扩建项目医院污水处理站栅渣、污泥定期委托专业单位清掏，污泥经消毒、脱水后交由环卫部门统一处置。</w:t>
            </w:r>
          </w:p>
          <w:p w14:paraId="3BFA611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0"/>
                <w:sz w:val="24"/>
              </w:rPr>
            </w:pPr>
            <w:r>
              <w:rPr>
                <w:rFonts w:hint="eastAsia" w:ascii="Times New Roman" w:hAnsi="Times New Roman" w:eastAsia="宋体" w:cs="Times New Roman"/>
                <w:b/>
                <w:bCs/>
                <w:color w:val="auto"/>
                <w:kern w:val="0"/>
                <w:sz w:val="24"/>
                <w:lang w:val="en-US" w:eastAsia="zh-CN"/>
              </w:rPr>
              <w:t>E、</w:t>
            </w:r>
            <w:r>
              <w:rPr>
                <w:rFonts w:hint="default" w:ascii="Times New Roman" w:hAnsi="Times New Roman" w:eastAsia="宋体" w:cs="Times New Roman"/>
                <w:b/>
                <w:bCs/>
                <w:color w:val="auto"/>
                <w:kern w:val="0"/>
                <w:sz w:val="24"/>
              </w:rPr>
              <w:t>废紫外线灯管</w:t>
            </w:r>
          </w:p>
          <w:p w14:paraId="4F611B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default" w:ascii="Times New Roman" w:hAnsi="Times New Roman" w:eastAsia="宋体" w:cs="Times New Roman"/>
                <w:color w:val="auto"/>
                <w:kern w:val="0"/>
                <w:sz w:val="24"/>
                <w:lang w:eastAsia="zh-CN"/>
              </w:rPr>
              <w:t>项目</w:t>
            </w:r>
            <w:r>
              <w:rPr>
                <w:rFonts w:hint="default" w:ascii="Times New Roman" w:hAnsi="Times New Roman" w:eastAsia="宋体" w:cs="Times New Roman"/>
                <w:color w:val="auto"/>
                <w:kern w:val="0"/>
                <w:sz w:val="24"/>
              </w:rPr>
              <w:t>医疗废物暂存间使用紫外线进行消毒，紫外灯预计每年更换一次</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会产生废紫外线灯管，属于《国家危险废物名录》</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202</w:t>
            </w:r>
            <w:r>
              <w:rPr>
                <w:rFonts w:hint="eastAsia" w:cs="Times New Roman"/>
                <w:color w:val="auto"/>
                <w:kern w:val="0"/>
                <w:sz w:val="24"/>
                <w:lang w:val="en-US" w:eastAsia="zh-CN"/>
              </w:rPr>
              <w:t>5</w:t>
            </w:r>
            <w:r>
              <w:rPr>
                <w:rFonts w:hint="default" w:ascii="Times New Roman" w:hAnsi="Times New Roman" w:eastAsia="宋体" w:cs="Times New Roman"/>
                <w:color w:val="auto"/>
                <w:kern w:val="0"/>
                <w:sz w:val="24"/>
                <w:lang w:val="en-US" w:eastAsia="zh-CN"/>
              </w:rPr>
              <w:t>年版</w:t>
            </w:r>
            <w:r>
              <w:rPr>
                <w:rFonts w:hint="default" w:ascii="Times New Roman" w:hAnsi="Times New Roman" w:eastAsia="宋体" w:cs="Times New Roman"/>
                <w:color w:val="auto"/>
                <w:kern w:val="0"/>
                <w:sz w:val="24"/>
                <w:lang w:eastAsia="zh-CN"/>
              </w:rPr>
              <w:t>）中HW</w:t>
            </w:r>
            <w:r>
              <w:rPr>
                <w:rFonts w:hint="default" w:ascii="Times New Roman" w:hAnsi="Times New Roman" w:eastAsia="宋体" w:cs="Times New Roman"/>
                <w:color w:val="auto"/>
                <w:kern w:val="0"/>
                <w:sz w:val="24"/>
                <w:lang w:val="en-US" w:eastAsia="zh-CN"/>
              </w:rPr>
              <w:t xml:space="preserve">29 </w:t>
            </w:r>
            <w:r>
              <w:rPr>
                <w:rFonts w:hint="default" w:ascii="Times New Roman" w:hAnsi="Times New Roman" w:eastAsia="宋体" w:cs="Times New Roman"/>
                <w:color w:val="auto"/>
                <w:kern w:val="0"/>
                <w:sz w:val="24"/>
                <w:lang w:eastAsia="zh-CN"/>
              </w:rPr>
              <w:t>900-023-29类</w:t>
            </w:r>
            <w:r>
              <w:rPr>
                <w:rFonts w:hint="default" w:ascii="Times New Roman" w:hAnsi="Times New Roman" w:eastAsia="宋体" w:cs="Times New Roman"/>
                <w:color w:val="auto"/>
                <w:kern w:val="0"/>
                <w:sz w:val="24"/>
              </w:rPr>
              <w:t>危险废物。产生量约为0.</w:t>
            </w:r>
            <w:r>
              <w:rPr>
                <w:rFonts w:hint="eastAsia" w:cs="Times New Roman"/>
                <w:color w:val="auto"/>
                <w:kern w:val="0"/>
                <w:sz w:val="24"/>
                <w:lang w:val="en-US" w:eastAsia="zh-CN"/>
              </w:rPr>
              <w:t>0</w:t>
            </w:r>
            <w:r>
              <w:rPr>
                <w:rFonts w:hint="default" w:ascii="Times New Roman" w:hAnsi="Times New Roman" w:eastAsia="宋体" w:cs="Times New Roman"/>
                <w:color w:val="auto"/>
                <w:kern w:val="0"/>
                <w:sz w:val="24"/>
              </w:rPr>
              <w:t>1t/a，单独收集后交有危险废物资质的单位处理。</w:t>
            </w:r>
          </w:p>
          <w:p w14:paraId="7CF071D4">
            <w:pPr>
              <w:adjustRightInd w:val="0"/>
              <w:snapToGrid w:val="0"/>
              <w:spacing w:line="360" w:lineRule="auto"/>
              <w:ind w:firstLine="480" w:firstLineChars="200"/>
              <w:rPr>
                <w:color w:val="auto"/>
                <w:sz w:val="24"/>
              </w:rPr>
            </w:pPr>
            <w:r>
              <w:rPr>
                <w:color w:val="auto"/>
                <w:sz w:val="24"/>
              </w:rPr>
              <w:t>根据以上分析，本项目医院固体废物产生量如表4</w:t>
            </w:r>
            <w:r>
              <w:rPr>
                <w:rFonts w:hint="eastAsia"/>
                <w:color w:val="auto"/>
                <w:sz w:val="24"/>
                <w:lang w:val="en-US" w:eastAsia="zh-CN"/>
              </w:rPr>
              <w:t>.2</w:t>
            </w:r>
            <w:r>
              <w:rPr>
                <w:color w:val="auto"/>
                <w:sz w:val="24"/>
              </w:rPr>
              <w:t>-1</w:t>
            </w:r>
            <w:r>
              <w:rPr>
                <w:rFonts w:hint="eastAsia"/>
                <w:color w:val="auto"/>
                <w:sz w:val="24"/>
                <w:lang w:val="en-US" w:eastAsia="zh-CN"/>
              </w:rPr>
              <w:t>9</w:t>
            </w:r>
            <w:r>
              <w:rPr>
                <w:color w:val="auto"/>
                <w:sz w:val="24"/>
              </w:rPr>
              <w:t>所示。</w:t>
            </w:r>
          </w:p>
          <w:p w14:paraId="78072BD5">
            <w:pPr>
              <w:jc w:val="center"/>
              <w:rPr>
                <w:b/>
                <w:color w:val="auto"/>
                <w:sz w:val="24"/>
              </w:rPr>
            </w:pPr>
            <w:r>
              <w:rPr>
                <w:b/>
                <w:color w:val="auto"/>
                <w:sz w:val="24"/>
              </w:rPr>
              <w:t>表4</w:t>
            </w:r>
            <w:r>
              <w:rPr>
                <w:rFonts w:hint="eastAsia"/>
                <w:b/>
                <w:color w:val="auto"/>
                <w:sz w:val="24"/>
                <w:lang w:val="en-US" w:eastAsia="zh-CN"/>
              </w:rPr>
              <w:t>.2</w:t>
            </w:r>
            <w:r>
              <w:rPr>
                <w:b/>
                <w:color w:val="auto"/>
                <w:sz w:val="24"/>
              </w:rPr>
              <w:t>-1</w:t>
            </w:r>
            <w:r>
              <w:rPr>
                <w:rFonts w:hint="eastAsia"/>
                <w:b/>
                <w:color w:val="auto"/>
                <w:sz w:val="24"/>
                <w:lang w:val="en-US" w:eastAsia="zh-CN"/>
              </w:rPr>
              <w:t xml:space="preserve">9 </w:t>
            </w:r>
            <w:r>
              <w:rPr>
                <w:b/>
                <w:color w:val="auto"/>
                <w:sz w:val="24"/>
              </w:rPr>
              <w:t>固体废物产生量核算表</w:t>
            </w:r>
          </w:p>
          <w:tbl>
            <w:tblPr>
              <w:tblStyle w:val="25"/>
              <w:tblW w:w="88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9"/>
              <w:gridCol w:w="590"/>
              <w:gridCol w:w="1172"/>
              <w:gridCol w:w="1331"/>
              <w:gridCol w:w="877"/>
              <w:gridCol w:w="1365"/>
              <w:gridCol w:w="1173"/>
              <w:gridCol w:w="1866"/>
            </w:tblGrid>
            <w:tr w14:paraId="17401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9" w:type="dxa"/>
                  <w:noWrap w:val="0"/>
                  <w:vAlign w:val="center"/>
                </w:tcPr>
                <w:p w14:paraId="65E62821">
                  <w:pPr>
                    <w:jc w:val="center"/>
                    <w:rPr>
                      <w:b/>
                      <w:color w:val="auto"/>
                      <w:szCs w:val="21"/>
                    </w:rPr>
                  </w:pPr>
                  <w:r>
                    <w:rPr>
                      <w:b/>
                      <w:color w:val="auto"/>
                      <w:szCs w:val="21"/>
                    </w:rPr>
                    <w:t>序号</w:t>
                  </w:r>
                </w:p>
              </w:tc>
              <w:tc>
                <w:tcPr>
                  <w:tcW w:w="1762" w:type="dxa"/>
                  <w:gridSpan w:val="2"/>
                  <w:noWrap w:val="0"/>
                  <w:vAlign w:val="center"/>
                </w:tcPr>
                <w:p w14:paraId="57BE526D">
                  <w:pPr>
                    <w:jc w:val="center"/>
                    <w:rPr>
                      <w:b/>
                      <w:color w:val="auto"/>
                      <w:szCs w:val="21"/>
                    </w:rPr>
                  </w:pPr>
                  <w:r>
                    <w:rPr>
                      <w:b/>
                      <w:color w:val="auto"/>
                      <w:szCs w:val="21"/>
                    </w:rPr>
                    <w:t>固废类别</w:t>
                  </w:r>
                </w:p>
              </w:tc>
              <w:tc>
                <w:tcPr>
                  <w:tcW w:w="1331" w:type="dxa"/>
                  <w:noWrap w:val="0"/>
                  <w:vAlign w:val="center"/>
                </w:tcPr>
                <w:p w14:paraId="1A0CBC85">
                  <w:pPr>
                    <w:jc w:val="center"/>
                    <w:rPr>
                      <w:b/>
                      <w:color w:val="auto"/>
                      <w:szCs w:val="21"/>
                    </w:rPr>
                  </w:pPr>
                  <w:r>
                    <w:rPr>
                      <w:b/>
                      <w:color w:val="auto"/>
                      <w:szCs w:val="21"/>
                    </w:rPr>
                    <w:t>主要成分</w:t>
                  </w:r>
                </w:p>
              </w:tc>
              <w:tc>
                <w:tcPr>
                  <w:tcW w:w="877" w:type="dxa"/>
                  <w:noWrap w:val="0"/>
                  <w:vAlign w:val="center"/>
                </w:tcPr>
                <w:p w14:paraId="4314F2D4">
                  <w:pPr>
                    <w:jc w:val="center"/>
                    <w:rPr>
                      <w:b/>
                      <w:color w:val="auto"/>
                      <w:szCs w:val="21"/>
                    </w:rPr>
                  </w:pPr>
                  <w:r>
                    <w:rPr>
                      <w:color w:val="auto"/>
                      <w:sz w:val="21"/>
                      <w:szCs w:val="21"/>
                    </w:rPr>
                    <w:t>类别</w:t>
                  </w:r>
                </w:p>
              </w:tc>
              <w:tc>
                <w:tcPr>
                  <w:tcW w:w="1365" w:type="dxa"/>
                  <w:noWrap w:val="0"/>
                  <w:vAlign w:val="center"/>
                </w:tcPr>
                <w:p w14:paraId="45CB3D70">
                  <w:pPr>
                    <w:jc w:val="center"/>
                    <w:rPr>
                      <w:b/>
                      <w:color w:val="auto"/>
                      <w:szCs w:val="21"/>
                    </w:rPr>
                  </w:pPr>
                  <w:r>
                    <w:rPr>
                      <w:b/>
                      <w:color w:val="auto"/>
                      <w:szCs w:val="21"/>
                    </w:rPr>
                    <w:t>固废性质</w:t>
                  </w:r>
                </w:p>
              </w:tc>
              <w:tc>
                <w:tcPr>
                  <w:tcW w:w="1173" w:type="dxa"/>
                  <w:noWrap w:val="0"/>
                  <w:vAlign w:val="center"/>
                </w:tcPr>
                <w:p w14:paraId="4F44314F">
                  <w:pPr>
                    <w:adjustRightInd w:val="0"/>
                    <w:snapToGrid w:val="0"/>
                    <w:jc w:val="center"/>
                    <w:rPr>
                      <w:b/>
                      <w:color w:val="auto"/>
                      <w:szCs w:val="21"/>
                    </w:rPr>
                  </w:pPr>
                  <w:r>
                    <w:rPr>
                      <w:b/>
                      <w:color w:val="auto"/>
                      <w:szCs w:val="21"/>
                    </w:rPr>
                    <w:t>产生量</w:t>
                  </w:r>
                </w:p>
                <w:p w14:paraId="49799FED">
                  <w:pPr>
                    <w:adjustRightInd w:val="0"/>
                    <w:snapToGrid w:val="0"/>
                    <w:jc w:val="center"/>
                    <w:rPr>
                      <w:b/>
                      <w:color w:val="auto"/>
                      <w:szCs w:val="21"/>
                    </w:rPr>
                  </w:pPr>
                  <w:r>
                    <w:rPr>
                      <w:b/>
                      <w:color w:val="auto"/>
                      <w:szCs w:val="21"/>
                    </w:rPr>
                    <w:t>(t/a)</w:t>
                  </w:r>
                </w:p>
              </w:tc>
              <w:tc>
                <w:tcPr>
                  <w:tcW w:w="1866" w:type="dxa"/>
                  <w:noWrap w:val="0"/>
                  <w:vAlign w:val="center"/>
                </w:tcPr>
                <w:p w14:paraId="79B412DE">
                  <w:pPr>
                    <w:jc w:val="center"/>
                    <w:rPr>
                      <w:b/>
                      <w:color w:val="auto"/>
                      <w:szCs w:val="21"/>
                    </w:rPr>
                  </w:pPr>
                  <w:r>
                    <w:rPr>
                      <w:b/>
                      <w:color w:val="auto"/>
                      <w:szCs w:val="21"/>
                    </w:rPr>
                    <w:t>处置措施</w:t>
                  </w:r>
                </w:p>
              </w:tc>
            </w:tr>
            <w:tr w14:paraId="4BF63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429" w:type="dxa"/>
                  <w:vMerge w:val="restart"/>
                  <w:noWrap w:val="0"/>
                  <w:vAlign w:val="center"/>
                </w:tcPr>
                <w:p w14:paraId="1DFE7AF6">
                  <w:pPr>
                    <w:jc w:val="center"/>
                    <w:rPr>
                      <w:color w:val="auto"/>
                      <w:szCs w:val="21"/>
                    </w:rPr>
                  </w:pPr>
                  <w:r>
                    <w:rPr>
                      <w:color w:val="auto"/>
                      <w:szCs w:val="21"/>
                    </w:rPr>
                    <w:t>1</w:t>
                  </w:r>
                </w:p>
              </w:tc>
              <w:tc>
                <w:tcPr>
                  <w:tcW w:w="590" w:type="dxa"/>
                  <w:vMerge w:val="restart"/>
                  <w:noWrap w:val="0"/>
                  <w:vAlign w:val="center"/>
                </w:tcPr>
                <w:p w14:paraId="2FA81858">
                  <w:pPr>
                    <w:jc w:val="center"/>
                    <w:rPr>
                      <w:color w:val="auto"/>
                      <w:szCs w:val="21"/>
                    </w:rPr>
                  </w:pPr>
                  <w:r>
                    <w:rPr>
                      <w:color w:val="auto"/>
                      <w:szCs w:val="21"/>
                    </w:rPr>
                    <w:t>一般固废</w:t>
                  </w:r>
                </w:p>
              </w:tc>
              <w:tc>
                <w:tcPr>
                  <w:tcW w:w="1172" w:type="dxa"/>
                  <w:noWrap w:val="0"/>
                  <w:vAlign w:val="center"/>
                </w:tcPr>
                <w:p w14:paraId="582249CF">
                  <w:pPr>
                    <w:jc w:val="center"/>
                    <w:rPr>
                      <w:color w:val="auto"/>
                      <w:szCs w:val="21"/>
                    </w:rPr>
                  </w:pPr>
                  <w:r>
                    <w:rPr>
                      <w:color w:val="auto"/>
                      <w:szCs w:val="21"/>
                    </w:rPr>
                    <w:t>生活垃圾</w:t>
                  </w:r>
                </w:p>
              </w:tc>
              <w:tc>
                <w:tcPr>
                  <w:tcW w:w="1331" w:type="dxa"/>
                  <w:noWrap w:val="0"/>
                  <w:vAlign w:val="center"/>
                </w:tcPr>
                <w:p w14:paraId="06695A22">
                  <w:pPr>
                    <w:jc w:val="center"/>
                    <w:rPr>
                      <w:color w:val="auto"/>
                      <w:szCs w:val="21"/>
                    </w:rPr>
                  </w:pPr>
                  <w:r>
                    <w:rPr>
                      <w:color w:val="auto"/>
                      <w:szCs w:val="21"/>
                    </w:rPr>
                    <w:t>生活垃圾</w:t>
                  </w:r>
                </w:p>
              </w:tc>
              <w:tc>
                <w:tcPr>
                  <w:tcW w:w="877" w:type="dxa"/>
                  <w:noWrap w:val="0"/>
                  <w:vAlign w:val="center"/>
                </w:tcPr>
                <w:p w14:paraId="5410287E">
                  <w:pPr>
                    <w:snapToGrid w:val="0"/>
                    <w:jc w:val="center"/>
                    <w:rPr>
                      <w:color w:val="auto"/>
                      <w:szCs w:val="21"/>
                    </w:rPr>
                  </w:pPr>
                  <w:r>
                    <w:rPr>
                      <w:rFonts w:hint="eastAsia"/>
                      <w:color w:val="auto"/>
                      <w:sz w:val="21"/>
                      <w:szCs w:val="21"/>
                      <w:lang w:val="en-US" w:eastAsia="zh-CN"/>
                    </w:rPr>
                    <w:t>SW64</w:t>
                  </w:r>
                </w:p>
              </w:tc>
              <w:tc>
                <w:tcPr>
                  <w:tcW w:w="1365" w:type="dxa"/>
                  <w:noWrap w:val="0"/>
                  <w:vAlign w:val="center"/>
                </w:tcPr>
                <w:p w14:paraId="64CD108E">
                  <w:pPr>
                    <w:jc w:val="center"/>
                    <w:rPr>
                      <w:color w:val="auto"/>
                      <w:szCs w:val="21"/>
                    </w:rPr>
                  </w:pPr>
                  <w:r>
                    <w:rPr>
                      <w:color w:val="auto"/>
                      <w:szCs w:val="21"/>
                    </w:rPr>
                    <w:t>生活垃圾</w:t>
                  </w:r>
                </w:p>
              </w:tc>
              <w:tc>
                <w:tcPr>
                  <w:tcW w:w="1173" w:type="dxa"/>
                  <w:noWrap w:val="0"/>
                  <w:vAlign w:val="center"/>
                </w:tcPr>
                <w:p w14:paraId="3FCCB03E">
                  <w:pPr>
                    <w:jc w:val="center"/>
                    <w:rPr>
                      <w:rFonts w:hint="default" w:eastAsia="宋体"/>
                      <w:color w:val="auto"/>
                      <w:szCs w:val="21"/>
                      <w:lang w:val="en-US" w:eastAsia="zh-CN"/>
                    </w:rPr>
                  </w:pPr>
                  <w:r>
                    <w:rPr>
                      <w:rFonts w:hint="eastAsia"/>
                      <w:color w:val="auto"/>
                      <w:szCs w:val="21"/>
                      <w:lang w:val="en-US" w:eastAsia="zh-CN"/>
                    </w:rPr>
                    <w:t>40.15</w:t>
                  </w:r>
                </w:p>
              </w:tc>
              <w:tc>
                <w:tcPr>
                  <w:tcW w:w="1866" w:type="dxa"/>
                  <w:vMerge w:val="restart"/>
                  <w:noWrap w:val="0"/>
                  <w:vAlign w:val="center"/>
                </w:tcPr>
                <w:p w14:paraId="4034013E">
                  <w:pPr>
                    <w:jc w:val="center"/>
                    <w:rPr>
                      <w:color w:val="auto"/>
                      <w:szCs w:val="21"/>
                    </w:rPr>
                  </w:pPr>
                  <w:r>
                    <w:rPr>
                      <w:color w:val="auto"/>
                      <w:szCs w:val="21"/>
                    </w:rPr>
                    <w:t>分类收集，交由市政环卫部门外运处置</w:t>
                  </w:r>
                </w:p>
              </w:tc>
            </w:tr>
            <w:tr w14:paraId="750EB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429" w:type="dxa"/>
                  <w:vMerge w:val="continue"/>
                  <w:noWrap w:val="0"/>
                  <w:vAlign w:val="center"/>
                </w:tcPr>
                <w:p w14:paraId="110373AE">
                  <w:pPr>
                    <w:jc w:val="center"/>
                    <w:rPr>
                      <w:rFonts w:hint="eastAsia" w:eastAsia="宋体"/>
                      <w:color w:val="auto"/>
                      <w:szCs w:val="21"/>
                      <w:lang w:val="en-US" w:eastAsia="zh-CN"/>
                    </w:rPr>
                  </w:pPr>
                </w:p>
              </w:tc>
              <w:tc>
                <w:tcPr>
                  <w:tcW w:w="590" w:type="dxa"/>
                  <w:vMerge w:val="continue"/>
                  <w:noWrap w:val="0"/>
                  <w:vAlign w:val="center"/>
                </w:tcPr>
                <w:p w14:paraId="1039D921">
                  <w:pPr>
                    <w:jc w:val="center"/>
                    <w:rPr>
                      <w:color w:val="auto"/>
                      <w:szCs w:val="21"/>
                    </w:rPr>
                  </w:pPr>
                </w:p>
              </w:tc>
              <w:tc>
                <w:tcPr>
                  <w:tcW w:w="1172" w:type="dxa"/>
                  <w:noWrap w:val="0"/>
                  <w:vAlign w:val="center"/>
                </w:tcPr>
                <w:p w14:paraId="0F8DC0A9">
                  <w:pPr>
                    <w:jc w:val="center"/>
                    <w:rPr>
                      <w:rFonts w:hint="eastAsia" w:eastAsia="宋体"/>
                      <w:color w:val="auto"/>
                      <w:szCs w:val="21"/>
                      <w:lang w:val="en-US" w:eastAsia="zh-CN"/>
                    </w:rPr>
                  </w:pPr>
                  <w:r>
                    <w:rPr>
                      <w:rFonts w:hint="eastAsia"/>
                      <w:color w:val="auto"/>
                      <w:szCs w:val="21"/>
                      <w:lang w:val="en-US" w:eastAsia="zh-CN"/>
                    </w:rPr>
                    <w:t>医疗</w:t>
                  </w:r>
                </w:p>
              </w:tc>
              <w:tc>
                <w:tcPr>
                  <w:tcW w:w="1331" w:type="dxa"/>
                  <w:noWrap w:val="0"/>
                  <w:vAlign w:val="center"/>
                </w:tcPr>
                <w:p w14:paraId="702B4B31">
                  <w:pPr>
                    <w:jc w:val="center"/>
                    <w:rPr>
                      <w:color w:val="auto"/>
                      <w:szCs w:val="21"/>
                    </w:rPr>
                  </w:pPr>
                  <w:r>
                    <w:rPr>
                      <w:rFonts w:hint="default"/>
                      <w:color w:val="auto"/>
                      <w:szCs w:val="21"/>
                      <w:lang w:eastAsia="zh-CN"/>
                    </w:rPr>
                    <w:t>无毒无害包装材料</w:t>
                  </w:r>
                </w:p>
              </w:tc>
              <w:tc>
                <w:tcPr>
                  <w:tcW w:w="877" w:type="dxa"/>
                  <w:noWrap w:val="0"/>
                  <w:vAlign w:val="center"/>
                </w:tcPr>
                <w:p w14:paraId="5D0D965C">
                  <w:pPr>
                    <w:topLinePunct/>
                    <w:adjustRightInd w:val="0"/>
                    <w:snapToGrid w:val="0"/>
                    <w:jc w:val="center"/>
                    <w:rPr>
                      <w:rFonts w:hint="default"/>
                      <w:color w:val="auto"/>
                      <w:szCs w:val="21"/>
                      <w:lang w:eastAsia="zh-CN"/>
                    </w:rPr>
                  </w:pPr>
                  <w:r>
                    <w:rPr>
                      <w:rFonts w:hint="eastAsia" w:ascii="Times New Roman" w:hAnsi="Times New Roman" w:eastAsia="宋体"/>
                      <w:color w:val="auto"/>
                      <w:kern w:val="2"/>
                      <w:sz w:val="21"/>
                      <w:szCs w:val="21"/>
                      <w:lang w:val="en-US" w:eastAsia="zh-CN" w:bidi="ar-SA"/>
                    </w:rPr>
                    <w:t>SW17</w:t>
                  </w:r>
                </w:p>
              </w:tc>
              <w:tc>
                <w:tcPr>
                  <w:tcW w:w="1365" w:type="dxa"/>
                  <w:noWrap w:val="0"/>
                  <w:vAlign w:val="center"/>
                </w:tcPr>
                <w:p w14:paraId="73E9CE81">
                  <w:pPr>
                    <w:jc w:val="center"/>
                    <w:rPr>
                      <w:color w:val="auto"/>
                      <w:szCs w:val="21"/>
                    </w:rPr>
                  </w:pPr>
                  <w:r>
                    <w:rPr>
                      <w:rFonts w:hint="default"/>
                      <w:color w:val="auto"/>
                      <w:szCs w:val="21"/>
                      <w:lang w:eastAsia="zh-CN"/>
                    </w:rPr>
                    <w:t>无毒无害包装材料</w:t>
                  </w:r>
                </w:p>
              </w:tc>
              <w:tc>
                <w:tcPr>
                  <w:tcW w:w="1173" w:type="dxa"/>
                  <w:noWrap w:val="0"/>
                  <w:vAlign w:val="center"/>
                </w:tcPr>
                <w:p w14:paraId="2B301B36">
                  <w:pPr>
                    <w:jc w:val="center"/>
                    <w:rPr>
                      <w:rFonts w:hint="default" w:eastAsia="宋体"/>
                      <w:color w:val="auto"/>
                      <w:szCs w:val="21"/>
                      <w:lang w:val="en-US" w:eastAsia="zh-CN"/>
                    </w:rPr>
                  </w:pPr>
                  <w:r>
                    <w:rPr>
                      <w:rFonts w:hint="eastAsia"/>
                      <w:color w:val="auto"/>
                      <w:szCs w:val="21"/>
                      <w:lang w:val="en-US" w:eastAsia="zh-CN"/>
                    </w:rPr>
                    <w:t>0.05</w:t>
                  </w:r>
                </w:p>
              </w:tc>
              <w:tc>
                <w:tcPr>
                  <w:tcW w:w="1866" w:type="dxa"/>
                  <w:vMerge w:val="continue"/>
                  <w:noWrap w:val="0"/>
                  <w:vAlign w:val="center"/>
                </w:tcPr>
                <w:p w14:paraId="47ACBE65">
                  <w:pPr>
                    <w:jc w:val="center"/>
                    <w:rPr>
                      <w:color w:val="auto"/>
                      <w:szCs w:val="21"/>
                    </w:rPr>
                  </w:pPr>
                </w:p>
              </w:tc>
            </w:tr>
            <w:tr w14:paraId="34B0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 w:hRule="exact"/>
                <w:jc w:val="center"/>
              </w:trPr>
              <w:tc>
                <w:tcPr>
                  <w:tcW w:w="5764" w:type="dxa"/>
                  <w:gridSpan w:val="6"/>
                  <w:noWrap w:val="0"/>
                  <w:vAlign w:val="center"/>
                </w:tcPr>
                <w:p w14:paraId="5C20590C">
                  <w:pPr>
                    <w:jc w:val="center"/>
                    <w:rPr>
                      <w:color w:val="auto"/>
                      <w:szCs w:val="21"/>
                    </w:rPr>
                  </w:pPr>
                  <w:r>
                    <w:rPr>
                      <w:color w:val="auto"/>
                      <w:szCs w:val="21"/>
                    </w:rPr>
                    <w:t>小计</w:t>
                  </w:r>
                </w:p>
              </w:tc>
              <w:tc>
                <w:tcPr>
                  <w:tcW w:w="1173" w:type="dxa"/>
                  <w:noWrap w:val="0"/>
                  <w:vAlign w:val="center"/>
                </w:tcPr>
                <w:p w14:paraId="5F461153">
                  <w:pPr>
                    <w:jc w:val="center"/>
                    <w:rPr>
                      <w:rFonts w:hint="default" w:eastAsia="宋体"/>
                      <w:color w:val="auto"/>
                      <w:szCs w:val="21"/>
                      <w:lang w:val="en-US" w:eastAsia="zh-CN"/>
                    </w:rPr>
                  </w:pPr>
                  <w:r>
                    <w:rPr>
                      <w:rFonts w:hint="eastAsia"/>
                      <w:color w:val="auto"/>
                      <w:szCs w:val="21"/>
                      <w:lang w:val="en-US" w:eastAsia="zh-CN"/>
                    </w:rPr>
                    <w:t>40.2</w:t>
                  </w:r>
                </w:p>
              </w:tc>
              <w:tc>
                <w:tcPr>
                  <w:tcW w:w="1866" w:type="dxa"/>
                  <w:noWrap w:val="0"/>
                  <w:vAlign w:val="center"/>
                </w:tcPr>
                <w:p w14:paraId="612F5145">
                  <w:pPr>
                    <w:jc w:val="center"/>
                    <w:rPr>
                      <w:color w:val="auto"/>
                      <w:szCs w:val="21"/>
                    </w:rPr>
                  </w:pPr>
                  <w:r>
                    <w:rPr>
                      <w:color w:val="auto"/>
                      <w:szCs w:val="21"/>
                    </w:rPr>
                    <w:t>/</w:t>
                  </w:r>
                </w:p>
              </w:tc>
            </w:tr>
            <w:tr w14:paraId="21DC0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429" w:type="dxa"/>
                  <w:vMerge w:val="restart"/>
                  <w:noWrap w:val="0"/>
                  <w:vAlign w:val="center"/>
                </w:tcPr>
                <w:p w14:paraId="3B3F90BE">
                  <w:pPr>
                    <w:jc w:val="center"/>
                    <w:rPr>
                      <w:color w:val="auto"/>
                      <w:szCs w:val="21"/>
                    </w:rPr>
                  </w:pPr>
                  <w:r>
                    <w:rPr>
                      <w:color w:val="auto"/>
                      <w:szCs w:val="21"/>
                    </w:rPr>
                    <w:t>2</w:t>
                  </w:r>
                </w:p>
              </w:tc>
              <w:tc>
                <w:tcPr>
                  <w:tcW w:w="590" w:type="dxa"/>
                  <w:vMerge w:val="restart"/>
                  <w:noWrap w:val="0"/>
                  <w:vAlign w:val="center"/>
                </w:tcPr>
                <w:p w14:paraId="5875C611">
                  <w:pPr>
                    <w:jc w:val="center"/>
                    <w:rPr>
                      <w:color w:val="auto"/>
                      <w:szCs w:val="21"/>
                    </w:rPr>
                  </w:pPr>
                  <w:r>
                    <w:rPr>
                      <w:color w:val="auto"/>
                      <w:szCs w:val="21"/>
                    </w:rPr>
                    <w:t>危险废物</w:t>
                  </w:r>
                </w:p>
              </w:tc>
              <w:tc>
                <w:tcPr>
                  <w:tcW w:w="1172" w:type="dxa"/>
                  <w:vMerge w:val="restart"/>
                  <w:noWrap w:val="0"/>
                  <w:vAlign w:val="center"/>
                </w:tcPr>
                <w:p w14:paraId="1F1C28B8">
                  <w:pPr>
                    <w:jc w:val="center"/>
                    <w:rPr>
                      <w:color w:val="auto"/>
                      <w:szCs w:val="21"/>
                    </w:rPr>
                  </w:pPr>
                  <w:r>
                    <w:rPr>
                      <w:color w:val="auto"/>
                      <w:szCs w:val="21"/>
                    </w:rPr>
                    <w:t>医疗废物</w:t>
                  </w:r>
                </w:p>
              </w:tc>
              <w:tc>
                <w:tcPr>
                  <w:tcW w:w="1331" w:type="dxa"/>
                  <w:noWrap w:val="0"/>
                  <w:vAlign w:val="center"/>
                </w:tcPr>
                <w:p w14:paraId="7C5F08F4">
                  <w:pPr>
                    <w:jc w:val="center"/>
                    <w:rPr>
                      <w:color w:val="auto"/>
                      <w:szCs w:val="21"/>
                    </w:rPr>
                  </w:pPr>
                  <w:r>
                    <w:rPr>
                      <w:color w:val="auto"/>
                      <w:szCs w:val="21"/>
                    </w:rPr>
                    <w:t>感染性废物</w:t>
                  </w:r>
                </w:p>
              </w:tc>
              <w:tc>
                <w:tcPr>
                  <w:tcW w:w="877" w:type="dxa"/>
                  <w:noWrap w:val="0"/>
                  <w:vAlign w:val="center"/>
                </w:tcPr>
                <w:p w14:paraId="06B97BDA">
                  <w:pPr>
                    <w:adjustRightInd w:val="0"/>
                    <w:snapToGrid w:val="0"/>
                    <w:jc w:val="center"/>
                    <w:rPr>
                      <w:color w:val="auto"/>
                      <w:kern w:val="0"/>
                      <w:szCs w:val="21"/>
                    </w:rPr>
                  </w:pPr>
                  <w:r>
                    <w:rPr>
                      <w:color w:val="auto"/>
                      <w:szCs w:val="21"/>
                    </w:rPr>
                    <w:t>HW01</w:t>
                  </w:r>
                </w:p>
              </w:tc>
              <w:tc>
                <w:tcPr>
                  <w:tcW w:w="1365" w:type="dxa"/>
                  <w:noWrap w:val="0"/>
                  <w:vAlign w:val="center"/>
                </w:tcPr>
                <w:p w14:paraId="357C5F6E">
                  <w:pPr>
                    <w:adjustRightInd w:val="0"/>
                    <w:snapToGrid w:val="0"/>
                    <w:jc w:val="center"/>
                    <w:rPr>
                      <w:color w:val="auto"/>
                      <w:szCs w:val="21"/>
                    </w:rPr>
                  </w:pPr>
                  <w:r>
                    <w:rPr>
                      <w:color w:val="auto"/>
                      <w:kern w:val="0"/>
                      <w:szCs w:val="21"/>
                    </w:rPr>
                    <w:t>841-001-01</w:t>
                  </w:r>
                </w:p>
              </w:tc>
              <w:tc>
                <w:tcPr>
                  <w:tcW w:w="1173" w:type="dxa"/>
                  <w:noWrap w:val="0"/>
                  <w:vAlign w:val="center"/>
                </w:tcPr>
                <w:p w14:paraId="2A49EC2F">
                  <w:pPr>
                    <w:jc w:val="center"/>
                    <w:rPr>
                      <w:color w:val="auto"/>
                      <w:szCs w:val="21"/>
                    </w:rPr>
                  </w:pPr>
                  <w:r>
                    <w:rPr>
                      <w:rFonts w:hint="eastAsia"/>
                      <w:color w:val="auto"/>
                      <w:szCs w:val="21"/>
                      <w:lang w:val="en-US" w:eastAsia="zh-CN"/>
                    </w:rPr>
                    <w:t>11.68</w:t>
                  </w:r>
                </w:p>
              </w:tc>
              <w:tc>
                <w:tcPr>
                  <w:tcW w:w="1866" w:type="dxa"/>
                  <w:vMerge w:val="restart"/>
                  <w:noWrap w:val="0"/>
                  <w:vAlign w:val="center"/>
                </w:tcPr>
                <w:p w14:paraId="7A2AEF2A">
                  <w:pPr>
                    <w:jc w:val="center"/>
                    <w:rPr>
                      <w:color w:val="auto"/>
                      <w:szCs w:val="21"/>
                    </w:rPr>
                  </w:pPr>
                  <w:r>
                    <w:rPr>
                      <w:color w:val="auto"/>
                      <w:szCs w:val="21"/>
                    </w:rPr>
                    <w:t>分类收集，暂存于医疗废物暂存间内，48小时内交有相应危险废物处理资质单位处置</w:t>
                  </w:r>
                </w:p>
              </w:tc>
            </w:tr>
            <w:tr w14:paraId="6E235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429" w:type="dxa"/>
                  <w:vMerge w:val="continue"/>
                  <w:noWrap w:val="0"/>
                  <w:vAlign w:val="center"/>
                </w:tcPr>
                <w:p w14:paraId="28097F47">
                  <w:pPr>
                    <w:jc w:val="center"/>
                    <w:rPr>
                      <w:color w:val="auto"/>
                      <w:szCs w:val="21"/>
                    </w:rPr>
                  </w:pPr>
                </w:p>
              </w:tc>
              <w:tc>
                <w:tcPr>
                  <w:tcW w:w="590" w:type="dxa"/>
                  <w:vMerge w:val="continue"/>
                  <w:noWrap w:val="0"/>
                  <w:vAlign w:val="center"/>
                </w:tcPr>
                <w:p w14:paraId="327E0A41">
                  <w:pPr>
                    <w:jc w:val="center"/>
                    <w:rPr>
                      <w:color w:val="auto"/>
                      <w:szCs w:val="21"/>
                    </w:rPr>
                  </w:pPr>
                </w:p>
              </w:tc>
              <w:tc>
                <w:tcPr>
                  <w:tcW w:w="1172" w:type="dxa"/>
                  <w:vMerge w:val="continue"/>
                  <w:noWrap w:val="0"/>
                  <w:vAlign w:val="center"/>
                </w:tcPr>
                <w:p w14:paraId="64B82CBA">
                  <w:pPr>
                    <w:jc w:val="center"/>
                    <w:rPr>
                      <w:color w:val="auto"/>
                      <w:szCs w:val="21"/>
                    </w:rPr>
                  </w:pPr>
                </w:p>
              </w:tc>
              <w:tc>
                <w:tcPr>
                  <w:tcW w:w="1331" w:type="dxa"/>
                  <w:noWrap w:val="0"/>
                  <w:vAlign w:val="center"/>
                </w:tcPr>
                <w:p w14:paraId="78BB5580">
                  <w:pPr>
                    <w:jc w:val="center"/>
                    <w:rPr>
                      <w:color w:val="auto"/>
                      <w:szCs w:val="21"/>
                    </w:rPr>
                  </w:pPr>
                  <w:r>
                    <w:rPr>
                      <w:color w:val="auto"/>
                      <w:szCs w:val="21"/>
                    </w:rPr>
                    <w:t>损伤性废物</w:t>
                  </w:r>
                </w:p>
              </w:tc>
              <w:tc>
                <w:tcPr>
                  <w:tcW w:w="877" w:type="dxa"/>
                  <w:noWrap w:val="0"/>
                  <w:vAlign w:val="center"/>
                </w:tcPr>
                <w:p w14:paraId="3D04B218">
                  <w:pPr>
                    <w:adjustRightInd w:val="0"/>
                    <w:snapToGrid w:val="0"/>
                    <w:jc w:val="center"/>
                    <w:rPr>
                      <w:color w:val="auto"/>
                      <w:szCs w:val="21"/>
                    </w:rPr>
                  </w:pPr>
                  <w:r>
                    <w:rPr>
                      <w:color w:val="auto"/>
                      <w:szCs w:val="21"/>
                    </w:rPr>
                    <w:t>HW01</w:t>
                  </w:r>
                </w:p>
              </w:tc>
              <w:tc>
                <w:tcPr>
                  <w:tcW w:w="1365" w:type="dxa"/>
                  <w:noWrap w:val="0"/>
                  <w:vAlign w:val="center"/>
                </w:tcPr>
                <w:p w14:paraId="7DED467C">
                  <w:pPr>
                    <w:adjustRightInd w:val="0"/>
                    <w:snapToGrid w:val="0"/>
                    <w:jc w:val="center"/>
                    <w:rPr>
                      <w:color w:val="auto"/>
                      <w:szCs w:val="21"/>
                    </w:rPr>
                  </w:pPr>
                  <w:r>
                    <w:rPr>
                      <w:color w:val="auto"/>
                      <w:kern w:val="0"/>
                      <w:szCs w:val="21"/>
                    </w:rPr>
                    <w:t>841-002-01</w:t>
                  </w:r>
                </w:p>
              </w:tc>
              <w:tc>
                <w:tcPr>
                  <w:tcW w:w="1173" w:type="dxa"/>
                  <w:noWrap w:val="0"/>
                  <w:vAlign w:val="center"/>
                </w:tcPr>
                <w:p w14:paraId="60E141EF">
                  <w:pPr>
                    <w:jc w:val="center"/>
                    <w:rPr>
                      <w:color w:val="auto"/>
                      <w:szCs w:val="21"/>
                    </w:rPr>
                  </w:pPr>
                  <w:r>
                    <w:rPr>
                      <w:rFonts w:hint="eastAsia"/>
                      <w:color w:val="auto"/>
                      <w:szCs w:val="21"/>
                    </w:rPr>
                    <w:t>0.</w:t>
                  </w:r>
                  <w:r>
                    <w:rPr>
                      <w:rFonts w:hint="eastAsia"/>
                      <w:color w:val="auto"/>
                      <w:szCs w:val="21"/>
                      <w:lang w:val="en-US" w:eastAsia="zh-CN"/>
                    </w:rPr>
                    <w:t>438</w:t>
                  </w:r>
                </w:p>
              </w:tc>
              <w:tc>
                <w:tcPr>
                  <w:tcW w:w="1866" w:type="dxa"/>
                  <w:vMerge w:val="continue"/>
                  <w:noWrap w:val="0"/>
                  <w:vAlign w:val="center"/>
                </w:tcPr>
                <w:p w14:paraId="1FA7295B">
                  <w:pPr>
                    <w:jc w:val="center"/>
                    <w:rPr>
                      <w:color w:val="auto"/>
                      <w:szCs w:val="21"/>
                    </w:rPr>
                  </w:pPr>
                </w:p>
              </w:tc>
            </w:tr>
            <w:tr w14:paraId="30D76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429" w:type="dxa"/>
                  <w:vMerge w:val="continue"/>
                  <w:noWrap w:val="0"/>
                  <w:vAlign w:val="center"/>
                </w:tcPr>
                <w:p w14:paraId="3F660682">
                  <w:pPr>
                    <w:jc w:val="center"/>
                    <w:rPr>
                      <w:color w:val="auto"/>
                      <w:szCs w:val="21"/>
                    </w:rPr>
                  </w:pPr>
                </w:p>
              </w:tc>
              <w:tc>
                <w:tcPr>
                  <w:tcW w:w="590" w:type="dxa"/>
                  <w:vMerge w:val="continue"/>
                  <w:noWrap w:val="0"/>
                  <w:vAlign w:val="center"/>
                </w:tcPr>
                <w:p w14:paraId="37484859">
                  <w:pPr>
                    <w:jc w:val="center"/>
                    <w:rPr>
                      <w:color w:val="auto"/>
                      <w:szCs w:val="21"/>
                    </w:rPr>
                  </w:pPr>
                </w:p>
              </w:tc>
              <w:tc>
                <w:tcPr>
                  <w:tcW w:w="1172" w:type="dxa"/>
                  <w:vMerge w:val="continue"/>
                  <w:noWrap w:val="0"/>
                  <w:vAlign w:val="center"/>
                </w:tcPr>
                <w:p w14:paraId="3A401297">
                  <w:pPr>
                    <w:jc w:val="center"/>
                    <w:rPr>
                      <w:color w:val="auto"/>
                      <w:szCs w:val="21"/>
                    </w:rPr>
                  </w:pPr>
                </w:p>
              </w:tc>
              <w:tc>
                <w:tcPr>
                  <w:tcW w:w="1331" w:type="dxa"/>
                  <w:noWrap w:val="0"/>
                  <w:vAlign w:val="center"/>
                </w:tcPr>
                <w:p w14:paraId="2CE238D2">
                  <w:pPr>
                    <w:jc w:val="center"/>
                    <w:rPr>
                      <w:color w:val="auto"/>
                      <w:szCs w:val="21"/>
                    </w:rPr>
                  </w:pPr>
                  <w:r>
                    <w:rPr>
                      <w:color w:val="auto"/>
                      <w:szCs w:val="21"/>
                    </w:rPr>
                    <w:t>病理性废物</w:t>
                  </w:r>
                </w:p>
              </w:tc>
              <w:tc>
                <w:tcPr>
                  <w:tcW w:w="877" w:type="dxa"/>
                  <w:noWrap w:val="0"/>
                  <w:vAlign w:val="center"/>
                </w:tcPr>
                <w:p w14:paraId="4A6643B2">
                  <w:pPr>
                    <w:adjustRightInd w:val="0"/>
                    <w:snapToGrid w:val="0"/>
                    <w:jc w:val="center"/>
                    <w:rPr>
                      <w:color w:val="auto"/>
                      <w:szCs w:val="21"/>
                    </w:rPr>
                  </w:pPr>
                  <w:r>
                    <w:rPr>
                      <w:color w:val="auto"/>
                      <w:szCs w:val="21"/>
                    </w:rPr>
                    <w:t xml:space="preserve">HW01 </w:t>
                  </w:r>
                </w:p>
              </w:tc>
              <w:tc>
                <w:tcPr>
                  <w:tcW w:w="1365" w:type="dxa"/>
                  <w:noWrap w:val="0"/>
                  <w:vAlign w:val="center"/>
                </w:tcPr>
                <w:p w14:paraId="72DBC3E0">
                  <w:pPr>
                    <w:adjustRightInd w:val="0"/>
                    <w:snapToGrid w:val="0"/>
                    <w:jc w:val="center"/>
                    <w:rPr>
                      <w:color w:val="auto"/>
                      <w:szCs w:val="21"/>
                    </w:rPr>
                  </w:pPr>
                  <w:r>
                    <w:rPr>
                      <w:color w:val="auto"/>
                      <w:kern w:val="0"/>
                      <w:szCs w:val="21"/>
                    </w:rPr>
                    <w:t>841-003-01</w:t>
                  </w:r>
                </w:p>
              </w:tc>
              <w:tc>
                <w:tcPr>
                  <w:tcW w:w="1173" w:type="dxa"/>
                  <w:noWrap w:val="0"/>
                  <w:vAlign w:val="center"/>
                </w:tcPr>
                <w:p w14:paraId="512733A1">
                  <w:pPr>
                    <w:jc w:val="center"/>
                    <w:rPr>
                      <w:color w:val="auto"/>
                      <w:szCs w:val="21"/>
                    </w:rPr>
                  </w:pPr>
                  <w:r>
                    <w:rPr>
                      <w:rFonts w:hint="eastAsia"/>
                      <w:color w:val="auto"/>
                      <w:szCs w:val="21"/>
                      <w:lang w:val="en-US" w:eastAsia="zh-CN"/>
                    </w:rPr>
                    <w:t>0.73</w:t>
                  </w:r>
                </w:p>
              </w:tc>
              <w:tc>
                <w:tcPr>
                  <w:tcW w:w="1866" w:type="dxa"/>
                  <w:vMerge w:val="continue"/>
                  <w:noWrap w:val="0"/>
                  <w:vAlign w:val="center"/>
                </w:tcPr>
                <w:p w14:paraId="2CC0E6D1">
                  <w:pPr>
                    <w:jc w:val="center"/>
                    <w:rPr>
                      <w:color w:val="auto"/>
                      <w:szCs w:val="21"/>
                    </w:rPr>
                  </w:pPr>
                </w:p>
              </w:tc>
            </w:tr>
            <w:tr w14:paraId="7C42E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9" w:type="dxa"/>
                  <w:vMerge w:val="continue"/>
                  <w:noWrap w:val="0"/>
                  <w:vAlign w:val="center"/>
                </w:tcPr>
                <w:p w14:paraId="47245C37">
                  <w:pPr>
                    <w:jc w:val="center"/>
                    <w:rPr>
                      <w:color w:val="auto"/>
                      <w:szCs w:val="21"/>
                    </w:rPr>
                  </w:pPr>
                </w:p>
              </w:tc>
              <w:tc>
                <w:tcPr>
                  <w:tcW w:w="590" w:type="dxa"/>
                  <w:vMerge w:val="continue"/>
                  <w:noWrap w:val="0"/>
                  <w:vAlign w:val="center"/>
                </w:tcPr>
                <w:p w14:paraId="570C4C21">
                  <w:pPr>
                    <w:jc w:val="center"/>
                    <w:rPr>
                      <w:color w:val="auto"/>
                      <w:szCs w:val="21"/>
                    </w:rPr>
                  </w:pPr>
                </w:p>
              </w:tc>
              <w:tc>
                <w:tcPr>
                  <w:tcW w:w="1172" w:type="dxa"/>
                  <w:vMerge w:val="continue"/>
                  <w:noWrap w:val="0"/>
                  <w:vAlign w:val="center"/>
                </w:tcPr>
                <w:p w14:paraId="65998363">
                  <w:pPr>
                    <w:jc w:val="center"/>
                    <w:rPr>
                      <w:color w:val="auto"/>
                      <w:szCs w:val="21"/>
                    </w:rPr>
                  </w:pPr>
                </w:p>
              </w:tc>
              <w:tc>
                <w:tcPr>
                  <w:tcW w:w="1331" w:type="dxa"/>
                  <w:noWrap w:val="0"/>
                  <w:vAlign w:val="center"/>
                </w:tcPr>
                <w:p w14:paraId="4759B4EB">
                  <w:pPr>
                    <w:jc w:val="center"/>
                    <w:rPr>
                      <w:color w:val="auto"/>
                      <w:szCs w:val="21"/>
                    </w:rPr>
                  </w:pPr>
                  <w:r>
                    <w:rPr>
                      <w:color w:val="auto"/>
                      <w:szCs w:val="21"/>
                    </w:rPr>
                    <w:t>化学性废物</w:t>
                  </w:r>
                </w:p>
              </w:tc>
              <w:tc>
                <w:tcPr>
                  <w:tcW w:w="877" w:type="dxa"/>
                  <w:noWrap w:val="0"/>
                  <w:vAlign w:val="center"/>
                </w:tcPr>
                <w:p w14:paraId="429A7D5B">
                  <w:pPr>
                    <w:adjustRightInd w:val="0"/>
                    <w:snapToGrid w:val="0"/>
                    <w:jc w:val="center"/>
                    <w:rPr>
                      <w:color w:val="auto"/>
                      <w:szCs w:val="21"/>
                    </w:rPr>
                  </w:pPr>
                  <w:r>
                    <w:rPr>
                      <w:color w:val="auto"/>
                      <w:szCs w:val="21"/>
                    </w:rPr>
                    <w:t xml:space="preserve">HW01 </w:t>
                  </w:r>
                </w:p>
              </w:tc>
              <w:tc>
                <w:tcPr>
                  <w:tcW w:w="1365" w:type="dxa"/>
                  <w:noWrap w:val="0"/>
                  <w:vAlign w:val="center"/>
                </w:tcPr>
                <w:p w14:paraId="3898FEBF">
                  <w:pPr>
                    <w:adjustRightInd w:val="0"/>
                    <w:snapToGrid w:val="0"/>
                    <w:jc w:val="center"/>
                    <w:rPr>
                      <w:color w:val="auto"/>
                      <w:szCs w:val="21"/>
                    </w:rPr>
                  </w:pPr>
                  <w:r>
                    <w:rPr>
                      <w:color w:val="auto"/>
                      <w:szCs w:val="21"/>
                    </w:rPr>
                    <w:t xml:space="preserve"> </w:t>
                  </w:r>
                  <w:r>
                    <w:rPr>
                      <w:color w:val="auto"/>
                      <w:kern w:val="0"/>
                      <w:szCs w:val="21"/>
                    </w:rPr>
                    <w:t>841-004-01</w:t>
                  </w:r>
                </w:p>
              </w:tc>
              <w:tc>
                <w:tcPr>
                  <w:tcW w:w="1173" w:type="dxa"/>
                  <w:noWrap w:val="0"/>
                  <w:vAlign w:val="center"/>
                </w:tcPr>
                <w:p w14:paraId="483ADBE1">
                  <w:pPr>
                    <w:jc w:val="center"/>
                    <w:rPr>
                      <w:color w:val="auto"/>
                      <w:szCs w:val="21"/>
                    </w:rPr>
                  </w:pPr>
                  <w:r>
                    <w:rPr>
                      <w:rFonts w:hint="eastAsia"/>
                      <w:color w:val="auto"/>
                      <w:szCs w:val="21"/>
                      <w:lang w:val="en-US" w:eastAsia="zh-CN"/>
                    </w:rPr>
                    <w:t>0.292</w:t>
                  </w:r>
                </w:p>
              </w:tc>
              <w:tc>
                <w:tcPr>
                  <w:tcW w:w="1866" w:type="dxa"/>
                  <w:vMerge w:val="continue"/>
                  <w:noWrap w:val="0"/>
                  <w:vAlign w:val="center"/>
                </w:tcPr>
                <w:p w14:paraId="5182639D">
                  <w:pPr>
                    <w:jc w:val="center"/>
                    <w:rPr>
                      <w:color w:val="auto"/>
                      <w:szCs w:val="21"/>
                    </w:rPr>
                  </w:pPr>
                </w:p>
              </w:tc>
            </w:tr>
            <w:tr w14:paraId="65FBB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2" w:hRule="atLeast"/>
                <w:jc w:val="center"/>
              </w:trPr>
              <w:tc>
                <w:tcPr>
                  <w:tcW w:w="429" w:type="dxa"/>
                  <w:vMerge w:val="continue"/>
                  <w:noWrap w:val="0"/>
                  <w:vAlign w:val="center"/>
                </w:tcPr>
                <w:p w14:paraId="2B412CB1">
                  <w:pPr>
                    <w:jc w:val="center"/>
                    <w:rPr>
                      <w:color w:val="auto"/>
                      <w:szCs w:val="21"/>
                    </w:rPr>
                  </w:pPr>
                </w:p>
              </w:tc>
              <w:tc>
                <w:tcPr>
                  <w:tcW w:w="590" w:type="dxa"/>
                  <w:vMerge w:val="continue"/>
                  <w:noWrap w:val="0"/>
                  <w:vAlign w:val="center"/>
                </w:tcPr>
                <w:p w14:paraId="0EF3E95C">
                  <w:pPr>
                    <w:jc w:val="center"/>
                    <w:rPr>
                      <w:color w:val="auto"/>
                      <w:szCs w:val="21"/>
                    </w:rPr>
                  </w:pPr>
                </w:p>
              </w:tc>
              <w:tc>
                <w:tcPr>
                  <w:tcW w:w="1172" w:type="dxa"/>
                  <w:vMerge w:val="continue"/>
                  <w:noWrap w:val="0"/>
                  <w:vAlign w:val="center"/>
                </w:tcPr>
                <w:p w14:paraId="3159A00E">
                  <w:pPr>
                    <w:jc w:val="center"/>
                    <w:rPr>
                      <w:color w:val="auto"/>
                      <w:szCs w:val="21"/>
                    </w:rPr>
                  </w:pPr>
                </w:p>
              </w:tc>
              <w:tc>
                <w:tcPr>
                  <w:tcW w:w="1331" w:type="dxa"/>
                  <w:noWrap w:val="0"/>
                  <w:vAlign w:val="center"/>
                </w:tcPr>
                <w:p w14:paraId="16F1A419">
                  <w:pPr>
                    <w:jc w:val="center"/>
                    <w:rPr>
                      <w:color w:val="auto"/>
                      <w:szCs w:val="21"/>
                    </w:rPr>
                  </w:pPr>
                  <w:r>
                    <w:rPr>
                      <w:color w:val="auto"/>
                      <w:szCs w:val="21"/>
                    </w:rPr>
                    <w:t>药物性废物</w:t>
                  </w:r>
                </w:p>
              </w:tc>
              <w:tc>
                <w:tcPr>
                  <w:tcW w:w="877" w:type="dxa"/>
                  <w:noWrap w:val="0"/>
                  <w:vAlign w:val="center"/>
                </w:tcPr>
                <w:p w14:paraId="6F0973D8">
                  <w:pPr>
                    <w:adjustRightInd w:val="0"/>
                    <w:snapToGrid w:val="0"/>
                    <w:jc w:val="center"/>
                    <w:rPr>
                      <w:color w:val="auto"/>
                      <w:szCs w:val="21"/>
                    </w:rPr>
                  </w:pPr>
                  <w:r>
                    <w:rPr>
                      <w:color w:val="auto"/>
                      <w:szCs w:val="21"/>
                    </w:rPr>
                    <w:t xml:space="preserve">HW01 </w:t>
                  </w:r>
                </w:p>
              </w:tc>
              <w:tc>
                <w:tcPr>
                  <w:tcW w:w="1365" w:type="dxa"/>
                  <w:noWrap w:val="0"/>
                  <w:vAlign w:val="center"/>
                </w:tcPr>
                <w:p w14:paraId="60BD75F3">
                  <w:pPr>
                    <w:adjustRightInd w:val="0"/>
                    <w:snapToGrid w:val="0"/>
                    <w:jc w:val="center"/>
                    <w:rPr>
                      <w:color w:val="auto"/>
                      <w:szCs w:val="21"/>
                    </w:rPr>
                  </w:pPr>
                  <w:r>
                    <w:rPr>
                      <w:color w:val="auto"/>
                      <w:kern w:val="0"/>
                      <w:szCs w:val="21"/>
                    </w:rPr>
                    <w:t>841-005-01</w:t>
                  </w:r>
                </w:p>
              </w:tc>
              <w:tc>
                <w:tcPr>
                  <w:tcW w:w="1173" w:type="dxa"/>
                  <w:noWrap w:val="0"/>
                  <w:vAlign w:val="center"/>
                </w:tcPr>
                <w:p w14:paraId="3CDB749C">
                  <w:pPr>
                    <w:jc w:val="center"/>
                    <w:rPr>
                      <w:color w:val="auto"/>
                      <w:szCs w:val="21"/>
                    </w:rPr>
                  </w:pPr>
                  <w:r>
                    <w:rPr>
                      <w:rFonts w:hint="eastAsia"/>
                      <w:color w:val="auto"/>
                      <w:szCs w:val="21"/>
                      <w:lang w:val="en-US" w:eastAsia="zh-CN"/>
                    </w:rPr>
                    <w:t>1.46</w:t>
                  </w:r>
                </w:p>
              </w:tc>
              <w:tc>
                <w:tcPr>
                  <w:tcW w:w="1866" w:type="dxa"/>
                  <w:vMerge w:val="continue"/>
                  <w:noWrap w:val="0"/>
                  <w:vAlign w:val="center"/>
                </w:tcPr>
                <w:p w14:paraId="7CB28B40">
                  <w:pPr>
                    <w:jc w:val="center"/>
                    <w:rPr>
                      <w:color w:val="auto"/>
                      <w:szCs w:val="21"/>
                    </w:rPr>
                  </w:pPr>
                </w:p>
              </w:tc>
            </w:tr>
            <w:tr w14:paraId="43212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429" w:type="dxa"/>
                  <w:vMerge w:val="continue"/>
                  <w:noWrap w:val="0"/>
                  <w:vAlign w:val="center"/>
                </w:tcPr>
                <w:p w14:paraId="65A73F94">
                  <w:pPr>
                    <w:rPr>
                      <w:color w:val="auto"/>
                      <w:szCs w:val="21"/>
                    </w:rPr>
                  </w:pPr>
                </w:p>
              </w:tc>
              <w:tc>
                <w:tcPr>
                  <w:tcW w:w="590" w:type="dxa"/>
                  <w:vMerge w:val="continue"/>
                  <w:noWrap w:val="0"/>
                  <w:vAlign w:val="center"/>
                </w:tcPr>
                <w:p w14:paraId="411E6A8A">
                  <w:pPr>
                    <w:jc w:val="center"/>
                    <w:rPr>
                      <w:color w:val="auto"/>
                      <w:szCs w:val="21"/>
                    </w:rPr>
                  </w:pPr>
                </w:p>
              </w:tc>
              <w:tc>
                <w:tcPr>
                  <w:tcW w:w="1172" w:type="dxa"/>
                  <w:noWrap w:val="0"/>
                  <w:vAlign w:val="center"/>
                </w:tcPr>
                <w:p w14:paraId="27D068F7">
                  <w:pPr>
                    <w:jc w:val="center"/>
                    <w:rPr>
                      <w:color w:val="auto"/>
                      <w:szCs w:val="21"/>
                    </w:rPr>
                  </w:pPr>
                  <w:r>
                    <w:rPr>
                      <w:color w:val="auto"/>
                      <w:szCs w:val="21"/>
                    </w:rPr>
                    <w:t>废活性炭</w:t>
                  </w:r>
                </w:p>
              </w:tc>
              <w:tc>
                <w:tcPr>
                  <w:tcW w:w="1331" w:type="dxa"/>
                  <w:noWrap w:val="0"/>
                  <w:vAlign w:val="center"/>
                </w:tcPr>
                <w:p w14:paraId="2549C7AF">
                  <w:pPr>
                    <w:jc w:val="center"/>
                    <w:rPr>
                      <w:color w:val="auto"/>
                      <w:szCs w:val="21"/>
                    </w:rPr>
                  </w:pPr>
                  <w:r>
                    <w:rPr>
                      <w:color w:val="auto"/>
                      <w:szCs w:val="21"/>
                    </w:rPr>
                    <w:t>废活性炭</w:t>
                  </w:r>
                </w:p>
              </w:tc>
              <w:tc>
                <w:tcPr>
                  <w:tcW w:w="877" w:type="dxa"/>
                  <w:noWrap w:val="0"/>
                  <w:vAlign w:val="center"/>
                </w:tcPr>
                <w:p w14:paraId="6033ADFC">
                  <w:pPr>
                    <w:jc w:val="center"/>
                    <w:rPr>
                      <w:color w:val="auto"/>
                      <w:kern w:val="0"/>
                      <w:szCs w:val="21"/>
                    </w:rPr>
                  </w:pPr>
                  <w:r>
                    <w:rPr>
                      <w:color w:val="auto"/>
                      <w:kern w:val="0"/>
                      <w:szCs w:val="21"/>
                    </w:rPr>
                    <w:t xml:space="preserve">HW49 </w:t>
                  </w:r>
                </w:p>
              </w:tc>
              <w:tc>
                <w:tcPr>
                  <w:tcW w:w="1365" w:type="dxa"/>
                  <w:noWrap w:val="0"/>
                  <w:vAlign w:val="center"/>
                </w:tcPr>
                <w:p w14:paraId="7420CA57">
                  <w:pPr>
                    <w:jc w:val="center"/>
                    <w:rPr>
                      <w:color w:val="auto"/>
                      <w:szCs w:val="21"/>
                    </w:rPr>
                  </w:pPr>
                  <w:r>
                    <w:rPr>
                      <w:color w:val="auto"/>
                      <w:kern w:val="0"/>
                      <w:szCs w:val="21"/>
                    </w:rPr>
                    <w:t>900-039-49</w:t>
                  </w:r>
                </w:p>
              </w:tc>
              <w:tc>
                <w:tcPr>
                  <w:tcW w:w="1173" w:type="dxa"/>
                  <w:noWrap w:val="0"/>
                  <w:vAlign w:val="center"/>
                </w:tcPr>
                <w:p w14:paraId="290B9FAE">
                  <w:pPr>
                    <w:jc w:val="center"/>
                    <w:rPr>
                      <w:color w:val="auto"/>
                      <w:szCs w:val="21"/>
                    </w:rPr>
                  </w:pPr>
                  <w:r>
                    <w:rPr>
                      <w:rFonts w:hint="eastAsia"/>
                      <w:color w:val="auto"/>
                      <w:szCs w:val="21"/>
                    </w:rPr>
                    <w:t>0</w:t>
                  </w:r>
                  <w:r>
                    <w:rPr>
                      <w:color w:val="auto"/>
                      <w:szCs w:val="21"/>
                    </w:rPr>
                    <w:t>.5</w:t>
                  </w:r>
                </w:p>
              </w:tc>
              <w:tc>
                <w:tcPr>
                  <w:tcW w:w="1866" w:type="dxa"/>
                  <w:noWrap w:val="0"/>
                  <w:vAlign w:val="center"/>
                </w:tcPr>
                <w:p w14:paraId="092CB824">
                  <w:pPr>
                    <w:jc w:val="center"/>
                    <w:rPr>
                      <w:color w:val="auto"/>
                      <w:szCs w:val="21"/>
                    </w:rPr>
                  </w:pPr>
                  <w:r>
                    <w:rPr>
                      <w:color w:val="auto"/>
                      <w:szCs w:val="21"/>
                    </w:rPr>
                    <w:t>交有危废处理资质单位处置</w:t>
                  </w:r>
                </w:p>
              </w:tc>
            </w:tr>
            <w:tr w14:paraId="51661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429" w:type="dxa"/>
                  <w:vMerge w:val="continue"/>
                  <w:noWrap w:val="0"/>
                  <w:vAlign w:val="center"/>
                </w:tcPr>
                <w:p w14:paraId="0A749767">
                  <w:pPr>
                    <w:rPr>
                      <w:color w:val="auto"/>
                      <w:szCs w:val="21"/>
                    </w:rPr>
                  </w:pPr>
                </w:p>
              </w:tc>
              <w:tc>
                <w:tcPr>
                  <w:tcW w:w="590" w:type="dxa"/>
                  <w:vMerge w:val="continue"/>
                  <w:noWrap w:val="0"/>
                  <w:vAlign w:val="center"/>
                </w:tcPr>
                <w:p w14:paraId="090E853A">
                  <w:pPr>
                    <w:jc w:val="center"/>
                    <w:rPr>
                      <w:color w:val="auto"/>
                      <w:szCs w:val="21"/>
                    </w:rPr>
                  </w:pPr>
                </w:p>
              </w:tc>
              <w:tc>
                <w:tcPr>
                  <w:tcW w:w="1172" w:type="dxa"/>
                  <w:noWrap w:val="0"/>
                  <w:vAlign w:val="center"/>
                </w:tcPr>
                <w:p w14:paraId="2B61D538">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特殊废液</w:t>
                  </w:r>
                </w:p>
              </w:tc>
              <w:tc>
                <w:tcPr>
                  <w:tcW w:w="1331" w:type="dxa"/>
                  <w:noWrap w:val="0"/>
                  <w:vAlign w:val="center"/>
                </w:tcPr>
                <w:p w14:paraId="18D10BA1">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特殊废液</w:t>
                  </w:r>
                </w:p>
              </w:tc>
              <w:tc>
                <w:tcPr>
                  <w:tcW w:w="877" w:type="dxa"/>
                  <w:noWrap w:val="0"/>
                  <w:vAlign w:val="center"/>
                </w:tcPr>
                <w:p w14:paraId="2BB204DE">
                  <w:pPr>
                    <w:spacing w:line="240" w:lineRule="auto"/>
                    <w:jc w:val="center"/>
                    <w:rPr>
                      <w:rFonts w:hint="default" w:ascii="Times New Roman" w:hAnsi="Times New Roman" w:eastAsia="宋体" w:cs="Times New Roman"/>
                      <w:color w:val="auto"/>
                      <w:kern w:val="0"/>
                      <w:sz w:val="22"/>
                      <w:szCs w:val="22"/>
                      <w:lang w:val="en-US" w:eastAsia="zh-CN" w:bidi="ar"/>
                    </w:rPr>
                  </w:pPr>
                  <w:r>
                    <w:rPr>
                      <w:rFonts w:hint="default"/>
                      <w:color w:val="auto"/>
                    </w:rPr>
                    <w:t>HW01</w:t>
                  </w:r>
                </w:p>
              </w:tc>
              <w:tc>
                <w:tcPr>
                  <w:tcW w:w="1365" w:type="dxa"/>
                  <w:noWrap w:val="0"/>
                  <w:vAlign w:val="center"/>
                </w:tcPr>
                <w:p w14:paraId="561468BD">
                  <w:pPr>
                    <w:keepNext w:val="0"/>
                    <w:keepLines w:val="0"/>
                    <w:widowControl/>
                    <w:suppressLineNumbers w:val="0"/>
                    <w:jc w:val="center"/>
                    <w:rPr>
                      <w:rFonts w:hint="default"/>
                      <w:color w:val="auto"/>
                      <w:kern w:val="2"/>
                      <w:sz w:val="21"/>
                      <w:szCs w:val="24"/>
                      <w:lang w:val="en-US" w:eastAsia="zh-CN" w:bidi="ar-SA"/>
                    </w:rPr>
                  </w:pPr>
                  <w:r>
                    <w:rPr>
                      <w:color w:val="auto"/>
                      <w:kern w:val="0"/>
                      <w:szCs w:val="21"/>
                    </w:rPr>
                    <w:t>841-001-01</w:t>
                  </w:r>
                </w:p>
              </w:tc>
              <w:tc>
                <w:tcPr>
                  <w:tcW w:w="1173" w:type="dxa"/>
                  <w:noWrap w:val="0"/>
                  <w:vAlign w:val="center"/>
                </w:tcPr>
                <w:p w14:paraId="68380116">
                  <w:pPr>
                    <w:jc w:val="center"/>
                    <w:rPr>
                      <w:rFonts w:hint="default" w:eastAsia="宋体"/>
                      <w:color w:val="auto"/>
                      <w:szCs w:val="21"/>
                      <w:lang w:val="en-US" w:eastAsia="zh-CN"/>
                    </w:rPr>
                  </w:pPr>
                  <w:r>
                    <w:rPr>
                      <w:rFonts w:hint="eastAsia"/>
                      <w:color w:val="auto"/>
                      <w:szCs w:val="21"/>
                      <w:lang w:val="en-US" w:eastAsia="zh-CN"/>
                    </w:rPr>
                    <w:t>0.01</w:t>
                  </w:r>
                </w:p>
              </w:tc>
              <w:tc>
                <w:tcPr>
                  <w:tcW w:w="1866" w:type="dxa"/>
                  <w:noWrap w:val="0"/>
                  <w:vAlign w:val="center"/>
                </w:tcPr>
                <w:p w14:paraId="2B42F5B1">
                  <w:pPr>
                    <w:jc w:val="center"/>
                    <w:rPr>
                      <w:color w:val="auto"/>
                      <w:szCs w:val="21"/>
                    </w:rPr>
                  </w:pPr>
                  <w:r>
                    <w:rPr>
                      <w:rFonts w:hint="default" w:ascii="Times New Roman" w:hAnsi="Times New Roman" w:eastAsia="宋体" w:cs="Times New Roman"/>
                      <w:color w:val="auto"/>
                      <w:szCs w:val="21"/>
                    </w:rPr>
                    <w:t>交有相应危废处理资质单位处置</w:t>
                  </w:r>
                </w:p>
              </w:tc>
            </w:tr>
            <w:tr w14:paraId="0E23F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29" w:type="dxa"/>
                  <w:vMerge w:val="continue"/>
                  <w:noWrap w:val="0"/>
                  <w:vAlign w:val="center"/>
                </w:tcPr>
                <w:p w14:paraId="06045337">
                  <w:pPr>
                    <w:rPr>
                      <w:color w:val="auto"/>
                      <w:szCs w:val="21"/>
                    </w:rPr>
                  </w:pPr>
                </w:p>
              </w:tc>
              <w:tc>
                <w:tcPr>
                  <w:tcW w:w="590" w:type="dxa"/>
                  <w:vMerge w:val="continue"/>
                  <w:noWrap w:val="0"/>
                  <w:vAlign w:val="center"/>
                </w:tcPr>
                <w:p w14:paraId="56338553">
                  <w:pPr>
                    <w:jc w:val="center"/>
                    <w:rPr>
                      <w:color w:val="auto"/>
                      <w:szCs w:val="21"/>
                    </w:rPr>
                  </w:pPr>
                </w:p>
              </w:tc>
              <w:tc>
                <w:tcPr>
                  <w:tcW w:w="1172" w:type="dxa"/>
                  <w:noWrap w:val="0"/>
                  <w:vAlign w:val="center"/>
                </w:tcPr>
                <w:p w14:paraId="0965509B">
                  <w:pPr>
                    <w:jc w:val="center"/>
                    <w:rPr>
                      <w:color w:val="auto"/>
                      <w:szCs w:val="21"/>
                    </w:rPr>
                  </w:pPr>
                  <w:r>
                    <w:rPr>
                      <w:color w:val="auto"/>
                      <w:szCs w:val="21"/>
                    </w:rPr>
                    <w:t>医院污水处理站污泥</w:t>
                  </w:r>
                </w:p>
              </w:tc>
              <w:tc>
                <w:tcPr>
                  <w:tcW w:w="1331" w:type="dxa"/>
                  <w:noWrap w:val="0"/>
                  <w:vAlign w:val="center"/>
                </w:tcPr>
                <w:p w14:paraId="6323CCDE">
                  <w:pPr>
                    <w:jc w:val="center"/>
                    <w:rPr>
                      <w:color w:val="auto"/>
                      <w:szCs w:val="21"/>
                    </w:rPr>
                  </w:pPr>
                  <w:r>
                    <w:rPr>
                      <w:color w:val="auto"/>
                      <w:szCs w:val="21"/>
                    </w:rPr>
                    <w:t>污泥</w:t>
                  </w:r>
                </w:p>
              </w:tc>
              <w:tc>
                <w:tcPr>
                  <w:tcW w:w="877" w:type="dxa"/>
                  <w:noWrap w:val="0"/>
                  <w:vAlign w:val="center"/>
                </w:tcPr>
                <w:p w14:paraId="4E7CC098">
                  <w:pPr>
                    <w:spacing w:line="240" w:lineRule="auto"/>
                    <w:jc w:val="center"/>
                    <w:rPr>
                      <w:color w:val="auto"/>
                      <w:szCs w:val="21"/>
                    </w:rPr>
                  </w:pPr>
                  <w:r>
                    <w:rPr>
                      <w:rFonts w:hint="default" w:ascii="Times New Roman" w:hAnsi="Times New Roman" w:eastAsia="宋体" w:cs="Times New Roman"/>
                      <w:color w:val="auto"/>
                    </w:rPr>
                    <w:t>SW</w:t>
                  </w:r>
                  <w:r>
                    <w:rPr>
                      <w:rFonts w:hint="eastAsia" w:ascii="Times New Roman" w:hAnsi="Times New Roman" w:eastAsia="宋体" w:cs="Times New Roman"/>
                      <w:color w:val="auto"/>
                      <w:lang w:val="en-US" w:eastAsia="zh-CN"/>
                    </w:rPr>
                    <w:t>07</w:t>
                  </w:r>
                </w:p>
              </w:tc>
              <w:tc>
                <w:tcPr>
                  <w:tcW w:w="1365" w:type="dxa"/>
                  <w:noWrap w:val="0"/>
                  <w:vAlign w:val="center"/>
                </w:tcPr>
                <w:p w14:paraId="35286FF4">
                  <w:pPr>
                    <w:jc w:val="center"/>
                    <w:rPr>
                      <w:color w:val="auto"/>
                      <w:szCs w:val="21"/>
                    </w:rPr>
                  </w:pPr>
                  <w:r>
                    <w:rPr>
                      <w:rFonts w:hint="default" w:ascii="Times New Roman" w:hAnsi="Times New Roman" w:eastAsia="宋体" w:cs="Times New Roman"/>
                      <w:color w:val="auto"/>
                    </w:rPr>
                    <w:t>900-099-S</w:t>
                  </w:r>
                  <w:r>
                    <w:rPr>
                      <w:rFonts w:hint="eastAsia" w:ascii="Times New Roman" w:hAnsi="Times New Roman" w:eastAsia="宋体" w:cs="Times New Roman"/>
                      <w:color w:val="auto"/>
                      <w:lang w:val="en-US" w:eastAsia="zh-CN"/>
                    </w:rPr>
                    <w:t>07</w:t>
                  </w:r>
                </w:p>
              </w:tc>
              <w:tc>
                <w:tcPr>
                  <w:tcW w:w="1173" w:type="dxa"/>
                  <w:noWrap w:val="0"/>
                  <w:vAlign w:val="center"/>
                </w:tcPr>
                <w:p w14:paraId="1F67E2DB">
                  <w:pPr>
                    <w:jc w:val="center"/>
                    <w:rPr>
                      <w:rFonts w:hint="default" w:eastAsia="宋体"/>
                      <w:color w:val="auto"/>
                      <w:szCs w:val="21"/>
                      <w:lang w:val="en-US" w:eastAsia="zh-CN"/>
                    </w:rPr>
                  </w:pPr>
                  <w:r>
                    <w:rPr>
                      <w:rFonts w:hint="eastAsia"/>
                      <w:color w:val="auto"/>
                      <w:szCs w:val="21"/>
                      <w:lang w:val="en-US" w:eastAsia="zh-CN"/>
                    </w:rPr>
                    <w:t>2.92</w:t>
                  </w:r>
                </w:p>
              </w:tc>
              <w:tc>
                <w:tcPr>
                  <w:tcW w:w="1866" w:type="dxa"/>
                  <w:noWrap w:val="0"/>
                  <w:vAlign w:val="center"/>
                </w:tcPr>
                <w:p w14:paraId="706F8F8B">
                  <w:pPr>
                    <w:jc w:val="center"/>
                    <w:rPr>
                      <w:color w:val="auto"/>
                      <w:szCs w:val="21"/>
                    </w:rPr>
                  </w:pPr>
                  <w:r>
                    <w:rPr>
                      <w:color w:val="auto"/>
                      <w:szCs w:val="21"/>
                    </w:rPr>
                    <w:t>定期清掏、消毒、脱水后交由环卫部门统一处置</w:t>
                  </w:r>
                </w:p>
              </w:tc>
            </w:tr>
            <w:tr w14:paraId="0920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29" w:type="dxa"/>
                  <w:vMerge w:val="continue"/>
                  <w:noWrap w:val="0"/>
                  <w:vAlign w:val="center"/>
                </w:tcPr>
                <w:p w14:paraId="4779DFA2">
                  <w:pPr>
                    <w:rPr>
                      <w:color w:val="auto"/>
                      <w:szCs w:val="21"/>
                    </w:rPr>
                  </w:pPr>
                </w:p>
              </w:tc>
              <w:tc>
                <w:tcPr>
                  <w:tcW w:w="590" w:type="dxa"/>
                  <w:vMerge w:val="continue"/>
                  <w:noWrap w:val="0"/>
                  <w:vAlign w:val="center"/>
                </w:tcPr>
                <w:p w14:paraId="49825C2E">
                  <w:pPr>
                    <w:jc w:val="center"/>
                    <w:rPr>
                      <w:color w:val="auto"/>
                      <w:szCs w:val="21"/>
                    </w:rPr>
                  </w:pPr>
                </w:p>
              </w:tc>
              <w:tc>
                <w:tcPr>
                  <w:tcW w:w="1172" w:type="dxa"/>
                  <w:noWrap w:val="0"/>
                  <w:vAlign w:val="center"/>
                </w:tcPr>
                <w:p w14:paraId="1829E928">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废紫外线灯管</w:t>
                  </w:r>
                </w:p>
              </w:tc>
              <w:tc>
                <w:tcPr>
                  <w:tcW w:w="1331" w:type="dxa"/>
                  <w:noWrap w:val="0"/>
                  <w:vAlign w:val="center"/>
                </w:tcPr>
                <w:p w14:paraId="5B75D7B5">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废紫外线灯管</w:t>
                  </w:r>
                </w:p>
              </w:tc>
              <w:tc>
                <w:tcPr>
                  <w:tcW w:w="877" w:type="dxa"/>
                  <w:noWrap w:val="0"/>
                  <w:vAlign w:val="center"/>
                </w:tcPr>
                <w:p w14:paraId="466D50D4">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HW</w:t>
                  </w:r>
                  <w:r>
                    <w:rPr>
                      <w:rFonts w:hint="default" w:ascii="Times New Roman" w:hAnsi="Times New Roman" w:eastAsia="宋体" w:cs="Times New Roman"/>
                      <w:color w:val="auto"/>
                      <w:kern w:val="0"/>
                      <w:sz w:val="21"/>
                      <w:szCs w:val="21"/>
                      <w:lang w:val="en-US" w:eastAsia="zh-CN"/>
                    </w:rPr>
                    <w:t xml:space="preserve">29 </w:t>
                  </w:r>
                </w:p>
              </w:tc>
              <w:tc>
                <w:tcPr>
                  <w:tcW w:w="1365" w:type="dxa"/>
                  <w:noWrap w:val="0"/>
                  <w:vAlign w:val="center"/>
                </w:tcPr>
                <w:p w14:paraId="5516D972">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900-023-29</w:t>
                  </w:r>
                </w:p>
              </w:tc>
              <w:tc>
                <w:tcPr>
                  <w:tcW w:w="1173" w:type="dxa"/>
                  <w:noWrap w:val="0"/>
                  <w:vAlign w:val="center"/>
                </w:tcPr>
                <w:p w14:paraId="066506B7">
                  <w:pPr>
                    <w:jc w:val="center"/>
                    <w:rPr>
                      <w:rFonts w:hint="eastAsia"/>
                      <w:color w:val="auto"/>
                      <w:szCs w:val="21"/>
                      <w:lang w:val="en-US" w:eastAsia="zh-CN"/>
                    </w:rPr>
                  </w:pPr>
                  <w:r>
                    <w:rPr>
                      <w:rFonts w:hint="default" w:ascii="Times New Roman" w:hAnsi="Times New Roman" w:eastAsia="宋体" w:cs="Times New Roman"/>
                      <w:color w:val="auto"/>
                      <w:szCs w:val="21"/>
                    </w:rPr>
                    <w:t>0.</w:t>
                  </w:r>
                  <w:r>
                    <w:rPr>
                      <w:rFonts w:hint="eastAsia" w:cs="Times New Roman"/>
                      <w:color w:val="auto"/>
                      <w:szCs w:val="21"/>
                      <w:lang w:val="en-US" w:eastAsia="zh-CN"/>
                    </w:rPr>
                    <w:t>0</w:t>
                  </w:r>
                  <w:r>
                    <w:rPr>
                      <w:rFonts w:hint="default" w:ascii="Times New Roman" w:hAnsi="Times New Roman" w:eastAsia="宋体" w:cs="Times New Roman"/>
                      <w:color w:val="auto"/>
                      <w:szCs w:val="21"/>
                    </w:rPr>
                    <w:t>1</w:t>
                  </w:r>
                </w:p>
              </w:tc>
              <w:tc>
                <w:tcPr>
                  <w:tcW w:w="1866" w:type="dxa"/>
                  <w:noWrap w:val="0"/>
                  <w:vAlign w:val="center"/>
                </w:tcPr>
                <w:p w14:paraId="023D7278">
                  <w:pPr>
                    <w:jc w:val="center"/>
                    <w:rPr>
                      <w:color w:val="auto"/>
                      <w:szCs w:val="21"/>
                    </w:rPr>
                  </w:pPr>
                  <w:r>
                    <w:rPr>
                      <w:color w:val="auto"/>
                      <w:szCs w:val="21"/>
                    </w:rPr>
                    <w:t>交有危废处理资质单位处置</w:t>
                  </w:r>
                </w:p>
              </w:tc>
            </w:tr>
            <w:tr w14:paraId="30329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 w:hRule="atLeast"/>
                <w:jc w:val="center"/>
              </w:trPr>
              <w:tc>
                <w:tcPr>
                  <w:tcW w:w="5764" w:type="dxa"/>
                  <w:gridSpan w:val="6"/>
                  <w:noWrap w:val="0"/>
                  <w:vAlign w:val="center"/>
                </w:tcPr>
                <w:p w14:paraId="49DED63F">
                  <w:pPr>
                    <w:jc w:val="center"/>
                    <w:rPr>
                      <w:color w:val="auto"/>
                      <w:szCs w:val="21"/>
                    </w:rPr>
                  </w:pPr>
                  <w:r>
                    <w:rPr>
                      <w:color w:val="auto"/>
                      <w:szCs w:val="21"/>
                    </w:rPr>
                    <w:t>危险固废小计</w:t>
                  </w:r>
                </w:p>
              </w:tc>
              <w:tc>
                <w:tcPr>
                  <w:tcW w:w="1173" w:type="dxa"/>
                  <w:noWrap w:val="0"/>
                  <w:vAlign w:val="center"/>
                </w:tcPr>
                <w:p w14:paraId="160D5926">
                  <w:pPr>
                    <w:jc w:val="center"/>
                    <w:rPr>
                      <w:rFonts w:hint="default" w:eastAsia="宋体"/>
                      <w:color w:val="auto"/>
                      <w:szCs w:val="21"/>
                      <w:lang w:val="en-US" w:eastAsia="zh-CN"/>
                    </w:rPr>
                  </w:pPr>
                  <w:r>
                    <w:rPr>
                      <w:rFonts w:hint="eastAsia"/>
                      <w:color w:val="auto"/>
                      <w:szCs w:val="21"/>
                    </w:rPr>
                    <w:t>1</w:t>
                  </w:r>
                  <w:r>
                    <w:rPr>
                      <w:rFonts w:hint="eastAsia"/>
                      <w:color w:val="auto"/>
                      <w:szCs w:val="21"/>
                      <w:lang w:val="en-US" w:eastAsia="zh-CN"/>
                    </w:rPr>
                    <w:t>8.04</w:t>
                  </w:r>
                </w:p>
              </w:tc>
              <w:tc>
                <w:tcPr>
                  <w:tcW w:w="1866" w:type="dxa"/>
                  <w:noWrap w:val="0"/>
                  <w:vAlign w:val="center"/>
                </w:tcPr>
                <w:p w14:paraId="592B4E7A">
                  <w:pPr>
                    <w:jc w:val="center"/>
                    <w:rPr>
                      <w:color w:val="auto"/>
                      <w:szCs w:val="21"/>
                    </w:rPr>
                  </w:pPr>
                  <w:r>
                    <w:rPr>
                      <w:color w:val="auto"/>
                      <w:szCs w:val="21"/>
                    </w:rPr>
                    <w:t>/</w:t>
                  </w:r>
                </w:p>
              </w:tc>
            </w:tr>
            <w:tr w14:paraId="4D73F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5764" w:type="dxa"/>
                  <w:gridSpan w:val="6"/>
                  <w:noWrap w:val="0"/>
                  <w:vAlign w:val="center"/>
                </w:tcPr>
                <w:p w14:paraId="2947C492">
                  <w:pPr>
                    <w:jc w:val="center"/>
                    <w:rPr>
                      <w:color w:val="auto"/>
                      <w:szCs w:val="21"/>
                    </w:rPr>
                  </w:pPr>
                  <w:r>
                    <w:rPr>
                      <w:color w:val="auto"/>
                      <w:szCs w:val="21"/>
                    </w:rPr>
                    <w:t>合计</w:t>
                  </w:r>
                </w:p>
              </w:tc>
              <w:tc>
                <w:tcPr>
                  <w:tcW w:w="1173" w:type="dxa"/>
                  <w:noWrap w:val="0"/>
                  <w:vAlign w:val="center"/>
                </w:tcPr>
                <w:p w14:paraId="078C9F05">
                  <w:pPr>
                    <w:jc w:val="center"/>
                    <w:rPr>
                      <w:rFonts w:hint="default" w:eastAsia="宋体"/>
                      <w:color w:val="auto"/>
                      <w:szCs w:val="21"/>
                      <w:lang w:val="en-US" w:eastAsia="zh-CN"/>
                    </w:rPr>
                  </w:pPr>
                  <w:r>
                    <w:rPr>
                      <w:rFonts w:hint="eastAsia"/>
                      <w:color w:val="auto"/>
                      <w:szCs w:val="21"/>
                      <w:lang w:val="en-US" w:eastAsia="zh-CN"/>
                    </w:rPr>
                    <w:t>58.24</w:t>
                  </w:r>
                </w:p>
              </w:tc>
              <w:tc>
                <w:tcPr>
                  <w:tcW w:w="1866" w:type="dxa"/>
                  <w:noWrap w:val="0"/>
                  <w:vAlign w:val="center"/>
                </w:tcPr>
                <w:p w14:paraId="727D3366">
                  <w:pPr>
                    <w:jc w:val="center"/>
                    <w:rPr>
                      <w:color w:val="auto"/>
                      <w:szCs w:val="21"/>
                    </w:rPr>
                  </w:pPr>
                  <w:r>
                    <w:rPr>
                      <w:color w:val="auto"/>
                      <w:szCs w:val="21"/>
                    </w:rPr>
                    <w:t>/</w:t>
                  </w:r>
                </w:p>
              </w:tc>
            </w:tr>
          </w:tbl>
          <w:p w14:paraId="1BA6D412">
            <w:pPr>
              <w:pStyle w:val="31"/>
              <w:spacing w:before="120" w:beforeLines="50" w:line="360" w:lineRule="auto"/>
              <w:ind w:firstLine="442" w:firstLineChars="200"/>
              <w:jc w:val="left"/>
              <w:textAlignment w:val="auto"/>
              <w:rPr>
                <w:rFonts w:ascii="Times New Roman" w:eastAsia="宋体" w:cs="Times New Roman"/>
                <w:b/>
                <w:color w:val="auto"/>
                <w:spacing w:val="-10"/>
                <w:szCs w:val="21"/>
              </w:rPr>
            </w:pPr>
            <w:r>
              <w:rPr>
                <w:rFonts w:hint="default" w:ascii="Times New Roman" w:hAnsi="Times New Roman" w:cs="Times New Roman"/>
                <w:b/>
                <w:color w:val="auto"/>
                <w:spacing w:val="-10"/>
                <w:sz w:val="24"/>
                <w:lang w:val="en-US" w:eastAsia="zh-CN"/>
              </w:rPr>
              <w:t>4</w:t>
            </w:r>
            <w:r>
              <w:rPr>
                <w:rFonts w:hint="default" w:ascii="Times New Roman" w:hAnsi="Times New Roman" w:eastAsia="宋体" w:cs="Times New Roman"/>
                <w:b/>
                <w:color w:val="auto"/>
                <w:spacing w:val="-10"/>
                <w:kern w:val="2"/>
                <w:sz w:val="24"/>
                <w:szCs w:val="24"/>
                <w:lang w:val="en-US" w:eastAsia="zh-CN" w:bidi="ar-SA"/>
              </w:rPr>
              <w:t>.</w:t>
            </w:r>
            <w:r>
              <w:rPr>
                <w:rFonts w:hint="eastAsia" w:ascii="Times New Roman" w:hAnsi="Times New Roman" w:eastAsia="宋体" w:cs="Times New Roman"/>
                <w:b/>
                <w:color w:val="auto"/>
                <w:spacing w:val="-10"/>
                <w:kern w:val="2"/>
                <w:sz w:val="24"/>
                <w:szCs w:val="24"/>
                <w:lang w:val="en-US" w:eastAsia="zh-CN" w:bidi="ar-SA"/>
              </w:rPr>
              <w:t>2.4.2</w:t>
            </w:r>
            <w:r>
              <w:rPr>
                <w:rFonts w:ascii="Times New Roman" w:eastAsia="宋体" w:cs="Times New Roman"/>
                <w:b/>
                <w:color w:val="auto"/>
                <w:spacing w:val="-10"/>
                <w:szCs w:val="21"/>
              </w:rPr>
              <w:t>固体废物防治措施分析</w:t>
            </w:r>
          </w:p>
          <w:p w14:paraId="77C40921">
            <w:pPr>
              <w:pStyle w:val="31"/>
              <w:spacing w:line="360" w:lineRule="auto"/>
              <w:ind w:firstLine="480" w:firstLineChars="200"/>
              <w:jc w:val="left"/>
              <w:textAlignment w:val="auto"/>
              <w:rPr>
                <w:rFonts w:hint="eastAsia" w:ascii="Times New Roman" w:eastAsia="宋体" w:cs="Times New Roman"/>
                <w:bCs/>
                <w:color w:val="auto"/>
                <w:lang w:val="en-US" w:eastAsia="zh-CN"/>
              </w:rPr>
            </w:pPr>
            <w:r>
              <w:rPr>
                <w:rFonts w:hint="eastAsia" w:ascii="Times New Roman" w:eastAsia="宋体" w:cs="Times New Roman"/>
                <w:bCs/>
                <w:color w:val="auto"/>
                <w:lang w:val="en-US" w:eastAsia="zh-CN"/>
              </w:rPr>
              <w:t>医院各层楼均设有垃圾桶收集后，由专职人员分类袋装收集后交市政环卫部门处置，日产日清。</w:t>
            </w:r>
          </w:p>
          <w:p w14:paraId="679FF34F">
            <w:pPr>
              <w:pStyle w:val="31"/>
              <w:spacing w:line="360" w:lineRule="auto"/>
              <w:ind w:firstLine="480" w:firstLineChars="200"/>
              <w:jc w:val="left"/>
              <w:textAlignment w:val="auto"/>
              <w:rPr>
                <w:rFonts w:hint="default" w:ascii="Times New Roman" w:eastAsia="宋体" w:cs="Times New Roman"/>
                <w:bCs/>
                <w:color w:val="auto"/>
                <w:lang w:eastAsia="zh-CN"/>
              </w:rPr>
            </w:pPr>
            <w:r>
              <w:rPr>
                <w:rFonts w:hint="eastAsia" w:ascii="Times New Roman" w:eastAsia="宋体" w:cs="Times New Roman"/>
                <w:bCs/>
                <w:color w:val="auto"/>
                <w:lang w:val="en-US" w:eastAsia="zh-CN"/>
              </w:rPr>
              <w:t>污水处理站污泥由专业的清掏公司定期清掏，清掏的污泥采用石灰消毒处理后交由市政环卫部门清运处置。</w:t>
            </w:r>
          </w:p>
          <w:p w14:paraId="424E7A68">
            <w:pPr>
              <w:pStyle w:val="31"/>
              <w:spacing w:line="360" w:lineRule="auto"/>
              <w:ind w:firstLine="480" w:firstLineChars="200"/>
              <w:jc w:val="left"/>
              <w:textAlignment w:val="auto"/>
              <w:rPr>
                <w:rFonts w:hint="default" w:ascii="Times New Roman" w:eastAsia="宋体" w:cs="Times New Roman"/>
                <w:color w:val="auto"/>
              </w:rPr>
            </w:pPr>
            <w:r>
              <w:rPr>
                <w:rFonts w:ascii="Times New Roman" w:eastAsia="宋体" w:cs="Times New Roman"/>
                <w:bCs/>
                <w:color w:val="auto"/>
              </w:rPr>
              <w:t>现有</w:t>
            </w:r>
            <w:r>
              <w:rPr>
                <w:rFonts w:ascii="Times New Roman" w:eastAsia="宋体" w:cs="Times New Roman"/>
                <w:color w:val="auto"/>
              </w:rPr>
              <w:t>医疗废物暂存间</w:t>
            </w:r>
            <w:r>
              <w:rPr>
                <w:rFonts w:hint="eastAsia" w:ascii="Times New Roman" w:eastAsia="宋体" w:cs="Times New Roman"/>
                <w:color w:val="auto"/>
              </w:rPr>
              <w:t>设置于院区</w:t>
            </w:r>
            <w:r>
              <w:rPr>
                <w:rFonts w:hint="eastAsia" w:ascii="Times New Roman" w:eastAsia="宋体" w:cs="Times New Roman"/>
                <w:color w:val="auto"/>
                <w:lang w:val="en-US" w:eastAsia="zh-CN"/>
              </w:rPr>
              <w:t>1</w:t>
            </w:r>
            <w:r>
              <w:rPr>
                <w:rFonts w:hint="eastAsia" w:ascii="Times New Roman" w:eastAsia="宋体" w:cs="Times New Roman"/>
                <w:color w:val="auto"/>
              </w:rPr>
              <w:t>F</w:t>
            </w:r>
            <w:r>
              <w:rPr>
                <w:rFonts w:ascii="Times New Roman" w:eastAsia="宋体" w:cs="Times New Roman"/>
                <w:color w:val="auto"/>
              </w:rPr>
              <w:t>，建筑面积约</w:t>
            </w:r>
            <w:r>
              <w:rPr>
                <w:rFonts w:hint="eastAsia" w:ascii="Times New Roman" w:eastAsia="宋体" w:cs="Times New Roman"/>
                <w:color w:val="auto"/>
              </w:rPr>
              <w:t>1</w:t>
            </w:r>
            <w:r>
              <w:rPr>
                <w:rFonts w:ascii="Times New Roman" w:eastAsia="宋体" w:cs="Times New Roman"/>
                <w:color w:val="auto"/>
              </w:rPr>
              <w:t>0m</w:t>
            </w:r>
            <w:r>
              <w:rPr>
                <w:rFonts w:ascii="Times New Roman" w:eastAsia="宋体" w:cs="Times New Roman"/>
                <w:color w:val="auto"/>
                <w:vertAlign w:val="superscript"/>
              </w:rPr>
              <w:t>2</w:t>
            </w:r>
            <w:r>
              <w:rPr>
                <w:rFonts w:ascii="Times New Roman" w:eastAsia="宋体" w:cs="Times New Roman"/>
                <w:color w:val="auto"/>
              </w:rPr>
              <w:t>，分为感染性废物暂存区</w:t>
            </w:r>
            <w:r>
              <w:rPr>
                <w:rFonts w:hint="eastAsia" w:ascii="Times New Roman" w:eastAsia="宋体" w:cs="Times New Roman"/>
                <w:color w:val="auto"/>
              </w:rPr>
              <w:t>、危废暂存区</w:t>
            </w:r>
            <w:r>
              <w:rPr>
                <w:rFonts w:ascii="Times New Roman" w:eastAsia="宋体" w:cs="Times New Roman"/>
                <w:color w:val="auto"/>
              </w:rPr>
              <w:t>和其他医疗废物暂存区，医疗固废暂存区“</w:t>
            </w:r>
            <w:r>
              <w:rPr>
                <w:rFonts w:hint="eastAsia" w:ascii="Times New Roman" w:eastAsia="宋体" w:cs="Times New Roman"/>
                <w:color w:val="auto"/>
                <w:lang w:val="en-US" w:eastAsia="zh-CN"/>
              </w:rPr>
              <w:t>六</w:t>
            </w:r>
            <w:r>
              <w:rPr>
                <w:rFonts w:ascii="Times New Roman" w:eastAsia="宋体" w:cs="Times New Roman"/>
                <w:color w:val="auto"/>
              </w:rPr>
              <w:t>防”设施，张贴相应标识标牌，医疗废物暂存间设置排风装置。</w:t>
            </w:r>
            <w:r>
              <w:rPr>
                <w:rFonts w:hint="default" w:ascii="Times New Roman" w:eastAsia="宋体" w:cs="Times New Roman"/>
                <w:color w:val="auto"/>
              </w:rPr>
              <w:t>由有资质的单位用专用车辆运输、处置并执行危险废物联单管理制度。</w:t>
            </w:r>
          </w:p>
          <w:p w14:paraId="39EB21B7">
            <w:pPr>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医疗废物的分类收集和暂时贮存严格按照《医疗卫生机构医疗废物管理办法》、《医疗废物管理条例》、《医疗废物集中处置技术规范》、《医疗废物专用包装袋、容器和警示标志标准》（HJ421-2008）等相关要求执行。具体要求如下：</w:t>
            </w:r>
          </w:p>
          <w:p w14:paraId="64066005">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A.分类收集要求</w:t>
            </w:r>
          </w:p>
          <w:p w14:paraId="29964A58">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扩建项目服务期医疗废物按感染性废物、损伤性废物、病理性废物、药物性废物和化学性废物大类进行分类收集，感染性废物及药物性废物选用防渗漏的专用包装或容器；损伤性废物选用防锐器穿透的专用包装物；具有毒性、腐蚀性、易燃易爆性化学性废物用专用容器密闭收集；另外，废活性炭采用收集桶收集暂存后交资质单位处置。</w:t>
            </w:r>
          </w:p>
          <w:p w14:paraId="144FBE3B">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B.收集容器要求</w:t>
            </w:r>
          </w:p>
          <w:p w14:paraId="258FD6CC">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在盛装前，对收集桶和内部包装袋进行认真检查，确保无破损、渗漏和其他缺陷。医疗废物收集容器主要采用专用包装袋、防刺穿利器盒及防液体渗漏周转箱（桶）等，收集容器颜色均为黄色，所装物品配相应的文字说明（内容包括产生单位、日期、类别及需要的特别说明等）及医疗废物警示标志；另外，废活性炭和废紫外线灯管收集桶外应设置标识标牌等。</w:t>
            </w:r>
          </w:p>
          <w:p w14:paraId="01568AD8">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C.暂时贮存设施要求</w:t>
            </w:r>
          </w:p>
          <w:p w14:paraId="157D86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储存设施要求：扩建项目依托现有项目医疗废物暂存间，面积约10m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医疗废物暂存间与生活垃圾、人员活动密集区隔开，设有专人看管，满足“四防”（即防风、防雨、防晒和防渗漏），并配备有防鼠、防蚊蝇、防蟑螂、防盗以及预防儿童接触等安全措施，暂存间地面和1m高的墙裙做防腐防渗处理，室内张贴“禁止吸烟、饮食”的警示标识及医疗废物警示标识。暂时贮存时间要求：应防止医疗废物在暂存间中腐败散发恶臭，做到日产日清。确实不能日产日清，且当地最高气温高于25℃时，应将医疗废物低温暂时贮存，暂时贮存温度应低于20℃，时间最长不超过48h；定期对暂存设施、设备进行消毒和清洁。</w:t>
            </w:r>
          </w:p>
          <w:p w14:paraId="574D95B6">
            <w:pPr>
              <w:pStyle w:val="31"/>
              <w:spacing w:line="240" w:lineRule="auto"/>
              <w:rPr>
                <w:rFonts w:ascii="Times New Roman" w:eastAsia="宋体" w:cs="Times New Roman"/>
                <w:b/>
                <w:color w:val="auto"/>
              </w:rPr>
            </w:pPr>
            <w:r>
              <w:rPr>
                <w:rFonts w:ascii="Times New Roman" w:eastAsia="宋体" w:cs="Times New Roman"/>
                <w:b/>
                <w:color w:val="auto"/>
              </w:rPr>
              <w:t>表4</w:t>
            </w:r>
            <w:r>
              <w:rPr>
                <w:rFonts w:hint="eastAsia" w:ascii="Times New Roman" w:eastAsia="宋体" w:cs="Times New Roman"/>
                <w:b/>
                <w:color w:val="auto"/>
                <w:lang w:val="en-US" w:eastAsia="zh-CN"/>
              </w:rPr>
              <w:t>.2</w:t>
            </w:r>
            <w:r>
              <w:rPr>
                <w:rFonts w:ascii="Times New Roman" w:eastAsia="宋体" w:cs="Times New Roman"/>
                <w:b/>
                <w:color w:val="auto"/>
              </w:rPr>
              <w:t>-</w:t>
            </w:r>
            <w:r>
              <w:rPr>
                <w:rFonts w:hint="eastAsia" w:ascii="Times New Roman" w:eastAsia="宋体" w:cs="Times New Roman"/>
                <w:b/>
                <w:color w:val="auto"/>
                <w:lang w:val="en-US" w:eastAsia="zh-CN"/>
              </w:rPr>
              <w:t xml:space="preserve">20  </w:t>
            </w:r>
            <w:r>
              <w:rPr>
                <w:rFonts w:ascii="Times New Roman" w:eastAsia="宋体" w:cs="Times New Roman"/>
                <w:b/>
                <w:color w:val="auto"/>
              </w:rPr>
              <w:t>扩建前后</w:t>
            </w:r>
            <w:r>
              <w:rPr>
                <w:rFonts w:hint="eastAsia" w:ascii="Times New Roman" w:eastAsia="宋体" w:cs="Times New Roman"/>
                <w:b/>
                <w:color w:val="auto"/>
                <w:lang w:val="en-US" w:eastAsia="zh-CN"/>
              </w:rPr>
              <w:t>固体废物</w:t>
            </w:r>
            <w:r>
              <w:rPr>
                <w:rFonts w:ascii="Times New Roman" w:eastAsia="宋体" w:cs="Times New Roman"/>
                <w:b/>
                <w:color w:val="auto"/>
              </w:rPr>
              <w:t>排放量的变化情况</w:t>
            </w:r>
          </w:p>
          <w:tbl>
            <w:tblPr>
              <w:tblStyle w:val="25"/>
              <w:tblW w:w="497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1"/>
              <w:gridCol w:w="1895"/>
              <w:gridCol w:w="1147"/>
              <w:gridCol w:w="1175"/>
              <w:gridCol w:w="1286"/>
              <w:gridCol w:w="1480"/>
              <w:gridCol w:w="1259"/>
            </w:tblGrid>
            <w:tr w14:paraId="499C64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07" w:type="pct"/>
                  <w:noWrap w:val="0"/>
                  <w:tcMar>
                    <w:left w:w="51" w:type="dxa"/>
                    <w:right w:w="51" w:type="dxa"/>
                  </w:tcMar>
                  <w:vAlign w:val="center"/>
                </w:tcPr>
                <w:p w14:paraId="206C7347">
                  <w:pPr>
                    <w:spacing w:line="240" w:lineRule="exact"/>
                    <w:contextualSpacing/>
                    <w:jc w:val="center"/>
                    <w:rPr>
                      <w:b/>
                      <w:bCs/>
                      <w:color w:val="auto"/>
                      <w:szCs w:val="21"/>
                    </w:rPr>
                  </w:pPr>
                  <w:r>
                    <w:rPr>
                      <w:b/>
                      <w:bCs/>
                      <w:color w:val="auto"/>
                      <w:szCs w:val="21"/>
                    </w:rPr>
                    <w:t>种类</w:t>
                  </w:r>
                </w:p>
              </w:tc>
              <w:tc>
                <w:tcPr>
                  <w:tcW w:w="1078" w:type="pct"/>
                  <w:noWrap w:val="0"/>
                  <w:vAlign w:val="center"/>
                </w:tcPr>
                <w:p w14:paraId="54F25FA8">
                  <w:pPr>
                    <w:spacing w:line="240" w:lineRule="exact"/>
                    <w:contextualSpacing/>
                    <w:jc w:val="center"/>
                    <w:rPr>
                      <w:b/>
                      <w:bCs/>
                      <w:color w:val="auto"/>
                      <w:szCs w:val="21"/>
                    </w:rPr>
                  </w:pPr>
                  <w:r>
                    <w:rPr>
                      <w:b/>
                      <w:bCs/>
                      <w:color w:val="auto"/>
                      <w:szCs w:val="21"/>
                    </w:rPr>
                    <w:t>污染物名称</w:t>
                  </w:r>
                </w:p>
              </w:tc>
              <w:tc>
                <w:tcPr>
                  <w:tcW w:w="652" w:type="pct"/>
                  <w:noWrap w:val="0"/>
                  <w:vAlign w:val="center"/>
                </w:tcPr>
                <w:p w14:paraId="747D1619">
                  <w:pPr>
                    <w:spacing w:line="240" w:lineRule="exact"/>
                    <w:contextualSpacing/>
                    <w:jc w:val="center"/>
                    <w:rPr>
                      <w:b/>
                      <w:bCs/>
                      <w:color w:val="auto"/>
                      <w:szCs w:val="21"/>
                    </w:rPr>
                  </w:pPr>
                  <w:r>
                    <w:rPr>
                      <w:b/>
                      <w:bCs/>
                      <w:color w:val="auto"/>
                      <w:szCs w:val="21"/>
                    </w:rPr>
                    <w:t>现有工程排放量</w:t>
                  </w:r>
                </w:p>
              </w:tc>
              <w:tc>
                <w:tcPr>
                  <w:tcW w:w="668" w:type="pct"/>
                  <w:noWrap w:val="0"/>
                  <w:vAlign w:val="center"/>
                </w:tcPr>
                <w:p w14:paraId="6483EE36">
                  <w:pPr>
                    <w:spacing w:line="240" w:lineRule="exact"/>
                    <w:contextualSpacing/>
                    <w:jc w:val="center"/>
                    <w:rPr>
                      <w:b/>
                      <w:bCs/>
                      <w:color w:val="auto"/>
                      <w:szCs w:val="21"/>
                    </w:rPr>
                  </w:pPr>
                  <w:r>
                    <w:rPr>
                      <w:b/>
                      <w:bCs/>
                      <w:color w:val="auto"/>
                      <w:szCs w:val="21"/>
                    </w:rPr>
                    <w:t>扩建项目排放量</w:t>
                  </w:r>
                </w:p>
              </w:tc>
              <w:tc>
                <w:tcPr>
                  <w:tcW w:w="732" w:type="pct"/>
                  <w:noWrap w:val="0"/>
                  <w:vAlign w:val="center"/>
                </w:tcPr>
                <w:p w14:paraId="499D0E71">
                  <w:pPr>
                    <w:spacing w:line="240" w:lineRule="exact"/>
                    <w:contextualSpacing/>
                    <w:jc w:val="center"/>
                    <w:rPr>
                      <w:b/>
                      <w:bCs/>
                      <w:color w:val="auto"/>
                      <w:szCs w:val="21"/>
                    </w:rPr>
                  </w:pPr>
                  <w:r>
                    <w:rPr>
                      <w:b/>
                      <w:bCs/>
                      <w:color w:val="auto"/>
                      <w:szCs w:val="21"/>
                    </w:rPr>
                    <w:t>“以新带老”削减量</w:t>
                  </w:r>
                </w:p>
              </w:tc>
              <w:tc>
                <w:tcPr>
                  <w:tcW w:w="842" w:type="pct"/>
                  <w:noWrap w:val="0"/>
                  <w:vAlign w:val="center"/>
                </w:tcPr>
                <w:p w14:paraId="506D0E34">
                  <w:pPr>
                    <w:spacing w:line="240" w:lineRule="exact"/>
                    <w:contextualSpacing/>
                    <w:jc w:val="center"/>
                    <w:rPr>
                      <w:b/>
                      <w:bCs/>
                      <w:color w:val="auto"/>
                      <w:szCs w:val="21"/>
                    </w:rPr>
                  </w:pPr>
                  <w:r>
                    <w:rPr>
                      <w:b/>
                      <w:bCs/>
                      <w:color w:val="auto"/>
                      <w:szCs w:val="21"/>
                    </w:rPr>
                    <w:t>扩建完成后全厂排放量</w:t>
                  </w:r>
                </w:p>
              </w:tc>
              <w:tc>
                <w:tcPr>
                  <w:tcW w:w="716" w:type="pct"/>
                  <w:noWrap w:val="0"/>
                  <w:vAlign w:val="center"/>
                </w:tcPr>
                <w:p w14:paraId="31E00BE9">
                  <w:pPr>
                    <w:spacing w:line="240" w:lineRule="exact"/>
                    <w:contextualSpacing/>
                    <w:jc w:val="center"/>
                    <w:rPr>
                      <w:b/>
                      <w:bCs/>
                      <w:color w:val="auto"/>
                      <w:szCs w:val="21"/>
                    </w:rPr>
                  </w:pPr>
                  <w:r>
                    <w:rPr>
                      <w:b/>
                      <w:bCs/>
                      <w:color w:val="auto"/>
                      <w:szCs w:val="21"/>
                    </w:rPr>
                    <w:t>扩建前后</w:t>
                  </w:r>
                </w:p>
                <w:p w14:paraId="6E415E26">
                  <w:pPr>
                    <w:spacing w:line="240" w:lineRule="exact"/>
                    <w:contextualSpacing/>
                    <w:jc w:val="center"/>
                    <w:rPr>
                      <w:b/>
                      <w:bCs/>
                      <w:color w:val="auto"/>
                      <w:szCs w:val="21"/>
                    </w:rPr>
                  </w:pPr>
                  <w:r>
                    <w:rPr>
                      <w:b/>
                      <w:bCs/>
                      <w:color w:val="auto"/>
                      <w:szCs w:val="21"/>
                    </w:rPr>
                    <w:t>增减量</w:t>
                  </w:r>
                </w:p>
              </w:tc>
            </w:tr>
            <w:tr w14:paraId="2E5CE3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307" w:type="pct"/>
                  <w:vMerge w:val="restart"/>
                  <w:noWrap w:val="0"/>
                  <w:tcMar>
                    <w:left w:w="51" w:type="dxa"/>
                    <w:right w:w="51" w:type="dxa"/>
                  </w:tcMar>
                  <w:vAlign w:val="center"/>
                </w:tcPr>
                <w:p w14:paraId="68152363">
                  <w:pPr>
                    <w:spacing w:line="240" w:lineRule="exact"/>
                    <w:contextualSpacing/>
                    <w:jc w:val="center"/>
                    <w:rPr>
                      <w:color w:val="auto"/>
                      <w:szCs w:val="21"/>
                    </w:rPr>
                  </w:pPr>
                  <w:r>
                    <w:rPr>
                      <w:color w:val="auto"/>
                      <w:szCs w:val="21"/>
                    </w:rPr>
                    <w:t>固体废物</w:t>
                  </w:r>
                </w:p>
              </w:tc>
              <w:tc>
                <w:tcPr>
                  <w:tcW w:w="1078" w:type="pct"/>
                  <w:tcBorders>
                    <w:top w:val="single" w:color="auto" w:sz="4" w:space="0"/>
                    <w:bottom w:val="single" w:color="auto" w:sz="4" w:space="0"/>
                  </w:tcBorders>
                  <w:noWrap w:val="0"/>
                  <w:vAlign w:val="center"/>
                </w:tcPr>
                <w:p w14:paraId="5A885D49">
                  <w:pPr>
                    <w:spacing w:line="240" w:lineRule="exact"/>
                    <w:contextualSpacing/>
                    <w:jc w:val="center"/>
                    <w:rPr>
                      <w:color w:val="auto"/>
                      <w:szCs w:val="21"/>
                    </w:rPr>
                  </w:pPr>
                  <w:r>
                    <w:rPr>
                      <w:color w:val="auto"/>
                      <w:szCs w:val="21"/>
                    </w:rPr>
                    <w:t>生活垃圾（产生量）t/a</w:t>
                  </w:r>
                </w:p>
              </w:tc>
              <w:tc>
                <w:tcPr>
                  <w:tcW w:w="652" w:type="pct"/>
                  <w:noWrap w:val="0"/>
                  <w:tcMar>
                    <w:left w:w="51" w:type="dxa"/>
                    <w:right w:w="51" w:type="dxa"/>
                  </w:tcMar>
                  <w:vAlign w:val="center"/>
                </w:tcPr>
                <w:p w14:paraId="56120EFE">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82.13</w:t>
                  </w:r>
                </w:p>
              </w:tc>
              <w:tc>
                <w:tcPr>
                  <w:tcW w:w="668" w:type="pct"/>
                  <w:noWrap w:val="0"/>
                  <w:vAlign w:val="center"/>
                </w:tcPr>
                <w:p w14:paraId="061F8BB9">
                  <w:pPr>
                    <w:spacing w:line="240" w:lineRule="exact"/>
                    <w:contextualSpacing/>
                    <w:jc w:val="center"/>
                    <w:rPr>
                      <w:rFonts w:hint="default" w:eastAsia="宋体"/>
                      <w:color w:val="auto"/>
                      <w:szCs w:val="21"/>
                      <w:lang w:val="en-US" w:eastAsia="zh-CN"/>
                    </w:rPr>
                  </w:pPr>
                  <w:r>
                    <w:rPr>
                      <w:rFonts w:hint="eastAsia"/>
                      <w:color w:val="auto"/>
                      <w:szCs w:val="21"/>
                      <w:lang w:val="en-US" w:eastAsia="zh-CN"/>
                    </w:rPr>
                    <w:t>40.15</w:t>
                  </w:r>
                </w:p>
              </w:tc>
              <w:tc>
                <w:tcPr>
                  <w:tcW w:w="732" w:type="pct"/>
                  <w:noWrap w:val="0"/>
                  <w:vAlign w:val="center"/>
                </w:tcPr>
                <w:p w14:paraId="7C9218D3">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22B2D0EF">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122.28</w:t>
                  </w:r>
                </w:p>
              </w:tc>
              <w:tc>
                <w:tcPr>
                  <w:tcW w:w="716" w:type="pct"/>
                  <w:noWrap w:val="0"/>
                  <w:vAlign w:val="center"/>
                </w:tcPr>
                <w:p w14:paraId="21B63121">
                  <w:pPr>
                    <w:spacing w:line="240" w:lineRule="exact"/>
                    <w:contextualSpacing/>
                    <w:jc w:val="center"/>
                    <w:rPr>
                      <w:color w:val="auto"/>
                      <w:szCs w:val="21"/>
                    </w:rPr>
                  </w:pPr>
                  <w:r>
                    <w:rPr>
                      <w:rFonts w:hint="eastAsia"/>
                      <w:color w:val="auto"/>
                      <w:szCs w:val="21"/>
                      <w:lang w:val="en-US" w:eastAsia="zh-CN"/>
                    </w:rPr>
                    <w:t>+40.15</w:t>
                  </w:r>
                </w:p>
              </w:tc>
            </w:tr>
            <w:tr w14:paraId="7D614F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307" w:type="pct"/>
                  <w:vMerge w:val="continue"/>
                  <w:noWrap w:val="0"/>
                  <w:tcMar>
                    <w:left w:w="51" w:type="dxa"/>
                    <w:right w:w="51" w:type="dxa"/>
                  </w:tcMar>
                  <w:vAlign w:val="center"/>
                </w:tcPr>
                <w:p w14:paraId="5E29F2AA">
                  <w:pPr>
                    <w:spacing w:line="240" w:lineRule="exact"/>
                    <w:contextualSpacing/>
                    <w:jc w:val="center"/>
                    <w:rPr>
                      <w:color w:val="auto"/>
                      <w:szCs w:val="21"/>
                    </w:rPr>
                  </w:pPr>
                </w:p>
              </w:tc>
              <w:tc>
                <w:tcPr>
                  <w:tcW w:w="1078" w:type="pct"/>
                  <w:tcBorders>
                    <w:top w:val="single" w:color="auto" w:sz="4" w:space="0"/>
                    <w:bottom w:val="single" w:color="auto" w:sz="4" w:space="0"/>
                  </w:tcBorders>
                  <w:noWrap w:val="0"/>
                  <w:vAlign w:val="center"/>
                </w:tcPr>
                <w:p w14:paraId="4E81E99C">
                  <w:pPr>
                    <w:spacing w:line="240" w:lineRule="exact"/>
                    <w:contextualSpacing/>
                    <w:jc w:val="center"/>
                    <w:rPr>
                      <w:color w:val="auto"/>
                      <w:szCs w:val="21"/>
                    </w:rPr>
                  </w:pPr>
                  <w:r>
                    <w:rPr>
                      <w:rFonts w:hint="default"/>
                      <w:color w:val="auto"/>
                      <w:szCs w:val="21"/>
                      <w:lang w:eastAsia="zh-CN"/>
                    </w:rPr>
                    <w:t>无毒无害包装材料</w:t>
                  </w:r>
                </w:p>
              </w:tc>
              <w:tc>
                <w:tcPr>
                  <w:tcW w:w="652" w:type="pct"/>
                  <w:noWrap w:val="0"/>
                  <w:tcMar>
                    <w:left w:w="51" w:type="dxa"/>
                    <w:right w:w="51" w:type="dxa"/>
                  </w:tcMar>
                  <w:vAlign w:val="center"/>
                </w:tcPr>
                <w:p w14:paraId="692AD37D">
                  <w:pPr>
                    <w:pStyle w:val="45"/>
                    <w:spacing w:before="24" w:after="24" w:line="240" w:lineRule="auto"/>
                    <w:rPr>
                      <w:rFonts w:hint="default" w:ascii="Times New Roman"/>
                      <w:color w:val="auto"/>
                      <w:szCs w:val="21"/>
                      <w:lang w:val="en-US" w:eastAsia="zh-CN"/>
                    </w:rPr>
                  </w:pPr>
                  <w:r>
                    <w:rPr>
                      <w:rFonts w:hint="eastAsia" w:ascii="Times New Roman"/>
                      <w:color w:val="auto"/>
                      <w:szCs w:val="21"/>
                      <w:lang w:val="en-US" w:eastAsia="zh-CN"/>
                    </w:rPr>
                    <w:t>0.1</w:t>
                  </w:r>
                </w:p>
              </w:tc>
              <w:tc>
                <w:tcPr>
                  <w:tcW w:w="668" w:type="pct"/>
                  <w:noWrap w:val="0"/>
                  <w:vAlign w:val="center"/>
                </w:tcPr>
                <w:p w14:paraId="44C03FD8">
                  <w:pPr>
                    <w:spacing w:line="240" w:lineRule="exact"/>
                    <w:contextualSpacing/>
                    <w:jc w:val="center"/>
                    <w:rPr>
                      <w:rFonts w:hint="default"/>
                      <w:color w:val="auto"/>
                      <w:szCs w:val="21"/>
                      <w:lang w:val="en-US" w:eastAsia="zh-CN"/>
                    </w:rPr>
                  </w:pPr>
                  <w:r>
                    <w:rPr>
                      <w:rFonts w:hint="eastAsia"/>
                      <w:color w:val="auto"/>
                      <w:szCs w:val="21"/>
                      <w:lang w:val="en-US" w:eastAsia="zh-CN"/>
                    </w:rPr>
                    <w:t>0.05</w:t>
                  </w:r>
                </w:p>
              </w:tc>
              <w:tc>
                <w:tcPr>
                  <w:tcW w:w="732" w:type="pct"/>
                  <w:noWrap w:val="0"/>
                  <w:vAlign w:val="center"/>
                </w:tcPr>
                <w:p w14:paraId="579C23F5">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44E2C2D5">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0.15</w:t>
                  </w:r>
                </w:p>
              </w:tc>
              <w:tc>
                <w:tcPr>
                  <w:tcW w:w="716" w:type="pct"/>
                  <w:noWrap w:val="0"/>
                  <w:vAlign w:val="center"/>
                </w:tcPr>
                <w:p w14:paraId="3999C9AD">
                  <w:pPr>
                    <w:spacing w:line="240" w:lineRule="exact"/>
                    <w:contextualSpacing/>
                    <w:jc w:val="center"/>
                    <w:rPr>
                      <w:rFonts w:hint="eastAsia"/>
                      <w:color w:val="auto"/>
                      <w:szCs w:val="21"/>
                      <w:lang w:val="en-US" w:eastAsia="zh-CN"/>
                    </w:rPr>
                  </w:pPr>
                  <w:r>
                    <w:rPr>
                      <w:rFonts w:hint="eastAsia"/>
                      <w:color w:val="auto"/>
                      <w:szCs w:val="21"/>
                      <w:lang w:val="en-US" w:eastAsia="zh-CN"/>
                    </w:rPr>
                    <w:t>+0.05</w:t>
                  </w:r>
                </w:p>
              </w:tc>
            </w:tr>
            <w:tr w14:paraId="58EC47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307" w:type="pct"/>
                  <w:vMerge w:val="continue"/>
                  <w:noWrap w:val="0"/>
                  <w:tcMar>
                    <w:left w:w="51" w:type="dxa"/>
                    <w:right w:w="51" w:type="dxa"/>
                  </w:tcMar>
                  <w:vAlign w:val="center"/>
                </w:tcPr>
                <w:p w14:paraId="21F78770">
                  <w:pPr>
                    <w:spacing w:line="240" w:lineRule="exact"/>
                    <w:contextualSpacing/>
                    <w:jc w:val="center"/>
                    <w:rPr>
                      <w:color w:val="auto"/>
                      <w:szCs w:val="21"/>
                    </w:rPr>
                  </w:pPr>
                </w:p>
              </w:tc>
              <w:tc>
                <w:tcPr>
                  <w:tcW w:w="1078" w:type="pct"/>
                  <w:tcBorders>
                    <w:top w:val="single" w:color="auto" w:sz="4" w:space="0"/>
                    <w:bottom w:val="single" w:color="auto" w:sz="4" w:space="0"/>
                  </w:tcBorders>
                  <w:noWrap w:val="0"/>
                  <w:vAlign w:val="center"/>
                </w:tcPr>
                <w:p w14:paraId="533494F9">
                  <w:pPr>
                    <w:spacing w:line="240" w:lineRule="exact"/>
                    <w:contextualSpacing/>
                    <w:jc w:val="center"/>
                    <w:rPr>
                      <w:color w:val="auto"/>
                      <w:szCs w:val="21"/>
                    </w:rPr>
                  </w:pPr>
                  <w:r>
                    <w:rPr>
                      <w:color w:val="auto"/>
                      <w:szCs w:val="21"/>
                    </w:rPr>
                    <w:t>污水处理站污泥（产生量）t/a</w:t>
                  </w:r>
                </w:p>
              </w:tc>
              <w:tc>
                <w:tcPr>
                  <w:tcW w:w="652" w:type="pct"/>
                  <w:noWrap w:val="0"/>
                  <w:tcMar>
                    <w:left w:w="51" w:type="dxa"/>
                    <w:right w:w="51" w:type="dxa"/>
                  </w:tcMar>
                  <w:vAlign w:val="center"/>
                </w:tcPr>
                <w:p w14:paraId="413F860C">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6.57</w:t>
                  </w:r>
                </w:p>
              </w:tc>
              <w:tc>
                <w:tcPr>
                  <w:tcW w:w="668" w:type="pct"/>
                  <w:noWrap w:val="0"/>
                  <w:vAlign w:val="center"/>
                </w:tcPr>
                <w:p w14:paraId="6E0C890F">
                  <w:pPr>
                    <w:spacing w:line="240" w:lineRule="exact"/>
                    <w:contextualSpacing/>
                    <w:jc w:val="center"/>
                    <w:rPr>
                      <w:rFonts w:hint="default" w:eastAsia="宋体"/>
                      <w:color w:val="auto"/>
                      <w:szCs w:val="21"/>
                      <w:lang w:val="en-US" w:eastAsia="zh-CN"/>
                    </w:rPr>
                  </w:pPr>
                  <w:r>
                    <w:rPr>
                      <w:rFonts w:hint="eastAsia"/>
                      <w:color w:val="auto"/>
                      <w:szCs w:val="21"/>
                      <w:lang w:val="en-US" w:eastAsia="zh-CN"/>
                    </w:rPr>
                    <w:t>2.92</w:t>
                  </w:r>
                </w:p>
              </w:tc>
              <w:tc>
                <w:tcPr>
                  <w:tcW w:w="732" w:type="pct"/>
                  <w:noWrap w:val="0"/>
                  <w:vAlign w:val="center"/>
                </w:tcPr>
                <w:p w14:paraId="7590AFAC">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18334DD1">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9.49</w:t>
                  </w:r>
                </w:p>
              </w:tc>
              <w:tc>
                <w:tcPr>
                  <w:tcW w:w="716" w:type="pct"/>
                  <w:noWrap w:val="0"/>
                  <w:vAlign w:val="center"/>
                </w:tcPr>
                <w:p w14:paraId="1A108162">
                  <w:pPr>
                    <w:spacing w:line="240" w:lineRule="exact"/>
                    <w:contextualSpacing/>
                    <w:jc w:val="center"/>
                    <w:rPr>
                      <w:color w:val="auto"/>
                      <w:szCs w:val="21"/>
                    </w:rPr>
                  </w:pPr>
                  <w:r>
                    <w:rPr>
                      <w:rFonts w:hint="eastAsia"/>
                      <w:color w:val="auto"/>
                      <w:szCs w:val="21"/>
                      <w:lang w:val="en-US" w:eastAsia="zh-CN"/>
                    </w:rPr>
                    <w:t>+2.92</w:t>
                  </w:r>
                </w:p>
              </w:tc>
            </w:tr>
            <w:tr w14:paraId="3A4DA1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307" w:type="pct"/>
                  <w:vMerge w:val="continue"/>
                  <w:noWrap w:val="0"/>
                  <w:tcMar>
                    <w:left w:w="51" w:type="dxa"/>
                    <w:right w:w="51" w:type="dxa"/>
                  </w:tcMar>
                  <w:vAlign w:val="center"/>
                </w:tcPr>
                <w:p w14:paraId="544003C6">
                  <w:pPr>
                    <w:spacing w:line="240" w:lineRule="exact"/>
                    <w:contextualSpacing/>
                    <w:jc w:val="center"/>
                    <w:rPr>
                      <w:color w:val="auto"/>
                      <w:szCs w:val="21"/>
                    </w:rPr>
                  </w:pPr>
                </w:p>
              </w:tc>
              <w:tc>
                <w:tcPr>
                  <w:tcW w:w="1078" w:type="pct"/>
                  <w:tcBorders>
                    <w:top w:val="single" w:color="auto" w:sz="4" w:space="0"/>
                    <w:bottom w:val="single" w:color="auto" w:sz="4" w:space="0"/>
                  </w:tcBorders>
                  <w:noWrap w:val="0"/>
                  <w:vAlign w:val="center"/>
                </w:tcPr>
                <w:p w14:paraId="5C4E4784">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特殊废液</w:t>
                  </w:r>
                </w:p>
              </w:tc>
              <w:tc>
                <w:tcPr>
                  <w:tcW w:w="652" w:type="pct"/>
                  <w:noWrap w:val="0"/>
                  <w:tcMar>
                    <w:left w:w="51" w:type="dxa"/>
                    <w:right w:w="51" w:type="dxa"/>
                  </w:tcMar>
                  <w:vAlign w:val="center"/>
                </w:tcPr>
                <w:p w14:paraId="6DD8C103">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0.01</w:t>
                  </w:r>
                </w:p>
              </w:tc>
              <w:tc>
                <w:tcPr>
                  <w:tcW w:w="668" w:type="pct"/>
                  <w:noWrap w:val="0"/>
                  <w:vAlign w:val="center"/>
                </w:tcPr>
                <w:p w14:paraId="46ACFE02">
                  <w:pPr>
                    <w:spacing w:line="240" w:lineRule="exact"/>
                    <w:contextualSpacing/>
                    <w:jc w:val="center"/>
                    <w:rPr>
                      <w:rFonts w:hint="default" w:eastAsia="宋体"/>
                      <w:color w:val="auto"/>
                      <w:szCs w:val="21"/>
                      <w:lang w:val="en-US" w:eastAsia="zh-CN"/>
                    </w:rPr>
                  </w:pPr>
                  <w:r>
                    <w:rPr>
                      <w:rFonts w:hint="eastAsia"/>
                      <w:color w:val="auto"/>
                      <w:szCs w:val="21"/>
                      <w:lang w:val="en-US" w:eastAsia="zh-CN"/>
                    </w:rPr>
                    <w:t>0.01</w:t>
                  </w:r>
                </w:p>
              </w:tc>
              <w:tc>
                <w:tcPr>
                  <w:tcW w:w="732" w:type="pct"/>
                  <w:noWrap w:val="0"/>
                  <w:vAlign w:val="center"/>
                </w:tcPr>
                <w:p w14:paraId="408DE997">
                  <w:pPr>
                    <w:widowControl/>
                    <w:adjustRightInd w:val="0"/>
                    <w:snapToGrid w:val="0"/>
                    <w:spacing w:line="240" w:lineRule="exact"/>
                    <w:contextualSpacing/>
                    <w:jc w:val="center"/>
                    <w:rPr>
                      <w:rFonts w:hint="eastAsia" w:eastAsia="宋体"/>
                      <w:color w:val="auto"/>
                      <w:szCs w:val="21"/>
                      <w:lang w:val="en-US" w:eastAsia="zh-CN"/>
                    </w:rPr>
                  </w:pPr>
                  <w:r>
                    <w:rPr>
                      <w:rFonts w:hint="eastAsia"/>
                      <w:color w:val="auto"/>
                      <w:szCs w:val="21"/>
                      <w:lang w:val="en-US" w:eastAsia="zh-CN"/>
                    </w:rPr>
                    <w:t>0</w:t>
                  </w:r>
                </w:p>
              </w:tc>
              <w:tc>
                <w:tcPr>
                  <w:tcW w:w="842" w:type="pct"/>
                  <w:noWrap w:val="0"/>
                  <w:vAlign w:val="center"/>
                </w:tcPr>
                <w:p w14:paraId="417DB1FF">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0.02</w:t>
                  </w:r>
                </w:p>
              </w:tc>
              <w:tc>
                <w:tcPr>
                  <w:tcW w:w="716" w:type="pct"/>
                  <w:noWrap w:val="0"/>
                  <w:vAlign w:val="center"/>
                </w:tcPr>
                <w:p w14:paraId="3EF32807">
                  <w:pPr>
                    <w:spacing w:line="240" w:lineRule="exact"/>
                    <w:contextualSpacing/>
                    <w:jc w:val="center"/>
                    <w:rPr>
                      <w:color w:val="auto"/>
                      <w:szCs w:val="21"/>
                    </w:rPr>
                  </w:pPr>
                  <w:r>
                    <w:rPr>
                      <w:rFonts w:hint="eastAsia"/>
                      <w:color w:val="auto"/>
                      <w:szCs w:val="21"/>
                      <w:lang w:val="en-US" w:eastAsia="zh-CN"/>
                    </w:rPr>
                    <w:t>+0.01</w:t>
                  </w:r>
                </w:p>
              </w:tc>
            </w:tr>
            <w:tr w14:paraId="3FDEA9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307" w:type="pct"/>
                  <w:vMerge w:val="continue"/>
                  <w:noWrap w:val="0"/>
                  <w:tcMar>
                    <w:left w:w="51" w:type="dxa"/>
                    <w:right w:w="51" w:type="dxa"/>
                  </w:tcMar>
                  <w:vAlign w:val="center"/>
                </w:tcPr>
                <w:p w14:paraId="7EBFF5A6">
                  <w:pPr>
                    <w:spacing w:line="240" w:lineRule="exact"/>
                    <w:contextualSpacing/>
                    <w:jc w:val="center"/>
                    <w:rPr>
                      <w:color w:val="auto"/>
                      <w:szCs w:val="21"/>
                    </w:rPr>
                  </w:pPr>
                </w:p>
              </w:tc>
              <w:tc>
                <w:tcPr>
                  <w:tcW w:w="1078" w:type="pct"/>
                  <w:tcBorders>
                    <w:top w:val="single" w:color="auto" w:sz="4" w:space="0"/>
                    <w:bottom w:val="single" w:color="auto" w:sz="4" w:space="0"/>
                  </w:tcBorders>
                  <w:noWrap w:val="0"/>
                  <w:vAlign w:val="center"/>
                </w:tcPr>
                <w:p w14:paraId="6343E288">
                  <w:pPr>
                    <w:pStyle w:val="45"/>
                    <w:spacing w:before="24" w:after="24" w:line="240" w:lineRule="auto"/>
                    <w:rPr>
                      <w:rFonts w:ascii="Times New Roman"/>
                      <w:color w:val="auto"/>
                      <w:szCs w:val="21"/>
                    </w:rPr>
                  </w:pPr>
                  <w:r>
                    <w:rPr>
                      <w:rFonts w:ascii="Times New Roman"/>
                      <w:color w:val="auto"/>
                      <w:szCs w:val="21"/>
                    </w:rPr>
                    <w:t>废活性炭（产生量）t/a</w:t>
                  </w:r>
                </w:p>
              </w:tc>
              <w:tc>
                <w:tcPr>
                  <w:tcW w:w="652" w:type="pct"/>
                  <w:noWrap w:val="0"/>
                  <w:tcMar>
                    <w:left w:w="51" w:type="dxa"/>
                    <w:right w:w="51" w:type="dxa"/>
                  </w:tcMar>
                  <w:vAlign w:val="center"/>
                </w:tcPr>
                <w:p w14:paraId="33440195">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bidi="ar"/>
                    </w:rPr>
                    <w:t>0</w:t>
                  </w:r>
                </w:p>
              </w:tc>
              <w:tc>
                <w:tcPr>
                  <w:tcW w:w="668" w:type="pct"/>
                  <w:noWrap w:val="0"/>
                  <w:vAlign w:val="center"/>
                </w:tcPr>
                <w:p w14:paraId="798A09BF">
                  <w:pPr>
                    <w:spacing w:line="240" w:lineRule="exact"/>
                    <w:contextualSpacing/>
                    <w:jc w:val="center"/>
                    <w:rPr>
                      <w:rFonts w:hint="default"/>
                      <w:color w:val="auto"/>
                      <w:szCs w:val="21"/>
                      <w:lang w:val="en-US"/>
                    </w:rPr>
                  </w:pPr>
                  <w:r>
                    <w:rPr>
                      <w:rFonts w:hint="eastAsia"/>
                      <w:color w:val="auto"/>
                      <w:szCs w:val="21"/>
                      <w:lang w:val="en-US" w:eastAsia="zh-CN"/>
                    </w:rPr>
                    <w:t>0.5</w:t>
                  </w:r>
                </w:p>
              </w:tc>
              <w:tc>
                <w:tcPr>
                  <w:tcW w:w="732" w:type="pct"/>
                  <w:noWrap w:val="0"/>
                  <w:vAlign w:val="center"/>
                </w:tcPr>
                <w:p w14:paraId="433578BD">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610A2D3A">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0.5</w:t>
                  </w:r>
                </w:p>
              </w:tc>
              <w:tc>
                <w:tcPr>
                  <w:tcW w:w="716" w:type="pct"/>
                  <w:noWrap w:val="0"/>
                  <w:vAlign w:val="center"/>
                </w:tcPr>
                <w:p w14:paraId="5861CF5B">
                  <w:pPr>
                    <w:spacing w:line="240" w:lineRule="exact"/>
                    <w:contextualSpacing/>
                    <w:jc w:val="center"/>
                    <w:rPr>
                      <w:color w:val="auto"/>
                      <w:szCs w:val="21"/>
                    </w:rPr>
                  </w:pPr>
                  <w:r>
                    <w:rPr>
                      <w:rFonts w:hint="eastAsia"/>
                      <w:color w:val="auto"/>
                      <w:szCs w:val="21"/>
                      <w:lang w:val="en-US" w:eastAsia="zh-CN"/>
                    </w:rPr>
                    <w:t>+0</w:t>
                  </w:r>
                  <w:r>
                    <w:rPr>
                      <w:color w:val="auto"/>
                      <w:szCs w:val="21"/>
                    </w:rPr>
                    <w:t>.5</w:t>
                  </w:r>
                </w:p>
              </w:tc>
            </w:tr>
            <w:tr w14:paraId="16FEEB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307" w:type="pct"/>
                  <w:vMerge w:val="continue"/>
                  <w:noWrap w:val="0"/>
                  <w:tcMar>
                    <w:left w:w="51" w:type="dxa"/>
                    <w:right w:w="51" w:type="dxa"/>
                  </w:tcMar>
                  <w:vAlign w:val="center"/>
                </w:tcPr>
                <w:p w14:paraId="69C39B1F">
                  <w:pPr>
                    <w:spacing w:line="240" w:lineRule="exact"/>
                    <w:contextualSpacing/>
                    <w:jc w:val="center"/>
                    <w:rPr>
                      <w:color w:val="auto"/>
                      <w:szCs w:val="21"/>
                    </w:rPr>
                  </w:pPr>
                </w:p>
              </w:tc>
              <w:tc>
                <w:tcPr>
                  <w:tcW w:w="1078" w:type="pct"/>
                  <w:tcBorders>
                    <w:top w:val="single" w:color="auto" w:sz="4" w:space="0"/>
                    <w:bottom w:val="single" w:color="auto" w:sz="4" w:space="0"/>
                  </w:tcBorders>
                  <w:noWrap w:val="0"/>
                  <w:vAlign w:val="center"/>
                </w:tcPr>
                <w:p w14:paraId="6335AAD8">
                  <w:pPr>
                    <w:pStyle w:val="45"/>
                    <w:spacing w:before="24" w:after="24" w:line="240" w:lineRule="auto"/>
                    <w:rPr>
                      <w:rFonts w:ascii="Times New Roman"/>
                      <w:color w:val="auto"/>
                      <w:szCs w:val="21"/>
                    </w:rPr>
                  </w:pPr>
                  <w:r>
                    <w:rPr>
                      <w:rFonts w:ascii="Times New Roman"/>
                      <w:color w:val="auto"/>
                      <w:szCs w:val="21"/>
                    </w:rPr>
                    <w:t>医疗废物（产生量）t/a</w:t>
                  </w:r>
                </w:p>
              </w:tc>
              <w:tc>
                <w:tcPr>
                  <w:tcW w:w="652" w:type="pct"/>
                  <w:noWrap w:val="0"/>
                  <w:tcMar>
                    <w:left w:w="51" w:type="dxa"/>
                    <w:right w:w="51" w:type="dxa"/>
                  </w:tcMar>
                  <w:vAlign w:val="center"/>
                </w:tcPr>
                <w:p w14:paraId="425C2B55">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bidi="ar"/>
                    </w:rPr>
                    <w:t>23.7</w:t>
                  </w:r>
                </w:p>
              </w:tc>
              <w:tc>
                <w:tcPr>
                  <w:tcW w:w="668" w:type="pct"/>
                  <w:noWrap w:val="0"/>
                  <w:vAlign w:val="center"/>
                </w:tcPr>
                <w:p w14:paraId="5F10F226">
                  <w:pPr>
                    <w:spacing w:line="240" w:lineRule="exact"/>
                    <w:contextualSpacing/>
                    <w:jc w:val="center"/>
                    <w:rPr>
                      <w:rFonts w:hint="default" w:eastAsia="宋体"/>
                      <w:color w:val="auto"/>
                      <w:szCs w:val="21"/>
                      <w:lang w:val="en-US" w:eastAsia="zh-CN"/>
                    </w:rPr>
                  </w:pPr>
                  <w:r>
                    <w:rPr>
                      <w:rFonts w:hint="eastAsia"/>
                      <w:color w:val="auto"/>
                      <w:szCs w:val="21"/>
                      <w:lang w:val="en-US" w:eastAsia="zh-CN"/>
                    </w:rPr>
                    <w:t>14.6</w:t>
                  </w:r>
                </w:p>
              </w:tc>
              <w:tc>
                <w:tcPr>
                  <w:tcW w:w="732" w:type="pct"/>
                  <w:noWrap w:val="0"/>
                  <w:vAlign w:val="center"/>
                </w:tcPr>
                <w:p w14:paraId="4EFC6737">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6E030FEE">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38.3</w:t>
                  </w:r>
                </w:p>
              </w:tc>
              <w:tc>
                <w:tcPr>
                  <w:tcW w:w="716" w:type="pct"/>
                  <w:noWrap w:val="0"/>
                  <w:vAlign w:val="center"/>
                </w:tcPr>
                <w:p w14:paraId="0EC02B54">
                  <w:pPr>
                    <w:spacing w:line="240" w:lineRule="exact"/>
                    <w:contextualSpacing/>
                    <w:jc w:val="center"/>
                    <w:rPr>
                      <w:color w:val="auto"/>
                      <w:szCs w:val="21"/>
                    </w:rPr>
                  </w:pPr>
                  <w:r>
                    <w:rPr>
                      <w:rFonts w:hint="eastAsia"/>
                      <w:color w:val="auto"/>
                      <w:szCs w:val="21"/>
                      <w:lang w:val="en-US" w:eastAsia="zh-CN"/>
                    </w:rPr>
                    <w:t>+14.6</w:t>
                  </w:r>
                </w:p>
              </w:tc>
            </w:tr>
            <w:tr w14:paraId="4CC7A6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07" w:type="pct"/>
                  <w:vMerge w:val="continue"/>
                  <w:noWrap w:val="0"/>
                  <w:tcMar>
                    <w:left w:w="51" w:type="dxa"/>
                    <w:right w:w="51" w:type="dxa"/>
                  </w:tcMar>
                  <w:vAlign w:val="center"/>
                </w:tcPr>
                <w:p w14:paraId="2D5629F9">
                  <w:pPr>
                    <w:spacing w:line="240" w:lineRule="exact"/>
                    <w:contextualSpacing/>
                    <w:jc w:val="center"/>
                    <w:rPr>
                      <w:color w:val="auto"/>
                      <w:szCs w:val="21"/>
                    </w:rPr>
                  </w:pPr>
                </w:p>
              </w:tc>
              <w:tc>
                <w:tcPr>
                  <w:tcW w:w="1078" w:type="pct"/>
                  <w:tcBorders>
                    <w:top w:val="single" w:color="auto" w:sz="4" w:space="0"/>
                  </w:tcBorders>
                  <w:noWrap w:val="0"/>
                  <w:vAlign w:val="center"/>
                </w:tcPr>
                <w:p w14:paraId="45800321">
                  <w:pPr>
                    <w:pStyle w:val="45"/>
                    <w:spacing w:before="24" w:after="24" w:line="240" w:lineRule="auto"/>
                    <w:rPr>
                      <w:rFonts w:ascii="Times New Roman"/>
                      <w:color w:val="auto"/>
                      <w:szCs w:val="21"/>
                    </w:rPr>
                  </w:pPr>
                  <w:r>
                    <w:rPr>
                      <w:rFonts w:hint="default" w:ascii="Times New Roman" w:hAnsi="Times New Roman" w:eastAsia="宋体" w:cs="Times New Roman"/>
                      <w:color w:val="auto"/>
                      <w:szCs w:val="21"/>
                    </w:rPr>
                    <w:t>废紫外线灯管</w:t>
                  </w:r>
                </w:p>
              </w:tc>
              <w:tc>
                <w:tcPr>
                  <w:tcW w:w="652" w:type="pct"/>
                  <w:noWrap w:val="0"/>
                  <w:tcMar>
                    <w:left w:w="51" w:type="dxa"/>
                    <w:right w:w="51" w:type="dxa"/>
                  </w:tcMar>
                  <w:vAlign w:val="center"/>
                </w:tcPr>
                <w:p w14:paraId="7DDB54BE">
                  <w:pPr>
                    <w:pStyle w:val="45"/>
                    <w:spacing w:before="24" w:after="24" w:line="240" w:lineRule="auto"/>
                    <w:rPr>
                      <w:rFonts w:hint="default" w:ascii="Times New Roman"/>
                      <w:color w:val="auto"/>
                      <w:szCs w:val="21"/>
                      <w:lang w:val="en-US" w:eastAsia="zh-CN" w:bidi="ar"/>
                    </w:rPr>
                  </w:pPr>
                  <w:r>
                    <w:rPr>
                      <w:rFonts w:hint="eastAsia" w:ascii="Times New Roman"/>
                      <w:color w:val="auto"/>
                      <w:szCs w:val="21"/>
                      <w:lang w:val="en-US" w:eastAsia="zh-CN" w:bidi="ar"/>
                    </w:rPr>
                    <w:t>0.01</w:t>
                  </w:r>
                </w:p>
              </w:tc>
              <w:tc>
                <w:tcPr>
                  <w:tcW w:w="668" w:type="pct"/>
                  <w:noWrap w:val="0"/>
                  <w:vAlign w:val="center"/>
                </w:tcPr>
                <w:p w14:paraId="4D82C40F">
                  <w:pPr>
                    <w:spacing w:line="240" w:lineRule="exact"/>
                    <w:contextualSpacing/>
                    <w:jc w:val="center"/>
                    <w:rPr>
                      <w:rFonts w:hint="eastAsia"/>
                      <w:color w:val="auto"/>
                      <w:szCs w:val="21"/>
                      <w:lang w:val="en-US" w:eastAsia="zh-CN"/>
                    </w:rPr>
                  </w:pPr>
                  <w:r>
                    <w:rPr>
                      <w:rFonts w:hint="eastAsia" w:ascii="Times New Roman"/>
                      <w:color w:val="auto"/>
                      <w:szCs w:val="21"/>
                      <w:lang w:val="en-US" w:eastAsia="zh-CN" w:bidi="ar"/>
                    </w:rPr>
                    <w:t>0.01</w:t>
                  </w:r>
                </w:p>
              </w:tc>
              <w:tc>
                <w:tcPr>
                  <w:tcW w:w="732" w:type="pct"/>
                  <w:noWrap w:val="0"/>
                  <w:vAlign w:val="center"/>
                </w:tcPr>
                <w:p w14:paraId="529362B7">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6782BD75">
                  <w:pPr>
                    <w:spacing w:line="240" w:lineRule="exact"/>
                    <w:contextualSpacing/>
                    <w:jc w:val="center"/>
                    <w:rPr>
                      <w:rFonts w:hint="default" w:cs="Times New Roman"/>
                      <w:color w:val="auto"/>
                      <w:szCs w:val="21"/>
                      <w:lang w:val="en-US" w:eastAsia="zh-CN"/>
                    </w:rPr>
                  </w:pPr>
                  <w:r>
                    <w:rPr>
                      <w:rFonts w:hint="eastAsia" w:cs="Times New Roman"/>
                      <w:color w:val="auto"/>
                      <w:szCs w:val="21"/>
                      <w:lang w:val="en-US" w:eastAsia="zh-CN"/>
                    </w:rPr>
                    <w:t>0.02</w:t>
                  </w:r>
                </w:p>
              </w:tc>
              <w:tc>
                <w:tcPr>
                  <w:tcW w:w="716" w:type="pct"/>
                  <w:noWrap w:val="0"/>
                  <w:vAlign w:val="center"/>
                </w:tcPr>
                <w:p w14:paraId="749F5900">
                  <w:pPr>
                    <w:spacing w:line="240" w:lineRule="exact"/>
                    <w:contextualSpacing/>
                    <w:jc w:val="center"/>
                    <w:rPr>
                      <w:rFonts w:hint="eastAsia"/>
                      <w:color w:val="auto"/>
                      <w:szCs w:val="21"/>
                      <w:lang w:val="en-US" w:eastAsia="zh-CN"/>
                    </w:rPr>
                  </w:pPr>
                  <w:r>
                    <w:rPr>
                      <w:rFonts w:hint="eastAsia"/>
                      <w:color w:val="auto"/>
                      <w:szCs w:val="21"/>
                      <w:lang w:val="en-US" w:eastAsia="zh-CN"/>
                    </w:rPr>
                    <w:t>+0.01</w:t>
                  </w:r>
                </w:p>
              </w:tc>
            </w:tr>
          </w:tbl>
          <w:p w14:paraId="347F0909">
            <w:pPr>
              <w:keepNext w:val="0"/>
              <w:keepLines w:val="0"/>
              <w:pageBreakBefore w:val="0"/>
              <w:widowControl w:val="0"/>
              <w:kinsoku/>
              <w:wordWrap/>
              <w:overflowPunct/>
              <w:topLinePunct/>
              <w:autoSpaceDE/>
              <w:autoSpaceDN/>
              <w:bidi w:val="0"/>
              <w:adjustRightInd/>
              <w:snapToGrid/>
              <w:spacing w:line="360" w:lineRule="auto"/>
              <w:jc w:val="center"/>
              <w:textAlignment w:val="auto"/>
              <w:rPr>
                <w:rFonts w:ascii="Times New Roman" w:hAnsi="Times New Roman"/>
                <w:b/>
                <w:bCs/>
                <w:color w:val="auto"/>
                <w:sz w:val="24"/>
                <w:szCs w:val="24"/>
              </w:rPr>
            </w:pPr>
            <w:r>
              <w:rPr>
                <w:rFonts w:ascii="Times New Roman" w:hAnsi="Times New Roman"/>
                <w:b/>
                <w:bCs/>
                <w:color w:val="auto"/>
                <w:sz w:val="24"/>
                <w:szCs w:val="24"/>
              </w:rPr>
              <w:t>表</w:t>
            </w:r>
            <w:r>
              <w:rPr>
                <w:rFonts w:hint="eastAsia" w:ascii="Times New Roman" w:hAnsi="Times New Roman"/>
                <w:b/>
                <w:bCs/>
                <w:color w:val="auto"/>
                <w:sz w:val="24"/>
                <w:szCs w:val="24"/>
                <w:lang w:val="en-US" w:eastAsia="zh-CN"/>
              </w:rPr>
              <w:t>4.2-2</w:t>
            </w:r>
            <w:r>
              <w:rPr>
                <w:rFonts w:hint="eastAsia"/>
                <w:b/>
                <w:bCs/>
                <w:color w:val="auto"/>
                <w:sz w:val="24"/>
                <w:szCs w:val="24"/>
                <w:lang w:val="en-US" w:eastAsia="zh-CN"/>
              </w:rPr>
              <w:t>1</w:t>
            </w:r>
            <w:r>
              <w:rPr>
                <w:rFonts w:hint="eastAsia" w:ascii="Times New Roman" w:hAnsi="Times New Roman"/>
                <w:b/>
                <w:bCs/>
                <w:color w:val="auto"/>
                <w:sz w:val="24"/>
                <w:szCs w:val="24"/>
                <w:lang w:val="en-US" w:eastAsia="zh-CN"/>
              </w:rPr>
              <w:t xml:space="preserve"> 危险废物储存库</w:t>
            </w:r>
            <w:r>
              <w:rPr>
                <w:rFonts w:ascii="Times New Roman" w:hAnsi="Times New Roman"/>
                <w:b/>
                <w:bCs/>
                <w:color w:val="auto"/>
                <w:sz w:val="24"/>
                <w:szCs w:val="24"/>
              </w:rPr>
              <w:t>基本情况表</w:t>
            </w: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0"/>
              <w:gridCol w:w="966"/>
              <w:gridCol w:w="1359"/>
              <w:gridCol w:w="941"/>
              <w:gridCol w:w="1307"/>
              <w:gridCol w:w="738"/>
              <w:gridCol w:w="778"/>
              <w:gridCol w:w="786"/>
              <w:gridCol w:w="625"/>
              <w:gridCol w:w="936"/>
            </w:tblGrid>
            <w:tr w14:paraId="3FBB5A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tcBorders>
                    <w:top w:val="single" w:color="auto" w:sz="8" w:space="0"/>
                    <w:left w:val="single" w:color="auto" w:sz="8" w:space="0"/>
                    <w:bottom w:val="single" w:color="auto" w:sz="4" w:space="0"/>
                    <w:right w:val="single" w:color="auto" w:sz="4" w:space="0"/>
                  </w:tcBorders>
                  <w:noWrap w:val="0"/>
                  <w:vAlign w:val="center"/>
                </w:tcPr>
                <w:p w14:paraId="0F052D17">
                  <w:pPr>
                    <w:pStyle w:val="68"/>
                    <w:bidi w:val="0"/>
                    <w:jc w:val="center"/>
                    <w:rPr>
                      <w:rFonts w:hint="eastAsia"/>
                      <w:color w:val="auto"/>
                      <w:lang w:val="en-US" w:eastAsia="zh-CN"/>
                    </w:rPr>
                  </w:pPr>
                  <w:r>
                    <w:rPr>
                      <w:rFonts w:hint="eastAsia"/>
                      <w:color w:val="auto"/>
                      <w:lang w:val="en-US" w:eastAsia="zh-CN"/>
                    </w:rPr>
                    <w:t>序号</w:t>
                  </w:r>
                </w:p>
              </w:tc>
              <w:tc>
                <w:tcPr>
                  <w:tcW w:w="547" w:type="pct"/>
                  <w:tcBorders>
                    <w:top w:val="single" w:color="auto" w:sz="8" w:space="0"/>
                    <w:left w:val="single" w:color="auto" w:sz="4" w:space="0"/>
                    <w:bottom w:val="single" w:color="auto" w:sz="4" w:space="0"/>
                    <w:right w:val="single" w:color="auto" w:sz="4" w:space="0"/>
                  </w:tcBorders>
                  <w:noWrap w:val="0"/>
                  <w:vAlign w:val="center"/>
                </w:tcPr>
                <w:p w14:paraId="5CC4B782">
                  <w:pPr>
                    <w:pStyle w:val="68"/>
                    <w:bidi w:val="0"/>
                    <w:jc w:val="center"/>
                    <w:rPr>
                      <w:rFonts w:hint="eastAsia"/>
                      <w:color w:val="auto"/>
                      <w:lang w:val="en-US" w:eastAsia="zh-CN"/>
                    </w:rPr>
                  </w:pPr>
                  <w:r>
                    <w:rPr>
                      <w:rFonts w:hint="eastAsia"/>
                      <w:color w:val="auto"/>
                      <w:lang w:val="en-US" w:eastAsia="zh-CN"/>
                    </w:rPr>
                    <w:t>贮存场所（设施）名称</w:t>
                  </w:r>
                </w:p>
              </w:tc>
              <w:tc>
                <w:tcPr>
                  <w:tcW w:w="770" w:type="pct"/>
                  <w:tcBorders>
                    <w:top w:val="single" w:color="auto" w:sz="8" w:space="0"/>
                    <w:left w:val="single" w:color="auto" w:sz="4" w:space="0"/>
                    <w:bottom w:val="single" w:color="auto" w:sz="4" w:space="0"/>
                    <w:right w:val="single" w:color="auto" w:sz="4" w:space="0"/>
                  </w:tcBorders>
                  <w:noWrap w:val="0"/>
                  <w:vAlign w:val="center"/>
                </w:tcPr>
                <w:p w14:paraId="34DAE455">
                  <w:pPr>
                    <w:pStyle w:val="68"/>
                    <w:bidi w:val="0"/>
                    <w:jc w:val="center"/>
                    <w:rPr>
                      <w:rFonts w:hint="eastAsia"/>
                      <w:color w:val="auto"/>
                      <w:lang w:val="en-US" w:eastAsia="zh-CN"/>
                    </w:rPr>
                  </w:pPr>
                  <w:r>
                    <w:rPr>
                      <w:rFonts w:hint="eastAsia"/>
                      <w:color w:val="auto"/>
                      <w:lang w:val="en-US" w:eastAsia="zh-CN"/>
                    </w:rPr>
                    <w:t>危险废物名称</w:t>
                  </w:r>
                </w:p>
              </w:tc>
              <w:tc>
                <w:tcPr>
                  <w:tcW w:w="533" w:type="pct"/>
                  <w:tcBorders>
                    <w:top w:val="single" w:color="auto" w:sz="8" w:space="0"/>
                    <w:left w:val="single" w:color="auto" w:sz="4" w:space="0"/>
                    <w:bottom w:val="single" w:color="auto" w:sz="4" w:space="0"/>
                    <w:right w:val="single" w:color="auto" w:sz="4" w:space="0"/>
                  </w:tcBorders>
                  <w:noWrap w:val="0"/>
                  <w:vAlign w:val="center"/>
                </w:tcPr>
                <w:p w14:paraId="064589C6">
                  <w:pPr>
                    <w:pStyle w:val="68"/>
                    <w:bidi w:val="0"/>
                    <w:jc w:val="center"/>
                    <w:rPr>
                      <w:rFonts w:hint="eastAsia"/>
                      <w:color w:val="auto"/>
                      <w:lang w:val="en-US" w:eastAsia="zh-CN"/>
                    </w:rPr>
                  </w:pPr>
                  <w:r>
                    <w:rPr>
                      <w:rFonts w:hint="eastAsia"/>
                      <w:color w:val="auto"/>
                      <w:lang w:val="en-US" w:eastAsia="zh-CN"/>
                    </w:rPr>
                    <w:t>危险废物类别</w:t>
                  </w:r>
                </w:p>
              </w:tc>
              <w:tc>
                <w:tcPr>
                  <w:tcW w:w="741" w:type="pct"/>
                  <w:tcBorders>
                    <w:top w:val="single" w:color="auto" w:sz="8" w:space="0"/>
                    <w:left w:val="single" w:color="auto" w:sz="4" w:space="0"/>
                    <w:bottom w:val="single" w:color="auto" w:sz="4" w:space="0"/>
                    <w:right w:val="single" w:color="auto" w:sz="4" w:space="0"/>
                  </w:tcBorders>
                  <w:noWrap w:val="0"/>
                  <w:vAlign w:val="center"/>
                </w:tcPr>
                <w:p w14:paraId="0F7AA9F0">
                  <w:pPr>
                    <w:pStyle w:val="68"/>
                    <w:bidi w:val="0"/>
                    <w:jc w:val="center"/>
                    <w:rPr>
                      <w:rFonts w:hint="eastAsia"/>
                      <w:color w:val="auto"/>
                      <w:lang w:val="en-US" w:eastAsia="zh-CN"/>
                    </w:rPr>
                  </w:pPr>
                  <w:r>
                    <w:rPr>
                      <w:rFonts w:hint="eastAsia"/>
                      <w:color w:val="auto"/>
                      <w:lang w:val="en-US" w:eastAsia="zh-CN"/>
                    </w:rPr>
                    <w:t>危险废物代码</w:t>
                  </w:r>
                </w:p>
              </w:tc>
              <w:tc>
                <w:tcPr>
                  <w:tcW w:w="418" w:type="pct"/>
                  <w:tcBorders>
                    <w:top w:val="single" w:color="auto" w:sz="8" w:space="0"/>
                    <w:left w:val="single" w:color="auto" w:sz="4" w:space="0"/>
                    <w:bottom w:val="single" w:color="auto" w:sz="4" w:space="0"/>
                    <w:right w:val="single" w:color="auto" w:sz="4" w:space="0"/>
                  </w:tcBorders>
                  <w:noWrap w:val="0"/>
                  <w:vAlign w:val="center"/>
                </w:tcPr>
                <w:p w14:paraId="3C62D913">
                  <w:pPr>
                    <w:pStyle w:val="68"/>
                    <w:bidi w:val="0"/>
                    <w:jc w:val="center"/>
                    <w:rPr>
                      <w:rFonts w:hint="eastAsia"/>
                      <w:color w:val="auto"/>
                      <w:lang w:val="en-US" w:eastAsia="zh-CN"/>
                    </w:rPr>
                  </w:pPr>
                  <w:r>
                    <w:rPr>
                      <w:rFonts w:hint="eastAsia"/>
                      <w:color w:val="auto"/>
                      <w:lang w:val="en-US" w:eastAsia="zh-CN"/>
                    </w:rPr>
                    <w:t>位置</w:t>
                  </w:r>
                </w:p>
              </w:tc>
              <w:tc>
                <w:tcPr>
                  <w:tcW w:w="441" w:type="pct"/>
                  <w:tcBorders>
                    <w:top w:val="single" w:color="auto" w:sz="8" w:space="0"/>
                    <w:left w:val="single" w:color="auto" w:sz="4" w:space="0"/>
                    <w:bottom w:val="single" w:color="auto" w:sz="4" w:space="0"/>
                    <w:right w:val="single" w:color="auto" w:sz="4" w:space="0"/>
                  </w:tcBorders>
                  <w:noWrap w:val="0"/>
                  <w:vAlign w:val="center"/>
                </w:tcPr>
                <w:p w14:paraId="369CA21C">
                  <w:pPr>
                    <w:pStyle w:val="68"/>
                    <w:bidi w:val="0"/>
                    <w:jc w:val="center"/>
                    <w:rPr>
                      <w:rFonts w:hint="eastAsia"/>
                      <w:color w:val="auto"/>
                      <w:lang w:val="en-US" w:eastAsia="zh-CN"/>
                    </w:rPr>
                  </w:pPr>
                  <w:r>
                    <w:rPr>
                      <w:rFonts w:hint="eastAsia"/>
                      <w:color w:val="auto"/>
                      <w:lang w:val="en-US" w:eastAsia="zh-CN"/>
                    </w:rPr>
                    <w:t>占地面积</w:t>
                  </w:r>
                </w:p>
              </w:tc>
              <w:tc>
                <w:tcPr>
                  <w:tcW w:w="445" w:type="pct"/>
                  <w:tcBorders>
                    <w:top w:val="single" w:color="auto" w:sz="8" w:space="0"/>
                    <w:left w:val="single" w:color="auto" w:sz="4" w:space="0"/>
                    <w:bottom w:val="single" w:color="auto" w:sz="4" w:space="0"/>
                    <w:right w:val="single" w:color="auto" w:sz="4" w:space="0"/>
                  </w:tcBorders>
                  <w:noWrap w:val="0"/>
                  <w:vAlign w:val="center"/>
                </w:tcPr>
                <w:p w14:paraId="33D6FC7C">
                  <w:pPr>
                    <w:pStyle w:val="68"/>
                    <w:bidi w:val="0"/>
                    <w:jc w:val="center"/>
                    <w:rPr>
                      <w:rFonts w:hint="eastAsia"/>
                      <w:color w:val="auto"/>
                      <w:lang w:val="en-US" w:eastAsia="zh-CN"/>
                    </w:rPr>
                  </w:pPr>
                  <w:r>
                    <w:rPr>
                      <w:rFonts w:hint="eastAsia"/>
                      <w:color w:val="auto"/>
                      <w:lang w:val="en-US" w:eastAsia="zh-CN"/>
                    </w:rPr>
                    <w:t>贮存方式</w:t>
                  </w:r>
                </w:p>
              </w:tc>
              <w:tc>
                <w:tcPr>
                  <w:tcW w:w="354" w:type="pct"/>
                  <w:tcBorders>
                    <w:top w:val="single" w:color="auto" w:sz="8" w:space="0"/>
                    <w:left w:val="single" w:color="auto" w:sz="4" w:space="0"/>
                    <w:bottom w:val="single" w:color="auto" w:sz="4" w:space="0"/>
                    <w:right w:val="single" w:color="auto" w:sz="4" w:space="0"/>
                  </w:tcBorders>
                  <w:noWrap w:val="0"/>
                  <w:vAlign w:val="center"/>
                </w:tcPr>
                <w:p w14:paraId="0FCFFDDB">
                  <w:pPr>
                    <w:pStyle w:val="68"/>
                    <w:bidi w:val="0"/>
                    <w:jc w:val="center"/>
                    <w:rPr>
                      <w:rFonts w:hint="eastAsia"/>
                      <w:color w:val="auto"/>
                      <w:lang w:val="en-US" w:eastAsia="zh-CN"/>
                    </w:rPr>
                  </w:pPr>
                  <w:r>
                    <w:rPr>
                      <w:rFonts w:hint="eastAsia"/>
                      <w:color w:val="auto"/>
                      <w:lang w:val="en-US" w:eastAsia="zh-CN"/>
                    </w:rPr>
                    <w:t>贮存</w:t>
                  </w:r>
                </w:p>
                <w:p w14:paraId="0053DF1E">
                  <w:pPr>
                    <w:pStyle w:val="68"/>
                    <w:bidi w:val="0"/>
                    <w:jc w:val="center"/>
                    <w:rPr>
                      <w:rFonts w:hint="eastAsia"/>
                      <w:color w:val="auto"/>
                      <w:lang w:val="en-US" w:eastAsia="zh-CN"/>
                    </w:rPr>
                  </w:pPr>
                  <w:r>
                    <w:rPr>
                      <w:rFonts w:hint="eastAsia"/>
                      <w:color w:val="auto"/>
                      <w:lang w:val="en-US" w:eastAsia="zh-CN"/>
                    </w:rPr>
                    <w:t>能力</w:t>
                  </w:r>
                </w:p>
              </w:tc>
              <w:tc>
                <w:tcPr>
                  <w:tcW w:w="530" w:type="pct"/>
                  <w:tcBorders>
                    <w:top w:val="single" w:color="auto" w:sz="8" w:space="0"/>
                    <w:left w:val="single" w:color="auto" w:sz="4" w:space="0"/>
                    <w:bottom w:val="single" w:color="auto" w:sz="4" w:space="0"/>
                    <w:right w:val="single" w:color="auto" w:sz="8" w:space="0"/>
                  </w:tcBorders>
                  <w:noWrap w:val="0"/>
                  <w:vAlign w:val="center"/>
                </w:tcPr>
                <w:p w14:paraId="611B0D6D">
                  <w:pPr>
                    <w:pStyle w:val="68"/>
                    <w:bidi w:val="0"/>
                    <w:jc w:val="center"/>
                    <w:rPr>
                      <w:rFonts w:hint="eastAsia"/>
                      <w:color w:val="auto"/>
                      <w:lang w:val="en-US" w:eastAsia="zh-CN"/>
                    </w:rPr>
                  </w:pPr>
                  <w:r>
                    <w:rPr>
                      <w:rFonts w:hint="eastAsia"/>
                      <w:color w:val="auto"/>
                      <w:lang w:val="en-US" w:eastAsia="zh-CN"/>
                    </w:rPr>
                    <w:t>贮存</w:t>
                  </w:r>
                </w:p>
                <w:p w14:paraId="062826C7">
                  <w:pPr>
                    <w:pStyle w:val="68"/>
                    <w:bidi w:val="0"/>
                    <w:jc w:val="center"/>
                    <w:rPr>
                      <w:rFonts w:hint="eastAsia"/>
                      <w:color w:val="auto"/>
                      <w:lang w:val="en-US" w:eastAsia="zh-CN"/>
                    </w:rPr>
                  </w:pPr>
                  <w:r>
                    <w:rPr>
                      <w:rFonts w:hint="eastAsia"/>
                      <w:color w:val="auto"/>
                      <w:lang w:val="en-US" w:eastAsia="zh-CN"/>
                    </w:rPr>
                    <w:t>周期</w:t>
                  </w:r>
                </w:p>
              </w:tc>
            </w:tr>
            <w:tr w14:paraId="1696C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15" w:type="pct"/>
                  <w:tcBorders>
                    <w:top w:val="single" w:color="auto" w:sz="4" w:space="0"/>
                    <w:left w:val="single" w:color="auto" w:sz="8" w:space="0"/>
                    <w:right w:val="single" w:color="auto" w:sz="4" w:space="0"/>
                  </w:tcBorders>
                  <w:noWrap w:val="0"/>
                  <w:vAlign w:val="center"/>
                </w:tcPr>
                <w:p w14:paraId="16BEC5A9">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1</w:t>
                  </w:r>
                </w:p>
              </w:tc>
              <w:tc>
                <w:tcPr>
                  <w:tcW w:w="547" w:type="pct"/>
                  <w:vMerge w:val="restart"/>
                  <w:tcBorders>
                    <w:top w:val="single" w:color="auto" w:sz="4" w:space="0"/>
                    <w:left w:val="single" w:color="auto" w:sz="4" w:space="0"/>
                    <w:right w:val="single" w:color="auto" w:sz="4" w:space="0"/>
                  </w:tcBorders>
                  <w:noWrap w:val="0"/>
                  <w:vAlign w:val="center"/>
                </w:tcPr>
                <w:p w14:paraId="71028F75">
                  <w:pPr>
                    <w:pStyle w:val="68"/>
                    <w:bidi w:val="0"/>
                    <w:jc w:val="center"/>
                    <w:rPr>
                      <w:rFonts w:hint="eastAsia"/>
                      <w:color w:val="auto"/>
                      <w:lang w:val="en-US" w:eastAsia="zh-CN"/>
                    </w:rPr>
                  </w:pPr>
                  <w:r>
                    <w:rPr>
                      <w:rFonts w:hint="eastAsia"/>
                      <w:color w:val="auto"/>
                      <w:lang w:val="en-US" w:eastAsia="zh-CN"/>
                    </w:rPr>
                    <w:t>危险废物储存库</w:t>
                  </w:r>
                </w:p>
              </w:tc>
              <w:tc>
                <w:tcPr>
                  <w:tcW w:w="770" w:type="pct"/>
                  <w:tcBorders>
                    <w:top w:val="single" w:color="auto" w:sz="4" w:space="0"/>
                    <w:left w:val="single" w:color="auto" w:sz="4" w:space="0"/>
                    <w:right w:val="single" w:color="auto" w:sz="4" w:space="0"/>
                  </w:tcBorders>
                  <w:noWrap w:val="0"/>
                  <w:vAlign w:val="center"/>
                </w:tcPr>
                <w:p w14:paraId="7A4E420C">
                  <w:pPr>
                    <w:pStyle w:val="68"/>
                    <w:bidi w:val="0"/>
                    <w:jc w:val="center"/>
                    <w:rPr>
                      <w:rFonts w:hint="eastAsia"/>
                      <w:color w:val="auto"/>
                      <w:lang w:val="en-US" w:eastAsia="zh-CN"/>
                    </w:rPr>
                  </w:pPr>
                  <w:r>
                    <w:rPr>
                      <w:rFonts w:hint="default"/>
                      <w:color w:val="auto"/>
                      <w:lang w:val="en-US" w:eastAsia="zh-CN"/>
                    </w:rPr>
                    <w:t>感染性废物</w:t>
                  </w:r>
                </w:p>
              </w:tc>
              <w:tc>
                <w:tcPr>
                  <w:tcW w:w="533" w:type="pct"/>
                  <w:tcBorders>
                    <w:top w:val="single" w:color="auto" w:sz="4" w:space="0"/>
                    <w:left w:val="single" w:color="auto" w:sz="4" w:space="0"/>
                    <w:right w:val="single" w:color="auto" w:sz="4" w:space="0"/>
                  </w:tcBorders>
                  <w:noWrap w:val="0"/>
                  <w:vAlign w:val="center"/>
                </w:tcPr>
                <w:p w14:paraId="55D38CF5">
                  <w:pPr>
                    <w:pStyle w:val="68"/>
                    <w:bidi w:val="0"/>
                    <w:jc w:val="center"/>
                    <w:rPr>
                      <w:rFonts w:hint="eastAsia"/>
                      <w:color w:val="auto"/>
                      <w:lang w:val="en-US" w:eastAsia="zh-CN"/>
                    </w:rPr>
                  </w:pPr>
                  <w:r>
                    <w:rPr>
                      <w:rFonts w:hint="eastAsia"/>
                      <w:color w:val="auto"/>
                      <w:lang w:val="en-US" w:eastAsia="zh-CN"/>
                    </w:rPr>
                    <w:t>HW01</w:t>
                  </w:r>
                </w:p>
              </w:tc>
              <w:tc>
                <w:tcPr>
                  <w:tcW w:w="741" w:type="pct"/>
                  <w:tcBorders>
                    <w:top w:val="single" w:color="auto" w:sz="4" w:space="0"/>
                    <w:left w:val="single" w:color="auto" w:sz="4" w:space="0"/>
                    <w:right w:val="single" w:color="auto" w:sz="4" w:space="0"/>
                  </w:tcBorders>
                  <w:noWrap w:val="0"/>
                  <w:vAlign w:val="center"/>
                </w:tcPr>
                <w:p w14:paraId="77D67E3E">
                  <w:pPr>
                    <w:pStyle w:val="68"/>
                    <w:bidi w:val="0"/>
                    <w:jc w:val="center"/>
                    <w:rPr>
                      <w:rFonts w:hint="eastAsia"/>
                      <w:color w:val="auto"/>
                      <w:lang w:val="en-US" w:eastAsia="zh-CN"/>
                    </w:rPr>
                  </w:pPr>
                  <w:r>
                    <w:rPr>
                      <w:rFonts w:hint="default"/>
                      <w:color w:val="auto"/>
                      <w:lang w:val="en-US" w:eastAsia="zh-CN"/>
                    </w:rPr>
                    <w:t>841-001-01</w:t>
                  </w:r>
                </w:p>
              </w:tc>
              <w:tc>
                <w:tcPr>
                  <w:tcW w:w="418" w:type="pct"/>
                  <w:vMerge w:val="restart"/>
                  <w:tcBorders>
                    <w:top w:val="single" w:color="auto" w:sz="4" w:space="0"/>
                    <w:left w:val="single" w:color="auto" w:sz="4" w:space="0"/>
                    <w:right w:val="single" w:color="auto" w:sz="4" w:space="0"/>
                  </w:tcBorders>
                  <w:noWrap w:val="0"/>
                  <w:vAlign w:val="center"/>
                </w:tcPr>
                <w:p w14:paraId="373663E2">
                  <w:pPr>
                    <w:pStyle w:val="68"/>
                    <w:bidi w:val="0"/>
                    <w:jc w:val="center"/>
                    <w:rPr>
                      <w:rFonts w:hint="eastAsia"/>
                      <w:color w:val="auto"/>
                      <w:lang w:val="en-US" w:eastAsia="zh-CN"/>
                    </w:rPr>
                  </w:pPr>
                  <w:r>
                    <w:rPr>
                      <w:rFonts w:hint="eastAsia"/>
                      <w:color w:val="auto"/>
                      <w:lang w:val="en-US" w:eastAsia="zh-CN"/>
                    </w:rPr>
                    <w:t>已建危险废物储存库</w:t>
                  </w:r>
                </w:p>
              </w:tc>
              <w:tc>
                <w:tcPr>
                  <w:tcW w:w="441" w:type="pct"/>
                  <w:vMerge w:val="restart"/>
                  <w:tcBorders>
                    <w:top w:val="single" w:color="auto" w:sz="4" w:space="0"/>
                    <w:left w:val="single" w:color="auto" w:sz="4" w:space="0"/>
                    <w:right w:val="single" w:color="auto" w:sz="4" w:space="0"/>
                  </w:tcBorders>
                  <w:noWrap w:val="0"/>
                  <w:vAlign w:val="center"/>
                </w:tcPr>
                <w:p w14:paraId="7E564451">
                  <w:pPr>
                    <w:pStyle w:val="68"/>
                    <w:bidi w:val="0"/>
                    <w:jc w:val="center"/>
                    <w:rPr>
                      <w:rFonts w:hint="eastAsia"/>
                      <w:color w:val="auto"/>
                      <w:lang w:val="en-US" w:eastAsia="zh-CN"/>
                    </w:rPr>
                  </w:pPr>
                  <w:r>
                    <w:rPr>
                      <w:rFonts w:hint="eastAsia"/>
                      <w:color w:val="auto"/>
                      <w:lang w:val="en-US" w:eastAsia="zh-CN"/>
                    </w:rPr>
                    <w:t>10m</w:t>
                  </w:r>
                  <w:r>
                    <w:rPr>
                      <w:rFonts w:hint="eastAsia"/>
                      <w:color w:val="auto"/>
                      <w:vertAlign w:val="superscript"/>
                      <w:lang w:val="en-US" w:eastAsia="zh-CN"/>
                    </w:rPr>
                    <w:t>2</w:t>
                  </w:r>
                </w:p>
                <w:p w14:paraId="4530AD7A">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16798293">
                  <w:pPr>
                    <w:pStyle w:val="68"/>
                    <w:bidi w:val="0"/>
                    <w:jc w:val="center"/>
                    <w:rPr>
                      <w:rFonts w:hint="eastAsia"/>
                      <w:color w:val="auto"/>
                      <w:lang w:val="en-US" w:eastAsia="zh-CN"/>
                    </w:rPr>
                  </w:pPr>
                  <w:r>
                    <w:rPr>
                      <w:rFonts w:hint="eastAsia"/>
                      <w:color w:val="auto"/>
                      <w:lang w:val="en-US" w:eastAsia="zh-CN"/>
                    </w:rPr>
                    <w:t>桶装</w:t>
                  </w:r>
                </w:p>
              </w:tc>
              <w:tc>
                <w:tcPr>
                  <w:tcW w:w="354" w:type="pct"/>
                  <w:vMerge w:val="restart"/>
                  <w:tcBorders>
                    <w:top w:val="single" w:color="auto" w:sz="4" w:space="0"/>
                    <w:left w:val="single" w:color="auto" w:sz="4" w:space="0"/>
                    <w:right w:val="single" w:color="auto" w:sz="4" w:space="0"/>
                  </w:tcBorders>
                  <w:noWrap w:val="0"/>
                  <w:vAlign w:val="center"/>
                </w:tcPr>
                <w:p w14:paraId="5E4209AC">
                  <w:pPr>
                    <w:pStyle w:val="68"/>
                    <w:bidi w:val="0"/>
                    <w:jc w:val="center"/>
                    <w:rPr>
                      <w:rFonts w:hint="eastAsia"/>
                      <w:color w:val="auto"/>
                      <w:lang w:val="en-US" w:eastAsia="zh-CN"/>
                    </w:rPr>
                  </w:pPr>
                  <w:r>
                    <w:rPr>
                      <w:rFonts w:hint="eastAsia"/>
                      <w:color w:val="auto"/>
                      <w:lang w:val="en-US" w:eastAsia="zh-CN"/>
                    </w:rPr>
                    <w:t>10t</w:t>
                  </w:r>
                </w:p>
                <w:p w14:paraId="7CE6D069">
                  <w:pPr>
                    <w:pStyle w:val="68"/>
                    <w:bidi w:val="0"/>
                    <w:jc w:val="center"/>
                    <w:rPr>
                      <w:rFonts w:hint="eastAsia"/>
                      <w:color w:val="auto"/>
                      <w:lang w:val="en-US" w:eastAsia="zh-CN"/>
                    </w:rPr>
                  </w:pPr>
                </w:p>
              </w:tc>
              <w:tc>
                <w:tcPr>
                  <w:tcW w:w="530" w:type="pct"/>
                  <w:tcBorders>
                    <w:top w:val="single" w:color="auto" w:sz="4" w:space="0"/>
                    <w:left w:val="single" w:color="auto" w:sz="4" w:space="0"/>
                    <w:right w:val="single" w:color="auto" w:sz="8" w:space="0"/>
                  </w:tcBorders>
                  <w:noWrap w:val="0"/>
                  <w:vAlign w:val="center"/>
                </w:tcPr>
                <w:p w14:paraId="075A125B">
                  <w:pPr>
                    <w:pStyle w:val="68"/>
                    <w:bidi w:val="0"/>
                    <w:jc w:val="center"/>
                    <w:rPr>
                      <w:rFonts w:hint="eastAsia"/>
                      <w:color w:val="auto"/>
                      <w:lang w:val="en-US" w:eastAsia="zh-CN"/>
                    </w:rPr>
                  </w:pPr>
                  <w:r>
                    <w:rPr>
                      <w:rFonts w:hint="eastAsia"/>
                      <w:color w:val="auto"/>
                      <w:lang w:val="en-US" w:eastAsia="zh-CN"/>
                    </w:rPr>
                    <w:t>2d</w:t>
                  </w:r>
                </w:p>
              </w:tc>
            </w:tr>
            <w:tr w14:paraId="57720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6D110A05">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2</w:t>
                  </w:r>
                </w:p>
              </w:tc>
              <w:tc>
                <w:tcPr>
                  <w:tcW w:w="547" w:type="pct"/>
                  <w:vMerge w:val="continue"/>
                  <w:tcBorders>
                    <w:left w:val="single" w:color="auto" w:sz="4" w:space="0"/>
                    <w:right w:val="single" w:color="auto" w:sz="4" w:space="0"/>
                  </w:tcBorders>
                  <w:noWrap w:val="0"/>
                  <w:vAlign w:val="center"/>
                </w:tcPr>
                <w:p w14:paraId="084C0751">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noWrap w:val="0"/>
                  <w:vAlign w:val="center"/>
                </w:tcPr>
                <w:p w14:paraId="22AEFD6A">
                  <w:pPr>
                    <w:pStyle w:val="68"/>
                    <w:bidi w:val="0"/>
                    <w:jc w:val="center"/>
                    <w:rPr>
                      <w:rFonts w:hint="eastAsia"/>
                      <w:color w:val="auto"/>
                      <w:lang w:val="en-US" w:eastAsia="zh-CN"/>
                    </w:rPr>
                  </w:pPr>
                  <w:r>
                    <w:rPr>
                      <w:rFonts w:hint="default"/>
                      <w:color w:val="auto"/>
                      <w:lang w:val="en-US" w:eastAsia="zh-CN"/>
                    </w:rPr>
                    <w:t>损伤性废物</w:t>
                  </w:r>
                </w:p>
              </w:tc>
              <w:tc>
                <w:tcPr>
                  <w:tcW w:w="533" w:type="pct"/>
                  <w:tcBorders>
                    <w:top w:val="single" w:color="auto" w:sz="4" w:space="0"/>
                    <w:left w:val="single" w:color="auto" w:sz="4" w:space="0"/>
                    <w:bottom w:val="single" w:color="auto" w:sz="4" w:space="0"/>
                    <w:right w:val="single" w:color="auto" w:sz="4" w:space="0"/>
                  </w:tcBorders>
                  <w:noWrap w:val="0"/>
                  <w:vAlign w:val="center"/>
                </w:tcPr>
                <w:p w14:paraId="3CBF61B2">
                  <w:pPr>
                    <w:pStyle w:val="68"/>
                    <w:bidi w:val="0"/>
                    <w:jc w:val="center"/>
                    <w:rPr>
                      <w:rFonts w:hint="eastAsia"/>
                      <w:color w:val="auto"/>
                      <w:lang w:val="en-US" w:eastAsia="zh-CN"/>
                    </w:rPr>
                  </w:pPr>
                  <w:r>
                    <w:rPr>
                      <w:rFonts w:hint="eastAsia"/>
                      <w:color w:val="auto"/>
                      <w:lang w:val="en-US" w:eastAsia="zh-CN"/>
                    </w:rPr>
                    <w:t>HW01</w:t>
                  </w:r>
                </w:p>
              </w:tc>
              <w:tc>
                <w:tcPr>
                  <w:tcW w:w="741" w:type="pct"/>
                  <w:tcBorders>
                    <w:top w:val="single" w:color="auto" w:sz="4" w:space="0"/>
                    <w:left w:val="single" w:color="auto" w:sz="4" w:space="0"/>
                    <w:bottom w:val="single" w:color="auto" w:sz="4" w:space="0"/>
                    <w:right w:val="single" w:color="auto" w:sz="4" w:space="0"/>
                  </w:tcBorders>
                  <w:noWrap w:val="0"/>
                  <w:vAlign w:val="center"/>
                </w:tcPr>
                <w:p w14:paraId="52097CC5">
                  <w:pPr>
                    <w:pStyle w:val="68"/>
                    <w:bidi w:val="0"/>
                    <w:jc w:val="center"/>
                    <w:rPr>
                      <w:rFonts w:hint="eastAsia"/>
                      <w:color w:val="auto"/>
                      <w:lang w:val="en-US" w:eastAsia="zh-CN"/>
                    </w:rPr>
                  </w:pPr>
                  <w:r>
                    <w:rPr>
                      <w:rFonts w:hint="default"/>
                      <w:color w:val="auto"/>
                      <w:lang w:val="en-US" w:eastAsia="zh-CN"/>
                    </w:rPr>
                    <w:t>841-002-01</w:t>
                  </w:r>
                </w:p>
              </w:tc>
              <w:tc>
                <w:tcPr>
                  <w:tcW w:w="418" w:type="pct"/>
                  <w:vMerge w:val="continue"/>
                  <w:tcBorders>
                    <w:left w:val="single" w:color="auto" w:sz="4" w:space="0"/>
                    <w:right w:val="single" w:color="auto" w:sz="4" w:space="0"/>
                  </w:tcBorders>
                  <w:noWrap w:val="0"/>
                  <w:vAlign w:val="center"/>
                </w:tcPr>
                <w:p w14:paraId="746B77CF">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565747CA">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55600620">
                  <w:pPr>
                    <w:pStyle w:val="68"/>
                    <w:bidi w:val="0"/>
                    <w:jc w:val="center"/>
                    <w:rPr>
                      <w:rFonts w:hint="eastAsia"/>
                      <w:color w:val="auto"/>
                      <w:lang w:val="en-US" w:eastAsia="zh-CN"/>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4A2C6B93">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2DBACADE">
                  <w:pPr>
                    <w:pStyle w:val="68"/>
                    <w:bidi w:val="0"/>
                    <w:jc w:val="center"/>
                    <w:rPr>
                      <w:rFonts w:hint="eastAsia"/>
                      <w:color w:val="auto"/>
                      <w:lang w:val="en-US" w:eastAsia="zh-CN"/>
                    </w:rPr>
                  </w:pPr>
                  <w:r>
                    <w:rPr>
                      <w:rFonts w:hint="eastAsia"/>
                      <w:color w:val="auto"/>
                      <w:lang w:val="en-US" w:eastAsia="zh-CN"/>
                    </w:rPr>
                    <w:t>2d</w:t>
                  </w:r>
                </w:p>
              </w:tc>
            </w:tr>
            <w:tr w14:paraId="6B390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1D820C6C">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3</w:t>
                  </w:r>
                </w:p>
              </w:tc>
              <w:tc>
                <w:tcPr>
                  <w:tcW w:w="547" w:type="pct"/>
                  <w:vMerge w:val="continue"/>
                  <w:tcBorders>
                    <w:left w:val="single" w:color="auto" w:sz="4" w:space="0"/>
                    <w:right w:val="single" w:color="auto" w:sz="4" w:space="0"/>
                  </w:tcBorders>
                  <w:noWrap w:val="0"/>
                  <w:vAlign w:val="center"/>
                </w:tcPr>
                <w:p w14:paraId="3B43FC75">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noWrap w:val="0"/>
                  <w:vAlign w:val="center"/>
                </w:tcPr>
                <w:p w14:paraId="4BFA3F90">
                  <w:pPr>
                    <w:pStyle w:val="68"/>
                    <w:bidi w:val="0"/>
                    <w:jc w:val="center"/>
                    <w:rPr>
                      <w:rFonts w:hint="eastAsia"/>
                      <w:color w:val="auto"/>
                      <w:lang w:val="en-US" w:eastAsia="zh-CN"/>
                    </w:rPr>
                  </w:pPr>
                  <w:r>
                    <w:rPr>
                      <w:rFonts w:hint="eastAsia"/>
                      <w:color w:val="auto"/>
                      <w:lang w:val="en-US" w:eastAsia="zh-CN"/>
                    </w:rPr>
                    <w:t>病理性废物</w:t>
                  </w:r>
                </w:p>
              </w:tc>
              <w:tc>
                <w:tcPr>
                  <w:tcW w:w="533" w:type="pct"/>
                  <w:tcBorders>
                    <w:top w:val="single" w:color="auto" w:sz="4" w:space="0"/>
                    <w:left w:val="single" w:color="auto" w:sz="4" w:space="0"/>
                    <w:bottom w:val="single" w:color="auto" w:sz="4" w:space="0"/>
                    <w:right w:val="single" w:color="auto" w:sz="4" w:space="0"/>
                  </w:tcBorders>
                  <w:noWrap w:val="0"/>
                  <w:vAlign w:val="center"/>
                </w:tcPr>
                <w:p w14:paraId="358EF3A5">
                  <w:pPr>
                    <w:pStyle w:val="68"/>
                    <w:bidi w:val="0"/>
                    <w:jc w:val="center"/>
                    <w:rPr>
                      <w:rFonts w:hint="eastAsia"/>
                      <w:color w:val="auto"/>
                      <w:lang w:val="en-US" w:eastAsia="zh-CN"/>
                    </w:rPr>
                  </w:pPr>
                  <w:r>
                    <w:rPr>
                      <w:rFonts w:hint="eastAsia"/>
                      <w:color w:val="auto"/>
                      <w:lang w:val="en-US" w:eastAsia="zh-CN"/>
                    </w:rPr>
                    <w:t>HW01</w:t>
                  </w:r>
                </w:p>
              </w:tc>
              <w:tc>
                <w:tcPr>
                  <w:tcW w:w="741" w:type="pct"/>
                  <w:tcBorders>
                    <w:top w:val="single" w:color="auto" w:sz="4" w:space="0"/>
                    <w:left w:val="single" w:color="auto" w:sz="4" w:space="0"/>
                    <w:bottom w:val="single" w:color="auto" w:sz="4" w:space="0"/>
                    <w:right w:val="single" w:color="auto" w:sz="4" w:space="0"/>
                  </w:tcBorders>
                  <w:noWrap w:val="0"/>
                  <w:vAlign w:val="center"/>
                </w:tcPr>
                <w:p w14:paraId="04A7C83A">
                  <w:pPr>
                    <w:pStyle w:val="68"/>
                    <w:bidi w:val="0"/>
                    <w:jc w:val="center"/>
                    <w:rPr>
                      <w:rFonts w:hint="eastAsia"/>
                      <w:color w:val="auto"/>
                      <w:lang w:val="en-US" w:eastAsia="zh-CN"/>
                    </w:rPr>
                  </w:pPr>
                  <w:r>
                    <w:rPr>
                      <w:rFonts w:hint="default"/>
                      <w:color w:val="auto"/>
                      <w:lang w:val="en-US" w:eastAsia="zh-CN"/>
                    </w:rPr>
                    <w:t>841-003-01</w:t>
                  </w:r>
                </w:p>
              </w:tc>
              <w:tc>
                <w:tcPr>
                  <w:tcW w:w="418" w:type="pct"/>
                  <w:vMerge w:val="continue"/>
                  <w:tcBorders>
                    <w:left w:val="single" w:color="auto" w:sz="4" w:space="0"/>
                    <w:right w:val="single" w:color="auto" w:sz="4" w:space="0"/>
                  </w:tcBorders>
                  <w:noWrap w:val="0"/>
                  <w:vAlign w:val="center"/>
                </w:tcPr>
                <w:p w14:paraId="59DC2B90">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5541A2D4">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74D8F3DF">
                  <w:pPr>
                    <w:pStyle w:val="68"/>
                    <w:bidi w:val="0"/>
                    <w:jc w:val="center"/>
                    <w:rPr>
                      <w:rFonts w:hint="eastAsia"/>
                      <w:color w:val="auto"/>
                      <w:lang w:val="en-US" w:eastAsia="zh-CN"/>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37D2DA86">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760BF959">
                  <w:pPr>
                    <w:pStyle w:val="68"/>
                    <w:bidi w:val="0"/>
                    <w:jc w:val="center"/>
                    <w:rPr>
                      <w:rFonts w:hint="eastAsia"/>
                      <w:color w:val="auto"/>
                      <w:lang w:val="en-US" w:eastAsia="zh-CN"/>
                    </w:rPr>
                  </w:pPr>
                  <w:r>
                    <w:rPr>
                      <w:rFonts w:hint="eastAsia"/>
                      <w:color w:val="auto"/>
                      <w:lang w:val="en-US" w:eastAsia="zh-CN"/>
                    </w:rPr>
                    <w:t>2d</w:t>
                  </w:r>
                </w:p>
              </w:tc>
            </w:tr>
            <w:tr w14:paraId="7AD169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2A3344CC">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4</w:t>
                  </w:r>
                </w:p>
              </w:tc>
              <w:tc>
                <w:tcPr>
                  <w:tcW w:w="547" w:type="pct"/>
                  <w:vMerge w:val="continue"/>
                  <w:tcBorders>
                    <w:left w:val="single" w:color="auto" w:sz="4" w:space="0"/>
                    <w:right w:val="single" w:color="auto" w:sz="4" w:space="0"/>
                  </w:tcBorders>
                  <w:noWrap w:val="0"/>
                  <w:vAlign w:val="center"/>
                </w:tcPr>
                <w:p w14:paraId="0EC6865C">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8867FA7">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default"/>
                      <w:color w:val="auto"/>
                      <w:lang w:val="en-US" w:eastAsia="zh-CN"/>
                    </w:rPr>
                    <w:t>化学性废物</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947991A">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HW01</w:t>
                  </w:r>
                </w:p>
              </w:tc>
              <w:tc>
                <w:tcPr>
                  <w:tcW w:w="74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EE767D8">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default"/>
                      <w:color w:val="auto"/>
                      <w:lang w:val="en-US" w:eastAsia="zh-CN"/>
                    </w:rPr>
                    <w:t>841-00</w:t>
                  </w:r>
                  <w:r>
                    <w:rPr>
                      <w:rFonts w:hint="eastAsia"/>
                      <w:color w:val="auto"/>
                      <w:lang w:val="en-US" w:eastAsia="zh-CN"/>
                    </w:rPr>
                    <w:t>4</w:t>
                  </w:r>
                  <w:r>
                    <w:rPr>
                      <w:rFonts w:hint="default"/>
                      <w:color w:val="auto"/>
                      <w:lang w:val="en-US" w:eastAsia="zh-CN"/>
                    </w:rPr>
                    <w:t>-01</w:t>
                  </w:r>
                </w:p>
              </w:tc>
              <w:tc>
                <w:tcPr>
                  <w:tcW w:w="418" w:type="pct"/>
                  <w:vMerge w:val="continue"/>
                  <w:tcBorders>
                    <w:left w:val="single" w:color="auto" w:sz="4" w:space="0"/>
                    <w:right w:val="single" w:color="auto" w:sz="4" w:space="0"/>
                  </w:tcBorders>
                  <w:noWrap w:val="0"/>
                  <w:vAlign w:val="center"/>
                </w:tcPr>
                <w:p w14:paraId="71B54DE1">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765522EF">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4EC50045">
                  <w:pPr>
                    <w:pStyle w:val="68"/>
                    <w:bidi w:val="0"/>
                    <w:jc w:val="center"/>
                    <w:rPr>
                      <w:rFonts w:hint="eastAsia"/>
                      <w:color w:val="auto"/>
                      <w:lang w:val="en-US" w:eastAsia="zh-CN"/>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1A34579D">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6A9EAF36">
                  <w:pPr>
                    <w:pStyle w:val="68"/>
                    <w:bidi w:val="0"/>
                    <w:jc w:val="center"/>
                    <w:rPr>
                      <w:rFonts w:hint="eastAsia"/>
                      <w:color w:val="auto"/>
                      <w:lang w:val="en-US" w:eastAsia="zh-CN"/>
                    </w:rPr>
                  </w:pPr>
                  <w:r>
                    <w:rPr>
                      <w:rFonts w:hint="eastAsia"/>
                      <w:color w:val="auto"/>
                      <w:lang w:val="en-US" w:eastAsia="zh-CN"/>
                    </w:rPr>
                    <w:t>2d</w:t>
                  </w:r>
                </w:p>
              </w:tc>
            </w:tr>
            <w:tr w14:paraId="22556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3AAE8F54">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5</w:t>
                  </w:r>
                </w:p>
              </w:tc>
              <w:tc>
                <w:tcPr>
                  <w:tcW w:w="547" w:type="pct"/>
                  <w:vMerge w:val="continue"/>
                  <w:tcBorders>
                    <w:left w:val="single" w:color="auto" w:sz="4" w:space="0"/>
                    <w:right w:val="single" w:color="auto" w:sz="4" w:space="0"/>
                  </w:tcBorders>
                  <w:noWrap w:val="0"/>
                  <w:vAlign w:val="center"/>
                </w:tcPr>
                <w:p w14:paraId="38F31917">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BC3AD57">
                  <w:pPr>
                    <w:jc w:val="center"/>
                    <w:rPr>
                      <w:rFonts w:hint="eastAsia" w:ascii="Times New Roman" w:hAnsi="Times New Roman" w:eastAsia="宋体" w:cs="Times New Roman"/>
                      <w:color w:val="auto"/>
                      <w:kern w:val="2"/>
                      <w:sz w:val="21"/>
                      <w:szCs w:val="21"/>
                      <w:lang w:val="en-US" w:eastAsia="zh-CN" w:bidi="ar-SA"/>
                    </w:rPr>
                  </w:pPr>
                  <w:r>
                    <w:rPr>
                      <w:color w:val="auto"/>
                      <w:szCs w:val="21"/>
                    </w:rPr>
                    <w:t>药物性废物</w:t>
                  </w:r>
                </w:p>
              </w:tc>
              <w:tc>
                <w:tcPr>
                  <w:tcW w:w="53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E8ACD2A">
                  <w:pPr>
                    <w:adjustRightInd w:val="0"/>
                    <w:snapToGrid w:val="0"/>
                    <w:jc w:val="center"/>
                    <w:rPr>
                      <w:rFonts w:hint="eastAsia" w:ascii="Times New Roman" w:hAnsi="Times New Roman" w:eastAsia="宋体" w:cs="Times New Roman"/>
                      <w:color w:val="auto"/>
                      <w:kern w:val="2"/>
                      <w:sz w:val="21"/>
                      <w:szCs w:val="21"/>
                      <w:lang w:val="en-US" w:eastAsia="zh-CN" w:bidi="ar-SA"/>
                    </w:rPr>
                  </w:pPr>
                  <w:r>
                    <w:rPr>
                      <w:color w:val="auto"/>
                      <w:szCs w:val="21"/>
                    </w:rPr>
                    <w:t xml:space="preserve">HW01 </w:t>
                  </w:r>
                </w:p>
              </w:tc>
              <w:tc>
                <w:tcPr>
                  <w:tcW w:w="74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8EBF36F">
                  <w:pPr>
                    <w:adjustRightInd w:val="0"/>
                    <w:snapToGrid w:val="0"/>
                    <w:jc w:val="center"/>
                    <w:rPr>
                      <w:rFonts w:hint="eastAsia" w:ascii="Times New Roman" w:hAnsi="Times New Roman" w:eastAsia="宋体" w:cs="Times New Roman"/>
                      <w:color w:val="auto"/>
                      <w:kern w:val="2"/>
                      <w:sz w:val="21"/>
                      <w:szCs w:val="21"/>
                      <w:lang w:val="en-US" w:eastAsia="zh-CN" w:bidi="ar-SA"/>
                    </w:rPr>
                  </w:pPr>
                  <w:r>
                    <w:rPr>
                      <w:color w:val="auto"/>
                      <w:kern w:val="0"/>
                      <w:szCs w:val="21"/>
                    </w:rPr>
                    <w:t>841-005-01</w:t>
                  </w:r>
                </w:p>
              </w:tc>
              <w:tc>
                <w:tcPr>
                  <w:tcW w:w="418" w:type="pct"/>
                  <w:vMerge w:val="continue"/>
                  <w:tcBorders>
                    <w:left w:val="single" w:color="auto" w:sz="4" w:space="0"/>
                    <w:right w:val="single" w:color="auto" w:sz="4" w:space="0"/>
                  </w:tcBorders>
                  <w:noWrap w:val="0"/>
                  <w:vAlign w:val="center"/>
                </w:tcPr>
                <w:p w14:paraId="3B20DF6E">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57097718">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45C23499">
                  <w:pPr>
                    <w:pStyle w:val="68"/>
                    <w:bidi w:val="0"/>
                    <w:jc w:val="center"/>
                    <w:rPr>
                      <w:rFonts w:hint="eastAsia"/>
                      <w:color w:val="auto"/>
                      <w:lang w:val="en-US" w:eastAsia="zh-CN"/>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5A904237">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5894247B">
                  <w:pPr>
                    <w:pStyle w:val="68"/>
                    <w:bidi w:val="0"/>
                    <w:jc w:val="center"/>
                    <w:rPr>
                      <w:rFonts w:hint="eastAsia"/>
                      <w:color w:val="auto"/>
                      <w:lang w:val="en-US" w:eastAsia="zh-CN"/>
                    </w:rPr>
                  </w:pPr>
                  <w:r>
                    <w:rPr>
                      <w:rFonts w:hint="eastAsia"/>
                      <w:color w:val="auto"/>
                      <w:lang w:val="en-US" w:eastAsia="zh-CN"/>
                    </w:rPr>
                    <w:t>2d</w:t>
                  </w:r>
                </w:p>
              </w:tc>
            </w:tr>
            <w:tr w14:paraId="66FAF2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79C419FE">
                  <w:pPr>
                    <w:pStyle w:val="68"/>
                    <w:bidi w:val="0"/>
                    <w:ind w:firstLine="0" w:firstLineChars="0"/>
                    <w:jc w:val="center"/>
                    <w:rPr>
                      <w:rFonts w:hint="default" w:ascii="Times New Roman" w:hAnsi="Times New Roman" w:eastAsia="宋体" w:cs="Times New Roman"/>
                      <w:color w:val="auto"/>
                      <w:w w:val="100"/>
                      <w:kern w:val="2"/>
                      <w:sz w:val="21"/>
                      <w:szCs w:val="20"/>
                      <w:lang w:val="en-US" w:eastAsia="zh-CN" w:bidi="ar-SA"/>
                    </w:rPr>
                  </w:pPr>
                  <w:r>
                    <w:rPr>
                      <w:rFonts w:hint="eastAsia"/>
                      <w:color w:val="auto"/>
                      <w:lang w:val="en-US" w:eastAsia="zh-CN"/>
                    </w:rPr>
                    <w:t>6</w:t>
                  </w:r>
                </w:p>
              </w:tc>
              <w:tc>
                <w:tcPr>
                  <w:tcW w:w="547" w:type="pct"/>
                  <w:vMerge w:val="continue"/>
                  <w:tcBorders>
                    <w:left w:val="single" w:color="auto" w:sz="4" w:space="0"/>
                    <w:right w:val="single" w:color="auto" w:sz="4" w:space="0"/>
                  </w:tcBorders>
                  <w:noWrap w:val="0"/>
                  <w:vAlign w:val="center"/>
                </w:tcPr>
                <w:p w14:paraId="010BEE63">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noWrap w:val="0"/>
                  <w:vAlign w:val="center"/>
                </w:tcPr>
                <w:p w14:paraId="4AE457DA">
                  <w:pPr>
                    <w:pStyle w:val="68"/>
                    <w:bidi w:val="0"/>
                    <w:jc w:val="center"/>
                    <w:rPr>
                      <w:rFonts w:hint="default"/>
                      <w:color w:val="auto"/>
                      <w:lang w:val="en-US" w:eastAsia="zh-CN"/>
                    </w:rPr>
                  </w:pPr>
                  <w:r>
                    <w:rPr>
                      <w:rFonts w:hint="eastAsia"/>
                      <w:color w:val="auto"/>
                      <w:lang w:val="en-US" w:eastAsia="zh-CN"/>
                    </w:rPr>
                    <w:t>废活性炭</w:t>
                  </w:r>
                </w:p>
              </w:tc>
              <w:tc>
                <w:tcPr>
                  <w:tcW w:w="533" w:type="pct"/>
                  <w:tcBorders>
                    <w:top w:val="single" w:color="auto" w:sz="4" w:space="0"/>
                    <w:left w:val="single" w:color="auto" w:sz="4" w:space="0"/>
                    <w:bottom w:val="single" w:color="auto" w:sz="4" w:space="0"/>
                    <w:right w:val="single" w:color="auto" w:sz="4" w:space="0"/>
                  </w:tcBorders>
                  <w:noWrap w:val="0"/>
                  <w:vAlign w:val="center"/>
                </w:tcPr>
                <w:p w14:paraId="635F0420">
                  <w:pPr>
                    <w:pStyle w:val="68"/>
                    <w:bidi w:val="0"/>
                    <w:jc w:val="center"/>
                    <w:rPr>
                      <w:rFonts w:hint="eastAsia"/>
                      <w:color w:val="auto"/>
                      <w:lang w:val="en-US" w:eastAsia="zh-CN"/>
                    </w:rPr>
                  </w:pPr>
                  <w:r>
                    <w:rPr>
                      <w:rFonts w:hint="eastAsia"/>
                      <w:color w:val="auto"/>
                      <w:lang w:val="en-US" w:eastAsia="zh-CN"/>
                    </w:rPr>
                    <w:t>HW49</w:t>
                  </w:r>
                </w:p>
              </w:tc>
              <w:tc>
                <w:tcPr>
                  <w:tcW w:w="741" w:type="pct"/>
                  <w:tcBorders>
                    <w:top w:val="single" w:color="auto" w:sz="4" w:space="0"/>
                    <w:left w:val="single" w:color="auto" w:sz="4" w:space="0"/>
                    <w:bottom w:val="single" w:color="auto" w:sz="4" w:space="0"/>
                    <w:right w:val="single" w:color="auto" w:sz="4" w:space="0"/>
                  </w:tcBorders>
                  <w:noWrap w:val="0"/>
                  <w:vAlign w:val="center"/>
                </w:tcPr>
                <w:p w14:paraId="705965C9">
                  <w:pPr>
                    <w:pStyle w:val="68"/>
                    <w:bidi w:val="0"/>
                    <w:jc w:val="center"/>
                    <w:rPr>
                      <w:rFonts w:hint="default"/>
                      <w:color w:val="auto"/>
                      <w:lang w:val="en-US" w:eastAsia="zh-CN"/>
                    </w:rPr>
                  </w:pPr>
                  <w:r>
                    <w:rPr>
                      <w:rFonts w:hint="eastAsia"/>
                      <w:color w:val="auto"/>
                      <w:lang w:val="en-US" w:eastAsia="zh-CN"/>
                    </w:rPr>
                    <w:t>900-041-49</w:t>
                  </w:r>
                </w:p>
              </w:tc>
              <w:tc>
                <w:tcPr>
                  <w:tcW w:w="418" w:type="pct"/>
                  <w:vMerge w:val="continue"/>
                  <w:tcBorders>
                    <w:left w:val="single" w:color="auto" w:sz="4" w:space="0"/>
                    <w:right w:val="single" w:color="auto" w:sz="4" w:space="0"/>
                  </w:tcBorders>
                  <w:noWrap w:val="0"/>
                  <w:vAlign w:val="center"/>
                </w:tcPr>
                <w:p w14:paraId="3EF84068">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2BDBAA13">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3E3F2F11">
                  <w:pPr>
                    <w:pStyle w:val="68"/>
                    <w:bidi w:val="0"/>
                    <w:jc w:val="center"/>
                    <w:rPr>
                      <w:rFonts w:hint="eastAsia"/>
                      <w:color w:val="auto"/>
                      <w:lang w:val="en-US" w:eastAsia="zh-CN"/>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3E5D3CFC">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5D0888FE">
                  <w:pPr>
                    <w:pStyle w:val="68"/>
                    <w:bidi w:val="0"/>
                    <w:jc w:val="center"/>
                    <w:rPr>
                      <w:rFonts w:hint="default"/>
                      <w:color w:val="auto"/>
                      <w:lang w:val="en-US" w:eastAsia="zh-CN"/>
                    </w:rPr>
                  </w:pPr>
                  <w:r>
                    <w:rPr>
                      <w:rFonts w:hint="eastAsia"/>
                      <w:color w:val="auto"/>
                      <w:lang w:val="en-US" w:eastAsia="zh-CN"/>
                    </w:rPr>
                    <w:t>1a</w:t>
                  </w:r>
                </w:p>
              </w:tc>
            </w:tr>
            <w:tr w14:paraId="3A1D4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15" w:type="pct"/>
                  <w:tcBorders>
                    <w:top w:val="single" w:color="auto" w:sz="4" w:space="0"/>
                    <w:left w:val="single" w:color="auto" w:sz="8" w:space="0"/>
                    <w:bottom w:val="single" w:color="auto" w:sz="4" w:space="0"/>
                    <w:right w:val="single" w:color="auto" w:sz="4" w:space="0"/>
                  </w:tcBorders>
                  <w:noWrap w:val="0"/>
                  <w:vAlign w:val="center"/>
                </w:tcPr>
                <w:p w14:paraId="07CFF7A1">
                  <w:pPr>
                    <w:pStyle w:val="68"/>
                    <w:bidi w:val="0"/>
                    <w:ind w:firstLine="0" w:firstLineChars="0"/>
                    <w:jc w:val="center"/>
                    <w:rPr>
                      <w:rFonts w:hint="default"/>
                      <w:color w:val="auto"/>
                      <w:lang w:val="en-US" w:eastAsia="zh-CN"/>
                    </w:rPr>
                  </w:pPr>
                  <w:r>
                    <w:rPr>
                      <w:rFonts w:hint="eastAsia"/>
                      <w:color w:val="auto"/>
                      <w:lang w:val="en-US" w:eastAsia="zh-CN"/>
                    </w:rPr>
                    <w:t>7</w:t>
                  </w:r>
                </w:p>
              </w:tc>
              <w:tc>
                <w:tcPr>
                  <w:tcW w:w="547" w:type="pct"/>
                  <w:vMerge w:val="continue"/>
                  <w:tcBorders>
                    <w:left w:val="single" w:color="auto" w:sz="4" w:space="0"/>
                    <w:right w:val="single" w:color="auto" w:sz="4" w:space="0"/>
                  </w:tcBorders>
                  <w:noWrap w:val="0"/>
                  <w:vAlign w:val="center"/>
                </w:tcPr>
                <w:p w14:paraId="6ED35FB8">
                  <w:pPr>
                    <w:pStyle w:val="68"/>
                    <w:bidi w:val="0"/>
                    <w:jc w:val="center"/>
                    <w:rPr>
                      <w:rFonts w:hint="eastAsia"/>
                      <w:color w:val="auto"/>
                      <w:lang w:val="en-US" w:eastAsia="zh-CN"/>
                    </w:rPr>
                  </w:pPr>
                </w:p>
              </w:tc>
              <w:tc>
                <w:tcPr>
                  <w:tcW w:w="770" w:type="pct"/>
                  <w:tcBorders>
                    <w:top w:val="single" w:color="auto" w:sz="4" w:space="0"/>
                    <w:left w:val="single" w:color="auto" w:sz="4" w:space="0"/>
                    <w:bottom w:val="single" w:color="auto" w:sz="4" w:space="0"/>
                    <w:right w:val="single" w:color="auto" w:sz="4" w:space="0"/>
                  </w:tcBorders>
                  <w:noWrap w:val="0"/>
                  <w:vAlign w:val="center"/>
                </w:tcPr>
                <w:p w14:paraId="32BA2E67">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特殊废液</w:t>
                  </w:r>
                </w:p>
              </w:tc>
              <w:tc>
                <w:tcPr>
                  <w:tcW w:w="533" w:type="pct"/>
                  <w:tcBorders>
                    <w:top w:val="single" w:color="auto" w:sz="4" w:space="0"/>
                    <w:left w:val="single" w:color="auto" w:sz="4" w:space="0"/>
                    <w:bottom w:val="single" w:color="auto" w:sz="4" w:space="0"/>
                    <w:right w:val="single" w:color="auto" w:sz="4" w:space="0"/>
                  </w:tcBorders>
                  <w:noWrap w:val="0"/>
                  <w:vAlign w:val="center"/>
                </w:tcPr>
                <w:p w14:paraId="45B1DF76">
                  <w:pPr>
                    <w:spacing w:line="240" w:lineRule="auto"/>
                    <w:jc w:val="center"/>
                    <w:rPr>
                      <w:rFonts w:hint="eastAsia" w:ascii="Times New Roman" w:hAnsi="Times New Roman" w:eastAsia="宋体" w:cs="Times New Roman"/>
                      <w:color w:val="auto"/>
                      <w:kern w:val="0"/>
                      <w:sz w:val="22"/>
                      <w:szCs w:val="22"/>
                      <w:lang w:val="en-US" w:eastAsia="zh-CN" w:bidi="ar"/>
                    </w:rPr>
                  </w:pPr>
                  <w:r>
                    <w:rPr>
                      <w:rFonts w:hint="default"/>
                      <w:color w:val="auto"/>
                    </w:rPr>
                    <w:t>HW01</w:t>
                  </w:r>
                </w:p>
              </w:tc>
              <w:tc>
                <w:tcPr>
                  <w:tcW w:w="741" w:type="pct"/>
                  <w:tcBorders>
                    <w:top w:val="single" w:color="auto" w:sz="4" w:space="0"/>
                    <w:left w:val="single" w:color="auto" w:sz="4" w:space="0"/>
                    <w:bottom w:val="single" w:color="auto" w:sz="4" w:space="0"/>
                    <w:right w:val="single" w:color="auto" w:sz="4" w:space="0"/>
                  </w:tcBorders>
                  <w:noWrap w:val="0"/>
                  <w:vAlign w:val="center"/>
                </w:tcPr>
                <w:p w14:paraId="177C0DFC">
                  <w:pPr>
                    <w:keepNext w:val="0"/>
                    <w:keepLines w:val="0"/>
                    <w:widowControl/>
                    <w:suppressLineNumbers w:val="0"/>
                    <w:jc w:val="center"/>
                    <w:rPr>
                      <w:rFonts w:hint="eastAsia" w:ascii="Times New Roman" w:hAnsi="Times New Roman" w:eastAsia="宋体" w:cs="Times New Roman"/>
                      <w:color w:val="auto"/>
                      <w:kern w:val="2"/>
                      <w:sz w:val="21"/>
                      <w:szCs w:val="24"/>
                      <w:lang w:val="en-US" w:eastAsia="zh-CN" w:bidi="ar-SA"/>
                    </w:rPr>
                  </w:pPr>
                  <w:r>
                    <w:rPr>
                      <w:rFonts w:hint="default"/>
                      <w:color w:val="auto"/>
                      <w:lang w:val="en-US" w:eastAsia="zh-CN"/>
                    </w:rPr>
                    <w:t>841-001-01</w:t>
                  </w:r>
                </w:p>
              </w:tc>
              <w:tc>
                <w:tcPr>
                  <w:tcW w:w="418" w:type="pct"/>
                  <w:vMerge w:val="continue"/>
                  <w:tcBorders>
                    <w:left w:val="single" w:color="auto" w:sz="4" w:space="0"/>
                    <w:right w:val="single" w:color="auto" w:sz="4" w:space="0"/>
                  </w:tcBorders>
                  <w:noWrap w:val="0"/>
                  <w:vAlign w:val="center"/>
                </w:tcPr>
                <w:p w14:paraId="5F9FE945">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23F4F4C4">
                  <w:pPr>
                    <w:pStyle w:val="68"/>
                    <w:bidi w:val="0"/>
                    <w:jc w:val="center"/>
                    <w:rPr>
                      <w:rFonts w:hint="eastAsia"/>
                      <w:color w:val="auto"/>
                      <w:lang w:val="en-US" w:eastAsia="zh-CN"/>
                    </w:rPr>
                  </w:pPr>
                </w:p>
              </w:tc>
              <w:tc>
                <w:tcPr>
                  <w:tcW w:w="445" w:type="pct"/>
                  <w:tcBorders>
                    <w:top w:val="single" w:color="auto" w:sz="4" w:space="0"/>
                    <w:left w:val="single" w:color="auto" w:sz="4" w:space="0"/>
                    <w:bottom w:val="single" w:color="auto" w:sz="4" w:space="0"/>
                    <w:right w:val="single" w:color="auto" w:sz="4" w:space="0"/>
                  </w:tcBorders>
                  <w:noWrap w:val="0"/>
                  <w:vAlign w:val="center"/>
                </w:tcPr>
                <w:p w14:paraId="5AA5E97C">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5162BF47">
                  <w:pPr>
                    <w:pStyle w:val="68"/>
                    <w:bidi w:val="0"/>
                    <w:jc w:val="center"/>
                    <w:rPr>
                      <w:rFonts w:hint="eastAsia"/>
                      <w:color w:val="auto"/>
                      <w:lang w:val="en-US" w:eastAsia="zh-CN"/>
                    </w:rPr>
                  </w:pPr>
                </w:p>
              </w:tc>
              <w:tc>
                <w:tcPr>
                  <w:tcW w:w="530" w:type="pct"/>
                  <w:tcBorders>
                    <w:top w:val="single" w:color="auto" w:sz="4" w:space="0"/>
                    <w:left w:val="single" w:color="auto" w:sz="4" w:space="0"/>
                    <w:bottom w:val="single" w:color="auto" w:sz="4" w:space="0"/>
                    <w:right w:val="single" w:color="auto" w:sz="8" w:space="0"/>
                  </w:tcBorders>
                  <w:noWrap w:val="0"/>
                  <w:vAlign w:val="center"/>
                </w:tcPr>
                <w:p w14:paraId="2ADF0F53">
                  <w:pPr>
                    <w:pStyle w:val="68"/>
                    <w:bidi w:val="0"/>
                    <w:jc w:val="center"/>
                    <w:rPr>
                      <w:rFonts w:hint="default"/>
                      <w:color w:val="auto"/>
                      <w:lang w:val="en-US" w:eastAsia="zh-CN"/>
                    </w:rPr>
                  </w:pPr>
                  <w:r>
                    <w:rPr>
                      <w:rFonts w:hint="eastAsia"/>
                      <w:color w:val="auto"/>
                      <w:lang w:val="en-US" w:eastAsia="zh-CN"/>
                    </w:rPr>
                    <w:t>1a</w:t>
                  </w:r>
                </w:p>
              </w:tc>
            </w:tr>
            <w:tr w14:paraId="32FD1B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15" w:type="pct"/>
                  <w:tcBorders>
                    <w:top w:val="single" w:color="auto" w:sz="4" w:space="0"/>
                    <w:left w:val="single" w:color="auto" w:sz="8" w:space="0"/>
                    <w:bottom w:val="single" w:color="auto" w:sz="8" w:space="0"/>
                    <w:right w:val="single" w:color="auto" w:sz="4" w:space="0"/>
                  </w:tcBorders>
                  <w:noWrap w:val="0"/>
                  <w:vAlign w:val="center"/>
                </w:tcPr>
                <w:p w14:paraId="750ECFE2">
                  <w:pPr>
                    <w:pStyle w:val="68"/>
                    <w:bidi w:val="0"/>
                    <w:ind w:firstLine="0" w:firstLineChars="0"/>
                    <w:jc w:val="center"/>
                    <w:rPr>
                      <w:rFonts w:hint="default"/>
                      <w:color w:val="auto"/>
                      <w:lang w:val="en-US" w:eastAsia="zh-CN"/>
                    </w:rPr>
                  </w:pPr>
                  <w:r>
                    <w:rPr>
                      <w:rFonts w:hint="eastAsia"/>
                      <w:color w:val="auto"/>
                      <w:lang w:val="en-US" w:eastAsia="zh-CN"/>
                    </w:rPr>
                    <w:t>8</w:t>
                  </w:r>
                </w:p>
              </w:tc>
              <w:tc>
                <w:tcPr>
                  <w:tcW w:w="547" w:type="pct"/>
                  <w:vMerge w:val="continue"/>
                  <w:tcBorders>
                    <w:left w:val="single" w:color="auto" w:sz="4" w:space="0"/>
                    <w:right w:val="single" w:color="auto" w:sz="4" w:space="0"/>
                  </w:tcBorders>
                  <w:noWrap w:val="0"/>
                  <w:vAlign w:val="center"/>
                </w:tcPr>
                <w:p w14:paraId="0ADA3336">
                  <w:pPr>
                    <w:pStyle w:val="68"/>
                    <w:bidi w:val="0"/>
                    <w:jc w:val="center"/>
                    <w:rPr>
                      <w:rFonts w:hint="eastAsia"/>
                      <w:color w:val="auto"/>
                      <w:lang w:val="en-US" w:eastAsia="zh-CN"/>
                    </w:rPr>
                  </w:pPr>
                </w:p>
              </w:tc>
              <w:tc>
                <w:tcPr>
                  <w:tcW w:w="770" w:type="pct"/>
                  <w:tcBorders>
                    <w:top w:val="single" w:color="auto" w:sz="4" w:space="0"/>
                    <w:left w:val="single" w:color="auto" w:sz="4" w:space="0"/>
                    <w:right w:val="single" w:color="auto" w:sz="4" w:space="0"/>
                  </w:tcBorders>
                  <w:noWrap w:val="0"/>
                  <w:vAlign w:val="center"/>
                </w:tcPr>
                <w:p w14:paraId="707C5A0D">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废紫外线灯管</w:t>
                  </w:r>
                </w:p>
              </w:tc>
              <w:tc>
                <w:tcPr>
                  <w:tcW w:w="533" w:type="pct"/>
                  <w:tcBorders>
                    <w:top w:val="single" w:color="auto" w:sz="4" w:space="0"/>
                    <w:left w:val="single" w:color="auto" w:sz="4" w:space="0"/>
                    <w:right w:val="single" w:color="auto" w:sz="4" w:space="0"/>
                  </w:tcBorders>
                  <w:noWrap w:val="0"/>
                  <w:vAlign w:val="center"/>
                </w:tcPr>
                <w:p w14:paraId="0369DAA9">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HW</w:t>
                  </w:r>
                  <w:r>
                    <w:rPr>
                      <w:rFonts w:hint="default" w:ascii="Times New Roman" w:hAnsi="Times New Roman" w:eastAsia="宋体" w:cs="Times New Roman"/>
                      <w:color w:val="auto"/>
                      <w:kern w:val="0"/>
                      <w:sz w:val="21"/>
                      <w:szCs w:val="21"/>
                      <w:lang w:val="en-US" w:eastAsia="zh-CN"/>
                    </w:rPr>
                    <w:t xml:space="preserve">29 </w:t>
                  </w:r>
                </w:p>
              </w:tc>
              <w:tc>
                <w:tcPr>
                  <w:tcW w:w="741" w:type="pct"/>
                  <w:tcBorders>
                    <w:top w:val="single" w:color="auto" w:sz="4" w:space="0"/>
                    <w:left w:val="single" w:color="auto" w:sz="4" w:space="0"/>
                    <w:right w:val="single" w:color="auto" w:sz="4" w:space="0"/>
                  </w:tcBorders>
                  <w:noWrap w:val="0"/>
                  <w:vAlign w:val="center"/>
                </w:tcPr>
                <w:p w14:paraId="11F56B3D">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900-023-29</w:t>
                  </w:r>
                </w:p>
              </w:tc>
              <w:tc>
                <w:tcPr>
                  <w:tcW w:w="418" w:type="pct"/>
                  <w:vMerge w:val="continue"/>
                  <w:tcBorders>
                    <w:left w:val="single" w:color="auto" w:sz="4" w:space="0"/>
                    <w:right w:val="single" w:color="auto" w:sz="4" w:space="0"/>
                  </w:tcBorders>
                  <w:noWrap w:val="0"/>
                  <w:vAlign w:val="center"/>
                </w:tcPr>
                <w:p w14:paraId="68BE9F0E">
                  <w:pPr>
                    <w:pStyle w:val="68"/>
                    <w:bidi w:val="0"/>
                    <w:jc w:val="center"/>
                    <w:rPr>
                      <w:rFonts w:hint="eastAsia"/>
                      <w:color w:val="auto"/>
                      <w:lang w:val="en-US" w:eastAsia="zh-CN"/>
                    </w:rPr>
                  </w:pPr>
                </w:p>
              </w:tc>
              <w:tc>
                <w:tcPr>
                  <w:tcW w:w="441" w:type="pct"/>
                  <w:vMerge w:val="continue"/>
                  <w:tcBorders>
                    <w:left w:val="single" w:color="auto" w:sz="4" w:space="0"/>
                    <w:right w:val="single" w:color="auto" w:sz="4" w:space="0"/>
                  </w:tcBorders>
                  <w:noWrap w:val="0"/>
                  <w:vAlign w:val="center"/>
                </w:tcPr>
                <w:p w14:paraId="3299B45A">
                  <w:pPr>
                    <w:pStyle w:val="68"/>
                    <w:bidi w:val="0"/>
                    <w:jc w:val="center"/>
                    <w:rPr>
                      <w:rFonts w:hint="eastAsia"/>
                      <w:color w:val="auto"/>
                      <w:lang w:val="en-US" w:eastAsia="zh-CN"/>
                    </w:rPr>
                  </w:pPr>
                </w:p>
              </w:tc>
              <w:tc>
                <w:tcPr>
                  <w:tcW w:w="445" w:type="pct"/>
                  <w:tcBorders>
                    <w:top w:val="single" w:color="auto" w:sz="4" w:space="0"/>
                    <w:left w:val="single" w:color="auto" w:sz="4" w:space="0"/>
                    <w:right w:val="single" w:color="auto" w:sz="4" w:space="0"/>
                  </w:tcBorders>
                  <w:noWrap w:val="0"/>
                  <w:vAlign w:val="center"/>
                </w:tcPr>
                <w:p w14:paraId="237B3537">
                  <w:pPr>
                    <w:pStyle w:val="68"/>
                    <w:bidi w:val="0"/>
                    <w:ind w:firstLine="0" w:firstLineChars="0"/>
                    <w:jc w:val="center"/>
                    <w:rPr>
                      <w:rFonts w:hint="eastAsia" w:ascii="Times New Roman" w:hAnsi="Times New Roman" w:eastAsia="宋体" w:cs="Times New Roman"/>
                      <w:color w:val="auto"/>
                      <w:w w:val="100"/>
                      <w:kern w:val="2"/>
                      <w:sz w:val="21"/>
                      <w:szCs w:val="20"/>
                      <w:lang w:val="en-US" w:eastAsia="zh-CN" w:bidi="ar-SA"/>
                    </w:rPr>
                  </w:pPr>
                  <w:r>
                    <w:rPr>
                      <w:rFonts w:hint="eastAsia"/>
                      <w:color w:val="auto"/>
                      <w:lang w:val="en-US" w:eastAsia="zh-CN"/>
                    </w:rPr>
                    <w:t>桶装</w:t>
                  </w:r>
                </w:p>
              </w:tc>
              <w:tc>
                <w:tcPr>
                  <w:tcW w:w="354" w:type="pct"/>
                  <w:vMerge w:val="continue"/>
                  <w:tcBorders>
                    <w:left w:val="single" w:color="auto" w:sz="4" w:space="0"/>
                    <w:right w:val="single" w:color="auto" w:sz="4" w:space="0"/>
                  </w:tcBorders>
                  <w:noWrap w:val="0"/>
                  <w:vAlign w:val="center"/>
                </w:tcPr>
                <w:p w14:paraId="49AD5129">
                  <w:pPr>
                    <w:pStyle w:val="68"/>
                    <w:bidi w:val="0"/>
                    <w:jc w:val="center"/>
                    <w:rPr>
                      <w:rFonts w:hint="eastAsia"/>
                      <w:color w:val="auto"/>
                      <w:lang w:val="en-US" w:eastAsia="zh-CN"/>
                    </w:rPr>
                  </w:pPr>
                </w:p>
              </w:tc>
              <w:tc>
                <w:tcPr>
                  <w:tcW w:w="530" w:type="pct"/>
                  <w:tcBorders>
                    <w:top w:val="single" w:color="auto" w:sz="4" w:space="0"/>
                    <w:left w:val="single" w:color="auto" w:sz="4" w:space="0"/>
                    <w:right w:val="single" w:color="auto" w:sz="8" w:space="0"/>
                  </w:tcBorders>
                  <w:noWrap w:val="0"/>
                  <w:vAlign w:val="center"/>
                </w:tcPr>
                <w:p w14:paraId="1A443A1F">
                  <w:pPr>
                    <w:pStyle w:val="68"/>
                    <w:bidi w:val="0"/>
                    <w:jc w:val="center"/>
                    <w:rPr>
                      <w:rFonts w:hint="default"/>
                      <w:color w:val="auto"/>
                      <w:lang w:val="en-US" w:eastAsia="zh-CN"/>
                    </w:rPr>
                  </w:pPr>
                  <w:r>
                    <w:rPr>
                      <w:rFonts w:hint="eastAsia"/>
                      <w:color w:val="auto"/>
                      <w:lang w:val="en-US" w:eastAsia="zh-CN"/>
                    </w:rPr>
                    <w:t>1a</w:t>
                  </w:r>
                </w:p>
              </w:tc>
            </w:tr>
          </w:tbl>
          <w:p w14:paraId="574C8A32">
            <w:pPr>
              <w:rPr>
                <w:rFonts w:hint="default"/>
                <w:color w:val="auto"/>
                <w:lang w:eastAsia="zh-CN"/>
              </w:rPr>
            </w:pPr>
          </w:p>
          <w:p w14:paraId="75990984">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现有工程危废暂存间为</w:t>
            </w:r>
            <w:r>
              <w:rPr>
                <w:rFonts w:hint="eastAsia"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，医疗废物每</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天就清运一次，可满足扩建</w:t>
            </w:r>
            <w:r>
              <w:rPr>
                <w:rFonts w:hint="eastAsia" w:cs="Times New Roman"/>
                <w:color w:val="auto"/>
                <w:sz w:val="24"/>
                <w:szCs w:val="24"/>
                <w:lang w:val="en-US" w:eastAsia="zh-CN"/>
              </w:rPr>
              <w:t>项目</w:t>
            </w:r>
            <w:r>
              <w:rPr>
                <w:rFonts w:hint="eastAsia" w:ascii="Times New Roman" w:hAnsi="Times New Roman" w:eastAsia="宋体" w:cs="Times New Roman"/>
                <w:color w:val="auto"/>
                <w:sz w:val="24"/>
                <w:szCs w:val="24"/>
                <w:lang w:val="en-US" w:eastAsia="zh-CN"/>
              </w:rPr>
              <w:t>新增危险废物储存。</w:t>
            </w:r>
          </w:p>
          <w:p w14:paraId="04681BFD">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D.医疗废物的交接、运送</w:t>
            </w:r>
          </w:p>
          <w:p w14:paraId="70A9F1A1">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转移医疗废物必须执行危险废物转移许可制度和转移联单制度，填写《重庆市医疗卫生机构医疗废物转移登记表》及《重庆市危险废物转移联单（医疗废物专用）》等。医疗废物运送应委托有资质单位专用车辆进行运送，建设单位不得私自运送，车辆运送路线应尽量避开人口密集区域和交通拥堵道路。运送工具在使用后应当及时消毒和清洁。</w:t>
            </w:r>
          </w:p>
          <w:p w14:paraId="08995E5D">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E.医疗废物的内部转运要求</w:t>
            </w:r>
          </w:p>
          <w:p w14:paraId="1A40D652">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产生的医疗废物依托现有项目已建成的医疗废物暂存间暂存。医疗废物经袋装后装入防渗漏、防遗撒的密封转运箱，转运箱为黄色，标有明显的警示标识和警示说明，并且要求转运前对转运箱进行消毒，转运后立即进行消毒和清洁。转运时间固定在21:00-22:00，通过错时段方式转移，减少与外部人员的接触。</w:t>
            </w:r>
          </w:p>
          <w:p w14:paraId="482A6540">
            <w:pPr>
              <w:adjustRightInd w:val="0"/>
              <w:snapToGrid w:val="0"/>
              <w:spacing w:line="360" w:lineRule="auto"/>
              <w:rPr>
                <w:b/>
                <w:color w:val="auto"/>
                <w:spacing w:val="-10"/>
                <w:sz w:val="24"/>
              </w:rPr>
            </w:pPr>
            <w:r>
              <w:rPr>
                <w:rFonts w:hint="eastAsia"/>
                <w:b/>
                <w:color w:val="auto"/>
                <w:spacing w:val="-10"/>
                <w:sz w:val="24"/>
              </w:rPr>
              <w:t>4.2.5</w:t>
            </w:r>
            <w:r>
              <w:rPr>
                <w:b/>
                <w:color w:val="auto"/>
                <w:spacing w:val="-10"/>
                <w:sz w:val="24"/>
              </w:rPr>
              <w:t>地下水、土壤环境影响分析</w:t>
            </w:r>
          </w:p>
          <w:p w14:paraId="1C26BA46">
            <w:pPr>
              <w:pStyle w:val="16"/>
              <w:adjustRightInd w:val="0"/>
              <w:snapToGrid w:val="0"/>
              <w:spacing w:after="0" w:line="360" w:lineRule="auto"/>
              <w:ind w:left="0" w:leftChars="0" w:firstLine="482" w:firstLineChars="200"/>
              <w:rPr>
                <w:b/>
                <w:bCs/>
                <w:color w:val="auto"/>
                <w:sz w:val="24"/>
              </w:rPr>
            </w:pPr>
            <w:r>
              <w:rPr>
                <w:b/>
                <w:bCs/>
                <w:color w:val="auto"/>
                <w:sz w:val="24"/>
              </w:rPr>
              <w:t>1）污染源和污染途径分析</w:t>
            </w:r>
          </w:p>
          <w:p w14:paraId="24131685">
            <w:pPr>
              <w:pStyle w:val="16"/>
              <w:adjustRightInd w:val="0"/>
              <w:snapToGrid w:val="0"/>
              <w:spacing w:after="0" w:line="360" w:lineRule="auto"/>
              <w:ind w:left="0" w:leftChars="0" w:firstLine="480" w:firstLineChars="200"/>
              <w:rPr>
                <w:color w:val="auto"/>
                <w:sz w:val="24"/>
              </w:rPr>
            </w:pPr>
            <w:r>
              <w:rPr>
                <w:rFonts w:hint="eastAsia"/>
                <w:color w:val="auto"/>
                <w:sz w:val="24"/>
                <w:lang w:val="en-US" w:eastAsia="zh-CN"/>
              </w:rPr>
              <w:t>扩建</w:t>
            </w:r>
            <w:r>
              <w:rPr>
                <w:color w:val="auto"/>
                <w:sz w:val="24"/>
              </w:rPr>
              <w:t>项目为社会服务类的医院项目，项目周边为城市建成区，500m范围内不存在地下水环境敏感目标，项目无明显的地下水、土壤污染途径，仅污水处理站、医疗废物暂存间存在泄漏的可能性，若泄漏可能影响地下水和土壤环境，泄漏途径可能包括：</w:t>
            </w:r>
          </w:p>
          <w:p w14:paraId="3C74C352">
            <w:pPr>
              <w:pStyle w:val="16"/>
              <w:adjustRightInd w:val="0"/>
              <w:snapToGrid w:val="0"/>
              <w:spacing w:after="0" w:line="360" w:lineRule="auto"/>
              <w:ind w:left="0" w:leftChars="0" w:firstLine="480" w:firstLineChars="200"/>
              <w:rPr>
                <w:color w:val="auto"/>
                <w:sz w:val="24"/>
              </w:rPr>
            </w:pPr>
            <w:r>
              <w:rPr>
                <w:color w:val="auto"/>
                <w:sz w:val="24"/>
              </w:rPr>
              <w:t>①正常状况下，污水输送发生跑、冒、滴、漏和事故性</w:t>
            </w:r>
            <w:r>
              <w:rPr>
                <w:rFonts w:hint="eastAsia"/>
                <w:color w:val="auto"/>
                <w:sz w:val="24"/>
                <w:lang w:eastAsia="zh-CN"/>
              </w:rPr>
              <w:t>泄漏</w:t>
            </w:r>
            <w:r>
              <w:rPr>
                <w:color w:val="auto"/>
                <w:sz w:val="24"/>
              </w:rPr>
              <w:t>，废水泄漏后经包气带渗入含水层或进入土壤层；</w:t>
            </w:r>
          </w:p>
          <w:p w14:paraId="1A258DB0">
            <w:pPr>
              <w:pStyle w:val="16"/>
              <w:adjustRightInd w:val="0"/>
              <w:snapToGrid w:val="0"/>
              <w:spacing w:after="0" w:line="360" w:lineRule="auto"/>
              <w:ind w:left="0" w:leftChars="0" w:firstLine="480" w:firstLineChars="200"/>
              <w:rPr>
                <w:color w:val="auto"/>
                <w:sz w:val="24"/>
              </w:rPr>
            </w:pPr>
            <w:r>
              <w:rPr>
                <w:color w:val="auto"/>
                <w:sz w:val="24"/>
              </w:rPr>
              <w:t>②污水处理站防渗措施出现故障，渗滤液、药品泄漏影响地下水、土壤。项目处理站处理规模为</w:t>
            </w:r>
            <w:r>
              <w:rPr>
                <w:rFonts w:hint="eastAsia"/>
                <w:color w:val="auto"/>
                <w:sz w:val="24"/>
                <w:lang w:val="en-US" w:eastAsia="zh-CN"/>
              </w:rPr>
              <w:t>110</w:t>
            </w:r>
            <w:r>
              <w:rPr>
                <w:color w:val="auto"/>
                <w:sz w:val="24"/>
              </w:rPr>
              <w:t>m</w:t>
            </w:r>
            <w:r>
              <w:rPr>
                <w:color w:val="auto"/>
                <w:sz w:val="24"/>
                <w:vertAlign w:val="superscript"/>
              </w:rPr>
              <w:t>3</w:t>
            </w:r>
            <w:r>
              <w:rPr>
                <w:color w:val="auto"/>
                <w:sz w:val="24"/>
              </w:rPr>
              <w:t>/d，废水源主要为生活污水和医疗废水。</w:t>
            </w:r>
          </w:p>
          <w:p w14:paraId="4D3FFF08">
            <w:pPr>
              <w:adjustRightInd w:val="0"/>
              <w:snapToGrid w:val="0"/>
              <w:spacing w:line="360" w:lineRule="auto"/>
              <w:ind w:firstLine="440" w:firstLineChars="200"/>
              <w:rPr>
                <w:bCs/>
                <w:color w:val="auto"/>
                <w:spacing w:val="-10"/>
                <w:sz w:val="24"/>
              </w:rPr>
            </w:pPr>
            <w:r>
              <w:rPr>
                <w:bCs/>
                <w:color w:val="auto"/>
                <w:spacing w:val="-10"/>
                <w:sz w:val="24"/>
              </w:rPr>
              <w:t>③医疗固废暂存间防渗层泄漏，液态医疗废物或危险废物泄漏进入土壤。</w:t>
            </w:r>
          </w:p>
          <w:p w14:paraId="092843A5">
            <w:pPr>
              <w:pStyle w:val="16"/>
              <w:numPr>
                <w:ilvl w:val="0"/>
                <w:numId w:val="7"/>
              </w:numPr>
              <w:adjustRightInd w:val="0"/>
              <w:snapToGrid w:val="0"/>
              <w:spacing w:after="0" w:line="360" w:lineRule="auto"/>
              <w:ind w:leftChars="0" w:firstLine="442"/>
              <w:rPr>
                <w:b/>
                <w:color w:val="auto"/>
                <w:spacing w:val="-10"/>
                <w:sz w:val="24"/>
              </w:rPr>
            </w:pPr>
            <w:r>
              <w:rPr>
                <w:b/>
                <w:color w:val="auto"/>
                <w:spacing w:val="-10"/>
                <w:sz w:val="24"/>
              </w:rPr>
              <w:t>分区防控措施</w:t>
            </w:r>
          </w:p>
          <w:p w14:paraId="2381CC2D">
            <w:pPr>
              <w:adjustRightInd w:val="0"/>
              <w:snapToGrid w:val="0"/>
              <w:spacing w:line="360" w:lineRule="auto"/>
              <w:ind w:firstLine="520"/>
              <w:rPr>
                <w:color w:val="auto"/>
                <w:kern w:val="0"/>
                <w:sz w:val="24"/>
              </w:rPr>
            </w:pPr>
            <w:r>
              <w:rPr>
                <w:bCs/>
                <w:color w:val="auto"/>
                <w:spacing w:val="-10"/>
                <w:sz w:val="24"/>
              </w:rPr>
              <w:t>针对地下水、土壤污染源采取分区防控，</w:t>
            </w:r>
            <w:r>
              <w:rPr>
                <w:color w:val="auto"/>
                <w:kern w:val="0"/>
                <w:sz w:val="24"/>
              </w:rPr>
              <w:t>将院区分为一般防控区、重点防控区，分别采取不同的防控方案：</w:t>
            </w:r>
          </w:p>
          <w:p w14:paraId="54E41502">
            <w:pPr>
              <w:pStyle w:val="64"/>
              <w:numPr>
                <w:ilvl w:val="0"/>
                <w:numId w:val="8"/>
              </w:numPr>
              <w:ind w:firstLineChars="0"/>
              <w:rPr>
                <w:rFonts w:hAnsi="Times New Roman"/>
                <w:color w:val="auto"/>
                <w:sz w:val="24"/>
              </w:rPr>
            </w:pPr>
            <w:r>
              <w:rPr>
                <w:rFonts w:hAnsi="Times New Roman"/>
                <w:color w:val="auto"/>
                <w:sz w:val="24"/>
              </w:rPr>
              <w:t>简单防控区：</w:t>
            </w:r>
            <w:r>
              <w:rPr>
                <w:rFonts w:hint="eastAsia" w:hAnsi="Times New Roman"/>
                <w:color w:val="auto"/>
                <w:sz w:val="24"/>
              </w:rPr>
              <w:t>病房</w:t>
            </w:r>
            <w:r>
              <w:rPr>
                <w:rFonts w:hAnsi="Times New Roman"/>
                <w:color w:val="auto"/>
                <w:sz w:val="24"/>
              </w:rPr>
              <w:t>。</w:t>
            </w:r>
          </w:p>
          <w:p w14:paraId="438FDBBA">
            <w:pPr>
              <w:pStyle w:val="64"/>
              <w:rPr>
                <w:rFonts w:hAnsi="Times New Roman"/>
                <w:color w:val="auto"/>
                <w:sz w:val="24"/>
              </w:rPr>
            </w:pPr>
            <w:r>
              <w:rPr>
                <w:rFonts w:hAnsi="Times New Roman"/>
                <w:color w:val="auto"/>
                <w:sz w:val="24"/>
              </w:rPr>
              <w:t>防控方案：地面采取水泥硬化。</w:t>
            </w:r>
          </w:p>
          <w:p w14:paraId="5E10D842">
            <w:pPr>
              <w:pStyle w:val="64"/>
              <w:rPr>
                <w:rFonts w:hAnsi="Times New Roman"/>
                <w:color w:val="auto"/>
                <w:sz w:val="24"/>
              </w:rPr>
            </w:pPr>
            <w:r>
              <w:rPr>
                <w:rFonts w:hAnsi="Times New Roman"/>
                <w:color w:val="auto"/>
                <w:sz w:val="24"/>
              </w:rPr>
              <w:t>B</w:t>
            </w:r>
            <w:r>
              <w:rPr>
                <w:rFonts w:hint="eastAsia" w:hAnsi="Times New Roman"/>
                <w:color w:val="auto"/>
                <w:sz w:val="24"/>
                <w:lang w:eastAsia="zh-CN"/>
              </w:rPr>
              <w:t>、</w:t>
            </w:r>
            <w:r>
              <w:rPr>
                <w:rFonts w:hAnsi="Times New Roman"/>
                <w:color w:val="auto"/>
                <w:sz w:val="24"/>
              </w:rPr>
              <w:t>一般防控区：污水处理站</w:t>
            </w:r>
            <w:r>
              <w:rPr>
                <w:rFonts w:hint="eastAsia" w:hAnsi="Times New Roman"/>
                <w:color w:val="auto"/>
                <w:sz w:val="24"/>
              </w:rPr>
              <w:t>池体、设备间</w:t>
            </w:r>
            <w:r>
              <w:rPr>
                <w:rFonts w:hAnsi="Times New Roman"/>
                <w:color w:val="auto"/>
                <w:sz w:val="24"/>
              </w:rPr>
              <w:t>。</w:t>
            </w:r>
          </w:p>
          <w:p w14:paraId="11C0873E">
            <w:pPr>
              <w:pStyle w:val="64"/>
              <w:rPr>
                <w:rFonts w:hAnsi="Times New Roman"/>
                <w:color w:val="auto"/>
                <w:sz w:val="24"/>
              </w:rPr>
            </w:pPr>
            <w:r>
              <w:rPr>
                <w:rFonts w:hAnsi="Times New Roman"/>
                <w:color w:val="auto"/>
                <w:sz w:val="24"/>
              </w:rPr>
              <w:t>防控方案：污水池体采取水泥硬化并做防渗处理，污水管网采用优质管材，定期巡检，</w:t>
            </w:r>
            <w:r>
              <w:rPr>
                <w:rFonts w:hint="eastAsia" w:hAnsi="Times New Roman"/>
                <w:color w:val="auto"/>
                <w:sz w:val="24"/>
              </w:rPr>
              <w:t>设备间</w:t>
            </w:r>
            <w:r>
              <w:rPr>
                <w:rFonts w:hAnsi="Times New Roman"/>
                <w:color w:val="auto"/>
                <w:sz w:val="24"/>
              </w:rPr>
              <w:t>配备防渗设施，加强污水处理站巡检。</w:t>
            </w:r>
          </w:p>
          <w:p w14:paraId="5F27E737">
            <w:pPr>
              <w:pStyle w:val="64"/>
              <w:rPr>
                <w:rFonts w:hAnsi="Times New Roman"/>
                <w:color w:val="auto"/>
                <w:sz w:val="24"/>
              </w:rPr>
            </w:pPr>
            <w:r>
              <w:rPr>
                <w:rFonts w:hAnsi="Times New Roman"/>
                <w:color w:val="auto"/>
                <w:sz w:val="24"/>
              </w:rPr>
              <w:t>C</w:t>
            </w:r>
            <w:r>
              <w:rPr>
                <w:rFonts w:hint="eastAsia" w:hAnsi="Times New Roman"/>
                <w:color w:val="auto"/>
                <w:sz w:val="24"/>
                <w:lang w:eastAsia="zh-CN"/>
              </w:rPr>
              <w:t>、</w:t>
            </w:r>
            <w:r>
              <w:rPr>
                <w:rFonts w:hAnsi="Times New Roman"/>
                <w:color w:val="auto"/>
                <w:sz w:val="24"/>
              </w:rPr>
              <w:t>重点防控区：医疗固废暂存间。</w:t>
            </w:r>
          </w:p>
          <w:p w14:paraId="6DCA1010">
            <w:pPr>
              <w:adjustRightInd w:val="0"/>
              <w:snapToGrid w:val="0"/>
              <w:spacing w:line="360" w:lineRule="auto"/>
              <w:ind w:firstLine="520"/>
              <w:rPr>
                <w:color w:val="auto"/>
                <w:sz w:val="24"/>
              </w:rPr>
            </w:pPr>
            <w:r>
              <w:rPr>
                <w:b/>
                <w:bCs/>
                <w:color w:val="auto"/>
                <w:sz w:val="24"/>
              </w:rPr>
              <w:t>防控方案：</w:t>
            </w:r>
            <w:r>
              <w:rPr>
                <w:color w:val="auto"/>
                <w:sz w:val="24"/>
              </w:rPr>
              <w:t>做“</w:t>
            </w:r>
            <w:r>
              <w:rPr>
                <w:rFonts w:hint="eastAsia"/>
                <w:color w:val="auto"/>
                <w:sz w:val="24"/>
                <w:lang w:val="en-US" w:eastAsia="zh-CN"/>
              </w:rPr>
              <w:t>六</w:t>
            </w:r>
            <w:r>
              <w:rPr>
                <w:color w:val="auto"/>
                <w:sz w:val="24"/>
              </w:rPr>
              <w:t>防”处理，铺设双层高密度聚乙烯HDEP防渗膜，渗透系数不大于1.0×10</w:t>
            </w:r>
            <w:r>
              <w:rPr>
                <w:color w:val="auto"/>
                <w:sz w:val="24"/>
                <w:vertAlign w:val="superscript"/>
              </w:rPr>
              <w:t>-7</w:t>
            </w:r>
            <w:r>
              <w:rPr>
                <w:color w:val="auto"/>
                <w:sz w:val="24"/>
              </w:rPr>
              <w:t>cm/s；</w:t>
            </w:r>
            <w:r>
              <w:rPr>
                <w:rFonts w:hint="eastAsia"/>
                <w:color w:val="auto"/>
                <w:sz w:val="24"/>
              </w:rPr>
              <w:t>医疗固废暂存间</w:t>
            </w:r>
            <w:r>
              <w:rPr>
                <w:color w:val="auto"/>
                <w:sz w:val="24"/>
              </w:rPr>
              <w:t>用定制托盘进行防渗或选择地面铺设双层高密度聚乙烯HDEP防渗膜，渗透系数不大于1.0×10</w:t>
            </w:r>
            <w:r>
              <w:rPr>
                <w:color w:val="auto"/>
                <w:sz w:val="24"/>
                <w:vertAlign w:val="superscript"/>
              </w:rPr>
              <w:t>-7</w:t>
            </w:r>
            <w:r>
              <w:rPr>
                <w:color w:val="auto"/>
                <w:sz w:val="24"/>
              </w:rPr>
              <w:t>cm/s，墙角涂刷环氧树脂漆，加强巡检，保留相应固废转运清单。</w:t>
            </w:r>
          </w:p>
          <w:p w14:paraId="5978644E">
            <w:pPr>
              <w:adjustRightInd w:val="0"/>
              <w:snapToGrid w:val="0"/>
              <w:spacing w:line="360" w:lineRule="auto"/>
              <w:rPr>
                <w:b/>
                <w:color w:val="auto"/>
                <w:spacing w:val="-10"/>
                <w:sz w:val="24"/>
              </w:rPr>
            </w:pPr>
            <w:r>
              <w:rPr>
                <w:rFonts w:hint="eastAsia"/>
                <w:b/>
                <w:color w:val="auto"/>
                <w:spacing w:val="-10"/>
                <w:sz w:val="24"/>
              </w:rPr>
              <w:t>4.2.6</w:t>
            </w:r>
            <w:r>
              <w:rPr>
                <w:b/>
                <w:color w:val="auto"/>
                <w:spacing w:val="-10"/>
                <w:sz w:val="24"/>
              </w:rPr>
              <w:t>生态</w:t>
            </w:r>
          </w:p>
          <w:p w14:paraId="3E66C27C">
            <w:pPr>
              <w:pStyle w:val="16"/>
              <w:adjustRightInd w:val="0"/>
              <w:snapToGrid w:val="0"/>
              <w:spacing w:after="0" w:line="360" w:lineRule="auto"/>
              <w:ind w:left="0" w:leftChars="0" w:firstLine="480" w:firstLineChars="200"/>
              <w:rPr>
                <w:color w:val="auto"/>
                <w:sz w:val="24"/>
              </w:rPr>
            </w:pPr>
            <w:r>
              <w:rPr>
                <w:color w:val="auto"/>
                <w:kern w:val="0"/>
                <w:sz w:val="24"/>
              </w:rPr>
              <w:t>项目服务期在室</w:t>
            </w:r>
            <w:r>
              <w:rPr>
                <w:color w:val="auto"/>
                <w:sz w:val="24"/>
              </w:rPr>
              <w:t>内进行，且周边为城市建成区，</w:t>
            </w:r>
            <w:r>
              <w:rPr>
                <w:color w:val="auto"/>
                <w:kern w:val="0"/>
                <w:sz w:val="24"/>
              </w:rPr>
              <w:t>对当地的生态环境影响较小。项目</w:t>
            </w:r>
            <w:r>
              <w:rPr>
                <w:rFonts w:hint="eastAsia"/>
                <w:color w:val="auto"/>
                <w:kern w:val="0"/>
                <w:sz w:val="24"/>
                <w:lang w:eastAsia="zh-CN"/>
              </w:rPr>
              <w:t>建设</w:t>
            </w:r>
            <w:r>
              <w:rPr>
                <w:color w:val="auto"/>
                <w:kern w:val="0"/>
                <w:sz w:val="24"/>
              </w:rPr>
              <w:t>生态环境维持现有水平。</w:t>
            </w:r>
          </w:p>
          <w:p w14:paraId="4761845F">
            <w:pPr>
              <w:adjustRightInd w:val="0"/>
              <w:snapToGrid w:val="0"/>
              <w:spacing w:line="360" w:lineRule="auto"/>
              <w:rPr>
                <w:b/>
                <w:color w:val="auto"/>
                <w:spacing w:val="-10"/>
                <w:sz w:val="24"/>
              </w:rPr>
            </w:pPr>
            <w:r>
              <w:rPr>
                <w:rFonts w:hint="eastAsia"/>
                <w:b/>
                <w:color w:val="auto"/>
                <w:spacing w:val="-10"/>
                <w:sz w:val="24"/>
              </w:rPr>
              <w:t>4.2.7</w:t>
            </w:r>
            <w:r>
              <w:rPr>
                <w:b/>
                <w:color w:val="auto"/>
                <w:spacing w:val="-10"/>
                <w:sz w:val="24"/>
              </w:rPr>
              <w:t>环境风险分析</w:t>
            </w:r>
          </w:p>
          <w:p w14:paraId="4E9862E6">
            <w:pPr>
              <w:spacing w:line="360" w:lineRule="auto"/>
              <w:ind w:firstLine="482" w:firstLineChars="200"/>
              <w:rPr>
                <w:b/>
                <w:color w:val="auto"/>
                <w:sz w:val="24"/>
              </w:rPr>
            </w:pPr>
            <w:r>
              <w:rPr>
                <w:b/>
                <w:color w:val="auto"/>
                <w:sz w:val="24"/>
              </w:rPr>
              <w:t>1）风险源调查</w:t>
            </w:r>
          </w:p>
          <w:p w14:paraId="42AE16DC">
            <w:pPr>
              <w:spacing w:line="360" w:lineRule="auto"/>
              <w:ind w:firstLine="480" w:firstLineChars="200"/>
              <w:rPr>
                <w:bCs/>
                <w:color w:val="auto"/>
                <w:sz w:val="24"/>
              </w:rPr>
            </w:pPr>
            <w:r>
              <w:rPr>
                <w:bCs/>
                <w:color w:val="auto"/>
                <w:sz w:val="24"/>
              </w:rPr>
              <w:t>扩建</w:t>
            </w:r>
            <w:r>
              <w:rPr>
                <w:rFonts w:hint="eastAsia"/>
                <w:bCs/>
                <w:color w:val="auto"/>
                <w:sz w:val="24"/>
                <w:lang w:val="en-US" w:eastAsia="zh-CN"/>
              </w:rPr>
              <w:t>项目</w:t>
            </w:r>
            <w:r>
              <w:rPr>
                <w:bCs/>
                <w:color w:val="auto"/>
                <w:sz w:val="24"/>
              </w:rPr>
              <w:t>危险目标主要为医疗过程中使用的有机溶剂、消毒剂及其他药物，如乙醇、碘伏、双氧水等具有毒性或腐蚀性或刺激性化学品；污水处理站所用消毒剂是利用</w:t>
            </w:r>
            <w:r>
              <w:rPr>
                <w:rFonts w:hint="eastAsia"/>
                <w:bCs/>
                <w:color w:val="auto"/>
                <w:sz w:val="24"/>
              </w:rPr>
              <w:t>次</w:t>
            </w:r>
            <w:r>
              <w:rPr>
                <w:bCs/>
                <w:color w:val="auto"/>
                <w:sz w:val="24"/>
              </w:rPr>
              <w:t>氯</w:t>
            </w:r>
            <w:r>
              <w:rPr>
                <w:rFonts w:hint="eastAsia"/>
                <w:bCs/>
                <w:color w:val="auto"/>
                <w:sz w:val="24"/>
              </w:rPr>
              <w:t>酸钠</w:t>
            </w:r>
            <w:r>
              <w:rPr>
                <w:bCs/>
                <w:color w:val="auto"/>
                <w:sz w:val="24"/>
              </w:rPr>
              <w:t>，根据《危险化学品重大危险源识别》（GB18218-2018）、《建设项目环境风险评价技术导则》（HJ169-2018）附录B，本项目环境风险物质主要考虑</w:t>
            </w:r>
            <w:r>
              <w:rPr>
                <w:rFonts w:hint="eastAsia"/>
                <w:bCs/>
                <w:color w:val="auto"/>
                <w:sz w:val="24"/>
              </w:rPr>
              <w:t>次氯酸钠</w:t>
            </w:r>
            <w:r>
              <w:rPr>
                <w:bCs/>
                <w:color w:val="auto"/>
                <w:sz w:val="24"/>
              </w:rPr>
              <w:t>、乙醇、</w:t>
            </w:r>
            <w:r>
              <w:rPr>
                <w:rFonts w:hint="eastAsia"/>
                <w:bCs/>
                <w:color w:val="auto"/>
                <w:sz w:val="24"/>
              </w:rPr>
              <w:t>碘伏</w:t>
            </w:r>
            <w:r>
              <w:rPr>
                <w:bCs/>
                <w:color w:val="auto"/>
                <w:sz w:val="24"/>
              </w:rPr>
              <w:t>及双氧水。</w:t>
            </w:r>
          </w:p>
          <w:p w14:paraId="6221443A">
            <w:pPr>
              <w:spacing w:line="360" w:lineRule="auto"/>
              <w:ind w:firstLine="480" w:firstLineChars="200"/>
              <w:rPr>
                <w:color w:val="auto"/>
                <w:sz w:val="24"/>
              </w:rPr>
            </w:pPr>
            <w:r>
              <w:rPr>
                <w:color w:val="auto"/>
                <w:sz w:val="24"/>
              </w:rPr>
              <w:t>扩建项目风险物质数量、分布详见表4</w:t>
            </w:r>
            <w:r>
              <w:rPr>
                <w:rFonts w:hint="eastAsia"/>
                <w:color w:val="auto"/>
                <w:sz w:val="24"/>
                <w:lang w:val="en-US" w:eastAsia="zh-CN"/>
              </w:rPr>
              <w:t>.2</w:t>
            </w:r>
            <w:r>
              <w:rPr>
                <w:color w:val="auto"/>
                <w:sz w:val="24"/>
              </w:rPr>
              <w:t>-</w:t>
            </w:r>
            <w:r>
              <w:rPr>
                <w:rFonts w:hint="eastAsia"/>
                <w:color w:val="auto"/>
                <w:sz w:val="24"/>
                <w:lang w:val="en-US" w:eastAsia="zh-CN"/>
              </w:rPr>
              <w:t>22</w:t>
            </w:r>
            <w:r>
              <w:rPr>
                <w:color w:val="auto"/>
                <w:sz w:val="24"/>
              </w:rPr>
              <w:t>。</w:t>
            </w:r>
          </w:p>
          <w:p w14:paraId="1465DFE4">
            <w:pPr>
              <w:jc w:val="center"/>
              <w:rPr>
                <w:b/>
                <w:color w:val="auto"/>
                <w:sz w:val="24"/>
              </w:rPr>
            </w:pPr>
            <w:r>
              <w:rPr>
                <w:b/>
                <w:color w:val="auto"/>
                <w:sz w:val="24"/>
              </w:rPr>
              <w:t>表4</w:t>
            </w:r>
            <w:r>
              <w:rPr>
                <w:rFonts w:hint="eastAsia"/>
                <w:b/>
                <w:color w:val="auto"/>
                <w:sz w:val="24"/>
                <w:lang w:val="en-US" w:eastAsia="zh-CN"/>
              </w:rPr>
              <w:t>.2</w:t>
            </w:r>
            <w:r>
              <w:rPr>
                <w:b/>
                <w:color w:val="auto"/>
                <w:sz w:val="24"/>
              </w:rPr>
              <w:t>-</w:t>
            </w:r>
            <w:r>
              <w:rPr>
                <w:rFonts w:hint="eastAsia"/>
                <w:b/>
                <w:color w:val="auto"/>
                <w:sz w:val="24"/>
                <w:lang w:val="en-US" w:eastAsia="zh-CN"/>
              </w:rPr>
              <w:t xml:space="preserve">22 </w:t>
            </w:r>
            <w:r>
              <w:rPr>
                <w:b/>
                <w:color w:val="auto"/>
                <w:sz w:val="24"/>
              </w:rPr>
              <w:t>风险物质数量及临界量比值表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2282"/>
              <w:gridCol w:w="1053"/>
              <w:gridCol w:w="1487"/>
              <w:gridCol w:w="1669"/>
              <w:gridCol w:w="1653"/>
            </w:tblGrid>
            <w:tr w14:paraId="0827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noWrap w:val="0"/>
                  <w:vAlign w:val="center"/>
                </w:tcPr>
                <w:p w14:paraId="4DD0A2C5">
                  <w:pPr>
                    <w:jc w:val="center"/>
                    <w:rPr>
                      <w:b/>
                      <w:color w:val="auto"/>
                    </w:rPr>
                  </w:pPr>
                  <w:r>
                    <w:rPr>
                      <w:b/>
                      <w:color w:val="auto"/>
                    </w:rPr>
                    <w:t>序号</w:t>
                  </w:r>
                </w:p>
              </w:tc>
              <w:tc>
                <w:tcPr>
                  <w:tcW w:w="1294" w:type="pct"/>
                  <w:noWrap w:val="0"/>
                  <w:vAlign w:val="center"/>
                </w:tcPr>
                <w:p w14:paraId="180FE772">
                  <w:pPr>
                    <w:jc w:val="center"/>
                    <w:rPr>
                      <w:b/>
                      <w:color w:val="auto"/>
                    </w:rPr>
                  </w:pPr>
                  <w:r>
                    <w:rPr>
                      <w:b/>
                      <w:color w:val="auto"/>
                    </w:rPr>
                    <w:t>风险物质名称</w:t>
                  </w:r>
                </w:p>
              </w:tc>
              <w:tc>
                <w:tcPr>
                  <w:tcW w:w="598" w:type="pct"/>
                  <w:noWrap w:val="0"/>
                  <w:vAlign w:val="center"/>
                </w:tcPr>
                <w:p w14:paraId="2CD80F1D">
                  <w:pPr>
                    <w:jc w:val="center"/>
                    <w:rPr>
                      <w:b/>
                      <w:color w:val="auto"/>
                    </w:rPr>
                  </w:pPr>
                  <w:r>
                    <w:rPr>
                      <w:b/>
                      <w:color w:val="auto"/>
                    </w:rPr>
                    <w:t>储存量</w:t>
                  </w:r>
                </w:p>
              </w:tc>
              <w:tc>
                <w:tcPr>
                  <w:tcW w:w="842" w:type="pct"/>
                  <w:noWrap w:val="0"/>
                  <w:vAlign w:val="center"/>
                </w:tcPr>
                <w:p w14:paraId="2E0713CB">
                  <w:pPr>
                    <w:jc w:val="center"/>
                    <w:rPr>
                      <w:b/>
                      <w:color w:val="auto"/>
                    </w:rPr>
                  </w:pPr>
                  <w:r>
                    <w:rPr>
                      <w:b/>
                      <w:color w:val="auto"/>
                    </w:rPr>
                    <w:t>风险源位置</w:t>
                  </w:r>
                </w:p>
              </w:tc>
              <w:tc>
                <w:tcPr>
                  <w:tcW w:w="946" w:type="pct"/>
                  <w:noWrap w:val="0"/>
                  <w:vAlign w:val="center"/>
                </w:tcPr>
                <w:p w14:paraId="6EDB5292">
                  <w:pPr>
                    <w:jc w:val="center"/>
                    <w:rPr>
                      <w:b/>
                      <w:color w:val="auto"/>
                    </w:rPr>
                  </w:pPr>
                  <w:r>
                    <w:rPr>
                      <w:rFonts w:hint="eastAsia"/>
                      <w:b/>
                      <w:color w:val="auto"/>
                    </w:rPr>
                    <w:t>临界量t</w:t>
                  </w:r>
                </w:p>
              </w:tc>
              <w:tc>
                <w:tcPr>
                  <w:tcW w:w="936" w:type="pct"/>
                  <w:noWrap w:val="0"/>
                  <w:vAlign w:val="center"/>
                </w:tcPr>
                <w:p w14:paraId="79C0D1F1">
                  <w:pPr>
                    <w:jc w:val="center"/>
                    <w:rPr>
                      <w:b/>
                      <w:color w:val="auto"/>
                    </w:rPr>
                  </w:pPr>
                  <w:r>
                    <w:rPr>
                      <w:rFonts w:hint="eastAsia"/>
                      <w:b/>
                      <w:color w:val="auto"/>
                    </w:rPr>
                    <w:t>Q值</w:t>
                  </w:r>
                </w:p>
              </w:tc>
            </w:tr>
            <w:tr w14:paraId="21742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noWrap w:val="0"/>
                  <w:vAlign w:val="center"/>
                </w:tcPr>
                <w:p w14:paraId="10D751A7">
                  <w:pPr>
                    <w:jc w:val="center"/>
                    <w:rPr>
                      <w:bCs/>
                      <w:color w:val="auto"/>
                    </w:rPr>
                  </w:pPr>
                  <w:r>
                    <w:rPr>
                      <w:bCs/>
                      <w:color w:val="auto"/>
                    </w:rPr>
                    <w:t>1</w:t>
                  </w:r>
                </w:p>
              </w:tc>
              <w:tc>
                <w:tcPr>
                  <w:tcW w:w="1294" w:type="pct"/>
                  <w:noWrap w:val="0"/>
                  <w:vAlign w:val="center"/>
                </w:tcPr>
                <w:p w14:paraId="3A52E3FC">
                  <w:pPr>
                    <w:jc w:val="center"/>
                    <w:rPr>
                      <w:bCs/>
                      <w:color w:val="auto"/>
                    </w:rPr>
                  </w:pPr>
                  <w:r>
                    <w:rPr>
                      <w:bCs/>
                      <w:color w:val="auto"/>
                    </w:rPr>
                    <w:t>乙醇</w:t>
                  </w:r>
                </w:p>
              </w:tc>
              <w:tc>
                <w:tcPr>
                  <w:tcW w:w="598" w:type="pct"/>
                  <w:noWrap w:val="0"/>
                  <w:vAlign w:val="center"/>
                </w:tcPr>
                <w:p w14:paraId="5505B1BA">
                  <w:pPr>
                    <w:jc w:val="center"/>
                    <w:rPr>
                      <w:b/>
                      <w:color w:val="auto"/>
                    </w:rPr>
                  </w:pPr>
                  <w:r>
                    <w:rPr>
                      <w:color w:val="auto"/>
                    </w:rPr>
                    <w:t>0.1t</w:t>
                  </w:r>
                </w:p>
              </w:tc>
              <w:tc>
                <w:tcPr>
                  <w:tcW w:w="842" w:type="pct"/>
                  <w:noWrap w:val="0"/>
                  <w:vAlign w:val="center"/>
                </w:tcPr>
                <w:p w14:paraId="7C43BDF5">
                  <w:pPr>
                    <w:jc w:val="center"/>
                    <w:rPr>
                      <w:bCs/>
                      <w:color w:val="auto"/>
                    </w:rPr>
                  </w:pPr>
                  <w:r>
                    <w:rPr>
                      <w:bCs/>
                      <w:color w:val="auto"/>
                    </w:rPr>
                    <w:t>库房</w:t>
                  </w:r>
                </w:p>
              </w:tc>
              <w:tc>
                <w:tcPr>
                  <w:tcW w:w="946" w:type="pct"/>
                  <w:noWrap w:val="0"/>
                  <w:vAlign w:val="center"/>
                </w:tcPr>
                <w:p w14:paraId="3F6E068C">
                  <w:pPr>
                    <w:jc w:val="center"/>
                    <w:rPr>
                      <w:bCs/>
                      <w:color w:val="auto"/>
                    </w:rPr>
                  </w:pPr>
                  <w:r>
                    <w:rPr>
                      <w:rFonts w:hint="eastAsia"/>
                      <w:bCs/>
                      <w:color w:val="auto"/>
                    </w:rPr>
                    <w:t>500</w:t>
                  </w:r>
                </w:p>
              </w:tc>
              <w:tc>
                <w:tcPr>
                  <w:tcW w:w="936" w:type="pct"/>
                  <w:noWrap w:val="0"/>
                  <w:vAlign w:val="center"/>
                </w:tcPr>
                <w:p w14:paraId="6DA78159">
                  <w:pPr>
                    <w:jc w:val="center"/>
                    <w:rPr>
                      <w:bCs/>
                      <w:color w:val="auto"/>
                    </w:rPr>
                  </w:pPr>
                  <w:r>
                    <w:rPr>
                      <w:rFonts w:hint="eastAsia"/>
                      <w:bCs/>
                      <w:color w:val="auto"/>
                    </w:rPr>
                    <w:t>0.0002</w:t>
                  </w:r>
                </w:p>
              </w:tc>
            </w:tr>
            <w:tr w14:paraId="07000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noWrap w:val="0"/>
                  <w:vAlign w:val="center"/>
                </w:tcPr>
                <w:p w14:paraId="16A09078">
                  <w:pPr>
                    <w:jc w:val="center"/>
                    <w:rPr>
                      <w:bCs/>
                      <w:color w:val="auto"/>
                    </w:rPr>
                  </w:pPr>
                  <w:r>
                    <w:rPr>
                      <w:bCs/>
                      <w:color w:val="auto"/>
                    </w:rPr>
                    <w:t>2</w:t>
                  </w:r>
                </w:p>
              </w:tc>
              <w:tc>
                <w:tcPr>
                  <w:tcW w:w="1294" w:type="pct"/>
                  <w:noWrap w:val="0"/>
                  <w:vAlign w:val="center"/>
                </w:tcPr>
                <w:p w14:paraId="2131337B">
                  <w:pPr>
                    <w:jc w:val="center"/>
                    <w:rPr>
                      <w:bCs/>
                      <w:color w:val="auto"/>
                    </w:rPr>
                  </w:pPr>
                  <w:r>
                    <w:rPr>
                      <w:rFonts w:hint="eastAsia"/>
                      <w:bCs/>
                      <w:color w:val="auto"/>
                    </w:rPr>
                    <w:t>碘伏</w:t>
                  </w:r>
                </w:p>
              </w:tc>
              <w:tc>
                <w:tcPr>
                  <w:tcW w:w="598" w:type="pct"/>
                  <w:noWrap w:val="0"/>
                  <w:vAlign w:val="center"/>
                </w:tcPr>
                <w:p w14:paraId="2F5888D8">
                  <w:pPr>
                    <w:jc w:val="center"/>
                    <w:rPr>
                      <w:color w:val="auto"/>
                    </w:rPr>
                  </w:pPr>
                  <w:r>
                    <w:rPr>
                      <w:rFonts w:hint="eastAsia"/>
                      <w:color w:val="auto"/>
                    </w:rPr>
                    <w:t>0.1t</w:t>
                  </w:r>
                </w:p>
              </w:tc>
              <w:tc>
                <w:tcPr>
                  <w:tcW w:w="842" w:type="pct"/>
                  <w:noWrap w:val="0"/>
                  <w:vAlign w:val="center"/>
                </w:tcPr>
                <w:p w14:paraId="3A103E5F">
                  <w:pPr>
                    <w:jc w:val="center"/>
                    <w:rPr>
                      <w:bCs/>
                      <w:color w:val="auto"/>
                    </w:rPr>
                  </w:pPr>
                  <w:r>
                    <w:rPr>
                      <w:bCs/>
                      <w:color w:val="auto"/>
                    </w:rPr>
                    <w:t>库房</w:t>
                  </w:r>
                </w:p>
              </w:tc>
              <w:tc>
                <w:tcPr>
                  <w:tcW w:w="946" w:type="pct"/>
                  <w:noWrap w:val="0"/>
                  <w:vAlign w:val="center"/>
                </w:tcPr>
                <w:p w14:paraId="6CF82951">
                  <w:pPr>
                    <w:jc w:val="center"/>
                    <w:rPr>
                      <w:bCs/>
                      <w:color w:val="auto"/>
                    </w:rPr>
                  </w:pPr>
                  <w:r>
                    <w:rPr>
                      <w:rFonts w:hint="eastAsia"/>
                      <w:bCs/>
                      <w:color w:val="auto"/>
                    </w:rPr>
                    <w:t>/</w:t>
                  </w:r>
                </w:p>
              </w:tc>
              <w:tc>
                <w:tcPr>
                  <w:tcW w:w="936" w:type="pct"/>
                  <w:noWrap w:val="0"/>
                  <w:vAlign w:val="center"/>
                </w:tcPr>
                <w:p w14:paraId="1844A64F">
                  <w:pPr>
                    <w:jc w:val="center"/>
                    <w:rPr>
                      <w:bCs/>
                      <w:color w:val="auto"/>
                    </w:rPr>
                  </w:pPr>
                  <w:r>
                    <w:rPr>
                      <w:rFonts w:hint="eastAsia"/>
                      <w:bCs/>
                      <w:color w:val="auto"/>
                    </w:rPr>
                    <w:t>/</w:t>
                  </w:r>
                </w:p>
              </w:tc>
            </w:tr>
            <w:tr w14:paraId="118F6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noWrap w:val="0"/>
                  <w:vAlign w:val="center"/>
                </w:tcPr>
                <w:p w14:paraId="781A8FCD">
                  <w:pPr>
                    <w:jc w:val="center"/>
                    <w:rPr>
                      <w:bCs/>
                      <w:color w:val="auto"/>
                    </w:rPr>
                  </w:pPr>
                  <w:r>
                    <w:rPr>
                      <w:bCs/>
                      <w:color w:val="auto"/>
                    </w:rPr>
                    <w:t>3</w:t>
                  </w:r>
                </w:p>
              </w:tc>
              <w:tc>
                <w:tcPr>
                  <w:tcW w:w="1294" w:type="pct"/>
                  <w:noWrap w:val="0"/>
                  <w:vAlign w:val="center"/>
                </w:tcPr>
                <w:p w14:paraId="78DDF707">
                  <w:pPr>
                    <w:jc w:val="center"/>
                    <w:rPr>
                      <w:bCs/>
                      <w:color w:val="auto"/>
                    </w:rPr>
                  </w:pPr>
                  <w:r>
                    <w:rPr>
                      <w:bCs/>
                      <w:color w:val="auto"/>
                    </w:rPr>
                    <w:t>双氧水</w:t>
                  </w:r>
                </w:p>
              </w:tc>
              <w:tc>
                <w:tcPr>
                  <w:tcW w:w="598" w:type="pct"/>
                  <w:noWrap w:val="0"/>
                  <w:vAlign w:val="center"/>
                </w:tcPr>
                <w:p w14:paraId="1D6EE34A">
                  <w:pPr>
                    <w:jc w:val="center"/>
                    <w:rPr>
                      <w:b/>
                      <w:color w:val="auto"/>
                    </w:rPr>
                  </w:pPr>
                  <w:r>
                    <w:rPr>
                      <w:color w:val="auto"/>
                    </w:rPr>
                    <w:t>0.1t</w:t>
                  </w:r>
                </w:p>
              </w:tc>
              <w:tc>
                <w:tcPr>
                  <w:tcW w:w="842" w:type="pct"/>
                  <w:noWrap w:val="0"/>
                  <w:vAlign w:val="center"/>
                </w:tcPr>
                <w:p w14:paraId="5E9F27A8">
                  <w:pPr>
                    <w:jc w:val="center"/>
                    <w:rPr>
                      <w:bCs/>
                      <w:color w:val="auto"/>
                    </w:rPr>
                  </w:pPr>
                  <w:r>
                    <w:rPr>
                      <w:bCs/>
                      <w:color w:val="auto"/>
                    </w:rPr>
                    <w:t>库房</w:t>
                  </w:r>
                </w:p>
              </w:tc>
              <w:tc>
                <w:tcPr>
                  <w:tcW w:w="946" w:type="pct"/>
                  <w:noWrap w:val="0"/>
                  <w:vAlign w:val="center"/>
                </w:tcPr>
                <w:p w14:paraId="0567A16A">
                  <w:pPr>
                    <w:jc w:val="center"/>
                    <w:rPr>
                      <w:bCs/>
                      <w:color w:val="auto"/>
                    </w:rPr>
                  </w:pPr>
                  <w:r>
                    <w:rPr>
                      <w:rFonts w:hint="eastAsia"/>
                      <w:bCs/>
                      <w:color w:val="auto"/>
                    </w:rPr>
                    <w:t>/</w:t>
                  </w:r>
                </w:p>
              </w:tc>
              <w:tc>
                <w:tcPr>
                  <w:tcW w:w="936" w:type="pct"/>
                  <w:noWrap w:val="0"/>
                  <w:vAlign w:val="center"/>
                </w:tcPr>
                <w:p w14:paraId="13487165">
                  <w:pPr>
                    <w:jc w:val="center"/>
                    <w:rPr>
                      <w:bCs/>
                      <w:color w:val="auto"/>
                    </w:rPr>
                  </w:pPr>
                  <w:r>
                    <w:rPr>
                      <w:rFonts w:hint="eastAsia"/>
                      <w:bCs/>
                      <w:color w:val="auto"/>
                    </w:rPr>
                    <w:t>/</w:t>
                  </w:r>
                </w:p>
              </w:tc>
            </w:tr>
            <w:tr w14:paraId="0EFE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4" w:type="pct"/>
                  <w:noWrap w:val="0"/>
                  <w:vAlign w:val="center"/>
                </w:tcPr>
                <w:p w14:paraId="322E633E">
                  <w:pPr>
                    <w:jc w:val="center"/>
                    <w:rPr>
                      <w:bCs/>
                      <w:color w:val="auto"/>
                    </w:rPr>
                  </w:pPr>
                  <w:r>
                    <w:rPr>
                      <w:bCs/>
                      <w:color w:val="auto"/>
                    </w:rPr>
                    <w:t>4</w:t>
                  </w:r>
                </w:p>
              </w:tc>
              <w:tc>
                <w:tcPr>
                  <w:tcW w:w="1294" w:type="pct"/>
                  <w:noWrap w:val="0"/>
                  <w:vAlign w:val="center"/>
                </w:tcPr>
                <w:p w14:paraId="634C06DD">
                  <w:pPr>
                    <w:jc w:val="center"/>
                    <w:rPr>
                      <w:bCs/>
                      <w:color w:val="auto"/>
                    </w:rPr>
                  </w:pPr>
                  <w:r>
                    <w:rPr>
                      <w:bCs/>
                      <w:color w:val="auto"/>
                    </w:rPr>
                    <w:t>84消毒液（次氯酸钠）</w:t>
                  </w:r>
                </w:p>
              </w:tc>
              <w:tc>
                <w:tcPr>
                  <w:tcW w:w="598" w:type="pct"/>
                  <w:noWrap w:val="0"/>
                  <w:vAlign w:val="center"/>
                </w:tcPr>
                <w:p w14:paraId="7246D6CB">
                  <w:pPr>
                    <w:jc w:val="center"/>
                    <w:rPr>
                      <w:color w:val="auto"/>
                    </w:rPr>
                  </w:pPr>
                  <w:r>
                    <w:rPr>
                      <w:color w:val="auto"/>
                    </w:rPr>
                    <w:t>0.2t</w:t>
                  </w:r>
                </w:p>
              </w:tc>
              <w:tc>
                <w:tcPr>
                  <w:tcW w:w="842" w:type="pct"/>
                  <w:noWrap w:val="0"/>
                  <w:vAlign w:val="center"/>
                </w:tcPr>
                <w:p w14:paraId="3A3EC279">
                  <w:pPr>
                    <w:jc w:val="center"/>
                    <w:rPr>
                      <w:bCs/>
                      <w:color w:val="auto"/>
                    </w:rPr>
                  </w:pPr>
                  <w:r>
                    <w:rPr>
                      <w:bCs/>
                      <w:color w:val="auto"/>
                    </w:rPr>
                    <w:t>库房</w:t>
                  </w:r>
                </w:p>
              </w:tc>
              <w:tc>
                <w:tcPr>
                  <w:tcW w:w="946" w:type="pct"/>
                  <w:noWrap w:val="0"/>
                  <w:vAlign w:val="center"/>
                </w:tcPr>
                <w:p w14:paraId="313BD80F">
                  <w:pPr>
                    <w:jc w:val="center"/>
                    <w:rPr>
                      <w:bCs/>
                      <w:color w:val="auto"/>
                    </w:rPr>
                  </w:pPr>
                  <w:r>
                    <w:rPr>
                      <w:rFonts w:hint="eastAsia"/>
                      <w:bCs/>
                      <w:color w:val="auto"/>
                    </w:rPr>
                    <w:t>5</w:t>
                  </w:r>
                </w:p>
              </w:tc>
              <w:tc>
                <w:tcPr>
                  <w:tcW w:w="936" w:type="pct"/>
                  <w:noWrap w:val="0"/>
                  <w:vAlign w:val="center"/>
                </w:tcPr>
                <w:p w14:paraId="1E49E9E8">
                  <w:pPr>
                    <w:jc w:val="center"/>
                    <w:rPr>
                      <w:bCs/>
                      <w:color w:val="auto"/>
                    </w:rPr>
                  </w:pPr>
                  <w:r>
                    <w:rPr>
                      <w:rFonts w:hint="eastAsia"/>
                      <w:bCs/>
                      <w:color w:val="auto"/>
                    </w:rPr>
                    <w:t>0.04</w:t>
                  </w:r>
                </w:p>
              </w:tc>
            </w:tr>
            <w:tr w14:paraId="531CC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384" w:type="pct"/>
                  <w:noWrap w:val="0"/>
                  <w:vAlign w:val="center"/>
                </w:tcPr>
                <w:p w14:paraId="78AF1AAB">
                  <w:pPr>
                    <w:jc w:val="center"/>
                    <w:rPr>
                      <w:bCs/>
                      <w:color w:val="auto"/>
                    </w:rPr>
                  </w:pPr>
                  <w:r>
                    <w:rPr>
                      <w:bCs/>
                      <w:color w:val="auto"/>
                    </w:rPr>
                    <w:t>5</w:t>
                  </w:r>
                </w:p>
              </w:tc>
              <w:tc>
                <w:tcPr>
                  <w:tcW w:w="1294" w:type="pct"/>
                  <w:noWrap w:val="0"/>
                  <w:vAlign w:val="center"/>
                </w:tcPr>
                <w:p w14:paraId="11468C45">
                  <w:pPr>
                    <w:jc w:val="center"/>
                    <w:rPr>
                      <w:bCs/>
                      <w:color w:val="auto"/>
                    </w:rPr>
                  </w:pPr>
                  <w:r>
                    <w:rPr>
                      <w:rFonts w:hint="eastAsia"/>
                      <w:bCs/>
                      <w:color w:val="auto"/>
                    </w:rPr>
                    <w:t>次氯酸钠</w:t>
                  </w:r>
                </w:p>
              </w:tc>
              <w:tc>
                <w:tcPr>
                  <w:tcW w:w="598" w:type="pct"/>
                  <w:noWrap w:val="0"/>
                  <w:vAlign w:val="center"/>
                </w:tcPr>
                <w:p w14:paraId="752FF5F0">
                  <w:pPr>
                    <w:jc w:val="center"/>
                    <w:rPr>
                      <w:color w:val="auto"/>
                    </w:rPr>
                  </w:pPr>
                  <w:r>
                    <w:rPr>
                      <w:color w:val="auto"/>
                    </w:rPr>
                    <w:t>0.</w:t>
                  </w:r>
                  <w:r>
                    <w:rPr>
                      <w:rFonts w:hint="eastAsia"/>
                      <w:color w:val="auto"/>
                    </w:rPr>
                    <w:t>2</w:t>
                  </w:r>
                  <w:r>
                    <w:rPr>
                      <w:color w:val="auto"/>
                    </w:rPr>
                    <w:t>t</w:t>
                  </w:r>
                </w:p>
              </w:tc>
              <w:tc>
                <w:tcPr>
                  <w:tcW w:w="842" w:type="pct"/>
                  <w:noWrap w:val="0"/>
                  <w:vAlign w:val="center"/>
                </w:tcPr>
                <w:p w14:paraId="4FACB392">
                  <w:pPr>
                    <w:jc w:val="center"/>
                    <w:rPr>
                      <w:bCs/>
                      <w:color w:val="auto"/>
                    </w:rPr>
                  </w:pPr>
                  <w:r>
                    <w:rPr>
                      <w:rFonts w:hint="eastAsia"/>
                      <w:bCs/>
                      <w:color w:val="auto"/>
                    </w:rPr>
                    <w:t>加药间</w:t>
                  </w:r>
                </w:p>
              </w:tc>
              <w:tc>
                <w:tcPr>
                  <w:tcW w:w="946" w:type="pct"/>
                  <w:noWrap w:val="0"/>
                  <w:vAlign w:val="center"/>
                </w:tcPr>
                <w:p w14:paraId="3A140EFC">
                  <w:pPr>
                    <w:jc w:val="center"/>
                    <w:rPr>
                      <w:bCs/>
                      <w:color w:val="auto"/>
                    </w:rPr>
                  </w:pPr>
                  <w:r>
                    <w:rPr>
                      <w:rFonts w:hint="eastAsia"/>
                      <w:bCs/>
                      <w:color w:val="auto"/>
                    </w:rPr>
                    <w:t>7.5</w:t>
                  </w:r>
                </w:p>
              </w:tc>
              <w:tc>
                <w:tcPr>
                  <w:tcW w:w="936" w:type="pct"/>
                  <w:noWrap w:val="0"/>
                  <w:vAlign w:val="center"/>
                </w:tcPr>
                <w:p w14:paraId="0DB142E4">
                  <w:pPr>
                    <w:jc w:val="center"/>
                    <w:rPr>
                      <w:bCs/>
                      <w:color w:val="auto"/>
                    </w:rPr>
                  </w:pPr>
                  <w:r>
                    <w:rPr>
                      <w:rFonts w:hint="eastAsia"/>
                      <w:bCs/>
                      <w:color w:val="auto"/>
                    </w:rPr>
                    <w:t>0.0267</w:t>
                  </w:r>
                </w:p>
              </w:tc>
            </w:tr>
            <w:tr w14:paraId="2F608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4" w:type="pct"/>
                  <w:gridSpan w:val="5"/>
                  <w:noWrap w:val="0"/>
                  <w:vAlign w:val="center"/>
                </w:tcPr>
                <w:p w14:paraId="047F2858">
                  <w:pPr>
                    <w:jc w:val="center"/>
                    <w:rPr>
                      <w:rFonts w:hint="eastAsia"/>
                      <w:bCs/>
                      <w:color w:val="auto"/>
                    </w:rPr>
                  </w:pPr>
                  <w:r>
                    <w:rPr>
                      <w:rFonts w:hint="eastAsia"/>
                      <w:bCs/>
                      <w:color w:val="auto"/>
                    </w:rPr>
                    <w:t>合计</w:t>
                  </w:r>
                </w:p>
              </w:tc>
              <w:tc>
                <w:tcPr>
                  <w:tcW w:w="936" w:type="pct"/>
                  <w:noWrap w:val="0"/>
                  <w:vAlign w:val="center"/>
                </w:tcPr>
                <w:p w14:paraId="3FB7C1DD">
                  <w:pPr>
                    <w:jc w:val="center"/>
                    <w:rPr>
                      <w:bCs/>
                      <w:color w:val="auto"/>
                    </w:rPr>
                  </w:pPr>
                  <w:r>
                    <w:rPr>
                      <w:rFonts w:hint="eastAsia"/>
                      <w:bCs/>
                      <w:color w:val="auto"/>
                    </w:rPr>
                    <w:t>0.0669</w:t>
                  </w:r>
                </w:p>
              </w:tc>
            </w:tr>
          </w:tbl>
          <w:p w14:paraId="26F27E8A">
            <w:pPr>
              <w:keepNext w:val="0"/>
              <w:keepLines w:val="0"/>
              <w:pageBreakBefore w:val="0"/>
              <w:widowControl w:val="0"/>
              <w:kinsoku/>
              <w:wordWrap/>
              <w:overflowPunct/>
              <w:topLinePunct w:val="0"/>
              <w:autoSpaceDE/>
              <w:autoSpaceDN/>
              <w:bidi w:val="0"/>
              <w:adjustRightInd w:val="0"/>
              <w:snapToGrid w:val="0"/>
              <w:spacing w:line="360" w:lineRule="auto"/>
              <w:ind w:left="420"/>
              <w:textAlignment w:val="auto"/>
              <w:rPr>
                <w:bCs/>
                <w:color w:val="auto"/>
                <w:spacing w:val="-10"/>
                <w:sz w:val="24"/>
              </w:rPr>
            </w:pPr>
            <w:r>
              <w:rPr>
                <w:rFonts w:hint="eastAsia"/>
                <w:bCs/>
                <w:color w:val="auto"/>
                <w:spacing w:val="-10"/>
                <w:sz w:val="24"/>
              </w:rPr>
              <w:t>根据表4</w:t>
            </w:r>
            <w:r>
              <w:rPr>
                <w:rFonts w:hint="eastAsia"/>
                <w:bCs/>
                <w:color w:val="auto"/>
                <w:spacing w:val="-10"/>
                <w:sz w:val="24"/>
                <w:lang w:val="en-US" w:eastAsia="zh-CN"/>
              </w:rPr>
              <w:t>.2</w:t>
            </w:r>
            <w:r>
              <w:rPr>
                <w:rFonts w:hint="eastAsia"/>
                <w:bCs/>
                <w:color w:val="auto"/>
                <w:spacing w:val="-10"/>
                <w:sz w:val="24"/>
              </w:rPr>
              <w:t>-</w:t>
            </w:r>
            <w:r>
              <w:rPr>
                <w:rFonts w:hint="eastAsia"/>
                <w:bCs/>
                <w:color w:val="auto"/>
                <w:spacing w:val="-10"/>
                <w:sz w:val="24"/>
                <w:lang w:val="en-US" w:eastAsia="zh-CN"/>
              </w:rPr>
              <w:t>21</w:t>
            </w:r>
            <w:r>
              <w:rPr>
                <w:rFonts w:hint="eastAsia"/>
                <w:bCs/>
                <w:color w:val="auto"/>
                <w:spacing w:val="-10"/>
                <w:sz w:val="24"/>
              </w:rPr>
              <w:t>，本项目风险物质Q值为0.0669＜1，无需进行专题评价。</w:t>
            </w:r>
          </w:p>
          <w:p w14:paraId="08F2239C">
            <w:pPr>
              <w:keepNext w:val="0"/>
              <w:keepLines w:val="0"/>
              <w:pageBreakBefore w:val="0"/>
              <w:widowControl w:val="0"/>
              <w:kinsoku/>
              <w:wordWrap/>
              <w:overflowPunct/>
              <w:topLinePunct w:val="0"/>
              <w:autoSpaceDE/>
              <w:autoSpaceDN/>
              <w:bidi w:val="0"/>
              <w:adjustRightInd w:val="0"/>
              <w:snapToGrid w:val="0"/>
              <w:spacing w:line="360" w:lineRule="auto"/>
              <w:ind w:left="420"/>
              <w:textAlignment w:val="auto"/>
              <w:rPr>
                <w:b/>
                <w:color w:val="auto"/>
                <w:spacing w:val="-10"/>
                <w:sz w:val="24"/>
              </w:rPr>
            </w:pPr>
            <w:r>
              <w:rPr>
                <w:b/>
                <w:color w:val="auto"/>
                <w:spacing w:val="-10"/>
                <w:sz w:val="24"/>
              </w:rPr>
              <w:t>2）环境风险及泄漏途径分析</w:t>
            </w:r>
          </w:p>
          <w:p w14:paraId="798D971B">
            <w:pPr>
              <w:pStyle w:val="16"/>
              <w:adjustRightInd w:val="0"/>
              <w:snapToGrid w:val="0"/>
              <w:spacing w:after="0" w:line="360" w:lineRule="auto"/>
              <w:ind w:left="0" w:leftChars="0" w:firstLine="480" w:firstLineChars="200"/>
              <w:rPr>
                <w:b/>
                <w:color w:val="auto"/>
                <w:sz w:val="24"/>
              </w:rPr>
            </w:pPr>
            <w:r>
              <w:rPr>
                <w:bCs/>
                <w:color w:val="auto"/>
                <w:sz w:val="24"/>
              </w:rPr>
              <w:t>（1）污水处理设施事故产生的环境风险</w:t>
            </w:r>
          </w:p>
          <w:p w14:paraId="3489DEDE">
            <w:pPr>
              <w:pStyle w:val="16"/>
              <w:adjustRightInd w:val="0"/>
              <w:snapToGrid w:val="0"/>
              <w:spacing w:after="0" w:line="360" w:lineRule="auto"/>
              <w:ind w:left="0" w:leftChars="0" w:firstLine="480" w:firstLineChars="200"/>
              <w:rPr>
                <w:bCs/>
                <w:color w:val="auto"/>
                <w:sz w:val="24"/>
              </w:rPr>
            </w:pPr>
            <w:r>
              <w:rPr>
                <w:bCs/>
                <w:color w:val="auto"/>
                <w:sz w:val="24"/>
              </w:rPr>
              <w:t>①污水处理站事故</w:t>
            </w:r>
          </w:p>
          <w:p w14:paraId="7F22BFFE">
            <w:pPr>
              <w:pStyle w:val="16"/>
              <w:adjustRightInd w:val="0"/>
              <w:snapToGrid w:val="0"/>
              <w:spacing w:after="0" w:line="360" w:lineRule="auto"/>
              <w:ind w:left="0" w:leftChars="0" w:firstLine="480" w:firstLineChars="200"/>
              <w:rPr>
                <w:bCs/>
                <w:color w:val="auto"/>
                <w:sz w:val="24"/>
              </w:rPr>
            </w:pPr>
            <w:r>
              <w:rPr>
                <w:bCs/>
                <w:color w:val="auto"/>
                <w:sz w:val="24"/>
              </w:rPr>
              <w:t>根据对各类污水的污染物及浓度分析，当医院污水处理设施出现事故导致停运时，</w:t>
            </w:r>
            <w:r>
              <w:rPr>
                <w:rFonts w:hint="eastAsia"/>
                <w:bCs/>
                <w:color w:val="auto"/>
                <w:sz w:val="24"/>
              </w:rPr>
              <w:t>废水污染物</w:t>
            </w:r>
            <w:r>
              <w:rPr>
                <w:bCs/>
                <w:color w:val="auto"/>
                <w:sz w:val="24"/>
              </w:rPr>
              <w:t>将大大超出《医疗机构水污染物排放标准》（GB18466-2005）中表2预处理标准的要求。如果事故停运时让医院污水直接外排，大量超标废水进入市政污水管网，从而对</w:t>
            </w:r>
            <w:r>
              <w:rPr>
                <w:rFonts w:hint="eastAsia"/>
                <w:bCs/>
                <w:color w:val="auto"/>
                <w:sz w:val="24"/>
                <w:lang w:eastAsia="zh-CN"/>
              </w:rPr>
              <w:t>鸡冠石污水处理厂</w:t>
            </w:r>
            <w:r>
              <w:rPr>
                <w:bCs/>
                <w:color w:val="auto"/>
                <w:sz w:val="24"/>
              </w:rPr>
              <w:t>水质造成影响，并将威胁受纳水体的水质。</w:t>
            </w:r>
          </w:p>
          <w:p w14:paraId="2E3CFA5D">
            <w:pPr>
              <w:pStyle w:val="16"/>
              <w:adjustRightInd w:val="0"/>
              <w:snapToGrid w:val="0"/>
              <w:spacing w:after="0" w:line="360" w:lineRule="auto"/>
              <w:ind w:left="0" w:leftChars="0" w:firstLine="480" w:firstLineChars="200"/>
              <w:rPr>
                <w:bCs/>
                <w:color w:val="auto"/>
                <w:sz w:val="24"/>
              </w:rPr>
            </w:pPr>
            <w:r>
              <w:rPr>
                <w:bCs/>
                <w:color w:val="auto"/>
                <w:sz w:val="24"/>
              </w:rPr>
              <w:t>②</w:t>
            </w:r>
            <w:r>
              <w:rPr>
                <w:rFonts w:hint="eastAsia"/>
                <w:bCs/>
                <w:color w:val="auto"/>
                <w:sz w:val="24"/>
              </w:rPr>
              <w:t>医用环境风险物质和医用危险化学品的泄漏</w:t>
            </w:r>
          </w:p>
          <w:p w14:paraId="7B2617C9">
            <w:pPr>
              <w:adjustRightInd w:val="0"/>
              <w:snapToGrid w:val="0"/>
              <w:spacing w:line="360" w:lineRule="auto"/>
              <w:ind w:firstLine="480" w:firstLineChars="200"/>
              <w:rPr>
                <w:bCs/>
                <w:color w:val="auto"/>
                <w:sz w:val="24"/>
              </w:rPr>
            </w:pPr>
            <w:r>
              <w:rPr>
                <w:rFonts w:hint="eastAsia"/>
                <w:bCs/>
                <w:color w:val="auto"/>
                <w:sz w:val="24"/>
              </w:rPr>
              <w:t>项目的医药库房一般为医疗、手术等环节存有少量的乙醇、双氧水等有机溶剂、消毒剂及其他药物，试剂多为500m</w:t>
            </w:r>
            <w:r>
              <w:rPr>
                <w:rFonts w:hint="eastAsia"/>
                <w:bCs/>
                <w:color w:val="auto"/>
                <w:sz w:val="24"/>
                <w:lang w:val="en-US" w:eastAsia="zh-CN"/>
              </w:rPr>
              <w:t>L</w:t>
            </w:r>
            <w:r>
              <w:rPr>
                <w:rFonts w:hint="eastAsia"/>
                <w:bCs/>
                <w:color w:val="auto"/>
                <w:sz w:val="24"/>
              </w:rPr>
              <w:t>瓶装，采购时以箱为单位，每箱约10~12瓶，每月采购一次，库房贮存量较小。如果贮存容器破裂，发生泄漏事故，具有毒性或腐蚀性或刺激性药物（化学品）泄漏会造成环境污染，产生一定的环境风险。因此，医药库房贮存上述物质时，贮存容器、贮存方法、贮存量、贮存环境等必须符合国家规定。同时加强管理和定期检查，可较大的降低贮存的环境风险，使发生风险的</w:t>
            </w:r>
            <w:r>
              <w:rPr>
                <w:bCs/>
                <w:color w:val="auto"/>
                <w:sz w:val="24"/>
              </w:rPr>
              <w:t>。</w:t>
            </w:r>
          </w:p>
          <w:p w14:paraId="1EFD1283">
            <w:pPr>
              <w:pStyle w:val="16"/>
              <w:adjustRightInd w:val="0"/>
              <w:snapToGrid w:val="0"/>
              <w:spacing w:after="0" w:line="360" w:lineRule="auto"/>
              <w:rPr>
                <w:bCs/>
                <w:color w:val="auto"/>
                <w:sz w:val="24"/>
              </w:rPr>
            </w:pPr>
            <w:r>
              <w:rPr>
                <w:bCs/>
                <w:color w:val="auto"/>
                <w:sz w:val="24"/>
              </w:rPr>
              <w:t>（2）医疗废物收集、贮存、运输和处理过程中产生的环境风险</w:t>
            </w:r>
          </w:p>
          <w:p w14:paraId="3DFC9059">
            <w:pPr>
              <w:pStyle w:val="16"/>
              <w:adjustRightInd w:val="0"/>
              <w:snapToGrid w:val="0"/>
              <w:spacing w:after="0" w:line="360" w:lineRule="auto"/>
              <w:ind w:left="0" w:leftChars="0" w:firstLine="480" w:firstLineChars="200"/>
              <w:rPr>
                <w:bCs/>
                <w:color w:val="auto"/>
                <w:sz w:val="24"/>
              </w:rPr>
            </w:pPr>
            <w:r>
              <w:rPr>
                <w:bCs/>
                <w:color w:val="auto"/>
                <w:sz w:val="24"/>
              </w:rPr>
              <w:t>医疗废物中可能存在传染性病菌、病毒、化学污染物等有害物质，由于医疗废物具有空间污染、急性传染和潜伏性污染等特征，其病毒、病菌的危害性是普通生活垃圾的几十、几百甚至上千倍，且基本没有回收再利用的价值。医疗废物残留及衍生的大量病菌是十分有害有毒的物质，如果不经分类收集等有效处理的话，很容易引起各种疾病的传播和蔓延。</w:t>
            </w:r>
          </w:p>
          <w:p w14:paraId="25372CE8">
            <w:pPr>
              <w:pStyle w:val="16"/>
              <w:adjustRightInd w:val="0"/>
              <w:snapToGrid w:val="0"/>
              <w:spacing w:after="0" w:line="360" w:lineRule="auto"/>
              <w:ind w:left="0" w:leftChars="0" w:firstLine="480" w:firstLineChars="200"/>
              <w:rPr>
                <w:bCs/>
                <w:color w:val="auto"/>
                <w:sz w:val="24"/>
              </w:rPr>
            </w:pPr>
            <w:r>
              <w:rPr>
                <w:bCs/>
                <w:color w:val="auto"/>
                <w:sz w:val="24"/>
              </w:rPr>
              <w:t>（3）危险化学品运输、贮存、使用过程的环境风险</w:t>
            </w:r>
          </w:p>
          <w:p w14:paraId="5C8E119D">
            <w:pPr>
              <w:pStyle w:val="16"/>
              <w:adjustRightInd w:val="0"/>
              <w:snapToGrid w:val="0"/>
              <w:spacing w:after="0" w:line="360" w:lineRule="auto"/>
              <w:ind w:left="0" w:leftChars="0" w:firstLine="480" w:firstLineChars="200"/>
              <w:rPr>
                <w:bCs/>
                <w:color w:val="auto"/>
                <w:sz w:val="24"/>
              </w:rPr>
            </w:pPr>
            <w:r>
              <w:rPr>
                <w:bCs/>
                <w:color w:val="auto"/>
                <w:sz w:val="24"/>
              </w:rPr>
              <w:t>根据《化学品分类和危险性公示通则》（GB13690-2009）内容，危险化学品包括16类；按照化学品分类，医院危险化学品品种非常多，且医院还属于经常使用剧毒化学品的单位之列。因此在其贮运过程中</w:t>
            </w:r>
            <w:r>
              <w:rPr>
                <w:rFonts w:hint="eastAsia"/>
                <w:bCs/>
                <w:color w:val="auto"/>
                <w:sz w:val="24"/>
                <w:lang w:eastAsia="zh-CN"/>
              </w:rPr>
              <w:t>均</w:t>
            </w:r>
            <w:r>
              <w:rPr>
                <w:bCs/>
                <w:color w:val="auto"/>
                <w:sz w:val="24"/>
              </w:rPr>
              <w:t>存在潜在危险，风险如下：</w:t>
            </w:r>
          </w:p>
          <w:p w14:paraId="707D8F4E">
            <w:pPr>
              <w:pStyle w:val="16"/>
              <w:adjustRightInd w:val="0"/>
              <w:snapToGrid w:val="0"/>
              <w:spacing w:after="0" w:line="360" w:lineRule="auto"/>
              <w:ind w:left="0" w:leftChars="0" w:firstLine="480" w:firstLineChars="200"/>
              <w:rPr>
                <w:bCs/>
                <w:color w:val="auto"/>
                <w:sz w:val="24"/>
              </w:rPr>
            </w:pPr>
            <w:r>
              <w:rPr>
                <w:bCs/>
                <w:color w:val="auto"/>
                <w:sz w:val="24"/>
              </w:rPr>
              <w:t>①运输过程中因长时间</w:t>
            </w:r>
            <w:r>
              <w:rPr>
                <w:rFonts w:hint="eastAsia"/>
                <w:bCs/>
                <w:color w:val="auto"/>
                <w:sz w:val="24"/>
                <w:lang w:eastAsia="zh-CN"/>
              </w:rPr>
              <w:t>振动</w:t>
            </w:r>
            <w:r>
              <w:rPr>
                <w:bCs/>
                <w:color w:val="auto"/>
                <w:sz w:val="24"/>
              </w:rPr>
              <w:t>可</w:t>
            </w:r>
            <w:r>
              <w:rPr>
                <w:rFonts w:hint="eastAsia"/>
                <w:bCs/>
                <w:color w:val="auto"/>
                <w:sz w:val="24"/>
                <w:lang w:eastAsia="zh-CN"/>
              </w:rPr>
              <w:t>造成</w:t>
            </w:r>
            <w:r>
              <w:rPr>
                <w:bCs/>
                <w:color w:val="auto"/>
                <w:sz w:val="24"/>
              </w:rPr>
              <w:t>化学品逸散、泄漏，导致沿途环境污染和人员中毒。</w:t>
            </w:r>
          </w:p>
          <w:p w14:paraId="16C8B534">
            <w:pPr>
              <w:pStyle w:val="16"/>
              <w:adjustRightInd w:val="0"/>
              <w:snapToGrid w:val="0"/>
              <w:spacing w:after="0" w:line="360" w:lineRule="auto"/>
              <w:ind w:left="0" w:leftChars="0" w:firstLine="480" w:firstLineChars="200"/>
              <w:rPr>
                <w:bCs/>
                <w:color w:val="auto"/>
                <w:sz w:val="24"/>
              </w:rPr>
            </w:pPr>
            <w:r>
              <w:rPr>
                <w:bCs/>
                <w:color w:val="auto"/>
                <w:sz w:val="24"/>
              </w:rPr>
              <w:t>②由于贮存装置破裂</w:t>
            </w:r>
            <w:r>
              <w:rPr>
                <w:rFonts w:hint="eastAsia"/>
                <w:bCs/>
                <w:color w:val="auto"/>
                <w:sz w:val="24"/>
                <w:lang w:eastAsia="zh-CN"/>
              </w:rPr>
              <w:t>或</w:t>
            </w:r>
            <w:r>
              <w:rPr>
                <w:bCs/>
                <w:color w:val="auto"/>
                <w:sz w:val="24"/>
              </w:rPr>
              <w:t>操作不当，造成泄漏导致人员中毒和环境污染。</w:t>
            </w:r>
          </w:p>
          <w:p w14:paraId="53CB61CC">
            <w:pPr>
              <w:pStyle w:val="16"/>
              <w:adjustRightInd w:val="0"/>
              <w:snapToGrid w:val="0"/>
              <w:spacing w:after="0" w:line="360" w:lineRule="auto"/>
              <w:ind w:left="0" w:leftChars="0" w:firstLine="480" w:firstLineChars="200"/>
              <w:rPr>
                <w:bCs/>
                <w:color w:val="auto"/>
                <w:sz w:val="24"/>
              </w:rPr>
            </w:pPr>
            <w:r>
              <w:rPr>
                <w:bCs/>
                <w:color w:val="auto"/>
                <w:sz w:val="24"/>
              </w:rPr>
              <w:t>③在使用过程中由于操作人员失误造成化学品泄漏。</w:t>
            </w:r>
          </w:p>
          <w:p w14:paraId="01270383">
            <w:pPr>
              <w:spacing w:line="360" w:lineRule="auto"/>
              <w:ind w:firstLine="482" w:firstLineChars="200"/>
              <w:rPr>
                <w:color w:val="auto"/>
                <w:sz w:val="24"/>
              </w:rPr>
            </w:pPr>
            <w:r>
              <w:rPr>
                <w:b/>
                <w:bCs/>
                <w:color w:val="auto"/>
                <w:sz w:val="24"/>
              </w:rPr>
              <w:t>3）</w:t>
            </w:r>
            <w:r>
              <w:rPr>
                <w:b/>
                <w:color w:val="auto"/>
                <w:sz w:val="24"/>
              </w:rPr>
              <w:t>环境风险防范措施及应急要求</w:t>
            </w:r>
          </w:p>
          <w:p w14:paraId="071E06B9">
            <w:pPr>
              <w:spacing w:line="360" w:lineRule="auto"/>
              <w:ind w:firstLine="482" w:firstLineChars="200"/>
              <w:rPr>
                <w:b/>
                <w:bCs/>
                <w:color w:val="auto"/>
                <w:sz w:val="24"/>
              </w:rPr>
            </w:pPr>
            <w:r>
              <w:rPr>
                <w:b/>
                <w:bCs/>
                <w:color w:val="auto"/>
                <w:sz w:val="24"/>
              </w:rPr>
              <w:t>（1）污水处理设施</w:t>
            </w:r>
          </w:p>
          <w:p w14:paraId="7A8D41D0">
            <w:pPr>
              <w:spacing w:line="360" w:lineRule="auto"/>
              <w:ind w:firstLine="480" w:firstLineChars="200"/>
              <w:rPr>
                <w:color w:val="auto"/>
                <w:sz w:val="24"/>
              </w:rPr>
            </w:pPr>
            <w:r>
              <w:rPr>
                <w:bCs/>
                <w:color w:val="auto"/>
                <w:sz w:val="24"/>
              </w:rPr>
              <w:t>①</w:t>
            </w:r>
            <w:r>
              <w:rPr>
                <w:color w:val="auto"/>
                <w:sz w:val="24"/>
              </w:rPr>
              <w:t>污水处理系统出现故障时，立即通知医院内各部门，在不影响诊疗、病患生活的情况下，住院病人暂停洗漱，尽量减少医院污水的产生量；同时可采用人工投加混凝剂的方式，对医院污水进行沉淀处理。若事故未能及时排除，则将废水排入消毒池，加大消毒剂用量并进行脱氯，余氯经污水站处理达标后排入市政污水管网，使废水在非正常工况下具有一定的缓冲能力，确保医院污水处理设施出现事故时不会将未处理的废水直接</w:t>
            </w:r>
            <w:r>
              <w:rPr>
                <w:rFonts w:hint="eastAsia"/>
                <w:color w:val="auto"/>
                <w:sz w:val="24"/>
                <w:lang w:eastAsia="zh-CN"/>
              </w:rPr>
              <w:t>排入</w:t>
            </w:r>
            <w:r>
              <w:rPr>
                <w:color w:val="auto"/>
                <w:sz w:val="24"/>
              </w:rPr>
              <w:t>市政污水管网，对</w:t>
            </w:r>
            <w:r>
              <w:rPr>
                <w:rFonts w:hint="eastAsia"/>
                <w:color w:val="auto"/>
                <w:sz w:val="24"/>
                <w:lang w:eastAsia="zh-CN"/>
              </w:rPr>
              <w:t>鸡冠石污水处理厂</w:t>
            </w:r>
            <w:r>
              <w:rPr>
                <w:color w:val="auto"/>
                <w:sz w:val="24"/>
              </w:rPr>
              <w:t>造成影响。</w:t>
            </w:r>
          </w:p>
          <w:p w14:paraId="07DB7D50">
            <w:pPr>
              <w:spacing w:line="360" w:lineRule="auto"/>
              <w:ind w:firstLine="480" w:firstLineChars="200"/>
              <w:rPr>
                <w:color w:val="auto"/>
                <w:sz w:val="24"/>
              </w:rPr>
            </w:pPr>
            <w:r>
              <w:rPr>
                <w:bCs/>
                <w:color w:val="auto"/>
                <w:sz w:val="24"/>
              </w:rPr>
              <w:t>②</w:t>
            </w:r>
            <w:r>
              <w:rPr>
                <w:color w:val="auto"/>
                <w:sz w:val="24"/>
              </w:rPr>
              <w:t>加强医院污水处理站设备、管线、阀门等设备元器件的维护保养，对系统的薄弱环节如消毒设备等易出故障的地方，加强检查、维护保养，及时更新。对处理设备故障要及时抢修，防止因处理设备故障抢修不及时而造成污水超标排放。</w:t>
            </w:r>
          </w:p>
          <w:p w14:paraId="67B3A60D">
            <w:pPr>
              <w:spacing w:line="360" w:lineRule="auto"/>
              <w:ind w:firstLine="480" w:firstLineChars="200"/>
              <w:rPr>
                <w:color w:val="auto"/>
                <w:sz w:val="24"/>
              </w:rPr>
            </w:pPr>
            <w:r>
              <w:rPr>
                <w:bCs/>
                <w:color w:val="auto"/>
                <w:sz w:val="24"/>
              </w:rPr>
              <w:t>③</w:t>
            </w:r>
            <w:r>
              <w:rPr>
                <w:color w:val="auto"/>
                <w:sz w:val="24"/>
              </w:rPr>
              <w:t>安排专人管理医院污水处理站，定期强化培训管理及工作人员，提高其处理突发事件的能力，如快速准确关闭总排口阀门，迅速安全启动实施强化消毒程序，快速报告制度等。</w:t>
            </w:r>
          </w:p>
          <w:p w14:paraId="6AE27177">
            <w:pPr>
              <w:pStyle w:val="16"/>
              <w:spacing w:after="0" w:line="360" w:lineRule="auto"/>
              <w:ind w:left="0" w:leftChars="0" w:firstLine="480" w:firstLineChars="200"/>
              <w:rPr>
                <w:color w:val="auto"/>
                <w:sz w:val="24"/>
              </w:rPr>
            </w:pPr>
            <w:r>
              <w:rPr>
                <w:color w:val="auto"/>
                <w:sz w:val="24"/>
              </w:rPr>
              <w:t>④根据《医院污水处理工程技术规范》（HJ2029-2013）规定，医院污水处理系统应设事故池，非传染病医院污水处理工程应急事故池容积不小于排放量的30%。项目污水处理站单独修建事故池，事故池容积约为</w:t>
            </w:r>
            <w:r>
              <w:rPr>
                <w:rFonts w:hint="eastAsia"/>
                <w:color w:val="auto"/>
                <w:sz w:val="24"/>
                <w:lang w:val="en-US" w:eastAsia="zh-CN"/>
              </w:rPr>
              <w:t>33</w:t>
            </w:r>
            <w:r>
              <w:rPr>
                <w:color w:val="auto"/>
                <w:sz w:val="24"/>
              </w:rPr>
              <w:t>m</w:t>
            </w:r>
            <w:r>
              <w:rPr>
                <w:color w:val="auto"/>
                <w:sz w:val="24"/>
                <w:vertAlign w:val="superscript"/>
              </w:rPr>
              <w:t>3</w:t>
            </w:r>
            <w:r>
              <w:rPr>
                <w:color w:val="auto"/>
                <w:sz w:val="24"/>
              </w:rPr>
              <w:t>，可作为事故状态下废水的收集。</w:t>
            </w:r>
          </w:p>
          <w:p w14:paraId="7CA3B9DB">
            <w:pPr>
              <w:pStyle w:val="16"/>
              <w:spacing w:after="0" w:line="360" w:lineRule="auto"/>
              <w:ind w:left="0" w:leftChars="0" w:firstLine="480" w:firstLineChars="200"/>
              <w:rPr>
                <w:color w:val="auto"/>
                <w:sz w:val="24"/>
              </w:rPr>
            </w:pPr>
            <w:r>
              <w:rPr>
                <w:color w:val="auto"/>
                <w:sz w:val="24"/>
              </w:rPr>
              <w:t>⑤为防止服务期医院污水处理站及事故池污水池体渗漏污染周边地下水环境，应按照“源头控制、分区防控、污染监控、应急响应”的原则进行风险防范。针对可能泄漏废水的污染区进行防渗处理，污水处理构筑物及事故池池体采用防渗钢筋混凝土，防渗等级为P8，池体内表面涂刷水泥基渗透结晶型或喷涂聚脲等防渗涂料，渗透系数小于10</w:t>
            </w:r>
            <w:r>
              <w:rPr>
                <w:rFonts w:hint="eastAsia"/>
                <w:color w:val="auto"/>
                <w:sz w:val="24"/>
                <w:lang w:eastAsia="zh-CN"/>
              </w:rPr>
              <w:t>～</w:t>
            </w:r>
            <w:r>
              <w:rPr>
                <w:color w:val="auto"/>
                <w:sz w:val="24"/>
              </w:rPr>
              <w:t>12cm/s。</w:t>
            </w:r>
          </w:p>
          <w:p w14:paraId="583B0518">
            <w:pPr>
              <w:pStyle w:val="16"/>
              <w:spacing w:after="0" w:line="360" w:lineRule="auto"/>
              <w:ind w:left="0" w:leftChars="0" w:firstLine="480" w:firstLineChars="200"/>
              <w:rPr>
                <w:color w:val="auto"/>
                <w:sz w:val="24"/>
              </w:rPr>
            </w:pPr>
            <w:r>
              <w:rPr>
                <w:color w:val="auto"/>
                <w:sz w:val="24"/>
              </w:rPr>
              <w:t>⑥消毒间保持储存场所阴凉、通风，加氯间外部应备有防毒面具、抢救设施和工具箱。防毒面具应严密封藏，以免失效。照明和通风设备应设置室外开关。另外在储存区和设备间应配备相应品种和数量的消防器材。</w:t>
            </w:r>
          </w:p>
          <w:p w14:paraId="13962F9C">
            <w:pPr>
              <w:pStyle w:val="16"/>
              <w:spacing w:after="0" w:line="360" w:lineRule="auto"/>
              <w:ind w:left="0" w:leftChars="0" w:firstLine="482" w:firstLineChars="200"/>
              <w:rPr>
                <w:b/>
                <w:bCs/>
                <w:color w:val="auto"/>
                <w:sz w:val="24"/>
              </w:rPr>
            </w:pPr>
            <w:r>
              <w:rPr>
                <w:b/>
                <w:bCs/>
                <w:color w:val="auto"/>
                <w:sz w:val="24"/>
              </w:rPr>
              <w:t>（</w:t>
            </w:r>
            <w:r>
              <w:rPr>
                <w:rFonts w:hint="eastAsia"/>
                <w:b/>
                <w:bCs/>
                <w:color w:val="auto"/>
                <w:sz w:val="24"/>
              </w:rPr>
              <w:t>2</w:t>
            </w:r>
            <w:r>
              <w:rPr>
                <w:b/>
                <w:bCs/>
                <w:color w:val="auto"/>
                <w:sz w:val="24"/>
              </w:rPr>
              <w:t>）医疗废物</w:t>
            </w:r>
            <w:r>
              <w:rPr>
                <w:rFonts w:hint="eastAsia"/>
                <w:b/>
                <w:bCs/>
                <w:color w:val="auto"/>
                <w:sz w:val="24"/>
              </w:rPr>
              <w:t>暂存间</w:t>
            </w:r>
          </w:p>
          <w:p w14:paraId="272080FB">
            <w:pPr>
              <w:pStyle w:val="16"/>
              <w:spacing w:after="0" w:line="360" w:lineRule="auto"/>
              <w:ind w:left="0" w:leftChars="0" w:firstLine="480" w:firstLineChars="200"/>
              <w:rPr>
                <w:color w:val="auto"/>
                <w:sz w:val="24"/>
              </w:rPr>
            </w:pPr>
            <w:r>
              <w:rPr>
                <w:bCs/>
                <w:color w:val="auto"/>
                <w:sz w:val="24"/>
              </w:rPr>
              <w:t>①</w:t>
            </w:r>
            <w:r>
              <w:rPr>
                <w:color w:val="auto"/>
                <w:sz w:val="24"/>
              </w:rPr>
              <w:t>对医疗废物进行科学的分类收集</w:t>
            </w:r>
          </w:p>
          <w:p w14:paraId="690A34FC">
            <w:pPr>
              <w:pStyle w:val="16"/>
              <w:spacing w:after="0" w:line="360" w:lineRule="auto"/>
              <w:ind w:left="0" w:leftChars="0" w:firstLine="480" w:firstLineChars="200"/>
              <w:rPr>
                <w:color w:val="auto"/>
                <w:sz w:val="24"/>
              </w:rPr>
            </w:pPr>
            <w:r>
              <w:rPr>
                <w:color w:val="auto"/>
                <w:sz w:val="24"/>
              </w:rPr>
              <w:t>医疗废物应采用专用容器进行收集，单独设置医疗废物暂存间，用于存放各楼层产生的医疗废物，存放采用专用容器，明确各类废弃物标识，分类包装，并本着即时、方便、安全、快捷的原则，进行收集。</w:t>
            </w:r>
          </w:p>
          <w:p w14:paraId="40D81FD8">
            <w:pPr>
              <w:pStyle w:val="16"/>
              <w:spacing w:after="0" w:line="360" w:lineRule="auto"/>
              <w:ind w:left="0" w:leftChars="0" w:firstLine="480" w:firstLineChars="200"/>
              <w:rPr>
                <w:color w:val="auto"/>
                <w:sz w:val="24"/>
              </w:rPr>
            </w:pPr>
            <w:r>
              <w:rPr>
                <w:bCs/>
                <w:color w:val="auto"/>
                <w:sz w:val="24"/>
              </w:rPr>
              <w:t>②</w:t>
            </w:r>
            <w:r>
              <w:rPr>
                <w:color w:val="auto"/>
                <w:sz w:val="24"/>
              </w:rPr>
              <w:t>严格遵循医疗废物的贮存和运送的相关规定</w:t>
            </w:r>
          </w:p>
          <w:p w14:paraId="229F31A9">
            <w:pPr>
              <w:pStyle w:val="16"/>
              <w:spacing w:after="0" w:line="360" w:lineRule="auto"/>
              <w:ind w:left="0" w:leftChars="0" w:firstLine="480" w:firstLineChars="200"/>
              <w:rPr>
                <w:color w:val="auto"/>
                <w:sz w:val="24"/>
              </w:rPr>
            </w:pPr>
            <w:r>
              <w:rPr>
                <w:color w:val="auto"/>
                <w:sz w:val="24"/>
              </w:rPr>
              <w:t>医疗废物应在专门的存放间进行存放，不得露天存放；医疗废物应及时清运；对于医疗废物存放间应当远离医疗区、人员活动区和生活垃圾存放场所，方便医疗废物运送人员及运送工具、车辆的出入。存放间不对外开放，设专职人员管理，防</w:t>
            </w:r>
            <w:r>
              <w:rPr>
                <w:rFonts w:hint="eastAsia"/>
                <w:color w:val="auto"/>
                <w:sz w:val="24"/>
                <w:lang w:eastAsia="zh-CN"/>
              </w:rPr>
              <w:t>止</w:t>
            </w:r>
            <w:r>
              <w:rPr>
                <w:color w:val="auto"/>
                <w:sz w:val="24"/>
              </w:rPr>
              <w:t>非工作人员接触医疗废物；存放间设有明显的医疗废物警示标识和“禁止吸烟、饮食”的警示标识。贮存及转运过程中对溢出、散落的医疗废物迅速进行收集、清理和消毒处理。对于液体溢出物质采用吸附材料吸收处理。清理人员在进行清理工作时须穿戴防护服、手套、口罩、防护靴等防护用品。</w:t>
            </w:r>
          </w:p>
          <w:p w14:paraId="7BD71ACC">
            <w:pPr>
              <w:pStyle w:val="16"/>
              <w:spacing w:after="0" w:line="360" w:lineRule="auto"/>
              <w:ind w:left="0" w:leftChars="0" w:firstLine="480" w:firstLineChars="200"/>
              <w:rPr>
                <w:rFonts w:hint="eastAsia"/>
                <w:color w:val="auto"/>
                <w:sz w:val="24"/>
              </w:rPr>
            </w:pPr>
            <w:r>
              <w:rPr>
                <w:rFonts w:hint="eastAsia"/>
                <w:color w:val="auto"/>
                <w:sz w:val="24"/>
              </w:rPr>
              <w:t>③工程防护设施</w:t>
            </w:r>
          </w:p>
          <w:p w14:paraId="0FC65026">
            <w:pPr>
              <w:pStyle w:val="16"/>
              <w:spacing w:after="0" w:line="360" w:lineRule="auto"/>
              <w:ind w:left="0" w:leftChars="0" w:firstLine="480" w:firstLineChars="200"/>
              <w:rPr>
                <w:color w:val="auto"/>
                <w:sz w:val="24"/>
              </w:rPr>
            </w:pPr>
            <w:r>
              <w:rPr>
                <w:rFonts w:hint="eastAsia"/>
                <w:color w:val="auto"/>
                <w:sz w:val="24"/>
              </w:rPr>
              <w:t>设置密闭医疗废物暂存间，设“</w:t>
            </w:r>
            <w:r>
              <w:rPr>
                <w:rFonts w:hint="eastAsia"/>
                <w:color w:val="auto"/>
                <w:sz w:val="24"/>
                <w:lang w:val="en-US" w:eastAsia="zh-CN"/>
              </w:rPr>
              <w:t>六</w:t>
            </w:r>
            <w:r>
              <w:rPr>
                <w:rFonts w:hint="eastAsia"/>
                <w:color w:val="auto"/>
                <w:sz w:val="24"/>
              </w:rPr>
              <w:t>防”设施，并于暂存间内设置托盘，张贴相应标识标牌，配备堵漏物资、消防物资等。</w:t>
            </w:r>
          </w:p>
          <w:p w14:paraId="5F7B2F7B">
            <w:pPr>
              <w:pStyle w:val="16"/>
              <w:spacing w:after="0" w:line="360" w:lineRule="auto"/>
              <w:ind w:left="0" w:leftChars="0" w:firstLine="482" w:firstLineChars="200"/>
              <w:rPr>
                <w:b/>
                <w:color w:val="auto"/>
                <w:sz w:val="24"/>
              </w:rPr>
            </w:pPr>
            <w:r>
              <w:rPr>
                <w:b/>
                <w:color w:val="auto"/>
                <w:sz w:val="24"/>
              </w:rPr>
              <w:t>（3）医用危险化学品控制措施</w:t>
            </w:r>
          </w:p>
          <w:p w14:paraId="681DAD0E">
            <w:pPr>
              <w:pStyle w:val="16"/>
              <w:spacing w:after="0" w:line="360" w:lineRule="auto"/>
              <w:ind w:left="0" w:leftChars="0" w:firstLine="480" w:firstLineChars="200"/>
              <w:rPr>
                <w:color w:val="auto"/>
                <w:sz w:val="24"/>
              </w:rPr>
            </w:pPr>
            <w:r>
              <w:rPr>
                <w:bCs/>
                <w:color w:val="auto"/>
                <w:sz w:val="24"/>
              </w:rPr>
              <w:t>①</w:t>
            </w:r>
            <w:r>
              <w:rPr>
                <w:color w:val="auto"/>
                <w:sz w:val="24"/>
              </w:rPr>
              <w:t>危险化学品必须储存在专用</w:t>
            </w:r>
            <w:r>
              <w:rPr>
                <w:rFonts w:hint="eastAsia"/>
                <w:color w:val="auto"/>
                <w:sz w:val="24"/>
              </w:rPr>
              <w:t>库房</w:t>
            </w:r>
            <w:r>
              <w:rPr>
                <w:color w:val="auto"/>
                <w:sz w:val="24"/>
              </w:rPr>
              <w:t>内，其储存方式、方法与储存数量必须符合国家标准，并由专人管理，危险化学品出入库，必须进行核查登记，并定期检查库存。危化品必须在专用仓库内单独存放，实行双人收发、双人保管制度。</w:t>
            </w:r>
          </w:p>
          <w:p w14:paraId="59BC8338">
            <w:pPr>
              <w:pStyle w:val="16"/>
              <w:spacing w:after="0" w:line="360" w:lineRule="auto"/>
              <w:ind w:left="0" w:leftChars="0" w:firstLine="480" w:firstLineChars="200"/>
              <w:rPr>
                <w:color w:val="auto"/>
                <w:sz w:val="24"/>
              </w:rPr>
            </w:pPr>
            <w:r>
              <w:rPr>
                <w:bCs/>
                <w:color w:val="auto"/>
                <w:sz w:val="24"/>
              </w:rPr>
              <w:t>②</w:t>
            </w:r>
            <w:r>
              <w:rPr>
                <w:color w:val="auto"/>
                <w:sz w:val="24"/>
              </w:rPr>
              <w:t>医院应当将储存危险化学品的数量、地点以及管理人员的情况，报当地公安部门和负责危险化学品安全监督管理综合工作的部门备案。危险化学品专用仓库，应当符合国家标准对安全、消防的要求，设置明显标志。危险化学品专用仓库的储存设备和安全设施应当定期检测。</w:t>
            </w:r>
          </w:p>
          <w:p w14:paraId="1082671F">
            <w:pPr>
              <w:pStyle w:val="16"/>
              <w:spacing w:after="0" w:line="360" w:lineRule="auto"/>
              <w:ind w:left="0" w:leftChars="0" w:firstLine="480" w:firstLineChars="200"/>
              <w:rPr>
                <w:color w:val="auto"/>
                <w:sz w:val="24"/>
              </w:rPr>
            </w:pPr>
            <w:r>
              <w:rPr>
                <w:color w:val="auto"/>
                <w:sz w:val="24"/>
              </w:rPr>
              <w:t>③要求一般药品和毒、麻药品分开储存，专人负责药品收发、验库、使用登记、报废等工作，医院建立药品和药剂的管理办法，只要严格按照管理办法执行，其危险化学品不会对周围环境和人群健康造成损害。医用乙醇设专门的乙醇存放库，不会对周围环境产生重大影响。</w:t>
            </w:r>
          </w:p>
          <w:p w14:paraId="164D2CD2">
            <w:pPr>
              <w:pStyle w:val="16"/>
              <w:spacing w:after="0" w:line="360" w:lineRule="auto"/>
              <w:ind w:left="0" w:leftChars="0" w:firstLine="480" w:firstLineChars="200"/>
              <w:rPr>
                <w:color w:val="auto"/>
                <w:sz w:val="24"/>
              </w:rPr>
            </w:pPr>
            <w:r>
              <w:rPr>
                <w:color w:val="auto"/>
                <w:sz w:val="24"/>
              </w:rPr>
              <w:t>对可能发生的事故，应制定应急计划，使各部门在事故发生后能有步骤、有秩序地采取各项应急措施。</w:t>
            </w:r>
          </w:p>
          <w:p w14:paraId="4EDF6075">
            <w:pPr>
              <w:pStyle w:val="16"/>
              <w:spacing w:after="0" w:line="360" w:lineRule="auto"/>
              <w:ind w:left="0" w:leftChars="0" w:firstLine="480" w:firstLineChars="200"/>
              <w:rPr>
                <w:color w:val="auto"/>
                <w:sz w:val="24"/>
              </w:rPr>
            </w:pPr>
            <w:r>
              <w:rPr>
                <w:color w:val="auto"/>
                <w:sz w:val="24"/>
              </w:rPr>
              <w:t>④事故发生后，应根据具体情况采取应急措施，切断泄漏源、火源，控制事故扩大，同时通知中控制室，根据事故类型、大小启动相应的应急预案；</w:t>
            </w:r>
          </w:p>
          <w:p w14:paraId="0877210C">
            <w:pPr>
              <w:pStyle w:val="16"/>
              <w:spacing w:after="0" w:line="360" w:lineRule="auto"/>
              <w:ind w:left="0" w:leftChars="0" w:firstLine="480" w:firstLineChars="200"/>
              <w:rPr>
                <w:rFonts w:ascii="Times New Roman" w:hAnsi="Times New Roman" w:eastAsia="宋体" w:cs="Times New Roman"/>
                <w:color w:val="auto"/>
                <w:sz w:val="24"/>
              </w:rPr>
            </w:pPr>
            <w:r>
              <w:rPr>
                <w:color w:val="auto"/>
                <w:sz w:val="24"/>
              </w:rPr>
              <w:t>⑤发生重大事故，应立即上报相关部门，启动社会救援系统，就近地区</w:t>
            </w:r>
            <w:r>
              <w:rPr>
                <w:rFonts w:hint="eastAsia"/>
                <w:color w:val="auto"/>
                <w:sz w:val="24"/>
                <w:lang w:eastAsia="zh-CN"/>
              </w:rPr>
              <w:t>调拨</w:t>
            </w:r>
            <w:r>
              <w:rPr>
                <w:rFonts w:ascii="Times New Roman" w:hAnsi="Times New Roman" w:eastAsia="宋体" w:cs="Times New Roman"/>
                <w:color w:val="auto"/>
                <w:sz w:val="24"/>
              </w:rPr>
              <w:t>专业救援队伍协助处理；</w:t>
            </w:r>
          </w:p>
          <w:p w14:paraId="010831AF">
            <w:pPr>
              <w:pStyle w:val="16"/>
              <w:spacing w:after="0" w:line="360" w:lineRule="auto"/>
              <w:ind w:left="0" w:leftChars="0"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⑥</w:t>
            </w:r>
            <w:r>
              <w:rPr>
                <w:rFonts w:ascii="Times New Roman" w:hAnsi="Times New Roman" w:eastAsia="宋体" w:cs="Times New Roman"/>
                <w:color w:val="auto"/>
                <w:sz w:val="24"/>
              </w:rPr>
              <w:t>事故发生后，应立即通知当地环保、消防、自来水公司等部门，进行救援与监控。</w:t>
            </w:r>
          </w:p>
          <w:p w14:paraId="014ED759">
            <w:pPr>
              <w:pStyle w:val="16"/>
              <w:spacing w:after="0" w:line="360" w:lineRule="auto"/>
              <w:ind w:left="0" w:leftChars="0" w:firstLine="0" w:firstLineChars="0"/>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rPr>
              <w:t>4.2.</w:t>
            </w:r>
            <w:r>
              <w:rPr>
                <w:rFonts w:ascii="Times New Roman" w:hAnsi="Times New Roman" w:eastAsia="宋体" w:cs="Times New Roman"/>
                <w:b/>
                <w:bCs/>
                <w:color w:val="auto"/>
                <w:sz w:val="24"/>
              </w:rPr>
              <w:t>8电磁辐射</w:t>
            </w:r>
          </w:p>
          <w:p w14:paraId="17C84D1E">
            <w:pPr>
              <w:pStyle w:val="16"/>
              <w:spacing w:after="0" w:line="360" w:lineRule="auto"/>
              <w:ind w:left="0" w:leftChars="0"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项目</w:t>
            </w:r>
            <w:r>
              <w:rPr>
                <w:rFonts w:hint="eastAsia" w:ascii="Times New Roman" w:hAnsi="Times New Roman" w:eastAsia="宋体" w:cs="Times New Roman"/>
                <w:color w:val="auto"/>
                <w:sz w:val="24"/>
              </w:rPr>
              <w:t>射线设备均依托院区已建设施，故本项目</w:t>
            </w:r>
            <w:r>
              <w:rPr>
                <w:rFonts w:ascii="Times New Roman" w:hAnsi="Times New Roman" w:eastAsia="宋体" w:cs="Times New Roman"/>
                <w:color w:val="auto"/>
                <w:sz w:val="24"/>
              </w:rPr>
              <w:t>不涉及射线设备，不涉及电磁辐射。</w:t>
            </w:r>
          </w:p>
          <w:p w14:paraId="4F5A7924">
            <w:pPr>
              <w:pStyle w:val="16"/>
              <w:spacing w:after="0" w:line="360" w:lineRule="auto"/>
              <w:ind w:left="0" w:leftChars="0" w:firstLine="0" w:firstLineChars="0"/>
              <w:rPr>
                <w:rFonts w:ascii="Times New Roman" w:hAnsi="Times New Roman" w:eastAsia="宋体" w:cs="Times New Roman"/>
                <w:b/>
                <w:bCs/>
                <w:color w:val="auto"/>
                <w:sz w:val="24"/>
              </w:rPr>
            </w:pPr>
            <w:r>
              <w:rPr>
                <w:rFonts w:hint="eastAsia" w:ascii="Times New Roman" w:hAnsi="Times New Roman" w:eastAsia="宋体" w:cs="Times New Roman"/>
                <w:b/>
                <w:bCs/>
                <w:color w:val="auto"/>
                <w:sz w:val="24"/>
              </w:rPr>
              <w:t>4.3外环境对扩建项目的影响</w:t>
            </w:r>
          </w:p>
          <w:p w14:paraId="33C65AFD">
            <w:pPr>
              <w:pStyle w:val="16"/>
              <w:spacing w:after="0"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根据现场踏勘，项目四周的市政道路主要有</w:t>
            </w:r>
            <w:r>
              <w:rPr>
                <w:rFonts w:hint="default" w:ascii="Times New Roman" w:hAnsi="Times New Roman" w:eastAsia="宋体" w:cs="Times New Roman"/>
                <w:color w:val="auto"/>
                <w:sz w:val="24"/>
                <w:lang w:val="en-US" w:eastAsia="zh-CN"/>
              </w:rPr>
              <w:t>石新路</w:t>
            </w:r>
            <w:r>
              <w:rPr>
                <w:rFonts w:hint="default" w:ascii="Times New Roman" w:hAnsi="Times New Roman" w:eastAsia="宋体" w:cs="Times New Roman"/>
                <w:color w:val="auto"/>
                <w:sz w:val="24"/>
              </w:rPr>
              <w:t>（</w:t>
            </w:r>
            <w:r>
              <w:rPr>
                <w:rFonts w:hint="eastAsia" w:cs="Times New Roman"/>
                <w:color w:val="auto"/>
                <w:sz w:val="24"/>
                <w:lang w:val="en-US" w:eastAsia="zh-CN"/>
              </w:rPr>
              <w:t>西</w:t>
            </w:r>
            <w:r>
              <w:rPr>
                <w:rFonts w:hint="default" w:ascii="Times New Roman" w:hAnsi="Times New Roman" w:eastAsia="宋体" w:cs="Times New Roman"/>
                <w:color w:val="auto"/>
                <w:sz w:val="24"/>
              </w:rPr>
              <w:t>侧，城市主干道）。</w:t>
            </w:r>
            <w:r>
              <w:rPr>
                <w:rFonts w:hint="default" w:ascii="Times New Roman" w:hAnsi="Times New Roman" w:eastAsia="宋体" w:cs="Times New Roman"/>
                <w:color w:val="auto"/>
                <w:sz w:val="24"/>
                <w:lang w:val="en-US" w:eastAsia="zh-CN"/>
              </w:rPr>
              <w:t>石新路</w:t>
            </w:r>
            <w:r>
              <w:rPr>
                <w:rFonts w:hint="default" w:ascii="Times New Roman" w:hAnsi="Times New Roman" w:eastAsia="宋体" w:cs="Times New Roman"/>
                <w:color w:val="auto"/>
                <w:sz w:val="24"/>
              </w:rPr>
              <w:t>已建成通车多年，区域交通环境已经发展成熟，道路的车流量较稳定。本次评价对</w:t>
            </w:r>
            <w:r>
              <w:rPr>
                <w:rFonts w:hint="default" w:ascii="Times New Roman" w:hAnsi="Times New Roman" w:eastAsia="宋体" w:cs="Times New Roman"/>
                <w:color w:val="auto"/>
                <w:sz w:val="24"/>
                <w:lang w:val="en-US" w:eastAsia="zh-CN"/>
              </w:rPr>
              <w:t>石新路</w:t>
            </w:r>
            <w:r>
              <w:rPr>
                <w:rFonts w:hint="default" w:ascii="Times New Roman" w:hAnsi="Times New Roman" w:eastAsia="宋体" w:cs="Times New Roman"/>
                <w:color w:val="auto"/>
                <w:sz w:val="24"/>
              </w:rPr>
              <w:t>临医院侧路沿（毗邻项目</w:t>
            </w:r>
            <w:r>
              <w:rPr>
                <w:rFonts w:hint="eastAsia" w:cs="Times New Roman"/>
                <w:color w:val="auto"/>
                <w:sz w:val="24"/>
                <w:lang w:val="en-US" w:eastAsia="zh-CN"/>
              </w:rPr>
              <w:t>西</w:t>
            </w:r>
            <w:r>
              <w:rPr>
                <w:rFonts w:hint="default" w:ascii="Times New Roman" w:hAnsi="Times New Roman" w:eastAsia="宋体" w:cs="Times New Roman"/>
                <w:color w:val="auto"/>
                <w:sz w:val="24"/>
              </w:rPr>
              <w:t>场界）处进行了声环境现状监测（详见3.3），根据监测结果，</w:t>
            </w:r>
            <w:r>
              <w:rPr>
                <w:rFonts w:hint="default" w:ascii="Times New Roman" w:hAnsi="Times New Roman" w:eastAsia="宋体" w:cs="Times New Roman"/>
                <w:color w:val="auto"/>
                <w:sz w:val="24"/>
                <w:lang w:val="en-US" w:eastAsia="zh-CN"/>
              </w:rPr>
              <w:t>石新路</w:t>
            </w:r>
            <w:r>
              <w:rPr>
                <w:rFonts w:hint="default" w:ascii="Times New Roman" w:hAnsi="Times New Roman" w:eastAsia="宋体" w:cs="Times New Roman"/>
                <w:color w:val="auto"/>
                <w:sz w:val="24"/>
              </w:rPr>
              <w:t>临医院侧路沿的噪声值满足现状4a类标准，医院扩建完成后，</w:t>
            </w:r>
            <w:r>
              <w:rPr>
                <w:rFonts w:hint="default" w:ascii="Times New Roman" w:hAnsi="Times New Roman" w:eastAsia="宋体" w:cs="Times New Roman"/>
                <w:color w:val="auto"/>
                <w:sz w:val="24"/>
                <w:lang w:val="en-US" w:eastAsia="zh-CN"/>
              </w:rPr>
              <w:t>石新路</w:t>
            </w:r>
            <w:r>
              <w:rPr>
                <w:rFonts w:hint="default" w:ascii="Times New Roman" w:hAnsi="Times New Roman" w:eastAsia="宋体" w:cs="Times New Roman"/>
                <w:color w:val="auto"/>
                <w:sz w:val="24"/>
              </w:rPr>
              <w:t>的交通噪声对医院的影响较小。同时，医院建筑采用隔声玻璃窗，室内可减低噪声值15～25dB（A），服务期外环境交通噪声对项目的影响较小。</w:t>
            </w:r>
          </w:p>
          <w:p w14:paraId="42CA483E">
            <w:pPr>
              <w:pStyle w:val="31"/>
              <w:spacing w:line="360" w:lineRule="auto"/>
              <w:jc w:val="both"/>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rPr>
              <w:t>4.</w:t>
            </w:r>
            <w:r>
              <w:rPr>
                <w:rFonts w:hint="eastAsia" w:ascii="Times New Roman" w:hAnsi="Times New Roman" w:eastAsia="宋体" w:cs="Times New Roman"/>
                <w:b/>
                <w:bCs/>
                <w:color w:val="auto"/>
                <w:sz w:val="24"/>
                <w:lang w:val="en-US" w:eastAsia="zh-CN"/>
              </w:rPr>
              <w:t>4</w:t>
            </w:r>
            <w:r>
              <w:rPr>
                <w:rFonts w:ascii="Times New Roman" w:eastAsia="宋体" w:cs="Times New Roman"/>
                <w:b/>
                <w:bCs/>
                <w:color w:val="auto"/>
              </w:rPr>
              <w:t>“三本账”</w:t>
            </w:r>
            <w:r>
              <w:rPr>
                <w:rFonts w:hint="eastAsia" w:ascii="Times New Roman" w:eastAsia="宋体" w:cs="Times New Roman"/>
                <w:b/>
                <w:bCs/>
                <w:color w:val="auto"/>
                <w:lang w:val="en-US" w:eastAsia="zh-CN"/>
              </w:rPr>
              <w:t>分析</w:t>
            </w:r>
          </w:p>
          <w:p w14:paraId="46AD7E2B">
            <w:pPr>
              <w:pStyle w:val="31"/>
              <w:spacing w:line="360" w:lineRule="auto"/>
              <w:ind w:firstLine="480" w:firstLineChars="200"/>
              <w:jc w:val="both"/>
              <w:rPr>
                <w:rFonts w:ascii="Times New Roman" w:eastAsia="宋体" w:cs="Times New Roman"/>
                <w:b/>
                <w:color w:val="auto"/>
              </w:rPr>
            </w:pPr>
            <w:r>
              <w:rPr>
                <w:rFonts w:ascii="Times New Roman" w:eastAsia="宋体" w:cs="Times New Roman"/>
                <w:color w:val="auto"/>
              </w:rPr>
              <w:t>扩建前后</w:t>
            </w:r>
            <w:r>
              <w:rPr>
                <w:rFonts w:hint="eastAsia" w:ascii="Times New Roman" w:eastAsia="宋体" w:cs="Times New Roman"/>
                <w:color w:val="auto"/>
                <w:lang w:eastAsia="zh-CN"/>
              </w:rPr>
              <w:t>污染物排放</w:t>
            </w:r>
            <w:r>
              <w:rPr>
                <w:rFonts w:ascii="Times New Roman" w:eastAsia="宋体" w:cs="Times New Roman"/>
                <w:color w:val="auto"/>
              </w:rPr>
              <w:t>“三本账”核算见表4</w:t>
            </w:r>
            <w:r>
              <w:rPr>
                <w:rFonts w:hint="eastAsia" w:ascii="Times New Roman" w:eastAsia="宋体" w:cs="Times New Roman"/>
                <w:color w:val="auto"/>
                <w:lang w:val="en-US" w:eastAsia="zh-CN"/>
              </w:rPr>
              <w:t>.2</w:t>
            </w:r>
            <w:r>
              <w:rPr>
                <w:rFonts w:ascii="Times New Roman" w:eastAsia="宋体" w:cs="Times New Roman"/>
                <w:color w:val="auto"/>
              </w:rPr>
              <w:t>-</w:t>
            </w:r>
            <w:r>
              <w:rPr>
                <w:rFonts w:hint="eastAsia" w:ascii="Times New Roman" w:eastAsia="宋体" w:cs="Times New Roman"/>
                <w:color w:val="auto"/>
                <w:lang w:val="en-US" w:eastAsia="zh-CN"/>
              </w:rPr>
              <w:t>23</w:t>
            </w:r>
            <w:r>
              <w:rPr>
                <w:rFonts w:ascii="Times New Roman" w:eastAsia="宋体" w:cs="Times New Roman"/>
                <w:color w:val="auto"/>
              </w:rPr>
              <w:t>。</w:t>
            </w:r>
          </w:p>
          <w:p w14:paraId="24C02FB6">
            <w:pPr>
              <w:pStyle w:val="31"/>
              <w:spacing w:line="240" w:lineRule="auto"/>
              <w:rPr>
                <w:rFonts w:ascii="Times New Roman" w:eastAsia="宋体" w:cs="Times New Roman"/>
                <w:b/>
                <w:color w:val="auto"/>
              </w:rPr>
            </w:pPr>
            <w:r>
              <w:rPr>
                <w:rFonts w:ascii="Times New Roman" w:eastAsia="宋体" w:cs="Times New Roman"/>
                <w:b/>
                <w:color w:val="auto"/>
              </w:rPr>
              <w:t>表4</w:t>
            </w:r>
            <w:r>
              <w:rPr>
                <w:rFonts w:hint="eastAsia" w:ascii="Times New Roman" w:eastAsia="宋体" w:cs="Times New Roman"/>
                <w:b/>
                <w:color w:val="auto"/>
                <w:lang w:val="en-US" w:eastAsia="zh-CN"/>
              </w:rPr>
              <w:t>.2</w:t>
            </w:r>
            <w:r>
              <w:rPr>
                <w:rFonts w:ascii="Times New Roman" w:eastAsia="宋体" w:cs="Times New Roman"/>
                <w:b/>
                <w:color w:val="auto"/>
              </w:rPr>
              <w:t>-</w:t>
            </w:r>
            <w:r>
              <w:rPr>
                <w:rFonts w:hint="eastAsia" w:ascii="Times New Roman" w:eastAsia="宋体" w:cs="Times New Roman"/>
                <w:b/>
                <w:color w:val="auto"/>
                <w:lang w:val="en-US" w:eastAsia="zh-CN"/>
              </w:rPr>
              <w:t xml:space="preserve">23  </w:t>
            </w:r>
            <w:r>
              <w:rPr>
                <w:rFonts w:ascii="Times New Roman" w:eastAsia="宋体" w:cs="Times New Roman"/>
                <w:b/>
                <w:color w:val="auto"/>
              </w:rPr>
              <w:t>扩建前后污染物排放量的变化情况</w:t>
            </w:r>
          </w:p>
          <w:tbl>
            <w:tblPr>
              <w:tblStyle w:val="25"/>
              <w:tblW w:w="497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1"/>
              <w:gridCol w:w="1895"/>
              <w:gridCol w:w="1147"/>
              <w:gridCol w:w="1175"/>
              <w:gridCol w:w="1286"/>
              <w:gridCol w:w="1480"/>
              <w:gridCol w:w="1259"/>
            </w:tblGrid>
            <w:tr w14:paraId="1A6AE0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07" w:type="pct"/>
                  <w:noWrap w:val="0"/>
                  <w:tcMar>
                    <w:left w:w="51" w:type="dxa"/>
                    <w:right w:w="51" w:type="dxa"/>
                  </w:tcMar>
                  <w:vAlign w:val="center"/>
                </w:tcPr>
                <w:p w14:paraId="64699DC0">
                  <w:pPr>
                    <w:spacing w:line="240" w:lineRule="exact"/>
                    <w:contextualSpacing/>
                    <w:jc w:val="center"/>
                    <w:rPr>
                      <w:b/>
                      <w:bCs/>
                      <w:color w:val="auto"/>
                      <w:szCs w:val="21"/>
                    </w:rPr>
                  </w:pPr>
                  <w:r>
                    <w:rPr>
                      <w:b/>
                      <w:bCs/>
                      <w:color w:val="auto"/>
                      <w:szCs w:val="21"/>
                    </w:rPr>
                    <w:t>种类</w:t>
                  </w:r>
                </w:p>
              </w:tc>
              <w:tc>
                <w:tcPr>
                  <w:tcW w:w="1079" w:type="pct"/>
                  <w:noWrap w:val="0"/>
                  <w:vAlign w:val="center"/>
                </w:tcPr>
                <w:p w14:paraId="09E7FC41">
                  <w:pPr>
                    <w:spacing w:line="240" w:lineRule="exact"/>
                    <w:contextualSpacing/>
                    <w:jc w:val="center"/>
                    <w:rPr>
                      <w:b/>
                      <w:bCs/>
                      <w:color w:val="auto"/>
                      <w:szCs w:val="21"/>
                    </w:rPr>
                  </w:pPr>
                  <w:r>
                    <w:rPr>
                      <w:b/>
                      <w:bCs/>
                      <w:color w:val="auto"/>
                      <w:szCs w:val="21"/>
                    </w:rPr>
                    <w:t>污染物名称</w:t>
                  </w:r>
                </w:p>
              </w:tc>
              <w:tc>
                <w:tcPr>
                  <w:tcW w:w="652" w:type="pct"/>
                  <w:noWrap w:val="0"/>
                  <w:vAlign w:val="center"/>
                </w:tcPr>
                <w:p w14:paraId="1C69DEA7">
                  <w:pPr>
                    <w:spacing w:line="240" w:lineRule="exact"/>
                    <w:contextualSpacing/>
                    <w:jc w:val="center"/>
                    <w:rPr>
                      <w:b/>
                      <w:bCs/>
                      <w:color w:val="auto"/>
                      <w:szCs w:val="21"/>
                    </w:rPr>
                  </w:pPr>
                  <w:r>
                    <w:rPr>
                      <w:b/>
                      <w:bCs/>
                      <w:color w:val="auto"/>
                      <w:szCs w:val="21"/>
                    </w:rPr>
                    <w:t>现有工程排放量</w:t>
                  </w:r>
                </w:p>
              </w:tc>
              <w:tc>
                <w:tcPr>
                  <w:tcW w:w="668" w:type="pct"/>
                  <w:noWrap w:val="0"/>
                  <w:vAlign w:val="center"/>
                </w:tcPr>
                <w:p w14:paraId="610A1F2D">
                  <w:pPr>
                    <w:spacing w:line="240" w:lineRule="exact"/>
                    <w:contextualSpacing/>
                    <w:jc w:val="center"/>
                    <w:rPr>
                      <w:b/>
                      <w:bCs/>
                      <w:color w:val="auto"/>
                      <w:szCs w:val="21"/>
                    </w:rPr>
                  </w:pPr>
                  <w:r>
                    <w:rPr>
                      <w:b/>
                      <w:bCs/>
                      <w:color w:val="auto"/>
                      <w:szCs w:val="21"/>
                    </w:rPr>
                    <w:t>扩建项目排放量</w:t>
                  </w:r>
                </w:p>
              </w:tc>
              <w:tc>
                <w:tcPr>
                  <w:tcW w:w="731" w:type="pct"/>
                  <w:noWrap w:val="0"/>
                  <w:vAlign w:val="center"/>
                </w:tcPr>
                <w:p w14:paraId="2A426DEC">
                  <w:pPr>
                    <w:spacing w:line="240" w:lineRule="exact"/>
                    <w:contextualSpacing/>
                    <w:jc w:val="center"/>
                    <w:rPr>
                      <w:b/>
                      <w:bCs/>
                      <w:color w:val="auto"/>
                      <w:szCs w:val="21"/>
                    </w:rPr>
                  </w:pPr>
                  <w:r>
                    <w:rPr>
                      <w:b/>
                      <w:bCs/>
                      <w:color w:val="auto"/>
                      <w:szCs w:val="21"/>
                    </w:rPr>
                    <w:t>“以新带老”削减量</w:t>
                  </w:r>
                </w:p>
              </w:tc>
              <w:tc>
                <w:tcPr>
                  <w:tcW w:w="842" w:type="pct"/>
                  <w:noWrap w:val="0"/>
                  <w:vAlign w:val="center"/>
                </w:tcPr>
                <w:p w14:paraId="40B4ED58">
                  <w:pPr>
                    <w:spacing w:line="240" w:lineRule="exact"/>
                    <w:contextualSpacing/>
                    <w:jc w:val="center"/>
                    <w:rPr>
                      <w:b/>
                      <w:bCs/>
                      <w:color w:val="auto"/>
                      <w:szCs w:val="21"/>
                    </w:rPr>
                  </w:pPr>
                  <w:r>
                    <w:rPr>
                      <w:b/>
                      <w:bCs/>
                      <w:color w:val="auto"/>
                      <w:szCs w:val="21"/>
                    </w:rPr>
                    <w:t>扩建完成后全厂排放量</w:t>
                  </w:r>
                </w:p>
              </w:tc>
              <w:tc>
                <w:tcPr>
                  <w:tcW w:w="716" w:type="pct"/>
                  <w:noWrap w:val="0"/>
                  <w:vAlign w:val="center"/>
                </w:tcPr>
                <w:p w14:paraId="36937AD6">
                  <w:pPr>
                    <w:spacing w:line="240" w:lineRule="exact"/>
                    <w:contextualSpacing/>
                    <w:jc w:val="center"/>
                    <w:rPr>
                      <w:b/>
                      <w:bCs/>
                      <w:color w:val="auto"/>
                      <w:szCs w:val="21"/>
                    </w:rPr>
                  </w:pPr>
                  <w:r>
                    <w:rPr>
                      <w:b/>
                      <w:bCs/>
                      <w:color w:val="auto"/>
                      <w:szCs w:val="21"/>
                    </w:rPr>
                    <w:t>扩建前后</w:t>
                  </w:r>
                </w:p>
                <w:p w14:paraId="65A05324">
                  <w:pPr>
                    <w:spacing w:line="240" w:lineRule="exact"/>
                    <w:contextualSpacing/>
                    <w:jc w:val="center"/>
                    <w:rPr>
                      <w:b/>
                      <w:bCs/>
                      <w:color w:val="auto"/>
                      <w:szCs w:val="21"/>
                    </w:rPr>
                  </w:pPr>
                  <w:r>
                    <w:rPr>
                      <w:b/>
                      <w:bCs/>
                      <w:color w:val="auto"/>
                      <w:szCs w:val="21"/>
                    </w:rPr>
                    <w:t>增减量</w:t>
                  </w:r>
                </w:p>
              </w:tc>
            </w:tr>
            <w:tr w14:paraId="742174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07" w:type="pct"/>
                  <w:vMerge w:val="restart"/>
                  <w:noWrap w:val="0"/>
                  <w:tcMar>
                    <w:left w:w="51" w:type="dxa"/>
                    <w:right w:w="51" w:type="dxa"/>
                  </w:tcMar>
                  <w:vAlign w:val="center"/>
                </w:tcPr>
                <w:p w14:paraId="693EA4AF">
                  <w:pPr>
                    <w:spacing w:line="240" w:lineRule="exact"/>
                    <w:contextualSpacing/>
                    <w:jc w:val="center"/>
                    <w:rPr>
                      <w:color w:val="auto"/>
                      <w:szCs w:val="21"/>
                    </w:rPr>
                  </w:pPr>
                  <w:r>
                    <w:rPr>
                      <w:color w:val="auto"/>
                      <w:szCs w:val="21"/>
                    </w:rPr>
                    <w:t>废水</w:t>
                  </w:r>
                </w:p>
              </w:tc>
              <w:tc>
                <w:tcPr>
                  <w:tcW w:w="1079" w:type="pct"/>
                  <w:noWrap w:val="0"/>
                  <w:vAlign w:val="center"/>
                </w:tcPr>
                <w:p w14:paraId="50F9DD49">
                  <w:pPr>
                    <w:spacing w:line="240" w:lineRule="exact"/>
                    <w:contextualSpacing/>
                    <w:jc w:val="center"/>
                    <w:rPr>
                      <w:color w:val="auto"/>
                      <w:szCs w:val="21"/>
                    </w:rPr>
                  </w:pPr>
                  <w:r>
                    <w:rPr>
                      <w:color w:val="auto"/>
                      <w:szCs w:val="21"/>
                    </w:rPr>
                    <w:t>废水量/t/a</w:t>
                  </w:r>
                </w:p>
              </w:tc>
              <w:tc>
                <w:tcPr>
                  <w:tcW w:w="652" w:type="pct"/>
                  <w:noWrap w:val="0"/>
                  <w:vAlign w:val="center"/>
                </w:tcPr>
                <w:p w14:paraId="30773584">
                  <w:pPr>
                    <w:widowControl/>
                    <w:adjustRightInd w:val="0"/>
                    <w:snapToGrid w:val="0"/>
                    <w:spacing w:line="240" w:lineRule="exact"/>
                    <w:contextualSpacing/>
                    <w:jc w:val="center"/>
                    <w:rPr>
                      <w:rFonts w:hint="default" w:eastAsia="宋体"/>
                      <w:color w:val="auto"/>
                      <w:szCs w:val="21"/>
                      <w:lang w:val="en-US" w:eastAsia="zh-CN"/>
                    </w:rPr>
                  </w:pPr>
                  <w:r>
                    <w:rPr>
                      <w:rFonts w:hint="eastAsia"/>
                      <w:color w:val="auto"/>
                      <w:szCs w:val="21"/>
                      <w:lang w:val="en-US" w:eastAsia="zh-CN"/>
                    </w:rPr>
                    <w:t>22633.8</w:t>
                  </w:r>
                </w:p>
              </w:tc>
              <w:tc>
                <w:tcPr>
                  <w:tcW w:w="668" w:type="pct"/>
                  <w:noWrap w:val="0"/>
                  <w:vAlign w:val="center"/>
                </w:tcPr>
                <w:p w14:paraId="13B9FC48">
                  <w:pPr>
                    <w:spacing w:line="240" w:lineRule="exact"/>
                    <w:contextualSpacing/>
                    <w:jc w:val="center"/>
                    <w:rPr>
                      <w:rFonts w:hint="default" w:eastAsia="宋体"/>
                      <w:color w:val="auto"/>
                      <w:szCs w:val="21"/>
                      <w:lang w:val="en-US" w:eastAsia="zh-CN"/>
                    </w:rPr>
                  </w:pPr>
                  <w:r>
                    <w:rPr>
                      <w:rFonts w:hint="eastAsia"/>
                      <w:color w:val="auto"/>
                      <w:kern w:val="0"/>
                      <w:szCs w:val="21"/>
                      <w:lang w:val="en-US" w:eastAsia="zh-CN"/>
                    </w:rPr>
                    <w:t>10873.5</w:t>
                  </w:r>
                </w:p>
              </w:tc>
              <w:tc>
                <w:tcPr>
                  <w:tcW w:w="731" w:type="pct"/>
                  <w:noWrap w:val="0"/>
                  <w:vAlign w:val="center"/>
                </w:tcPr>
                <w:p w14:paraId="253996E6">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548BC47A">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33507.3</w:t>
                  </w:r>
                </w:p>
              </w:tc>
              <w:tc>
                <w:tcPr>
                  <w:tcW w:w="1259" w:type="dxa"/>
                  <w:noWrap w:val="0"/>
                  <w:vAlign w:val="center"/>
                </w:tcPr>
                <w:p w14:paraId="5FF7900C">
                  <w:pPr>
                    <w:spacing w:line="240" w:lineRule="exact"/>
                    <w:contextualSpacing/>
                    <w:jc w:val="center"/>
                    <w:rPr>
                      <w:rFonts w:hint="default" w:eastAsia="宋体"/>
                      <w:color w:val="auto"/>
                      <w:szCs w:val="21"/>
                      <w:lang w:val="en-US" w:eastAsia="zh-CN"/>
                    </w:rPr>
                  </w:pPr>
                  <w:r>
                    <w:rPr>
                      <w:rFonts w:hint="eastAsia"/>
                      <w:color w:val="auto"/>
                      <w:kern w:val="0"/>
                      <w:szCs w:val="21"/>
                      <w:lang w:val="en-US" w:eastAsia="zh-CN"/>
                    </w:rPr>
                    <w:t>+10873.5</w:t>
                  </w:r>
                </w:p>
              </w:tc>
            </w:tr>
            <w:tr w14:paraId="5587BE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307" w:type="pct"/>
                  <w:vMerge w:val="continue"/>
                  <w:noWrap w:val="0"/>
                  <w:tcMar>
                    <w:left w:w="51" w:type="dxa"/>
                    <w:right w:w="51" w:type="dxa"/>
                  </w:tcMar>
                  <w:vAlign w:val="center"/>
                </w:tcPr>
                <w:p w14:paraId="1347EE98">
                  <w:pPr>
                    <w:spacing w:line="240" w:lineRule="exact"/>
                    <w:contextualSpacing/>
                    <w:jc w:val="center"/>
                    <w:rPr>
                      <w:color w:val="auto"/>
                      <w:szCs w:val="21"/>
                    </w:rPr>
                  </w:pPr>
                </w:p>
              </w:tc>
              <w:tc>
                <w:tcPr>
                  <w:tcW w:w="1079" w:type="pct"/>
                  <w:tcBorders>
                    <w:bottom w:val="single" w:color="auto" w:sz="4" w:space="0"/>
                  </w:tcBorders>
                  <w:noWrap w:val="0"/>
                  <w:vAlign w:val="center"/>
                </w:tcPr>
                <w:p w14:paraId="55FAD0D2">
                  <w:pPr>
                    <w:spacing w:line="240" w:lineRule="exact"/>
                    <w:contextualSpacing/>
                    <w:jc w:val="center"/>
                    <w:rPr>
                      <w:color w:val="auto"/>
                      <w:szCs w:val="21"/>
                    </w:rPr>
                  </w:pPr>
                  <w:r>
                    <w:rPr>
                      <w:color w:val="auto"/>
                      <w:szCs w:val="21"/>
                    </w:rPr>
                    <w:t>COD/t/a</w:t>
                  </w:r>
                </w:p>
              </w:tc>
              <w:tc>
                <w:tcPr>
                  <w:tcW w:w="1147" w:type="dxa"/>
                  <w:noWrap w:val="0"/>
                  <w:tcMar>
                    <w:left w:w="51" w:type="dxa"/>
                    <w:right w:w="51" w:type="dxa"/>
                  </w:tcMar>
                  <w:vAlign w:val="center"/>
                </w:tcPr>
                <w:p w14:paraId="3ADD9520">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1.1317 </w:t>
                  </w:r>
                </w:p>
              </w:tc>
              <w:tc>
                <w:tcPr>
                  <w:tcW w:w="1175" w:type="dxa"/>
                  <w:noWrap w:val="0"/>
                  <w:vAlign w:val="center"/>
                </w:tcPr>
                <w:p w14:paraId="55C51A64">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0.5437 </w:t>
                  </w:r>
                </w:p>
              </w:tc>
              <w:tc>
                <w:tcPr>
                  <w:tcW w:w="731" w:type="pct"/>
                  <w:noWrap w:val="0"/>
                  <w:vAlign w:val="center"/>
                </w:tcPr>
                <w:p w14:paraId="3B9EEE2F">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4694B439">
                  <w:pPr>
                    <w:adjustRightInd w:val="0"/>
                    <w:snapToGrid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1.6754</w:t>
                  </w:r>
                </w:p>
              </w:tc>
              <w:tc>
                <w:tcPr>
                  <w:tcW w:w="1259" w:type="dxa"/>
                  <w:noWrap w:val="0"/>
                  <w:vAlign w:val="center"/>
                </w:tcPr>
                <w:p w14:paraId="56914AAB">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+0.5437 </w:t>
                  </w:r>
                </w:p>
              </w:tc>
            </w:tr>
            <w:tr w14:paraId="2ABF2F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07" w:type="pct"/>
                  <w:vMerge w:val="continue"/>
                  <w:noWrap w:val="0"/>
                  <w:tcMar>
                    <w:left w:w="51" w:type="dxa"/>
                    <w:right w:w="51" w:type="dxa"/>
                  </w:tcMar>
                  <w:vAlign w:val="center"/>
                </w:tcPr>
                <w:p w14:paraId="060856F2">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607D366E">
                  <w:pPr>
                    <w:spacing w:line="240" w:lineRule="exact"/>
                    <w:contextualSpacing/>
                    <w:jc w:val="center"/>
                    <w:rPr>
                      <w:color w:val="auto"/>
                      <w:szCs w:val="21"/>
                    </w:rPr>
                  </w:pPr>
                  <w:r>
                    <w:rPr>
                      <w:color w:val="auto"/>
                      <w:szCs w:val="21"/>
                    </w:rPr>
                    <w:t>BOD</w:t>
                  </w:r>
                  <w:r>
                    <w:rPr>
                      <w:color w:val="auto"/>
                      <w:szCs w:val="21"/>
                      <w:vertAlign w:val="subscript"/>
                    </w:rPr>
                    <w:t>5</w:t>
                  </w:r>
                  <w:r>
                    <w:rPr>
                      <w:color w:val="auto"/>
                      <w:szCs w:val="21"/>
                    </w:rPr>
                    <w:t>/t/a</w:t>
                  </w:r>
                </w:p>
              </w:tc>
              <w:tc>
                <w:tcPr>
                  <w:tcW w:w="1147" w:type="dxa"/>
                  <w:noWrap w:val="0"/>
                  <w:tcMar>
                    <w:left w:w="51" w:type="dxa"/>
                    <w:right w:w="51" w:type="dxa"/>
                  </w:tcMar>
                  <w:vAlign w:val="center"/>
                </w:tcPr>
                <w:p w14:paraId="2D8B4E95">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0.2263 </w:t>
                  </w:r>
                </w:p>
              </w:tc>
              <w:tc>
                <w:tcPr>
                  <w:tcW w:w="1175" w:type="dxa"/>
                  <w:noWrap w:val="0"/>
                  <w:vAlign w:val="center"/>
                </w:tcPr>
                <w:p w14:paraId="4C40BA1A">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0.1087 </w:t>
                  </w:r>
                </w:p>
              </w:tc>
              <w:tc>
                <w:tcPr>
                  <w:tcW w:w="731" w:type="pct"/>
                  <w:noWrap w:val="0"/>
                  <w:vAlign w:val="center"/>
                </w:tcPr>
                <w:p w14:paraId="0071D978">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581BE46C">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0.3350</w:t>
                  </w:r>
                </w:p>
              </w:tc>
              <w:tc>
                <w:tcPr>
                  <w:tcW w:w="1259" w:type="dxa"/>
                  <w:noWrap w:val="0"/>
                  <w:vAlign w:val="center"/>
                </w:tcPr>
                <w:p w14:paraId="731C2090">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+0.1087 </w:t>
                  </w:r>
                </w:p>
              </w:tc>
            </w:tr>
            <w:tr w14:paraId="1FCE08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6" w:hRule="atLeast"/>
                <w:jc w:val="center"/>
              </w:trPr>
              <w:tc>
                <w:tcPr>
                  <w:tcW w:w="307" w:type="pct"/>
                  <w:vMerge w:val="continue"/>
                  <w:noWrap w:val="0"/>
                  <w:tcMar>
                    <w:left w:w="51" w:type="dxa"/>
                    <w:right w:w="51" w:type="dxa"/>
                  </w:tcMar>
                  <w:vAlign w:val="center"/>
                </w:tcPr>
                <w:p w14:paraId="6696A98F">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7A211E01">
                  <w:pPr>
                    <w:spacing w:line="240" w:lineRule="exact"/>
                    <w:contextualSpacing/>
                    <w:jc w:val="center"/>
                    <w:rPr>
                      <w:color w:val="auto"/>
                      <w:szCs w:val="21"/>
                    </w:rPr>
                  </w:pPr>
                  <w:r>
                    <w:rPr>
                      <w:color w:val="auto"/>
                      <w:szCs w:val="21"/>
                    </w:rPr>
                    <w:t>SS/t/a</w:t>
                  </w:r>
                </w:p>
              </w:tc>
              <w:tc>
                <w:tcPr>
                  <w:tcW w:w="1147" w:type="dxa"/>
                  <w:noWrap w:val="0"/>
                  <w:tcMar>
                    <w:left w:w="51" w:type="dxa"/>
                    <w:right w:w="51" w:type="dxa"/>
                  </w:tcMar>
                  <w:vAlign w:val="center"/>
                </w:tcPr>
                <w:p w14:paraId="38F74472">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0.2263 </w:t>
                  </w:r>
                </w:p>
              </w:tc>
              <w:tc>
                <w:tcPr>
                  <w:tcW w:w="1175" w:type="dxa"/>
                  <w:noWrap w:val="0"/>
                  <w:vAlign w:val="center"/>
                </w:tcPr>
                <w:p w14:paraId="1D467ABF">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0.1087 </w:t>
                  </w:r>
                </w:p>
              </w:tc>
              <w:tc>
                <w:tcPr>
                  <w:tcW w:w="731" w:type="pct"/>
                  <w:noWrap w:val="0"/>
                  <w:vAlign w:val="center"/>
                </w:tcPr>
                <w:p w14:paraId="183A87D7">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28099A05">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0.3350</w:t>
                  </w:r>
                </w:p>
              </w:tc>
              <w:tc>
                <w:tcPr>
                  <w:tcW w:w="1259" w:type="dxa"/>
                  <w:noWrap w:val="0"/>
                  <w:vAlign w:val="center"/>
                </w:tcPr>
                <w:p w14:paraId="735A00AE">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+0.1087 </w:t>
                  </w:r>
                </w:p>
              </w:tc>
            </w:tr>
            <w:tr w14:paraId="6204CD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307" w:type="pct"/>
                  <w:vMerge w:val="continue"/>
                  <w:noWrap w:val="0"/>
                  <w:tcMar>
                    <w:left w:w="51" w:type="dxa"/>
                    <w:right w:w="51" w:type="dxa"/>
                  </w:tcMar>
                  <w:vAlign w:val="center"/>
                </w:tcPr>
                <w:p w14:paraId="7879CC30">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02C9B74A">
                  <w:pPr>
                    <w:spacing w:line="240" w:lineRule="exact"/>
                    <w:contextualSpacing/>
                    <w:jc w:val="center"/>
                    <w:rPr>
                      <w:color w:val="auto"/>
                      <w:szCs w:val="21"/>
                    </w:rPr>
                  </w:pPr>
                  <w:r>
                    <w:rPr>
                      <w:color w:val="auto"/>
                      <w:szCs w:val="21"/>
                    </w:rPr>
                    <w:t>NH</w:t>
                  </w:r>
                  <w:r>
                    <w:rPr>
                      <w:color w:val="auto"/>
                      <w:szCs w:val="21"/>
                      <w:vertAlign w:val="subscript"/>
                    </w:rPr>
                    <w:t>3</w:t>
                  </w:r>
                  <w:r>
                    <w:rPr>
                      <w:color w:val="auto"/>
                      <w:szCs w:val="21"/>
                    </w:rPr>
                    <w:t>-N/t/a</w:t>
                  </w:r>
                </w:p>
              </w:tc>
              <w:tc>
                <w:tcPr>
                  <w:tcW w:w="1147" w:type="dxa"/>
                  <w:noWrap w:val="0"/>
                  <w:tcMar>
                    <w:left w:w="51" w:type="dxa"/>
                    <w:right w:w="51" w:type="dxa"/>
                  </w:tcMar>
                  <w:vAlign w:val="center"/>
                </w:tcPr>
                <w:p w14:paraId="4F5A151A">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0.1132 </w:t>
                  </w:r>
                </w:p>
              </w:tc>
              <w:tc>
                <w:tcPr>
                  <w:tcW w:w="1175" w:type="dxa"/>
                  <w:noWrap w:val="0"/>
                  <w:vAlign w:val="center"/>
                </w:tcPr>
                <w:p w14:paraId="78113A82">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0.0544 </w:t>
                  </w:r>
                </w:p>
              </w:tc>
              <w:tc>
                <w:tcPr>
                  <w:tcW w:w="731" w:type="pct"/>
                  <w:noWrap w:val="0"/>
                  <w:vAlign w:val="center"/>
                </w:tcPr>
                <w:p w14:paraId="19BECDA3">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42276F82">
                  <w:pPr>
                    <w:adjustRightInd w:val="0"/>
                    <w:snapToGrid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0.1676</w:t>
                  </w:r>
                </w:p>
              </w:tc>
              <w:tc>
                <w:tcPr>
                  <w:tcW w:w="1259" w:type="dxa"/>
                  <w:noWrap w:val="0"/>
                  <w:vAlign w:val="center"/>
                </w:tcPr>
                <w:p w14:paraId="0383FBAC">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+0.0544 </w:t>
                  </w:r>
                </w:p>
              </w:tc>
            </w:tr>
            <w:tr w14:paraId="5A3A75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07" w:type="pct"/>
                  <w:vMerge w:val="continue"/>
                  <w:noWrap w:val="0"/>
                  <w:tcMar>
                    <w:left w:w="51" w:type="dxa"/>
                    <w:right w:w="51" w:type="dxa"/>
                  </w:tcMar>
                  <w:vAlign w:val="center"/>
                </w:tcPr>
                <w:p w14:paraId="6DF19616">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0AB76757">
                  <w:pPr>
                    <w:spacing w:line="240" w:lineRule="exact"/>
                    <w:contextualSpacing/>
                    <w:jc w:val="center"/>
                    <w:rPr>
                      <w:color w:val="auto"/>
                      <w:szCs w:val="21"/>
                    </w:rPr>
                  </w:pPr>
                  <w:r>
                    <w:rPr>
                      <w:color w:val="auto"/>
                      <w:szCs w:val="21"/>
                    </w:rPr>
                    <w:t>LASt/a</w:t>
                  </w:r>
                </w:p>
              </w:tc>
              <w:tc>
                <w:tcPr>
                  <w:tcW w:w="1147" w:type="dxa"/>
                  <w:noWrap w:val="0"/>
                  <w:tcMar>
                    <w:left w:w="51" w:type="dxa"/>
                    <w:right w:w="51" w:type="dxa"/>
                  </w:tcMar>
                  <w:vAlign w:val="center"/>
                </w:tcPr>
                <w:p w14:paraId="0F251D2D">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0.0113 </w:t>
                  </w:r>
                </w:p>
              </w:tc>
              <w:tc>
                <w:tcPr>
                  <w:tcW w:w="1175" w:type="dxa"/>
                  <w:noWrap w:val="0"/>
                  <w:vAlign w:val="center"/>
                </w:tcPr>
                <w:p w14:paraId="1FF4D1A2">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0.0054 </w:t>
                  </w:r>
                </w:p>
              </w:tc>
              <w:tc>
                <w:tcPr>
                  <w:tcW w:w="731" w:type="pct"/>
                  <w:noWrap w:val="0"/>
                  <w:vAlign w:val="center"/>
                </w:tcPr>
                <w:p w14:paraId="3F80FC27">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5839A427">
                  <w:pPr>
                    <w:adjustRightInd w:val="0"/>
                    <w:snapToGrid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0.0167</w:t>
                  </w:r>
                </w:p>
              </w:tc>
              <w:tc>
                <w:tcPr>
                  <w:tcW w:w="1259" w:type="dxa"/>
                  <w:noWrap w:val="0"/>
                  <w:vAlign w:val="center"/>
                </w:tcPr>
                <w:p w14:paraId="6F53D4D5">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+0.0054 </w:t>
                  </w:r>
                </w:p>
              </w:tc>
            </w:tr>
            <w:tr w14:paraId="7D89C2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307" w:type="pct"/>
                  <w:vMerge w:val="continue"/>
                  <w:noWrap w:val="0"/>
                  <w:tcMar>
                    <w:left w:w="51" w:type="dxa"/>
                    <w:right w:w="51" w:type="dxa"/>
                  </w:tcMar>
                  <w:vAlign w:val="center"/>
                </w:tcPr>
                <w:p w14:paraId="0CB3165E">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2EBE0E24">
                  <w:pPr>
                    <w:spacing w:line="240" w:lineRule="exact"/>
                    <w:contextualSpacing/>
                    <w:jc w:val="center"/>
                    <w:rPr>
                      <w:color w:val="auto"/>
                      <w:szCs w:val="21"/>
                    </w:rPr>
                  </w:pPr>
                  <w:r>
                    <w:rPr>
                      <w:color w:val="auto"/>
                      <w:szCs w:val="21"/>
                    </w:rPr>
                    <w:t>动植物油t/a</w:t>
                  </w:r>
                </w:p>
              </w:tc>
              <w:tc>
                <w:tcPr>
                  <w:tcW w:w="1147" w:type="dxa"/>
                  <w:noWrap w:val="0"/>
                  <w:tcMar>
                    <w:left w:w="51" w:type="dxa"/>
                    <w:right w:w="51" w:type="dxa"/>
                  </w:tcMar>
                  <w:vAlign w:val="center"/>
                </w:tcPr>
                <w:p w14:paraId="64E1514C">
                  <w:pPr>
                    <w:adjustRightInd w:val="0"/>
                    <w:snapToGrid w:val="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 xml:space="preserve">0.0226 </w:t>
                  </w:r>
                </w:p>
              </w:tc>
              <w:tc>
                <w:tcPr>
                  <w:tcW w:w="1175" w:type="dxa"/>
                  <w:noWrap w:val="0"/>
                  <w:vAlign w:val="center"/>
                </w:tcPr>
                <w:p w14:paraId="0ED1FDED">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kern w:val="0"/>
                      <w:szCs w:val="21"/>
                      <w:lang w:val="en-US" w:eastAsia="zh-CN"/>
                    </w:rPr>
                    <w:t xml:space="preserve">0.0109 </w:t>
                  </w:r>
                </w:p>
              </w:tc>
              <w:tc>
                <w:tcPr>
                  <w:tcW w:w="731" w:type="pct"/>
                  <w:noWrap w:val="0"/>
                  <w:vAlign w:val="center"/>
                </w:tcPr>
                <w:p w14:paraId="6EFFC184">
                  <w:pPr>
                    <w:widowControl/>
                    <w:adjustRightInd w:val="0"/>
                    <w:snapToGrid w:val="0"/>
                    <w:spacing w:line="240" w:lineRule="exact"/>
                    <w:contextualSpacing/>
                    <w:jc w:val="center"/>
                    <w:rPr>
                      <w:color w:val="auto"/>
                      <w:szCs w:val="21"/>
                    </w:rPr>
                  </w:pPr>
                  <w:r>
                    <w:rPr>
                      <w:color w:val="auto"/>
                      <w:szCs w:val="21"/>
                    </w:rPr>
                    <w:t>0</w:t>
                  </w:r>
                </w:p>
              </w:tc>
              <w:tc>
                <w:tcPr>
                  <w:tcW w:w="1480" w:type="dxa"/>
                  <w:noWrap w:val="0"/>
                  <w:vAlign w:val="center"/>
                </w:tcPr>
                <w:p w14:paraId="7AE94940">
                  <w:pPr>
                    <w:adjustRightInd w:val="0"/>
                    <w:snapToGrid w:val="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0.0335</w:t>
                  </w:r>
                </w:p>
              </w:tc>
              <w:tc>
                <w:tcPr>
                  <w:tcW w:w="1259" w:type="dxa"/>
                  <w:noWrap w:val="0"/>
                  <w:vAlign w:val="center"/>
                </w:tcPr>
                <w:p w14:paraId="0987015F">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kern w:val="0"/>
                      <w:szCs w:val="21"/>
                      <w:lang w:val="en-US" w:eastAsia="zh-CN"/>
                    </w:rPr>
                    <w:t xml:space="preserve">+0.0109 </w:t>
                  </w:r>
                </w:p>
              </w:tc>
            </w:tr>
            <w:tr w14:paraId="7FDD3D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307" w:type="pct"/>
                  <w:vMerge w:val="restart"/>
                  <w:noWrap w:val="0"/>
                  <w:tcMar>
                    <w:left w:w="51" w:type="dxa"/>
                    <w:right w:w="51" w:type="dxa"/>
                  </w:tcMar>
                  <w:vAlign w:val="center"/>
                </w:tcPr>
                <w:p w14:paraId="3557CD08">
                  <w:pPr>
                    <w:spacing w:line="240" w:lineRule="exact"/>
                    <w:contextualSpacing/>
                    <w:jc w:val="center"/>
                    <w:rPr>
                      <w:color w:val="auto"/>
                      <w:szCs w:val="21"/>
                    </w:rPr>
                  </w:pPr>
                  <w:r>
                    <w:rPr>
                      <w:color w:val="auto"/>
                      <w:szCs w:val="21"/>
                    </w:rPr>
                    <w:t>固体废物</w:t>
                  </w:r>
                </w:p>
              </w:tc>
              <w:tc>
                <w:tcPr>
                  <w:tcW w:w="1079" w:type="pct"/>
                  <w:tcBorders>
                    <w:top w:val="single" w:color="auto" w:sz="4" w:space="0"/>
                    <w:bottom w:val="single" w:color="auto" w:sz="4" w:space="0"/>
                  </w:tcBorders>
                  <w:noWrap w:val="0"/>
                  <w:vAlign w:val="center"/>
                </w:tcPr>
                <w:p w14:paraId="1B3FB610">
                  <w:pPr>
                    <w:spacing w:line="240" w:lineRule="exact"/>
                    <w:contextualSpacing/>
                    <w:jc w:val="center"/>
                    <w:rPr>
                      <w:color w:val="auto"/>
                      <w:szCs w:val="21"/>
                    </w:rPr>
                  </w:pPr>
                  <w:r>
                    <w:rPr>
                      <w:color w:val="auto"/>
                      <w:szCs w:val="21"/>
                    </w:rPr>
                    <w:t>生活垃圾（产生量）t/a</w:t>
                  </w:r>
                </w:p>
              </w:tc>
              <w:tc>
                <w:tcPr>
                  <w:tcW w:w="652" w:type="pct"/>
                  <w:noWrap w:val="0"/>
                  <w:tcMar>
                    <w:left w:w="51" w:type="dxa"/>
                    <w:right w:w="51" w:type="dxa"/>
                  </w:tcMar>
                  <w:vAlign w:val="center"/>
                </w:tcPr>
                <w:p w14:paraId="6D4B6BA5">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82.13</w:t>
                  </w:r>
                </w:p>
              </w:tc>
              <w:tc>
                <w:tcPr>
                  <w:tcW w:w="668" w:type="pct"/>
                  <w:noWrap w:val="0"/>
                  <w:vAlign w:val="center"/>
                </w:tcPr>
                <w:p w14:paraId="5FC50EA3">
                  <w:pPr>
                    <w:spacing w:line="240" w:lineRule="exact"/>
                    <w:contextualSpacing/>
                    <w:jc w:val="center"/>
                    <w:rPr>
                      <w:rFonts w:hint="default" w:eastAsia="宋体"/>
                      <w:color w:val="auto"/>
                      <w:szCs w:val="21"/>
                      <w:lang w:val="en-US" w:eastAsia="zh-CN"/>
                    </w:rPr>
                  </w:pPr>
                  <w:r>
                    <w:rPr>
                      <w:rFonts w:hint="eastAsia"/>
                      <w:color w:val="auto"/>
                      <w:szCs w:val="21"/>
                      <w:lang w:val="en-US" w:eastAsia="zh-CN"/>
                    </w:rPr>
                    <w:t>40.15</w:t>
                  </w:r>
                </w:p>
              </w:tc>
              <w:tc>
                <w:tcPr>
                  <w:tcW w:w="731" w:type="pct"/>
                  <w:noWrap w:val="0"/>
                  <w:vAlign w:val="center"/>
                </w:tcPr>
                <w:p w14:paraId="5D17D97F">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34F94346">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122.28</w:t>
                  </w:r>
                </w:p>
              </w:tc>
              <w:tc>
                <w:tcPr>
                  <w:tcW w:w="716" w:type="pct"/>
                  <w:noWrap w:val="0"/>
                  <w:vAlign w:val="center"/>
                </w:tcPr>
                <w:p w14:paraId="0DDA0DA5">
                  <w:pPr>
                    <w:spacing w:line="240" w:lineRule="exact"/>
                    <w:contextualSpacing/>
                    <w:jc w:val="center"/>
                    <w:rPr>
                      <w:color w:val="auto"/>
                      <w:szCs w:val="21"/>
                    </w:rPr>
                  </w:pPr>
                  <w:r>
                    <w:rPr>
                      <w:rFonts w:hint="eastAsia"/>
                      <w:color w:val="auto"/>
                      <w:szCs w:val="21"/>
                      <w:lang w:val="en-US" w:eastAsia="zh-CN"/>
                    </w:rPr>
                    <w:t>+40.15</w:t>
                  </w:r>
                </w:p>
              </w:tc>
            </w:tr>
            <w:tr w14:paraId="626053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307" w:type="pct"/>
                  <w:vMerge w:val="continue"/>
                  <w:noWrap w:val="0"/>
                  <w:tcMar>
                    <w:left w:w="51" w:type="dxa"/>
                    <w:right w:w="51" w:type="dxa"/>
                  </w:tcMar>
                  <w:vAlign w:val="center"/>
                </w:tcPr>
                <w:p w14:paraId="4E782734">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4C92D4DA">
                  <w:pPr>
                    <w:spacing w:line="240" w:lineRule="exact"/>
                    <w:contextualSpacing/>
                    <w:jc w:val="center"/>
                    <w:rPr>
                      <w:color w:val="auto"/>
                      <w:szCs w:val="21"/>
                    </w:rPr>
                  </w:pPr>
                  <w:r>
                    <w:rPr>
                      <w:rFonts w:hint="default"/>
                      <w:color w:val="auto"/>
                      <w:szCs w:val="21"/>
                      <w:lang w:eastAsia="zh-CN"/>
                    </w:rPr>
                    <w:t>无毒无害包装材料</w:t>
                  </w:r>
                </w:p>
              </w:tc>
              <w:tc>
                <w:tcPr>
                  <w:tcW w:w="652" w:type="pct"/>
                  <w:noWrap w:val="0"/>
                  <w:tcMar>
                    <w:left w:w="51" w:type="dxa"/>
                    <w:right w:w="51" w:type="dxa"/>
                  </w:tcMar>
                  <w:vAlign w:val="center"/>
                </w:tcPr>
                <w:p w14:paraId="33309582">
                  <w:pPr>
                    <w:pStyle w:val="45"/>
                    <w:spacing w:before="24" w:after="24" w:line="240" w:lineRule="auto"/>
                    <w:rPr>
                      <w:rFonts w:hint="default" w:ascii="Times New Roman"/>
                      <w:color w:val="auto"/>
                      <w:szCs w:val="21"/>
                      <w:lang w:val="en-US" w:eastAsia="zh-CN"/>
                    </w:rPr>
                  </w:pPr>
                  <w:r>
                    <w:rPr>
                      <w:rFonts w:hint="eastAsia" w:ascii="Times New Roman"/>
                      <w:color w:val="auto"/>
                      <w:szCs w:val="21"/>
                      <w:lang w:val="en-US" w:eastAsia="zh-CN"/>
                    </w:rPr>
                    <w:t>0.1</w:t>
                  </w:r>
                </w:p>
              </w:tc>
              <w:tc>
                <w:tcPr>
                  <w:tcW w:w="668" w:type="pct"/>
                  <w:noWrap w:val="0"/>
                  <w:vAlign w:val="center"/>
                </w:tcPr>
                <w:p w14:paraId="0FCF9632">
                  <w:pPr>
                    <w:spacing w:line="240" w:lineRule="exact"/>
                    <w:contextualSpacing/>
                    <w:jc w:val="center"/>
                    <w:rPr>
                      <w:rFonts w:hint="default"/>
                      <w:color w:val="auto"/>
                      <w:szCs w:val="21"/>
                      <w:lang w:val="en-US" w:eastAsia="zh-CN"/>
                    </w:rPr>
                  </w:pPr>
                  <w:r>
                    <w:rPr>
                      <w:rFonts w:hint="eastAsia"/>
                      <w:color w:val="auto"/>
                      <w:szCs w:val="21"/>
                      <w:lang w:val="en-US" w:eastAsia="zh-CN"/>
                    </w:rPr>
                    <w:t>0.05</w:t>
                  </w:r>
                </w:p>
              </w:tc>
              <w:tc>
                <w:tcPr>
                  <w:tcW w:w="731" w:type="pct"/>
                  <w:noWrap w:val="0"/>
                  <w:vAlign w:val="center"/>
                </w:tcPr>
                <w:p w14:paraId="15BC8849">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32BD9C0D">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0.15</w:t>
                  </w:r>
                </w:p>
              </w:tc>
              <w:tc>
                <w:tcPr>
                  <w:tcW w:w="716" w:type="pct"/>
                  <w:noWrap w:val="0"/>
                  <w:vAlign w:val="center"/>
                </w:tcPr>
                <w:p w14:paraId="3DD2FE09">
                  <w:pPr>
                    <w:spacing w:line="240" w:lineRule="exact"/>
                    <w:contextualSpacing/>
                    <w:jc w:val="center"/>
                    <w:rPr>
                      <w:rFonts w:hint="eastAsia"/>
                      <w:color w:val="auto"/>
                      <w:szCs w:val="21"/>
                      <w:lang w:val="en-US" w:eastAsia="zh-CN"/>
                    </w:rPr>
                  </w:pPr>
                  <w:r>
                    <w:rPr>
                      <w:rFonts w:hint="eastAsia"/>
                      <w:color w:val="auto"/>
                      <w:szCs w:val="21"/>
                      <w:lang w:val="en-US" w:eastAsia="zh-CN"/>
                    </w:rPr>
                    <w:t>+0.05</w:t>
                  </w:r>
                </w:p>
              </w:tc>
            </w:tr>
            <w:tr w14:paraId="2BB997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307" w:type="pct"/>
                  <w:vMerge w:val="continue"/>
                  <w:noWrap w:val="0"/>
                  <w:tcMar>
                    <w:left w:w="51" w:type="dxa"/>
                    <w:right w:w="51" w:type="dxa"/>
                  </w:tcMar>
                  <w:vAlign w:val="center"/>
                </w:tcPr>
                <w:p w14:paraId="0F1C4715">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542552B0">
                  <w:pPr>
                    <w:spacing w:line="240" w:lineRule="exact"/>
                    <w:contextualSpacing/>
                    <w:jc w:val="center"/>
                    <w:rPr>
                      <w:color w:val="auto"/>
                      <w:szCs w:val="21"/>
                    </w:rPr>
                  </w:pPr>
                  <w:r>
                    <w:rPr>
                      <w:color w:val="auto"/>
                      <w:szCs w:val="21"/>
                    </w:rPr>
                    <w:t>污水处理站污泥（产生量）t/a</w:t>
                  </w:r>
                </w:p>
              </w:tc>
              <w:tc>
                <w:tcPr>
                  <w:tcW w:w="652" w:type="pct"/>
                  <w:noWrap w:val="0"/>
                  <w:tcMar>
                    <w:left w:w="51" w:type="dxa"/>
                    <w:right w:w="51" w:type="dxa"/>
                  </w:tcMar>
                  <w:vAlign w:val="center"/>
                </w:tcPr>
                <w:p w14:paraId="0B3834EB">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6.57</w:t>
                  </w:r>
                </w:p>
              </w:tc>
              <w:tc>
                <w:tcPr>
                  <w:tcW w:w="668" w:type="pct"/>
                  <w:noWrap w:val="0"/>
                  <w:vAlign w:val="center"/>
                </w:tcPr>
                <w:p w14:paraId="30E5DFFE">
                  <w:pPr>
                    <w:spacing w:line="240" w:lineRule="exact"/>
                    <w:contextualSpacing/>
                    <w:jc w:val="center"/>
                    <w:rPr>
                      <w:rFonts w:hint="default" w:eastAsia="宋体"/>
                      <w:color w:val="auto"/>
                      <w:szCs w:val="21"/>
                      <w:lang w:val="en-US" w:eastAsia="zh-CN"/>
                    </w:rPr>
                  </w:pPr>
                  <w:r>
                    <w:rPr>
                      <w:rFonts w:hint="eastAsia"/>
                      <w:color w:val="auto"/>
                      <w:szCs w:val="21"/>
                      <w:lang w:val="en-US" w:eastAsia="zh-CN"/>
                    </w:rPr>
                    <w:t>2.92</w:t>
                  </w:r>
                </w:p>
              </w:tc>
              <w:tc>
                <w:tcPr>
                  <w:tcW w:w="731" w:type="pct"/>
                  <w:noWrap w:val="0"/>
                  <w:vAlign w:val="center"/>
                </w:tcPr>
                <w:p w14:paraId="5BA6D543">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416A7369">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9.49</w:t>
                  </w:r>
                </w:p>
              </w:tc>
              <w:tc>
                <w:tcPr>
                  <w:tcW w:w="716" w:type="pct"/>
                  <w:noWrap w:val="0"/>
                  <w:vAlign w:val="center"/>
                </w:tcPr>
                <w:p w14:paraId="224937B0">
                  <w:pPr>
                    <w:spacing w:line="240" w:lineRule="exact"/>
                    <w:contextualSpacing/>
                    <w:jc w:val="center"/>
                    <w:rPr>
                      <w:color w:val="auto"/>
                      <w:szCs w:val="21"/>
                    </w:rPr>
                  </w:pPr>
                  <w:r>
                    <w:rPr>
                      <w:rFonts w:hint="eastAsia"/>
                      <w:color w:val="auto"/>
                      <w:szCs w:val="21"/>
                      <w:lang w:val="en-US" w:eastAsia="zh-CN"/>
                    </w:rPr>
                    <w:t>+2.92</w:t>
                  </w:r>
                </w:p>
              </w:tc>
            </w:tr>
            <w:tr w14:paraId="469F77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307" w:type="pct"/>
                  <w:vMerge w:val="continue"/>
                  <w:noWrap w:val="0"/>
                  <w:tcMar>
                    <w:left w:w="51" w:type="dxa"/>
                    <w:right w:w="51" w:type="dxa"/>
                  </w:tcMar>
                  <w:vAlign w:val="center"/>
                </w:tcPr>
                <w:p w14:paraId="2B07A913">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22CB1983">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特殊废液</w:t>
                  </w:r>
                </w:p>
              </w:tc>
              <w:tc>
                <w:tcPr>
                  <w:tcW w:w="652" w:type="pct"/>
                  <w:noWrap w:val="0"/>
                  <w:tcMar>
                    <w:left w:w="51" w:type="dxa"/>
                    <w:right w:w="51" w:type="dxa"/>
                  </w:tcMar>
                  <w:vAlign w:val="center"/>
                </w:tcPr>
                <w:p w14:paraId="737A332A">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rPr>
                    <w:t>0.01</w:t>
                  </w:r>
                </w:p>
              </w:tc>
              <w:tc>
                <w:tcPr>
                  <w:tcW w:w="668" w:type="pct"/>
                  <w:noWrap w:val="0"/>
                  <w:vAlign w:val="center"/>
                </w:tcPr>
                <w:p w14:paraId="1937AA45">
                  <w:pPr>
                    <w:spacing w:line="240" w:lineRule="exact"/>
                    <w:contextualSpacing/>
                    <w:jc w:val="center"/>
                    <w:rPr>
                      <w:rFonts w:hint="default" w:eastAsia="宋体"/>
                      <w:color w:val="auto"/>
                      <w:szCs w:val="21"/>
                      <w:lang w:val="en-US" w:eastAsia="zh-CN"/>
                    </w:rPr>
                  </w:pPr>
                  <w:r>
                    <w:rPr>
                      <w:rFonts w:hint="eastAsia"/>
                      <w:color w:val="auto"/>
                      <w:szCs w:val="21"/>
                      <w:lang w:val="en-US" w:eastAsia="zh-CN"/>
                    </w:rPr>
                    <w:t>0.01</w:t>
                  </w:r>
                </w:p>
              </w:tc>
              <w:tc>
                <w:tcPr>
                  <w:tcW w:w="731" w:type="pct"/>
                  <w:noWrap w:val="0"/>
                  <w:vAlign w:val="center"/>
                </w:tcPr>
                <w:p w14:paraId="1FE5DF49">
                  <w:pPr>
                    <w:widowControl/>
                    <w:adjustRightInd w:val="0"/>
                    <w:snapToGrid w:val="0"/>
                    <w:spacing w:line="240" w:lineRule="exact"/>
                    <w:contextualSpacing/>
                    <w:jc w:val="center"/>
                    <w:rPr>
                      <w:rFonts w:hint="eastAsia" w:eastAsia="宋体"/>
                      <w:color w:val="auto"/>
                      <w:szCs w:val="21"/>
                      <w:lang w:val="en-US" w:eastAsia="zh-CN"/>
                    </w:rPr>
                  </w:pPr>
                  <w:r>
                    <w:rPr>
                      <w:rFonts w:hint="eastAsia"/>
                      <w:color w:val="auto"/>
                      <w:szCs w:val="21"/>
                      <w:lang w:val="en-US" w:eastAsia="zh-CN"/>
                    </w:rPr>
                    <w:t>0</w:t>
                  </w:r>
                </w:p>
              </w:tc>
              <w:tc>
                <w:tcPr>
                  <w:tcW w:w="842" w:type="pct"/>
                  <w:noWrap w:val="0"/>
                  <w:vAlign w:val="center"/>
                </w:tcPr>
                <w:p w14:paraId="31786CB2">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0.02</w:t>
                  </w:r>
                </w:p>
              </w:tc>
              <w:tc>
                <w:tcPr>
                  <w:tcW w:w="716" w:type="pct"/>
                  <w:noWrap w:val="0"/>
                  <w:vAlign w:val="center"/>
                </w:tcPr>
                <w:p w14:paraId="77C33589">
                  <w:pPr>
                    <w:spacing w:line="240" w:lineRule="exact"/>
                    <w:contextualSpacing/>
                    <w:jc w:val="center"/>
                    <w:rPr>
                      <w:color w:val="auto"/>
                      <w:szCs w:val="21"/>
                    </w:rPr>
                  </w:pPr>
                  <w:r>
                    <w:rPr>
                      <w:rFonts w:hint="eastAsia"/>
                      <w:color w:val="auto"/>
                      <w:szCs w:val="21"/>
                      <w:lang w:val="en-US" w:eastAsia="zh-CN"/>
                    </w:rPr>
                    <w:t>+0.01</w:t>
                  </w:r>
                </w:p>
              </w:tc>
            </w:tr>
            <w:tr w14:paraId="388760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307" w:type="pct"/>
                  <w:vMerge w:val="continue"/>
                  <w:noWrap w:val="0"/>
                  <w:tcMar>
                    <w:left w:w="51" w:type="dxa"/>
                    <w:right w:w="51" w:type="dxa"/>
                  </w:tcMar>
                  <w:vAlign w:val="center"/>
                </w:tcPr>
                <w:p w14:paraId="4A590925">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38884428">
                  <w:pPr>
                    <w:pStyle w:val="45"/>
                    <w:spacing w:before="24" w:after="24" w:line="240" w:lineRule="auto"/>
                    <w:rPr>
                      <w:rFonts w:ascii="Times New Roman"/>
                      <w:color w:val="auto"/>
                      <w:szCs w:val="21"/>
                    </w:rPr>
                  </w:pPr>
                  <w:r>
                    <w:rPr>
                      <w:rFonts w:ascii="Times New Roman"/>
                      <w:color w:val="auto"/>
                      <w:szCs w:val="21"/>
                    </w:rPr>
                    <w:t>废活性炭（产生量）t/a</w:t>
                  </w:r>
                </w:p>
              </w:tc>
              <w:tc>
                <w:tcPr>
                  <w:tcW w:w="652" w:type="pct"/>
                  <w:noWrap w:val="0"/>
                  <w:tcMar>
                    <w:left w:w="51" w:type="dxa"/>
                    <w:right w:w="51" w:type="dxa"/>
                  </w:tcMar>
                  <w:vAlign w:val="center"/>
                </w:tcPr>
                <w:p w14:paraId="3464C45A">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bidi="ar"/>
                    </w:rPr>
                    <w:t>0</w:t>
                  </w:r>
                </w:p>
              </w:tc>
              <w:tc>
                <w:tcPr>
                  <w:tcW w:w="668" w:type="pct"/>
                  <w:noWrap w:val="0"/>
                  <w:vAlign w:val="center"/>
                </w:tcPr>
                <w:p w14:paraId="0092F720">
                  <w:pPr>
                    <w:spacing w:line="240" w:lineRule="exact"/>
                    <w:contextualSpacing/>
                    <w:jc w:val="center"/>
                    <w:rPr>
                      <w:rFonts w:hint="default"/>
                      <w:color w:val="auto"/>
                      <w:szCs w:val="21"/>
                      <w:lang w:val="en-US"/>
                    </w:rPr>
                  </w:pPr>
                  <w:r>
                    <w:rPr>
                      <w:rFonts w:hint="eastAsia"/>
                      <w:color w:val="auto"/>
                      <w:szCs w:val="21"/>
                      <w:lang w:val="en-US" w:eastAsia="zh-CN"/>
                    </w:rPr>
                    <w:t>0.5</w:t>
                  </w:r>
                </w:p>
              </w:tc>
              <w:tc>
                <w:tcPr>
                  <w:tcW w:w="731" w:type="pct"/>
                  <w:noWrap w:val="0"/>
                  <w:vAlign w:val="center"/>
                </w:tcPr>
                <w:p w14:paraId="6D2E7818">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2E4A2302">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0.5</w:t>
                  </w:r>
                </w:p>
              </w:tc>
              <w:tc>
                <w:tcPr>
                  <w:tcW w:w="716" w:type="pct"/>
                  <w:noWrap w:val="0"/>
                  <w:vAlign w:val="center"/>
                </w:tcPr>
                <w:p w14:paraId="0E9563AC">
                  <w:pPr>
                    <w:spacing w:line="240" w:lineRule="exact"/>
                    <w:contextualSpacing/>
                    <w:jc w:val="center"/>
                    <w:rPr>
                      <w:color w:val="auto"/>
                      <w:szCs w:val="21"/>
                    </w:rPr>
                  </w:pPr>
                  <w:r>
                    <w:rPr>
                      <w:rFonts w:hint="eastAsia"/>
                      <w:color w:val="auto"/>
                      <w:szCs w:val="21"/>
                      <w:lang w:val="en-US" w:eastAsia="zh-CN"/>
                    </w:rPr>
                    <w:t>+0</w:t>
                  </w:r>
                  <w:r>
                    <w:rPr>
                      <w:color w:val="auto"/>
                      <w:szCs w:val="21"/>
                    </w:rPr>
                    <w:t>.5</w:t>
                  </w:r>
                </w:p>
              </w:tc>
            </w:tr>
            <w:tr w14:paraId="71A901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307" w:type="pct"/>
                  <w:vMerge w:val="continue"/>
                  <w:noWrap w:val="0"/>
                  <w:tcMar>
                    <w:left w:w="51" w:type="dxa"/>
                    <w:right w:w="51" w:type="dxa"/>
                  </w:tcMar>
                  <w:vAlign w:val="center"/>
                </w:tcPr>
                <w:p w14:paraId="6AF54CD3">
                  <w:pPr>
                    <w:spacing w:line="240" w:lineRule="exact"/>
                    <w:contextualSpacing/>
                    <w:jc w:val="center"/>
                    <w:rPr>
                      <w:color w:val="auto"/>
                      <w:szCs w:val="21"/>
                    </w:rPr>
                  </w:pPr>
                </w:p>
              </w:tc>
              <w:tc>
                <w:tcPr>
                  <w:tcW w:w="1079" w:type="pct"/>
                  <w:tcBorders>
                    <w:top w:val="single" w:color="auto" w:sz="4" w:space="0"/>
                    <w:bottom w:val="single" w:color="auto" w:sz="4" w:space="0"/>
                  </w:tcBorders>
                  <w:noWrap w:val="0"/>
                  <w:vAlign w:val="center"/>
                </w:tcPr>
                <w:p w14:paraId="5595FEC5">
                  <w:pPr>
                    <w:pStyle w:val="45"/>
                    <w:spacing w:before="24" w:after="24" w:line="240" w:lineRule="auto"/>
                    <w:rPr>
                      <w:rFonts w:ascii="Times New Roman"/>
                      <w:color w:val="auto"/>
                      <w:szCs w:val="21"/>
                    </w:rPr>
                  </w:pPr>
                  <w:r>
                    <w:rPr>
                      <w:rFonts w:ascii="Times New Roman"/>
                      <w:color w:val="auto"/>
                      <w:szCs w:val="21"/>
                    </w:rPr>
                    <w:t>医疗废物（产生量）t/a</w:t>
                  </w:r>
                </w:p>
              </w:tc>
              <w:tc>
                <w:tcPr>
                  <w:tcW w:w="652" w:type="pct"/>
                  <w:noWrap w:val="0"/>
                  <w:tcMar>
                    <w:left w:w="51" w:type="dxa"/>
                    <w:right w:w="51" w:type="dxa"/>
                  </w:tcMar>
                  <w:vAlign w:val="center"/>
                </w:tcPr>
                <w:p w14:paraId="6D4F9379">
                  <w:pPr>
                    <w:pStyle w:val="45"/>
                    <w:spacing w:before="24" w:after="24" w:line="240" w:lineRule="auto"/>
                    <w:rPr>
                      <w:rFonts w:hint="default" w:ascii="Times New Roman" w:eastAsia="宋体"/>
                      <w:color w:val="auto"/>
                      <w:szCs w:val="21"/>
                      <w:lang w:val="en-US" w:eastAsia="zh-CN"/>
                    </w:rPr>
                  </w:pPr>
                  <w:r>
                    <w:rPr>
                      <w:rFonts w:hint="eastAsia" w:ascii="Times New Roman"/>
                      <w:color w:val="auto"/>
                      <w:szCs w:val="21"/>
                      <w:lang w:val="en-US" w:eastAsia="zh-CN" w:bidi="ar"/>
                    </w:rPr>
                    <w:t>23.7</w:t>
                  </w:r>
                </w:p>
              </w:tc>
              <w:tc>
                <w:tcPr>
                  <w:tcW w:w="668" w:type="pct"/>
                  <w:noWrap w:val="0"/>
                  <w:vAlign w:val="center"/>
                </w:tcPr>
                <w:p w14:paraId="6F29DAB7">
                  <w:pPr>
                    <w:spacing w:line="240" w:lineRule="exact"/>
                    <w:contextualSpacing/>
                    <w:jc w:val="center"/>
                    <w:rPr>
                      <w:rFonts w:hint="default" w:eastAsia="宋体"/>
                      <w:color w:val="auto"/>
                      <w:szCs w:val="21"/>
                      <w:lang w:val="en-US" w:eastAsia="zh-CN"/>
                    </w:rPr>
                  </w:pPr>
                  <w:r>
                    <w:rPr>
                      <w:rFonts w:hint="eastAsia"/>
                      <w:color w:val="auto"/>
                      <w:szCs w:val="21"/>
                      <w:lang w:val="en-US" w:eastAsia="zh-CN"/>
                    </w:rPr>
                    <w:t>14.6</w:t>
                  </w:r>
                </w:p>
              </w:tc>
              <w:tc>
                <w:tcPr>
                  <w:tcW w:w="731" w:type="pct"/>
                  <w:noWrap w:val="0"/>
                  <w:vAlign w:val="center"/>
                </w:tcPr>
                <w:p w14:paraId="4DCC2DD2">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6F9ED4AF">
                  <w:pPr>
                    <w:spacing w:line="240" w:lineRule="exact"/>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38.3</w:t>
                  </w:r>
                </w:p>
              </w:tc>
              <w:tc>
                <w:tcPr>
                  <w:tcW w:w="716" w:type="pct"/>
                  <w:noWrap w:val="0"/>
                  <w:vAlign w:val="center"/>
                </w:tcPr>
                <w:p w14:paraId="702EB3E5">
                  <w:pPr>
                    <w:spacing w:line="240" w:lineRule="exact"/>
                    <w:contextualSpacing/>
                    <w:jc w:val="center"/>
                    <w:rPr>
                      <w:color w:val="auto"/>
                      <w:szCs w:val="21"/>
                    </w:rPr>
                  </w:pPr>
                  <w:r>
                    <w:rPr>
                      <w:rFonts w:hint="eastAsia"/>
                      <w:color w:val="auto"/>
                      <w:szCs w:val="21"/>
                      <w:lang w:val="en-US" w:eastAsia="zh-CN"/>
                    </w:rPr>
                    <w:t>+14.6</w:t>
                  </w:r>
                </w:p>
              </w:tc>
            </w:tr>
            <w:tr w14:paraId="308194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307" w:type="pct"/>
                  <w:vMerge w:val="continue"/>
                  <w:noWrap w:val="0"/>
                  <w:tcMar>
                    <w:left w:w="51" w:type="dxa"/>
                    <w:right w:w="51" w:type="dxa"/>
                  </w:tcMar>
                  <w:vAlign w:val="center"/>
                </w:tcPr>
                <w:p w14:paraId="20DD4AFB">
                  <w:pPr>
                    <w:spacing w:line="240" w:lineRule="exact"/>
                    <w:contextualSpacing/>
                    <w:jc w:val="center"/>
                    <w:rPr>
                      <w:color w:val="auto"/>
                      <w:szCs w:val="21"/>
                    </w:rPr>
                  </w:pPr>
                </w:p>
              </w:tc>
              <w:tc>
                <w:tcPr>
                  <w:tcW w:w="1079" w:type="pct"/>
                  <w:tcBorders>
                    <w:top w:val="single" w:color="auto" w:sz="4" w:space="0"/>
                  </w:tcBorders>
                  <w:noWrap w:val="0"/>
                  <w:vAlign w:val="center"/>
                </w:tcPr>
                <w:p w14:paraId="43D9BBE2">
                  <w:pPr>
                    <w:pStyle w:val="45"/>
                    <w:spacing w:before="24" w:after="24" w:line="240" w:lineRule="auto"/>
                    <w:rPr>
                      <w:rFonts w:ascii="Times New Roman"/>
                      <w:color w:val="auto"/>
                      <w:szCs w:val="21"/>
                    </w:rPr>
                  </w:pPr>
                  <w:r>
                    <w:rPr>
                      <w:rFonts w:hint="default" w:ascii="Times New Roman" w:hAnsi="Times New Roman" w:eastAsia="宋体" w:cs="Times New Roman"/>
                      <w:color w:val="auto"/>
                      <w:szCs w:val="21"/>
                    </w:rPr>
                    <w:t>废紫外线灯管</w:t>
                  </w:r>
                </w:p>
              </w:tc>
              <w:tc>
                <w:tcPr>
                  <w:tcW w:w="652" w:type="pct"/>
                  <w:noWrap w:val="0"/>
                  <w:tcMar>
                    <w:left w:w="51" w:type="dxa"/>
                    <w:right w:w="51" w:type="dxa"/>
                  </w:tcMar>
                  <w:vAlign w:val="center"/>
                </w:tcPr>
                <w:p w14:paraId="4AF64792">
                  <w:pPr>
                    <w:pStyle w:val="45"/>
                    <w:spacing w:before="24" w:after="24" w:line="240" w:lineRule="auto"/>
                    <w:rPr>
                      <w:rFonts w:hint="default" w:ascii="Times New Roman"/>
                      <w:color w:val="auto"/>
                      <w:szCs w:val="21"/>
                      <w:lang w:val="en-US" w:eastAsia="zh-CN" w:bidi="ar"/>
                    </w:rPr>
                  </w:pPr>
                  <w:r>
                    <w:rPr>
                      <w:rFonts w:hint="eastAsia" w:ascii="Times New Roman"/>
                      <w:color w:val="auto"/>
                      <w:szCs w:val="21"/>
                      <w:lang w:val="en-US" w:eastAsia="zh-CN" w:bidi="ar"/>
                    </w:rPr>
                    <w:t>0.01</w:t>
                  </w:r>
                </w:p>
              </w:tc>
              <w:tc>
                <w:tcPr>
                  <w:tcW w:w="668" w:type="pct"/>
                  <w:noWrap w:val="0"/>
                  <w:vAlign w:val="center"/>
                </w:tcPr>
                <w:p w14:paraId="5EEB6C65">
                  <w:pPr>
                    <w:spacing w:line="240" w:lineRule="exact"/>
                    <w:contextualSpacing/>
                    <w:jc w:val="center"/>
                    <w:rPr>
                      <w:rFonts w:hint="eastAsia"/>
                      <w:color w:val="auto"/>
                      <w:szCs w:val="21"/>
                      <w:lang w:val="en-US" w:eastAsia="zh-CN"/>
                    </w:rPr>
                  </w:pPr>
                  <w:r>
                    <w:rPr>
                      <w:rFonts w:hint="eastAsia" w:ascii="Times New Roman"/>
                      <w:color w:val="auto"/>
                      <w:szCs w:val="21"/>
                      <w:lang w:val="en-US" w:eastAsia="zh-CN" w:bidi="ar"/>
                    </w:rPr>
                    <w:t>0.01</w:t>
                  </w:r>
                </w:p>
              </w:tc>
              <w:tc>
                <w:tcPr>
                  <w:tcW w:w="731" w:type="pct"/>
                  <w:noWrap w:val="0"/>
                  <w:vAlign w:val="center"/>
                </w:tcPr>
                <w:p w14:paraId="53E8D66D">
                  <w:pPr>
                    <w:widowControl/>
                    <w:adjustRightInd w:val="0"/>
                    <w:snapToGrid w:val="0"/>
                    <w:spacing w:line="240" w:lineRule="exact"/>
                    <w:contextualSpacing/>
                    <w:jc w:val="center"/>
                    <w:rPr>
                      <w:color w:val="auto"/>
                      <w:szCs w:val="21"/>
                    </w:rPr>
                  </w:pPr>
                  <w:r>
                    <w:rPr>
                      <w:color w:val="auto"/>
                      <w:szCs w:val="21"/>
                    </w:rPr>
                    <w:t>0</w:t>
                  </w:r>
                </w:p>
              </w:tc>
              <w:tc>
                <w:tcPr>
                  <w:tcW w:w="842" w:type="pct"/>
                  <w:noWrap w:val="0"/>
                  <w:vAlign w:val="center"/>
                </w:tcPr>
                <w:p w14:paraId="70906115">
                  <w:pPr>
                    <w:spacing w:line="240" w:lineRule="exact"/>
                    <w:contextualSpacing/>
                    <w:jc w:val="center"/>
                    <w:rPr>
                      <w:rFonts w:hint="default" w:cs="Times New Roman"/>
                      <w:color w:val="auto"/>
                      <w:szCs w:val="21"/>
                      <w:lang w:val="en-US" w:eastAsia="zh-CN"/>
                    </w:rPr>
                  </w:pPr>
                  <w:r>
                    <w:rPr>
                      <w:rFonts w:hint="eastAsia" w:cs="Times New Roman"/>
                      <w:color w:val="auto"/>
                      <w:szCs w:val="21"/>
                      <w:lang w:val="en-US" w:eastAsia="zh-CN"/>
                    </w:rPr>
                    <w:t>0.02</w:t>
                  </w:r>
                </w:p>
              </w:tc>
              <w:tc>
                <w:tcPr>
                  <w:tcW w:w="716" w:type="pct"/>
                  <w:noWrap w:val="0"/>
                  <w:vAlign w:val="center"/>
                </w:tcPr>
                <w:p w14:paraId="37DCC1DE">
                  <w:pPr>
                    <w:spacing w:line="240" w:lineRule="exact"/>
                    <w:contextualSpacing/>
                    <w:jc w:val="center"/>
                    <w:rPr>
                      <w:rFonts w:hint="eastAsia"/>
                      <w:color w:val="auto"/>
                      <w:szCs w:val="21"/>
                      <w:lang w:val="en-US" w:eastAsia="zh-CN"/>
                    </w:rPr>
                  </w:pPr>
                  <w:r>
                    <w:rPr>
                      <w:rFonts w:hint="eastAsia"/>
                      <w:color w:val="auto"/>
                      <w:szCs w:val="21"/>
                      <w:lang w:val="en-US" w:eastAsia="zh-CN"/>
                    </w:rPr>
                    <w:t>+0.01</w:t>
                  </w:r>
                </w:p>
              </w:tc>
            </w:tr>
          </w:tbl>
          <w:p w14:paraId="6F77E996">
            <w:pPr>
              <w:pStyle w:val="16"/>
              <w:rPr>
                <w:bCs/>
                <w:color w:val="auto"/>
                <w:spacing w:val="-10"/>
                <w:szCs w:val="21"/>
              </w:rPr>
            </w:pPr>
          </w:p>
          <w:p w14:paraId="0AF68A4D">
            <w:pPr>
              <w:pStyle w:val="16"/>
              <w:rPr>
                <w:bCs/>
                <w:color w:val="auto"/>
                <w:spacing w:val="-10"/>
                <w:szCs w:val="21"/>
              </w:rPr>
            </w:pPr>
          </w:p>
          <w:p w14:paraId="72384B91">
            <w:pPr>
              <w:adjustRightInd w:val="0"/>
              <w:snapToGrid w:val="0"/>
              <w:spacing w:line="360" w:lineRule="auto"/>
              <w:rPr>
                <w:bCs/>
                <w:color w:val="auto"/>
                <w:spacing w:val="-10"/>
                <w:szCs w:val="21"/>
              </w:rPr>
            </w:pPr>
          </w:p>
        </w:tc>
      </w:tr>
    </w:tbl>
    <w:p w14:paraId="4576AA19">
      <w:pPr>
        <w:pStyle w:val="5"/>
        <w:rPr>
          <w:b/>
          <w:color w:val="auto"/>
          <w:kern w:val="0"/>
          <w:sz w:val="28"/>
          <w:szCs w:val="28"/>
        </w:rPr>
      </w:pPr>
    </w:p>
    <w:p w14:paraId="06E188DB">
      <w:pPr>
        <w:rPr>
          <w:b/>
          <w:color w:val="auto"/>
          <w:kern w:val="0"/>
          <w:sz w:val="28"/>
          <w:szCs w:val="28"/>
        </w:rPr>
      </w:pPr>
    </w:p>
    <w:p w14:paraId="00E4C12B">
      <w:pPr>
        <w:pStyle w:val="5"/>
        <w:rPr>
          <w:color w:val="auto"/>
        </w:rPr>
        <w:sectPr>
          <w:pgSz w:w="11905" w:h="16838"/>
          <w:pgMar w:top="1701" w:right="1531" w:bottom="2126"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7EE86A3C">
      <w:pPr>
        <w:pStyle w:val="23"/>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五、</w:t>
      </w:r>
      <w:bookmarkStart w:id="1" w:name="_Hlk54167917"/>
      <w:r>
        <w:rPr>
          <w:rFonts w:ascii="Times New Roman" w:hAnsi="Times New Roman"/>
          <w:snapToGrid w:val="0"/>
          <w:color w:val="auto"/>
          <w:sz w:val="30"/>
          <w:szCs w:val="30"/>
        </w:rPr>
        <w:t>环境保护措施监督检查清单</w:t>
      </w:r>
      <w:bookmarkEnd w:id="1"/>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17"/>
        <w:gridCol w:w="1475"/>
        <w:gridCol w:w="1039"/>
        <w:gridCol w:w="2663"/>
        <w:gridCol w:w="2106"/>
      </w:tblGrid>
      <w:tr w14:paraId="020167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tcBorders>
              <w:tl2br w:val="single" w:color="auto" w:sz="4" w:space="0"/>
            </w:tcBorders>
            <w:noWrap w:val="0"/>
            <w:vAlign w:val="top"/>
          </w:tcPr>
          <w:p w14:paraId="55EAE013">
            <w:pPr>
              <w:adjustRightInd w:val="0"/>
              <w:snapToGrid w:val="0"/>
              <w:ind w:firstLine="840"/>
              <w:rPr>
                <w:color w:val="auto"/>
                <w:szCs w:val="21"/>
              </w:rPr>
            </w:pPr>
            <w:r>
              <w:rPr>
                <w:color w:val="auto"/>
                <w:szCs w:val="21"/>
              </w:rPr>
              <w:t>内容</w:t>
            </w:r>
          </w:p>
          <w:p w14:paraId="50802485">
            <w:pPr>
              <w:adjustRightInd w:val="0"/>
              <w:snapToGrid w:val="0"/>
              <w:rPr>
                <w:color w:val="auto"/>
                <w:szCs w:val="21"/>
              </w:rPr>
            </w:pPr>
            <w:r>
              <w:rPr>
                <w:color w:val="auto"/>
                <w:szCs w:val="21"/>
              </w:rPr>
              <w:t>要素</w:t>
            </w:r>
          </w:p>
        </w:tc>
        <w:tc>
          <w:tcPr>
            <w:tcW w:w="1475" w:type="dxa"/>
            <w:noWrap w:val="0"/>
            <w:vAlign w:val="center"/>
          </w:tcPr>
          <w:p w14:paraId="4F236C96">
            <w:pPr>
              <w:adjustRightInd w:val="0"/>
              <w:snapToGrid w:val="0"/>
              <w:jc w:val="center"/>
              <w:rPr>
                <w:color w:val="auto"/>
                <w:szCs w:val="21"/>
              </w:rPr>
            </w:pPr>
            <w:r>
              <w:rPr>
                <w:color w:val="auto"/>
                <w:szCs w:val="21"/>
              </w:rPr>
              <w:t>排放口</w:t>
            </w:r>
            <w:r>
              <w:rPr>
                <w:rFonts w:hint="eastAsia"/>
                <w:color w:val="auto"/>
                <w:szCs w:val="21"/>
                <w:lang w:eastAsia="zh-CN"/>
              </w:rPr>
              <w:t>（</w:t>
            </w:r>
            <w:r>
              <w:rPr>
                <w:color w:val="auto"/>
                <w:szCs w:val="21"/>
              </w:rPr>
              <w:t>编号、</w:t>
            </w:r>
          </w:p>
          <w:p w14:paraId="6E89B27C">
            <w:pPr>
              <w:adjustRightInd w:val="0"/>
              <w:snapToGrid w:val="0"/>
              <w:jc w:val="center"/>
              <w:rPr>
                <w:color w:val="auto"/>
                <w:szCs w:val="21"/>
              </w:rPr>
            </w:pPr>
            <w:r>
              <w:rPr>
                <w:color w:val="auto"/>
                <w:szCs w:val="21"/>
              </w:rPr>
              <w:t>名称</w:t>
            </w:r>
            <w:r>
              <w:rPr>
                <w:rFonts w:hint="eastAsia"/>
                <w:color w:val="auto"/>
                <w:szCs w:val="21"/>
                <w:lang w:eastAsia="zh-CN"/>
              </w:rPr>
              <w:t>）</w:t>
            </w:r>
            <w:r>
              <w:rPr>
                <w:color w:val="auto"/>
                <w:szCs w:val="21"/>
              </w:rPr>
              <w:t>/污染源</w:t>
            </w:r>
          </w:p>
        </w:tc>
        <w:tc>
          <w:tcPr>
            <w:tcW w:w="1039" w:type="dxa"/>
            <w:noWrap w:val="0"/>
            <w:vAlign w:val="center"/>
          </w:tcPr>
          <w:p w14:paraId="629B1C29">
            <w:pPr>
              <w:adjustRightInd w:val="0"/>
              <w:snapToGrid w:val="0"/>
              <w:jc w:val="center"/>
              <w:rPr>
                <w:color w:val="auto"/>
                <w:szCs w:val="21"/>
              </w:rPr>
            </w:pPr>
            <w:r>
              <w:rPr>
                <w:color w:val="auto"/>
                <w:szCs w:val="21"/>
              </w:rPr>
              <w:t>污染物项目</w:t>
            </w:r>
          </w:p>
        </w:tc>
        <w:tc>
          <w:tcPr>
            <w:tcW w:w="2663" w:type="dxa"/>
            <w:noWrap w:val="0"/>
            <w:vAlign w:val="center"/>
          </w:tcPr>
          <w:p w14:paraId="025AB895">
            <w:pPr>
              <w:adjustRightInd w:val="0"/>
              <w:snapToGrid w:val="0"/>
              <w:jc w:val="center"/>
              <w:rPr>
                <w:color w:val="auto"/>
                <w:szCs w:val="21"/>
              </w:rPr>
            </w:pPr>
            <w:r>
              <w:rPr>
                <w:color w:val="auto"/>
                <w:szCs w:val="21"/>
              </w:rPr>
              <w:t>环境保护措施</w:t>
            </w:r>
          </w:p>
        </w:tc>
        <w:tc>
          <w:tcPr>
            <w:tcW w:w="2106" w:type="dxa"/>
            <w:noWrap w:val="0"/>
            <w:vAlign w:val="center"/>
          </w:tcPr>
          <w:p w14:paraId="2A0AFAD9">
            <w:pPr>
              <w:adjustRightInd w:val="0"/>
              <w:snapToGrid w:val="0"/>
              <w:jc w:val="center"/>
              <w:rPr>
                <w:color w:val="auto"/>
                <w:szCs w:val="21"/>
              </w:rPr>
            </w:pPr>
            <w:r>
              <w:rPr>
                <w:color w:val="auto"/>
                <w:szCs w:val="21"/>
              </w:rPr>
              <w:t>执行标准</w:t>
            </w:r>
          </w:p>
        </w:tc>
      </w:tr>
      <w:tr w14:paraId="45A5F8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vMerge w:val="restart"/>
            <w:noWrap w:val="0"/>
            <w:vAlign w:val="center"/>
          </w:tcPr>
          <w:p w14:paraId="2793DE44">
            <w:pPr>
              <w:adjustRightInd w:val="0"/>
              <w:snapToGrid w:val="0"/>
              <w:jc w:val="center"/>
              <w:rPr>
                <w:color w:val="auto"/>
                <w:szCs w:val="21"/>
              </w:rPr>
            </w:pPr>
            <w:r>
              <w:rPr>
                <w:rFonts w:hint="eastAsia"/>
                <w:color w:val="auto"/>
                <w:szCs w:val="21"/>
              </w:rPr>
              <w:t>大气环境</w:t>
            </w:r>
          </w:p>
        </w:tc>
        <w:tc>
          <w:tcPr>
            <w:tcW w:w="1475" w:type="dxa"/>
            <w:noWrap w:val="0"/>
            <w:vAlign w:val="center"/>
          </w:tcPr>
          <w:p w14:paraId="75E5AC00">
            <w:pPr>
              <w:adjustRightInd w:val="0"/>
              <w:snapToGrid w:val="0"/>
              <w:jc w:val="center"/>
              <w:rPr>
                <w:color w:val="auto"/>
                <w:szCs w:val="21"/>
              </w:rPr>
            </w:pPr>
            <w:r>
              <w:rPr>
                <w:color w:val="auto"/>
                <w:szCs w:val="21"/>
              </w:rPr>
              <w:t>医疗废物暂存间臭气</w:t>
            </w:r>
          </w:p>
        </w:tc>
        <w:tc>
          <w:tcPr>
            <w:tcW w:w="1039" w:type="dxa"/>
            <w:noWrap w:val="0"/>
            <w:vAlign w:val="center"/>
          </w:tcPr>
          <w:p w14:paraId="26569972">
            <w:pPr>
              <w:adjustRightInd w:val="0"/>
              <w:snapToGrid w:val="0"/>
              <w:jc w:val="center"/>
              <w:rPr>
                <w:color w:val="auto"/>
                <w:szCs w:val="21"/>
              </w:rPr>
            </w:pPr>
            <w:r>
              <w:rPr>
                <w:color w:val="auto"/>
                <w:szCs w:val="21"/>
              </w:rPr>
              <w:t>臭气</w:t>
            </w:r>
          </w:p>
        </w:tc>
        <w:tc>
          <w:tcPr>
            <w:tcW w:w="2663" w:type="dxa"/>
            <w:noWrap w:val="0"/>
            <w:vAlign w:val="center"/>
          </w:tcPr>
          <w:p w14:paraId="7344CD63">
            <w:pPr>
              <w:adjustRightInd w:val="0"/>
              <w:snapToGrid w:val="0"/>
              <w:jc w:val="center"/>
              <w:rPr>
                <w:color w:val="auto"/>
                <w:szCs w:val="21"/>
              </w:rPr>
            </w:pPr>
            <w:r>
              <w:rPr>
                <w:color w:val="auto"/>
                <w:szCs w:val="21"/>
              </w:rPr>
              <w:t>通过</w:t>
            </w:r>
            <w:r>
              <w:rPr>
                <w:rFonts w:hint="eastAsia"/>
                <w:color w:val="auto"/>
                <w:szCs w:val="21"/>
              </w:rPr>
              <w:t>换气扇</w:t>
            </w:r>
            <w:r>
              <w:rPr>
                <w:color w:val="auto"/>
                <w:szCs w:val="21"/>
              </w:rPr>
              <w:t>系统通风排放；</w:t>
            </w:r>
          </w:p>
        </w:tc>
        <w:tc>
          <w:tcPr>
            <w:tcW w:w="2106" w:type="dxa"/>
            <w:noWrap w:val="0"/>
            <w:vAlign w:val="center"/>
          </w:tcPr>
          <w:p w14:paraId="1A76E54A">
            <w:pPr>
              <w:adjustRightInd w:val="0"/>
              <w:snapToGrid w:val="0"/>
              <w:jc w:val="center"/>
              <w:rPr>
                <w:rFonts w:hint="eastAsia"/>
                <w:color w:val="auto"/>
                <w:szCs w:val="21"/>
              </w:rPr>
            </w:pPr>
            <w:r>
              <w:rPr>
                <w:rFonts w:hint="eastAsia"/>
                <w:color w:val="auto"/>
                <w:szCs w:val="21"/>
              </w:rPr>
              <w:t>/</w:t>
            </w:r>
          </w:p>
        </w:tc>
      </w:tr>
      <w:tr w14:paraId="2CFDE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vMerge w:val="continue"/>
            <w:noWrap w:val="0"/>
            <w:vAlign w:val="center"/>
          </w:tcPr>
          <w:p w14:paraId="0940FB52">
            <w:pPr>
              <w:adjustRightInd w:val="0"/>
              <w:snapToGrid w:val="0"/>
              <w:jc w:val="center"/>
              <w:rPr>
                <w:color w:val="auto"/>
                <w:szCs w:val="21"/>
              </w:rPr>
            </w:pPr>
          </w:p>
        </w:tc>
        <w:tc>
          <w:tcPr>
            <w:tcW w:w="1475" w:type="dxa"/>
            <w:noWrap w:val="0"/>
            <w:vAlign w:val="center"/>
          </w:tcPr>
          <w:p w14:paraId="33E110D6">
            <w:pPr>
              <w:adjustRightInd w:val="0"/>
              <w:snapToGrid w:val="0"/>
              <w:jc w:val="center"/>
              <w:rPr>
                <w:color w:val="auto"/>
                <w:szCs w:val="21"/>
              </w:rPr>
            </w:pPr>
            <w:r>
              <w:rPr>
                <w:color w:val="auto"/>
                <w:szCs w:val="21"/>
              </w:rPr>
              <w:t>污水处理站废气</w:t>
            </w:r>
          </w:p>
        </w:tc>
        <w:tc>
          <w:tcPr>
            <w:tcW w:w="1039" w:type="dxa"/>
            <w:noWrap w:val="0"/>
            <w:vAlign w:val="center"/>
          </w:tcPr>
          <w:p w14:paraId="503183CD">
            <w:pPr>
              <w:adjustRightInd w:val="0"/>
              <w:snapToGrid w:val="0"/>
              <w:jc w:val="center"/>
              <w:rPr>
                <w:color w:val="auto"/>
                <w:szCs w:val="21"/>
              </w:rPr>
            </w:pPr>
            <w:r>
              <w:rPr>
                <w:color w:val="auto"/>
                <w:szCs w:val="21"/>
              </w:rPr>
              <w:t>H</w:t>
            </w:r>
            <w:r>
              <w:rPr>
                <w:color w:val="auto"/>
                <w:szCs w:val="21"/>
                <w:vertAlign w:val="subscript"/>
              </w:rPr>
              <w:t>2</w:t>
            </w:r>
            <w:r>
              <w:rPr>
                <w:color w:val="auto"/>
                <w:szCs w:val="21"/>
              </w:rPr>
              <w:t>S、氨、臭气浓度</w:t>
            </w:r>
            <w:r>
              <w:rPr>
                <w:rFonts w:hint="eastAsia"/>
                <w:color w:val="auto"/>
                <w:vertAlign w:val="baseline"/>
                <w:lang w:val="en-US" w:eastAsia="zh-CN"/>
              </w:rPr>
              <w:t>、氯气、甲烷</w:t>
            </w:r>
          </w:p>
        </w:tc>
        <w:tc>
          <w:tcPr>
            <w:tcW w:w="2663" w:type="dxa"/>
            <w:noWrap w:val="0"/>
            <w:vAlign w:val="center"/>
          </w:tcPr>
          <w:p w14:paraId="60E499A0">
            <w:pPr>
              <w:adjustRightInd w:val="0"/>
              <w:snapToGrid w:val="0"/>
              <w:jc w:val="center"/>
              <w:rPr>
                <w:color w:val="auto"/>
                <w:szCs w:val="21"/>
              </w:rPr>
            </w:pPr>
            <w:r>
              <w:rPr>
                <w:color w:val="auto"/>
                <w:szCs w:val="21"/>
              </w:rPr>
              <w:t>污水处理工艺池置于地下并</w:t>
            </w:r>
            <w:r>
              <w:rPr>
                <w:rFonts w:hint="eastAsia"/>
                <w:color w:val="auto"/>
                <w:szCs w:val="21"/>
              </w:rPr>
              <w:t>加盖</w:t>
            </w:r>
            <w:r>
              <w:rPr>
                <w:color w:val="auto"/>
                <w:szCs w:val="21"/>
              </w:rPr>
              <w:t>密闭，设置导气管将臭气导出</w:t>
            </w:r>
            <w:r>
              <w:rPr>
                <w:rFonts w:hint="eastAsia"/>
                <w:color w:val="auto"/>
                <w:szCs w:val="21"/>
                <w:lang w:val="en-US" w:eastAsia="zh-CN"/>
              </w:rPr>
              <w:t>经活</w:t>
            </w:r>
            <w:r>
              <w:rPr>
                <w:color w:val="auto"/>
                <w:szCs w:val="21"/>
              </w:rPr>
              <w:t>性炭装置处理后</w:t>
            </w:r>
            <w:r>
              <w:rPr>
                <w:rFonts w:hint="eastAsia"/>
                <w:color w:val="auto"/>
                <w:szCs w:val="21"/>
                <w:lang w:val="en-US" w:eastAsia="zh-CN"/>
              </w:rPr>
              <w:t>绿化带</w:t>
            </w:r>
            <w:r>
              <w:rPr>
                <w:color w:val="auto"/>
                <w:szCs w:val="21"/>
              </w:rPr>
              <w:t>排放</w:t>
            </w:r>
          </w:p>
        </w:tc>
        <w:tc>
          <w:tcPr>
            <w:tcW w:w="2106" w:type="dxa"/>
            <w:noWrap w:val="0"/>
            <w:vAlign w:val="center"/>
          </w:tcPr>
          <w:p w14:paraId="77E2D666">
            <w:pPr>
              <w:adjustRightInd w:val="0"/>
              <w:snapToGrid w:val="0"/>
              <w:jc w:val="center"/>
              <w:rPr>
                <w:rFonts w:hint="default" w:eastAsia="宋体"/>
                <w:color w:val="auto"/>
                <w:szCs w:val="21"/>
                <w:lang w:val="en-US" w:eastAsia="zh-CN"/>
              </w:rPr>
            </w:pPr>
            <w:r>
              <w:rPr>
                <w:bCs/>
                <w:color w:val="auto"/>
                <w:szCs w:val="21"/>
              </w:rPr>
              <w:t>《医疗机构水污染排放标准》（GB18466-2005）：氨≤1mg/m</w:t>
            </w:r>
            <w:r>
              <w:rPr>
                <w:bCs/>
                <w:color w:val="auto"/>
                <w:szCs w:val="21"/>
                <w:vertAlign w:val="superscript"/>
              </w:rPr>
              <w:t>3</w:t>
            </w:r>
            <w:r>
              <w:rPr>
                <w:bCs/>
                <w:color w:val="auto"/>
                <w:szCs w:val="21"/>
              </w:rPr>
              <w:t>；H</w:t>
            </w:r>
            <w:r>
              <w:rPr>
                <w:bCs/>
                <w:color w:val="auto"/>
                <w:szCs w:val="21"/>
                <w:vertAlign w:val="subscript"/>
              </w:rPr>
              <w:t>2</w:t>
            </w:r>
            <w:r>
              <w:rPr>
                <w:bCs/>
                <w:color w:val="auto"/>
                <w:szCs w:val="21"/>
              </w:rPr>
              <w:t>S≤0.03mg/m</w:t>
            </w:r>
            <w:r>
              <w:rPr>
                <w:bCs/>
                <w:color w:val="auto"/>
                <w:szCs w:val="21"/>
                <w:vertAlign w:val="superscript"/>
              </w:rPr>
              <w:t>3</w:t>
            </w:r>
            <w:r>
              <w:rPr>
                <w:bCs/>
                <w:color w:val="auto"/>
                <w:szCs w:val="21"/>
              </w:rPr>
              <w:t>；≤1mg/m</w:t>
            </w:r>
            <w:r>
              <w:rPr>
                <w:bCs/>
                <w:color w:val="auto"/>
                <w:szCs w:val="21"/>
                <w:vertAlign w:val="superscript"/>
              </w:rPr>
              <w:t>3</w:t>
            </w:r>
            <w:r>
              <w:rPr>
                <w:bCs/>
                <w:color w:val="auto"/>
                <w:szCs w:val="21"/>
              </w:rPr>
              <w:t>；臭气浓度≤10（无量纲）；</w:t>
            </w:r>
            <w:r>
              <w:rPr>
                <w:rFonts w:hint="eastAsia"/>
                <w:color w:val="auto"/>
                <w:vertAlign w:val="baseline"/>
                <w:lang w:val="en-US" w:eastAsia="zh-CN"/>
              </w:rPr>
              <w:t>氯气</w:t>
            </w:r>
            <w:r>
              <w:rPr>
                <w:bCs/>
                <w:color w:val="auto"/>
                <w:szCs w:val="21"/>
              </w:rPr>
              <w:t>≤0.</w:t>
            </w:r>
            <w:r>
              <w:rPr>
                <w:rFonts w:hint="eastAsia"/>
                <w:bCs/>
                <w:color w:val="auto"/>
                <w:szCs w:val="21"/>
                <w:lang w:val="en-US" w:eastAsia="zh-CN"/>
              </w:rPr>
              <w:t>1</w:t>
            </w:r>
            <w:r>
              <w:rPr>
                <w:bCs/>
                <w:color w:val="auto"/>
                <w:szCs w:val="21"/>
              </w:rPr>
              <w:t>mg/m</w:t>
            </w:r>
            <w:r>
              <w:rPr>
                <w:bCs/>
                <w:color w:val="auto"/>
                <w:szCs w:val="21"/>
                <w:vertAlign w:val="superscript"/>
              </w:rPr>
              <w:t>3</w:t>
            </w:r>
            <w:r>
              <w:rPr>
                <w:rFonts w:hint="eastAsia"/>
                <w:color w:val="auto"/>
                <w:vertAlign w:val="baseline"/>
                <w:lang w:val="en-US" w:eastAsia="zh-CN"/>
              </w:rPr>
              <w:t>；甲烷</w:t>
            </w:r>
            <w:r>
              <w:rPr>
                <w:bCs/>
                <w:color w:val="auto"/>
                <w:szCs w:val="21"/>
              </w:rPr>
              <w:t>≤</w:t>
            </w:r>
            <w:r>
              <w:rPr>
                <w:rFonts w:hint="eastAsia"/>
                <w:bCs/>
                <w:color w:val="auto"/>
                <w:szCs w:val="21"/>
                <w:lang w:val="en-US" w:eastAsia="zh-CN"/>
              </w:rPr>
              <w:t>1%</w:t>
            </w:r>
          </w:p>
        </w:tc>
      </w:tr>
      <w:tr w14:paraId="07260C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vMerge w:val="continue"/>
            <w:noWrap w:val="0"/>
            <w:vAlign w:val="center"/>
          </w:tcPr>
          <w:p w14:paraId="2F8CF40D">
            <w:pPr>
              <w:adjustRightInd w:val="0"/>
              <w:snapToGrid w:val="0"/>
              <w:jc w:val="center"/>
              <w:rPr>
                <w:color w:val="auto"/>
                <w:szCs w:val="21"/>
              </w:rPr>
            </w:pPr>
          </w:p>
        </w:tc>
        <w:tc>
          <w:tcPr>
            <w:tcW w:w="1475" w:type="dxa"/>
            <w:noWrap w:val="0"/>
            <w:vAlign w:val="center"/>
          </w:tcPr>
          <w:p w14:paraId="49F6F888">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病房</w:t>
            </w:r>
            <w:r>
              <w:rPr>
                <w:rFonts w:hint="default" w:ascii="Times New Roman" w:hAnsi="Times New Roman" w:eastAsia="宋体" w:cs="Times New Roman"/>
                <w:color w:val="auto"/>
                <w:sz w:val="21"/>
                <w:szCs w:val="21"/>
                <w:lang w:val="en-US" w:eastAsia="zh-CN"/>
              </w:rPr>
              <w:t>废气</w:t>
            </w:r>
          </w:p>
        </w:tc>
        <w:tc>
          <w:tcPr>
            <w:tcW w:w="1039" w:type="dxa"/>
            <w:noWrap w:val="0"/>
            <w:vAlign w:val="center"/>
          </w:tcPr>
          <w:p w14:paraId="1382DEB0">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臭气浓度</w:t>
            </w:r>
          </w:p>
        </w:tc>
        <w:tc>
          <w:tcPr>
            <w:tcW w:w="2663" w:type="dxa"/>
            <w:noWrap w:val="0"/>
            <w:vAlign w:val="center"/>
          </w:tcPr>
          <w:p w14:paraId="4302DAB7">
            <w:pPr>
              <w:adjustRightInd w:val="0"/>
              <w:snapToGrid w:val="0"/>
              <w:spacing w:line="240" w:lineRule="auto"/>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设有新风系统加强通风，采用消毒剂和</w:t>
            </w:r>
            <w:r>
              <w:rPr>
                <w:rFonts w:hint="eastAsia" w:cs="Times New Roman"/>
                <w:b w:val="0"/>
                <w:bCs w:val="0"/>
                <w:color w:val="auto"/>
                <w:sz w:val="21"/>
                <w:szCs w:val="21"/>
                <w:lang w:val="en-US" w:eastAsia="zh-CN"/>
              </w:rPr>
              <w:t>紫外线消毒灯</w:t>
            </w:r>
            <w:r>
              <w:rPr>
                <w:rFonts w:hint="default" w:ascii="Times New Roman" w:hAnsi="Times New Roman" w:eastAsia="宋体" w:cs="Times New Roman"/>
                <w:b w:val="0"/>
                <w:bCs w:val="0"/>
                <w:color w:val="auto"/>
                <w:sz w:val="21"/>
                <w:szCs w:val="21"/>
                <w:lang w:val="en-US" w:eastAsia="zh-CN"/>
              </w:rPr>
              <w:t>对病房进行杀毒；加强管理，增加对医院清洁频次</w:t>
            </w:r>
          </w:p>
        </w:tc>
        <w:tc>
          <w:tcPr>
            <w:tcW w:w="2106" w:type="dxa"/>
            <w:noWrap w:val="0"/>
            <w:vAlign w:val="center"/>
          </w:tcPr>
          <w:p w14:paraId="6A303233">
            <w:pPr>
              <w:adjustRightInd w:val="0"/>
              <w:snapToGrid w:val="0"/>
              <w:spacing w:line="240" w:lineRule="auto"/>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w:t>
            </w:r>
          </w:p>
        </w:tc>
      </w:tr>
      <w:tr w14:paraId="07F600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vMerge w:val="continue"/>
            <w:noWrap w:val="0"/>
            <w:vAlign w:val="center"/>
          </w:tcPr>
          <w:p w14:paraId="14F50724">
            <w:pPr>
              <w:adjustRightInd w:val="0"/>
              <w:snapToGrid w:val="0"/>
              <w:jc w:val="center"/>
              <w:rPr>
                <w:color w:val="auto"/>
                <w:szCs w:val="21"/>
              </w:rPr>
            </w:pPr>
          </w:p>
        </w:tc>
        <w:tc>
          <w:tcPr>
            <w:tcW w:w="1475" w:type="dxa"/>
            <w:noWrap w:val="0"/>
            <w:vAlign w:val="center"/>
          </w:tcPr>
          <w:p w14:paraId="6E50A761">
            <w:pPr>
              <w:adjustRightInd w:val="0"/>
              <w:snapToGrid w:val="0"/>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检验废气</w:t>
            </w:r>
          </w:p>
        </w:tc>
        <w:tc>
          <w:tcPr>
            <w:tcW w:w="1039" w:type="dxa"/>
            <w:noWrap w:val="0"/>
            <w:vAlign w:val="center"/>
          </w:tcPr>
          <w:p w14:paraId="2FE71945">
            <w:pPr>
              <w:keepNext w:val="0"/>
              <w:keepLines w:val="0"/>
              <w:widowControl/>
              <w:suppressLineNumbers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化学试剂</w:t>
            </w:r>
          </w:p>
        </w:tc>
        <w:tc>
          <w:tcPr>
            <w:tcW w:w="2663" w:type="dxa"/>
            <w:noWrap w:val="0"/>
            <w:vAlign w:val="center"/>
          </w:tcPr>
          <w:p w14:paraId="1E9DEA20">
            <w:pPr>
              <w:tabs>
                <w:tab w:val="left" w:pos="569"/>
              </w:tabs>
              <w:adjustRightInd w:val="0"/>
              <w:snapToGrid w:val="0"/>
              <w:spacing w:line="240" w:lineRule="auto"/>
              <w:jc w:val="left"/>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依托现有，经生物安全柜及其自带高效过滤装置处理后经排风系统引至室外排放。</w:t>
            </w:r>
          </w:p>
        </w:tc>
        <w:tc>
          <w:tcPr>
            <w:tcW w:w="2106" w:type="dxa"/>
            <w:noWrap w:val="0"/>
            <w:vAlign w:val="center"/>
          </w:tcPr>
          <w:p w14:paraId="39BB292B">
            <w:pPr>
              <w:adjustRightInd w:val="0"/>
              <w:snapToGrid w:val="0"/>
              <w:spacing w:line="240" w:lineRule="auto"/>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w:t>
            </w:r>
          </w:p>
        </w:tc>
      </w:tr>
      <w:tr w14:paraId="18A47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 w:hRule="atLeast"/>
          <w:jc w:val="center"/>
        </w:trPr>
        <w:tc>
          <w:tcPr>
            <w:tcW w:w="1517" w:type="dxa"/>
            <w:noWrap w:val="0"/>
            <w:vAlign w:val="center"/>
          </w:tcPr>
          <w:p w14:paraId="229C0CC2">
            <w:pPr>
              <w:adjustRightInd w:val="0"/>
              <w:snapToGrid w:val="0"/>
              <w:jc w:val="center"/>
              <w:rPr>
                <w:color w:val="auto"/>
                <w:szCs w:val="21"/>
              </w:rPr>
            </w:pPr>
            <w:r>
              <w:rPr>
                <w:color w:val="auto"/>
                <w:szCs w:val="21"/>
              </w:rPr>
              <w:t>地表水环境</w:t>
            </w:r>
          </w:p>
        </w:tc>
        <w:tc>
          <w:tcPr>
            <w:tcW w:w="1475" w:type="dxa"/>
            <w:noWrap w:val="0"/>
            <w:vAlign w:val="center"/>
          </w:tcPr>
          <w:p w14:paraId="450436EF">
            <w:pPr>
              <w:adjustRightInd w:val="0"/>
              <w:snapToGrid w:val="0"/>
              <w:jc w:val="center"/>
              <w:rPr>
                <w:color w:val="auto"/>
                <w:szCs w:val="21"/>
              </w:rPr>
            </w:pPr>
            <w:r>
              <w:rPr>
                <w:color w:val="auto"/>
                <w:szCs w:val="21"/>
              </w:rPr>
              <w:t>综合废水（院区总排口）</w:t>
            </w:r>
          </w:p>
        </w:tc>
        <w:tc>
          <w:tcPr>
            <w:tcW w:w="1039" w:type="dxa"/>
            <w:noWrap w:val="0"/>
            <w:vAlign w:val="center"/>
          </w:tcPr>
          <w:p w14:paraId="358D1464">
            <w:pPr>
              <w:adjustRightInd w:val="0"/>
              <w:snapToGrid w:val="0"/>
              <w:jc w:val="center"/>
              <w:rPr>
                <w:color w:val="auto"/>
                <w:szCs w:val="21"/>
              </w:rPr>
            </w:pPr>
            <w:r>
              <w:rPr>
                <w:color w:val="auto"/>
                <w:szCs w:val="21"/>
              </w:rPr>
              <w:t>pH、COD、BOD</w:t>
            </w:r>
            <w:r>
              <w:rPr>
                <w:color w:val="auto"/>
                <w:szCs w:val="21"/>
                <w:vertAlign w:val="subscript"/>
              </w:rPr>
              <w:t>5</w:t>
            </w:r>
            <w:r>
              <w:rPr>
                <w:color w:val="auto"/>
                <w:szCs w:val="21"/>
              </w:rPr>
              <w:t>、SS、氨氮、LAS、粪大肠杆菌</w:t>
            </w:r>
            <w:r>
              <w:rPr>
                <w:rFonts w:hint="default" w:ascii="Times New Roman" w:hAnsi="Times New Roman" w:eastAsia="宋体" w:cs="Times New Roman"/>
                <w:color w:val="auto"/>
                <w:sz w:val="21"/>
                <w:szCs w:val="21"/>
                <w:lang w:val="en-US" w:eastAsia="zh-CN"/>
              </w:rPr>
              <w:t>、余氯</w:t>
            </w:r>
          </w:p>
        </w:tc>
        <w:tc>
          <w:tcPr>
            <w:tcW w:w="2663" w:type="dxa"/>
            <w:noWrap w:val="0"/>
            <w:vAlign w:val="center"/>
          </w:tcPr>
          <w:p w14:paraId="5B7572DD">
            <w:pPr>
              <w:adjustRightInd w:val="0"/>
              <w:snapToGrid w:val="0"/>
              <w:jc w:val="center"/>
              <w:rPr>
                <w:color w:val="auto"/>
                <w:szCs w:val="21"/>
              </w:rPr>
            </w:pPr>
            <w:r>
              <w:rPr>
                <w:color w:val="auto"/>
                <w:szCs w:val="21"/>
              </w:rPr>
              <w:t>采取雨污分流，</w:t>
            </w:r>
            <w:r>
              <w:rPr>
                <w:snapToGrid w:val="0"/>
                <w:color w:val="auto"/>
                <w:kern w:val="0"/>
                <w:szCs w:val="21"/>
              </w:rPr>
              <w:t>雨水经雨水沟排入市政雨水管网；</w:t>
            </w:r>
            <w:r>
              <w:rPr>
                <w:color w:val="auto"/>
                <w:szCs w:val="21"/>
              </w:rPr>
              <w:t>生活污水</w:t>
            </w:r>
            <w:r>
              <w:rPr>
                <w:rFonts w:hint="eastAsia"/>
                <w:color w:val="auto"/>
                <w:szCs w:val="21"/>
              </w:rPr>
              <w:t>与</w:t>
            </w:r>
            <w:r>
              <w:rPr>
                <w:color w:val="auto"/>
                <w:szCs w:val="21"/>
              </w:rPr>
              <w:t>医疗废水一起排入</w:t>
            </w:r>
            <w:r>
              <w:rPr>
                <w:snapToGrid w:val="0"/>
                <w:color w:val="auto"/>
                <w:kern w:val="0"/>
                <w:szCs w:val="21"/>
              </w:rPr>
              <w:t>污水处理站（</w:t>
            </w:r>
            <w:r>
              <w:rPr>
                <w:rFonts w:hint="eastAsia"/>
                <w:snapToGrid w:val="0"/>
                <w:color w:val="auto"/>
                <w:kern w:val="0"/>
                <w:szCs w:val="21"/>
                <w:lang w:val="en-US" w:eastAsia="zh-CN"/>
              </w:rPr>
              <w:t>110</w:t>
            </w:r>
            <w:r>
              <w:rPr>
                <w:snapToGrid w:val="0"/>
                <w:color w:val="auto"/>
                <w:kern w:val="0"/>
                <w:szCs w:val="21"/>
              </w:rPr>
              <w:t>m</w:t>
            </w:r>
            <w:r>
              <w:rPr>
                <w:snapToGrid w:val="0"/>
                <w:color w:val="auto"/>
                <w:kern w:val="0"/>
                <w:szCs w:val="21"/>
                <w:vertAlign w:val="superscript"/>
              </w:rPr>
              <w:t>3</w:t>
            </w:r>
            <w:r>
              <w:rPr>
                <w:snapToGrid w:val="0"/>
                <w:color w:val="auto"/>
                <w:kern w:val="0"/>
                <w:szCs w:val="21"/>
              </w:rPr>
              <w:t>/d）处理达</w:t>
            </w:r>
            <w:r>
              <w:rPr>
                <w:color w:val="auto"/>
                <w:szCs w:val="21"/>
              </w:rPr>
              <w:t>《医疗机构水污染物排放标准》（GB18466-2005）表2综合医疗机构和其他医疗机构水污染物排放限值中的预处理标准后</w:t>
            </w:r>
            <w:r>
              <w:rPr>
                <w:snapToGrid w:val="0"/>
                <w:color w:val="auto"/>
                <w:kern w:val="0"/>
                <w:szCs w:val="21"/>
              </w:rPr>
              <w:t>，</w:t>
            </w:r>
            <w:r>
              <w:rPr>
                <w:color w:val="auto"/>
                <w:szCs w:val="21"/>
              </w:rPr>
              <w:t>排入市政污水管网，经市政管网汇入</w:t>
            </w:r>
            <w:r>
              <w:rPr>
                <w:rFonts w:hint="eastAsia"/>
                <w:color w:val="auto"/>
                <w:szCs w:val="21"/>
                <w:lang w:eastAsia="zh-CN"/>
              </w:rPr>
              <w:t>鸡冠石污水处理厂</w:t>
            </w:r>
            <w:r>
              <w:rPr>
                <w:color w:val="auto"/>
                <w:szCs w:val="21"/>
              </w:rPr>
              <w:t>深度处理达《城镇污水处理厂排放标准》（GB18918-2002）一级A标后排入</w:t>
            </w:r>
            <w:r>
              <w:rPr>
                <w:rFonts w:hint="eastAsia"/>
                <w:color w:val="auto"/>
                <w:szCs w:val="21"/>
                <w:lang w:val="en-US" w:eastAsia="zh-CN"/>
              </w:rPr>
              <w:t>长江</w:t>
            </w:r>
            <w:r>
              <w:rPr>
                <w:color w:val="auto"/>
                <w:szCs w:val="21"/>
              </w:rPr>
              <w:t>。</w:t>
            </w:r>
          </w:p>
        </w:tc>
        <w:tc>
          <w:tcPr>
            <w:tcW w:w="2106" w:type="dxa"/>
            <w:noWrap w:val="0"/>
            <w:vAlign w:val="center"/>
          </w:tcPr>
          <w:p w14:paraId="786DF370">
            <w:pPr>
              <w:adjustRightInd w:val="0"/>
              <w:snapToGrid w:val="0"/>
              <w:jc w:val="center"/>
              <w:rPr>
                <w:color w:val="auto"/>
                <w:szCs w:val="21"/>
              </w:rPr>
            </w:pPr>
            <w:r>
              <w:rPr>
                <w:bCs/>
                <w:color w:val="auto"/>
                <w:szCs w:val="21"/>
              </w:rPr>
              <w:t>《医疗机构水污染排放标准》（GB18466-2005）、</w:t>
            </w:r>
            <w:r>
              <w:rPr>
                <w:color w:val="auto"/>
                <w:szCs w:val="21"/>
              </w:rPr>
              <w:t>《城镇污水处理厂排放标准》（GB18918-2002）一级A标</w:t>
            </w:r>
          </w:p>
        </w:tc>
      </w:tr>
      <w:tr w14:paraId="1734C1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 w:hRule="atLeast"/>
          <w:jc w:val="center"/>
        </w:trPr>
        <w:tc>
          <w:tcPr>
            <w:tcW w:w="1517" w:type="dxa"/>
            <w:noWrap w:val="0"/>
            <w:vAlign w:val="center"/>
          </w:tcPr>
          <w:p w14:paraId="01DB465E">
            <w:pPr>
              <w:adjustRightInd w:val="0"/>
              <w:snapToGrid w:val="0"/>
              <w:jc w:val="center"/>
              <w:rPr>
                <w:color w:val="auto"/>
                <w:szCs w:val="21"/>
              </w:rPr>
            </w:pPr>
            <w:r>
              <w:rPr>
                <w:color w:val="auto"/>
                <w:szCs w:val="21"/>
              </w:rPr>
              <w:t>声环境</w:t>
            </w:r>
          </w:p>
        </w:tc>
        <w:tc>
          <w:tcPr>
            <w:tcW w:w="1475" w:type="dxa"/>
            <w:noWrap w:val="0"/>
            <w:vAlign w:val="center"/>
          </w:tcPr>
          <w:p w14:paraId="5F7CD029">
            <w:pPr>
              <w:adjustRightInd w:val="0"/>
              <w:snapToGrid w:val="0"/>
              <w:jc w:val="center"/>
              <w:rPr>
                <w:color w:val="auto"/>
                <w:szCs w:val="21"/>
              </w:rPr>
            </w:pPr>
            <w:r>
              <w:rPr>
                <w:color w:val="auto"/>
                <w:szCs w:val="21"/>
              </w:rPr>
              <w:t>噪声</w:t>
            </w:r>
          </w:p>
        </w:tc>
        <w:tc>
          <w:tcPr>
            <w:tcW w:w="1039" w:type="dxa"/>
            <w:noWrap w:val="0"/>
            <w:vAlign w:val="center"/>
          </w:tcPr>
          <w:p w14:paraId="58693838">
            <w:pPr>
              <w:adjustRightInd w:val="0"/>
              <w:snapToGrid w:val="0"/>
              <w:jc w:val="center"/>
              <w:rPr>
                <w:color w:val="auto"/>
                <w:szCs w:val="21"/>
              </w:rPr>
            </w:pPr>
            <w:r>
              <w:rPr>
                <w:color w:val="auto"/>
                <w:szCs w:val="21"/>
              </w:rPr>
              <w:t>dB(A)</w:t>
            </w:r>
          </w:p>
        </w:tc>
        <w:tc>
          <w:tcPr>
            <w:tcW w:w="2663" w:type="dxa"/>
            <w:noWrap w:val="0"/>
            <w:vAlign w:val="center"/>
          </w:tcPr>
          <w:p w14:paraId="07B84960">
            <w:pPr>
              <w:adjustRightInd w:val="0"/>
              <w:snapToGrid w:val="0"/>
              <w:jc w:val="center"/>
              <w:rPr>
                <w:color w:val="auto"/>
                <w:szCs w:val="21"/>
              </w:rPr>
            </w:pPr>
            <w:r>
              <w:rPr>
                <w:rFonts w:hint="eastAsia"/>
                <w:color w:val="auto"/>
                <w:szCs w:val="21"/>
                <w:lang w:val="en-US" w:eastAsia="zh-CN"/>
              </w:rPr>
              <w:t>墙体隔声、距离衰减</w:t>
            </w:r>
          </w:p>
        </w:tc>
        <w:tc>
          <w:tcPr>
            <w:tcW w:w="2106" w:type="dxa"/>
            <w:noWrap w:val="0"/>
            <w:vAlign w:val="center"/>
          </w:tcPr>
          <w:p w14:paraId="1BAB8B6A">
            <w:pPr>
              <w:adjustRightInd w:val="0"/>
              <w:snapToGrid w:val="0"/>
              <w:jc w:val="center"/>
              <w:rPr>
                <w:color w:val="auto"/>
                <w:szCs w:val="21"/>
              </w:rPr>
            </w:pPr>
            <w:r>
              <w:rPr>
                <w:color w:val="auto"/>
                <w:kern w:val="0"/>
                <w:szCs w:val="21"/>
              </w:rPr>
              <w:t>《工业企业厂界环境噪声排放标准》（GB12348-2008）4类、2类标准</w:t>
            </w:r>
          </w:p>
        </w:tc>
      </w:tr>
      <w:tr w14:paraId="306F0F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17" w:type="dxa"/>
            <w:noWrap w:val="0"/>
            <w:vAlign w:val="center"/>
          </w:tcPr>
          <w:p w14:paraId="7CD424DD">
            <w:pPr>
              <w:adjustRightInd w:val="0"/>
              <w:snapToGrid w:val="0"/>
              <w:jc w:val="center"/>
              <w:rPr>
                <w:color w:val="auto"/>
                <w:szCs w:val="21"/>
              </w:rPr>
            </w:pPr>
            <w:r>
              <w:rPr>
                <w:color w:val="auto"/>
                <w:szCs w:val="21"/>
              </w:rPr>
              <w:t>电磁辐射</w:t>
            </w:r>
          </w:p>
        </w:tc>
        <w:tc>
          <w:tcPr>
            <w:tcW w:w="1475" w:type="dxa"/>
            <w:noWrap w:val="0"/>
            <w:vAlign w:val="center"/>
          </w:tcPr>
          <w:p w14:paraId="2558C673">
            <w:pPr>
              <w:adjustRightInd w:val="0"/>
              <w:snapToGrid w:val="0"/>
              <w:jc w:val="center"/>
              <w:rPr>
                <w:color w:val="auto"/>
                <w:szCs w:val="21"/>
              </w:rPr>
            </w:pPr>
            <w:r>
              <w:rPr>
                <w:color w:val="auto"/>
                <w:szCs w:val="21"/>
              </w:rPr>
              <w:t>/</w:t>
            </w:r>
          </w:p>
        </w:tc>
        <w:tc>
          <w:tcPr>
            <w:tcW w:w="1039" w:type="dxa"/>
            <w:noWrap w:val="0"/>
            <w:vAlign w:val="center"/>
          </w:tcPr>
          <w:p w14:paraId="3AB52F7F">
            <w:pPr>
              <w:adjustRightInd w:val="0"/>
              <w:snapToGrid w:val="0"/>
              <w:jc w:val="center"/>
              <w:rPr>
                <w:color w:val="auto"/>
                <w:szCs w:val="21"/>
              </w:rPr>
            </w:pPr>
            <w:r>
              <w:rPr>
                <w:color w:val="auto"/>
                <w:szCs w:val="21"/>
              </w:rPr>
              <w:t>/</w:t>
            </w:r>
          </w:p>
        </w:tc>
        <w:tc>
          <w:tcPr>
            <w:tcW w:w="2663" w:type="dxa"/>
            <w:noWrap w:val="0"/>
            <w:vAlign w:val="center"/>
          </w:tcPr>
          <w:p w14:paraId="7EF01F5B">
            <w:pPr>
              <w:adjustRightInd w:val="0"/>
              <w:snapToGrid w:val="0"/>
              <w:jc w:val="center"/>
              <w:rPr>
                <w:color w:val="auto"/>
                <w:szCs w:val="21"/>
              </w:rPr>
            </w:pPr>
            <w:r>
              <w:rPr>
                <w:color w:val="auto"/>
                <w:szCs w:val="21"/>
              </w:rPr>
              <w:t>/</w:t>
            </w:r>
          </w:p>
        </w:tc>
        <w:tc>
          <w:tcPr>
            <w:tcW w:w="2106" w:type="dxa"/>
            <w:noWrap w:val="0"/>
            <w:vAlign w:val="center"/>
          </w:tcPr>
          <w:p w14:paraId="4C396B7F">
            <w:pPr>
              <w:adjustRightInd w:val="0"/>
              <w:snapToGrid w:val="0"/>
              <w:jc w:val="center"/>
              <w:rPr>
                <w:color w:val="auto"/>
                <w:szCs w:val="21"/>
              </w:rPr>
            </w:pPr>
            <w:r>
              <w:rPr>
                <w:color w:val="auto"/>
                <w:szCs w:val="21"/>
              </w:rPr>
              <w:t>/</w:t>
            </w:r>
          </w:p>
        </w:tc>
      </w:tr>
      <w:tr w14:paraId="77D41C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1517" w:type="dxa"/>
            <w:noWrap w:val="0"/>
            <w:vAlign w:val="center"/>
          </w:tcPr>
          <w:p w14:paraId="0B866D8C">
            <w:pPr>
              <w:adjustRightInd w:val="0"/>
              <w:snapToGrid w:val="0"/>
              <w:jc w:val="center"/>
              <w:rPr>
                <w:color w:val="auto"/>
                <w:szCs w:val="21"/>
              </w:rPr>
            </w:pPr>
            <w:r>
              <w:rPr>
                <w:color w:val="auto"/>
                <w:szCs w:val="21"/>
              </w:rPr>
              <w:t>固体废物</w:t>
            </w:r>
          </w:p>
        </w:tc>
        <w:tc>
          <w:tcPr>
            <w:tcW w:w="7283" w:type="dxa"/>
            <w:gridSpan w:val="4"/>
            <w:noWrap w:val="0"/>
            <w:vAlign w:val="center"/>
          </w:tcPr>
          <w:p w14:paraId="1D5FAF3A">
            <w:pPr>
              <w:pStyle w:val="76"/>
              <w:bidi w:val="0"/>
              <w:jc w:val="left"/>
              <w:rPr>
                <w:color w:val="auto"/>
              </w:rPr>
            </w:pPr>
            <w:r>
              <w:rPr>
                <w:color w:val="auto"/>
              </w:rPr>
              <w:t>一般固废：无毒无害废包装材料定期外卖物资回收单位。</w:t>
            </w:r>
          </w:p>
          <w:p w14:paraId="7FD530EC">
            <w:pPr>
              <w:adjustRightInd w:val="0"/>
              <w:snapToGrid w:val="0"/>
              <w:rPr>
                <w:color w:val="auto"/>
              </w:rPr>
            </w:pPr>
            <w:r>
              <w:rPr>
                <w:color w:val="auto"/>
              </w:rPr>
              <w:t>生活垃圾：分类收集，交由市政环卫部门外运处置。</w:t>
            </w:r>
          </w:p>
          <w:p w14:paraId="4DFD8CBE">
            <w:pPr>
              <w:pStyle w:val="76"/>
              <w:bidi w:val="0"/>
              <w:jc w:val="left"/>
              <w:rPr>
                <w:rFonts w:hint="eastAsia" w:eastAsia="宋体"/>
                <w:color w:val="auto"/>
                <w:lang w:eastAsia="zh-CN"/>
              </w:rPr>
            </w:pPr>
            <w:r>
              <w:rPr>
                <w:color w:val="auto"/>
                <w:szCs w:val="21"/>
              </w:rPr>
              <w:t>医疗废物</w:t>
            </w:r>
            <w:r>
              <w:rPr>
                <w:rFonts w:hint="eastAsia"/>
                <w:color w:val="auto"/>
                <w:szCs w:val="21"/>
              </w:rPr>
              <w:t>、危险废物</w:t>
            </w:r>
            <w:r>
              <w:rPr>
                <w:color w:val="auto"/>
                <w:szCs w:val="21"/>
              </w:rPr>
              <w:t>：分类收集，暂存于医疗废物暂存间内，</w:t>
            </w:r>
            <w:r>
              <w:rPr>
                <w:color w:val="auto"/>
              </w:rPr>
              <w:t>医疗废物暂存间依托现有项目，</w:t>
            </w:r>
            <w:r>
              <w:rPr>
                <w:rFonts w:hint="eastAsia"/>
                <w:color w:val="auto"/>
                <w:szCs w:val="21"/>
              </w:rPr>
              <w:t>位于院区</w:t>
            </w:r>
            <w:r>
              <w:rPr>
                <w:rFonts w:hint="eastAsia"/>
                <w:color w:val="auto"/>
                <w:szCs w:val="21"/>
                <w:lang w:val="en-US" w:eastAsia="zh-CN"/>
              </w:rPr>
              <w:t>1</w:t>
            </w:r>
            <w:r>
              <w:rPr>
                <w:rFonts w:hint="eastAsia"/>
                <w:color w:val="auto"/>
                <w:szCs w:val="21"/>
              </w:rPr>
              <w:t>F</w:t>
            </w:r>
            <w:r>
              <w:rPr>
                <w:color w:val="auto"/>
                <w:szCs w:val="21"/>
              </w:rPr>
              <w:t>，建筑面积约</w:t>
            </w:r>
            <w:r>
              <w:rPr>
                <w:rFonts w:hint="eastAsia"/>
                <w:color w:val="auto"/>
                <w:szCs w:val="21"/>
              </w:rPr>
              <w:t>1</w:t>
            </w:r>
            <w:r>
              <w:rPr>
                <w:color w:val="auto"/>
                <w:szCs w:val="21"/>
              </w:rPr>
              <w:t>0m</w:t>
            </w:r>
            <w:r>
              <w:rPr>
                <w:color w:val="auto"/>
                <w:szCs w:val="21"/>
                <w:vertAlign w:val="superscript"/>
              </w:rPr>
              <w:t>2</w:t>
            </w:r>
            <w:r>
              <w:rPr>
                <w:color w:val="auto"/>
                <w:szCs w:val="21"/>
              </w:rPr>
              <w:t>，分为感染性废物暂存区、损伤性废物暂存区、危废暂存区和其他医疗废物暂存区，医疗固废暂存间“</w:t>
            </w:r>
            <w:r>
              <w:rPr>
                <w:rFonts w:hint="eastAsia"/>
                <w:color w:val="auto"/>
                <w:szCs w:val="21"/>
                <w:lang w:val="en-US" w:eastAsia="zh-CN"/>
              </w:rPr>
              <w:t>六</w:t>
            </w:r>
            <w:r>
              <w:rPr>
                <w:color w:val="auto"/>
                <w:szCs w:val="21"/>
              </w:rPr>
              <w:t>防”设施，张贴相应标识标牌，医疗废物暂存间臭气</w:t>
            </w:r>
            <w:r>
              <w:rPr>
                <w:rFonts w:hint="eastAsia"/>
                <w:color w:val="auto"/>
                <w:szCs w:val="21"/>
                <w:lang w:val="en-US" w:eastAsia="zh-CN"/>
              </w:rPr>
              <w:t>通过</w:t>
            </w:r>
            <w:r>
              <w:rPr>
                <w:color w:val="auto"/>
                <w:szCs w:val="21"/>
              </w:rPr>
              <w:t>排风扇进行抽风换气。</w:t>
            </w:r>
            <w:r>
              <w:rPr>
                <w:rFonts w:hint="eastAsia"/>
                <w:color w:val="auto"/>
                <w:szCs w:val="21"/>
              </w:rPr>
              <w:t>危险废物</w:t>
            </w:r>
            <w:r>
              <w:rPr>
                <w:color w:val="auto"/>
                <w:szCs w:val="21"/>
              </w:rPr>
              <w:t>交有危废处理资质的单位处置</w:t>
            </w:r>
            <w:r>
              <w:rPr>
                <w:rFonts w:hint="eastAsia"/>
                <w:color w:val="auto"/>
                <w:szCs w:val="21"/>
              </w:rPr>
              <w:t>，</w:t>
            </w:r>
            <w:r>
              <w:rPr>
                <w:color w:val="auto"/>
              </w:rPr>
              <w:t>转移按联单制进行管理</w:t>
            </w:r>
            <w:r>
              <w:rPr>
                <w:rFonts w:hint="eastAsia"/>
                <w:color w:val="auto"/>
                <w:lang w:eastAsia="zh-CN"/>
              </w:rPr>
              <w:t>，</w:t>
            </w:r>
            <w:r>
              <w:rPr>
                <w:color w:val="auto"/>
                <w:szCs w:val="21"/>
              </w:rPr>
              <w:t>满足《危险废物贮存污染控制标准》（GB18597- 20</w:t>
            </w:r>
            <w:r>
              <w:rPr>
                <w:rFonts w:hint="eastAsia"/>
                <w:color w:val="auto"/>
                <w:szCs w:val="21"/>
                <w:lang w:val="en-US" w:eastAsia="zh-CN"/>
              </w:rPr>
              <w:t>23</w:t>
            </w:r>
            <w:r>
              <w:rPr>
                <w:color w:val="auto"/>
                <w:szCs w:val="21"/>
              </w:rPr>
              <w:t>）规定</w:t>
            </w:r>
            <w:r>
              <w:rPr>
                <w:rFonts w:hint="eastAsia"/>
                <w:color w:val="auto"/>
                <w:szCs w:val="21"/>
              </w:rPr>
              <w:t>。</w:t>
            </w:r>
          </w:p>
          <w:p w14:paraId="505BFD7A">
            <w:pPr>
              <w:pStyle w:val="16"/>
              <w:spacing w:after="0" w:line="240" w:lineRule="auto"/>
              <w:ind w:left="0" w:leftChars="0"/>
              <w:rPr>
                <w:color w:val="auto"/>
                <w:szCs w:val="21"/>
              </w:rPr>
            </w:pPr>
            <w:r>
              <w:rPr>
                <w:color w:val="auto"/>
                <w:szCs w:val="21"/>
              </w:rPr>
              <w:t>医院污水处理站污泥：定期清掏、消毒、脱水后交由环卫部门统一处置。</w:t>
            </w:r>
          </w:p>
        </w:tc>
      </w:tr>
      <w:tr w14:paraId="34FC4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1517" w:type="dxa"/>
            <w:noWrap w:val="0"/>
            <w:vAlign w:val="center"/>
          </w:tcPr>
          <w:p w14:paraId="4BCE52C8">
            <w:pPr>
              <w:adjustRightInd w:val="0"/>
              <w:snapToGrid w:val="0"/>
              <w:jc w:val="center"/>
              <w:rPr>
                <w:color w:val="auto"/>
                <w:szCs w:val="21"/>
              </w:rPr>
            </w:pPr>
            <w:r>
              <w:rPr>
                <w:color w:val="auto"/>
                <w:szCs w:val="21"/>
              </w:rPr>
              <w:t>土壤及地下水</w:t>
            </w:r>
          </w:p>
          <w:p w14:paraId="5D51EDB0">
            <w:pPr>
              <w:adjustRightInd w:val="0"/>
              <w:snapToGrid w:val="0"/>
              <w:jc w:val="center"/>
              <w:rPr>
                <w:color w:val="auto"/>
                <w:szCs w:val="21"/>
              </w:rPr>
            </w:pPr>
            <w:r>
              <w:rPr>
                <w:color w:val="auto"/>
                <w:szCs w:val="21"/>
              </w:rPr>
              <w:t>污染防治措施</w:t>
            </w:r>
          </w:p>
        </w:tc>
        <w:tc>
          <w:tcPr>
            <w:tcW w:w="7283" w:type="dxa"/>
            <w:gridSpan w:val="4"/>
            <w:noWrap w:val="0"/>
            <w:vAlign w:val="center"/>
          </w:tcPr>
          <w:p w14:paraId="6B63E4BD">
            <w:pPr>
              <w:adjustRightInd w:val="0"/>
              <w:snapToGrid w:val="0"/>
              <w:jc w:val="center"/>
              <w:rPr>
                <w:rFonts w:hint="eastAsia" w:eastAsia="宋体"/>
                <w:color w:val="auto"/>
                <w:szCs w:val="21"/>
                <w:lang w:eastAsia="zh-CN"/>
              </w:rPr>
            </w:pPr>
            <w:r>
              <w:rPr>
                <w:rFonts w:hint="eastAsia"/>
                <w:color w:val="auto"/>
                <w:szCs w:val="21"/>
                <w:lang w:val="en-US" w:eastAsia="zh-CN"/>
              </w:rPr>
              <w:t>/</w:t>
            </w:r>
          </w:p>
        </w:tc>
      </w:tr>
      <w:tr w14:paraId="6A553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517" w:type="dxa"/>
            <w:noWrap w:val="0"/>
            <w:vAlign w:val="center"/>
          </w:tcPr>
          <w:p w14:paraId="31E5C1EF">
            <w:pPr>
              <w:adjustRightInd w:val="0"/>
              <w:snapToGrid w:val="0"/>
              <w:jc w:val="center"/>
              <w:rPr>
                <w:color w:val="auto"/>
                <w:szCs w:val="21"/>
              </w:rPr>
            </w:pPr>
            <w:r>
              <w:rPr>
                <w:color w:val="auto"/>
                <w:szCs w:val="21"/>
              </w:rPr>
              <w:t>生态保护措施</w:t>
            </w:r>
          </w:p>
        </w:tc>
        <w:tc>
          <w:tcPr>
            <w:tcW w:w="7283" w:type="dxa"/>
            <w:gridSpan w:val="4"/>
            <w:noWrap w:val="0"/>
            <w:vAlign w:val="center"/>
          </w:tcPr>
          <w:p w14:paraId="4D428874">
            <w:pPr>
              <w:adjustRightInd w:val="0"/>
              <w:snapToGrid w:val="0"/>
              <w:jc w:val="center"/>
              <w:rPr>
                <w:color w:val="auto"/>
                <w:szCs w:val="21"/>
              </w:rPr>
            </w:pPr>
            <w:r>
              <w:rPr>
                <w:color w:val="auto"/>
                <w:szCs w:val="21"/>
              </w:rPr>
              <w:t>无（本项目不涉及）</w:t>
            </w:r>
          </w:p>
        </w:tc>
      </w:tr>
      <w:tr w14:paraId="6320CD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17" w:type="dxa"/>
            <w:noWrap w:val="0"/>
            <w:vAlign w:val="center"/>
          </w:tcPr>
          <w:p w14:paraId="18A49BAC">
            <w:pPr>
              <w:adjustRightInd w:val="0"/>
              <w:snapToGrid w:val="0"/>
              <w:jc w:val="center"/>
              <w:rPr>
                <w:color w:val="auto"/>
                <w:spacing w:val="-8"/>
                <w:szCs w:val="21"/>
              </w:rPr>
            </w:pPr>
            <w:r>
              <w:rPr>
                <w:color w:val="auto"/>
                <w:spacing w:val="-8"/>
                <w:szCs w:val="21"/>
              </w:rPr>
              <w:t>环境风险</w:t>
            </w:r>
          </w:p>
          <w:p w14:paraId="11E63FCF">
            <w:pPr>
              <w:adjustRightInd w:val="0"/>
              <w:snapToGrid w:val="0"/>
              <w:jc w:val="center"/>
              <w:rPr>
                <w:color w:val="auto"/>
                <w:spacing w:val="-8"/>
                <w:szCs w:val="21"/>
              </w:rPr>
            </w:pPr>
            <w:r>
              <w:rPr>
                <w:color w:val="auto"/>
                <w:spacing w:val="-8"/>
                <w:szCs w:val="21"/>
              </w:rPr>
              <w:t>防范措施</w:t>
            </w:r>
          </w:p>
        </w:tc>
        <w:tc>
          <w:tcPr>
            <w:tcW w:w="7283" w:type="dxa"/>
            <w:gridSpan w:val="4"/>
            <w:noWrap w:val="0"/>
            <w:vAlign w:val="center"/>
          </w:tcPr>
          <w:p w14:paraId="4E1C3BDB">
            <w:pPr>
              <w:adjustRightInd w:val="0"/>
              <w:snapToGrid w:val="0"/>
              <w:rPr>
                <w:color w:val="auto"/>
                <w:szCs w:val="21"/>
              </w:rPr>
            </w:pPr>
            <w:r>
              <w:rPr>
                <w:bCs/>
                <w:color w:val="auto"/>
                <w:szCs w:val="21"/>
              </w:rPr>
              <w:t>①</w:t>
            </w:r>
            <w:r>
              <w:rPr>
                <w:color w:val="auto"/>
                <w:szCs w:val="21"/>
              </w:rPr>
              <w:t>制定完善的风险防范管理制度，成立应急事故处理部门。建立应急预案。设置事故池有效容积不小于</w:t>
            </w:r>
            <w:r>
              <w:rPr>
                <w:rFonts w:hint="eastAsia"/>
                <w:color w:val="auto"/>
                <w:szCs w:val="21"/>
                <w:lang w:val="en-US" w:eastAsia="zh-CN"/>
              </w:rPr>
              <w:t>33</w:t>
            </w:r>
            <w:r>
              <w:rPr>
                <w:color w:val="auto"/>
                <w:szCs w:val="21"/>
              </w:rPr>
              <w:t>m</w:t>
            </w:r>
            <w:r>
              <w:rPr>
                <w:color w:val="auto"/>
                <w:szCs w:val="21"/>
                <w:vertAlign w:val="superscript"/>
              </w:rPr>
              <w:t>3</w:t>
            </w:r>
            <w:r>
              <w:rPr>
                <w:color w:val="auto"/>
                <w:szCs w:val="21"/>
              </w:rPr>
              <w:t>，设置切换阀；</w:t>
            </w:r>
          </w:p>
          <w:p w14:paraId="6EE5B2CB">
            <w:pPr>
              <w:adjustRightInd w:val="0"/>
              <w:snapToGrid w:val="0"/>
              <w:rPr>
                <w:color w:val="auto"/>
                <w:szCs w:val="21"/>
              </w:rPr>
            </w:pPr>
            <w:r>
              <w:rPr>
                <w:bCs/>
                <w:color w:val="auto"/>
                <w:szCs w:val="21"/>
              </w:rPr>
              <w:t>②</w:t>
            </w:r>
            <w:r>
              <w:rPr>
                <w:color w:val="auto"/>
                <w:szCs w:val="21"/>
              </w:rPr>
              <w:t>各科室库房贮存危险品物质时，贮存容器、方法、贮存量、环境等必须符合国家有关规定，要有专人保管。同时加强库房内通风，考虑紧急疏散通道，准备灭火器材和有毒有害气体处置及个人防护自救设备；</w:t>
            </w:r>
          </w:p>
          <w:p w14:paraId="49F587E6">
            <w:pPr>
              <w:adjustRightInd w:val="0"/>
              <w:snapToGrid w:val="0"/>
              <w:rPr>
                <w:rFonts w:hint="eastAsia"/>
                <w:color w:val="auto"/>
                <w:szCs w:val="21"/>
              </w:rPr>
            </w:pPr>
            <w:r>
              <w:rPr>
                <w:bCs/>
                <w:color w:val="auto"/>
                <w:szCs w:val="21"/>
              </w:rPr>
              <w:t>③</w:t>
            </w:r>
            <w:r>
              <w:rPr>
                <w:rFonts w:hint="eastAsia"/>
                <w:bCs/>
                <w:color w:val="auto"/>
                <w:szCs w:val="21"/>
              </w:rPr>
              <w:t>设置专人管理污水处理站，</w:t>
            </w:r>
            <w:r>
              <w:rPr>
                <w:color w:val="auto"/>
                <w:szCs w:val="21"/>
              </w:rPr>
              <w:t>加强</w:t>
            </w:r>
            <w:r>
              <w:rPr>
                <w:rFonts w:hint="eastAsia"/>
                <w:color w:val="auto"/>
                <w:szCs w:val="21"/>
              </w:rPr>
              <w:t>污水处理站池体</w:t>
            </w:r>
            <w:r>
              <w:rPr>
                <w:color w:val="auto"/>
                <w:szCs w:val="21"/>
              </w:rPr>
              <w:t>和事故池池体防渗处理措施；加强污水处理站设备、管线、阀门等设备元器件维护保养</w:t>
            </w:r>
            <w:r>
              <w:rPr>
                <w:rFonts w:hint="eastAsia"/>
                <w:color w:val="auto"/>
                <w:szCs w:val="21"/>
              </w:rPr>
              <w:t>；</w:t>
            </w:r>
          </w:p>
          <w:p w14:paraId="626BD802">
            <w:pPr>
              <w:adjustRightInd w:val="0"/>
              <w:snapToGrid w:val="0"/>
              <w:rPr>
                <w:color w:val="auto"/>
                <w:szCs w:val="21"/>
              </w:rPr>
            </w:pPr>
            <w:r>
              <w:rPr>
                <w:color w:val="auto"/>
                <w:szCs w:val="21"/>
              </w:rPr>
              <w:t>④</w:t>
            </w:r>
            <w:r>
              <w:rPr>
                <w:rFonts w:hint="eastAsia"/>
                <w:color w:val="auto"/>
                <w:szCs w:val="21"/>
              </w:rPr>
              <w:t>设置密闭医疗废物暂存间，</w:t>
            </w:r>
            <w:r>
              <w:rPr>
                <w:rFonts w:hint="eastAsia"/>
                <w:color w:val="auto"/>
                <w:szCs w:val="21"/>
                <w:lang w:val="en-US" w:eastAsia="zh-CN"/>
              </w:rPr>
              <w:t>地面做防渗措施</w:t>
            </w:r>
            <w:r>
              <w:rPr>
                <w:rFonts w:hint="eastAsia"/>
                <w:color w:val="auto"/>
                <w:szCs w:val="21"/>
              </w:rPr>
              <w:t>，并于暂存间内设置托盘，张贴相应标识标牌，配备堵漏物资、消防物资等。</w:t>
            </w:r>
          </w:p>
        </w:tc>
      </w:tr>
      <w:tr w14:paraId="2A037D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17" w:type="dxa"/>
            <w:noWrap w:val="0"/>
            <w:vAlign w:val="center"/>
          </w:tcPr>
          <w:p w14:paraId="4150CDDB">
            <w:pPr>
              <w:adjustRightInd w:val="0"/>
              <w:snapToGrid w:val="0"/>
              <w:jc w:val="center"/>
              <w:rPr>
                <w:color w:val="auto"/>
                <w:spacing w:val="-8"/>
                <w:szCs w:val="21"/>
              </w:rPr>
            </w:pPr>
            <w:r>
              <w:rPr>
                <w:color w:val="auto"/>
                <w:spacing w:val="-8"/>
                <w:szCs w:val="21"/>
              </w:rPr>
              <w:t>其他环境</w:t>
            </w:r>
          </w:p>
          <w:p w14:paraId="60F36235">
            <w:pPr>
              <w:adjustRightInd w:val="0"/>
              <w:snapToGrid w:val="0"/>
              <w:jc w:val="center"/>
              <w:rPr>
                <w:color w:val="auto"/>
                <w:spacing w:val="-8"/>
                <w:szCs w:val="21"/>
              </w:rPr>
            </w:pPr>
            <w:r>
              <w:rPr>
                <w:color w:val="auto"/>
                <w:spacing w:val="-8"/>
                <w:szCs w:val="21"/>
              </w:rPr>
              <w:t>管理要求</w:t>
            </w:r>
          </w:p>
        </w:tc>
        <w:tc>
          <w:tcPr>
            <w:tcW w:w="7283" w:type="dxa"/>
            <w:gridSpan w:val="4"/>
            <w:noWrap w:val="0"/>
            <w:vAlign w:val="center"/>
          </w:tcPr>
          <w:p w14:paraId="3C90DFC8">
            <w:pPr>
              <w:pStyle w:val="68"/>
              <w:bidi w:val="0"/>
              <w:spacing w:line="240" w:lineRule="auto"/>
              <w:jc w:val="left"/>
              <w:rPr>
                <w:rFonts w:hint="eastAsia" w:ascii="Times New Roman" w:hAnsi="Times New Roman" w:eastAsia="宋体" w:cs="Times New Roman"/>
                <w:bCs/>
                <w:color w:val="auto"/>
                <w:w w:val="100"/>
                <w:kern w:val="2"/>
                <w:sz w:val="21"/>
                <w:szCs w:val="21"/>
                <w:lang w:val="en-GB" w:eastAsia="zh-CN" w:bidi="ar-SA"/>
              </w:rPr>
            </w:pPr>
            <w:r>
              <w:rPr>
                <w:rFonts w:hint="eastAsia" w:ascii="Times New Roman" w:hAnsi="Times New Roman" w:eastAsia="宋体" w:cs="Times New Roman"/>
                <w:bCs/>
                <w:color w:val="auto"/>
                <w:w w:val="100"/>
                <w:kern w:val="2"/>
                <w:sz w:val="21"/>
                <w:szCs w:val="21"/>
                <w:lang w:val="en-GB" w:eastAsia="zh-CN" w:bidi="ar-SA"/>
              </w:rPr>
              <w:t>环境管理制度：按环保部门有关规定办理环评、验收及相关手续。符合环保“三同时”规定，运行正常，建立环境管理机构；环境保护档案齐全，有环境保护管理机构和人员，环境保护设施维护专人管理。</w:t>
            </w:r>
          </w:p>
          <w:p w14:paraId="1E84069D">
            <w:pPr>
              <w:ind w:firstLine="422" w:firstLineChars="200"/>
              <w:rPr>
                <w:b/>
                <w:color w:val="auto"/>
                <w:szCs w:val="21"/>
              </w:rPr>
            </w:pPr>
            <w:r>
              <w:rPr>
                <w:rFonts w:hint="eastAsia"/>
                <w:b/>
                <w:color w:val="auto"/>
                <w:szCs w:val="21"/>
              </w:rPr>
              <w:t>1</w:t>
            </w:r>
            <w:r>
              <w:rPr>
                <w:b/>
                <w:color w:val="auto"/>
                <w:szCs w:val="21"/>
              </w:rPr>
              <w:t xml:space="preserve">、服务期环境管理 </w:t>
            </w:r>
          </w:p>
          <w:p w14:paraId="5343E07E">
            <w:pPr>
              <w:ind w:firstLine="420" w:firstLineChars="200"/>
              <w:rPr>
                <w:bCs/>
                <w:color w:val="auto"/>
                <w:szCs w:val="21"/>
              </w:rPr>
            </w:pPr>
            <w:r>
              <w:rPr>
                <w:bCs/>
                <w:color w:val="auto"/>
                <w:szCs w:val="21"/>
              </w:rPr>
              <w:t>（1）污水处理设施环境管理</w:t>
            </w:r>
          </w:p>
          <w:p w14:paraId="64AD5FFF">
            <w:pPr>
              <w:ind w:firstLine="420" w:firstLineChars="200"/>
              <w:rPr>
                <w:bCs/>
                <w:color w:val="auto"/>
                <w:szCs w:val="21"/>
              </w:rPr>
            </w:pPr>
            <w:r>
              <w:rPr>
                <w:bCs/>
                <w:color w:val="auto"/>
                <w:szCs w:val="21"/>
              </w:rPr>
              <w:t>①污水处理设施的日常维护应纳入医院正常的设备维护管理工作中。应根据工艺要求，定期对构筑物、设备、电气及自控仪表进行检查维护，确保处理设施长期、正常、稳定的达标运行，定期清掏污泥等。</w:t>
            </w:r>
          </w:p>
          <w:p w14:paraId="2393F2C5">
            <w:pPr>
              <w:ind w:firstLine="420" w:firstLineChars="200"/>
              <w:rPr>
                <w:bCs/>
                <w:color w:val="auto"/>
                <w:szCs w:val="21"/>
              </w:rPr>
            </w:pPr>
            <w:r>
              <w:rPr>
                <w:bCs/>
                <w:color w:val="auto"/>
                <w:szCs w:val="21"/>
              </w:rPr>
              <w:t>②污水处理设施因故需减少污水处理量或停止运转时，应事先向环保部门报告，批准后方可进行。由于紧急事故造成停止运行的，应立即报告当地环保部门。</w:t>
            </w:r>
          </w:p>
          <w:p w14:paraId="3F9751DF">
            <w:pPr>
              <w:pStyle w:val="16"/>
              <w:spacing w:after="0" w:line="240" w:lineRule="auto"/>
              <w:ind w:left="0" w:leftChars="0" w:firstLine="420" w:firstLineChars="200"/>
              <w:rPr>
                <w:color w:val="auto"/>
                <w:szCs w:val="21"/>
              </w:rPr>
            </w:pPr>
            <w:r>
              <w:rPr>
                <w:color w:val="auto"/>
                <w:szCs w:val="21"/>
              </w:rPr>
              <w:t>③电气设备的运行与操作须执行供电管理部门的安全操作规程；易燃易爆的场所应按消防部门要求设置消防器材。</w:t>
            </w:r>
          </w:p>
          <w:p w14:paraId="57E6CB10">
            <w:pPr>
              <w:pStyle w:val="16"/>
              <w:spacing w:after="0" w:line="240" w:lineRule="auto"/>
              <w:ind w:left="0" w:leftChars="0" w:firstLine="420" w:firstLineChars="200"/>
              <w:rPr>
                <w:color w:val="auto"/>
                <w:szCs w:val="21"/>
              </w:rPr>
            </w:pPr>
            <w:r>
              <w:rPr>
                <w:color w:val="auto"/>
                <w:szCs w:val="21"/>
              </w:rPr>
              <w:t>④提高污水处理设施对突发卫生事件的防范能力，设立应急的配套设施或预留应急改造的空间，具备应急改造的条件。鼓励委托具有运营资质的单位运行管理。</w:t>
            </w:r>
          </w:p>
          <w:p w14:paraId="69DD5891">
            <w:pPr>
              <w:pStyle w:val="16"/>
              <w:spacing w:after="0" w:line="240" w:lineRule="auto"/>
              <w:ind w:left="0" w:leftChars="0" w:firstLine="420" w:firstLineChars="200"/>
              <w:rPr>
                <w:color w:val="auto"/>
                <w:szCs w:val="21"/>
              </w:rPr>
            </w:pPr>
            <w:r>
              <w:rPr>
                <w:color w:val="auto"/>
                <w:szCs w:val="21"/>
              </w:rPr>
              <w:t>⑤对污水处理设施运行操作人员进行上岗前的专业技术培训；聘请有经验的专业技术人员负责场内的技术管理工作。</w:t>
            </w:r>
          </w:p>
          <w:p w14:paraId="79F674DC">
            <w:pPr>
              <w:pStyle w:val="16"/>
              <w:spacing w:after="0" w:line="240" w:lineRule="auto"/>
              <w:ind w:left="0" w:leftChars="0" w:firstLine="420" w:firstLineChars="200"/>
              <w:rPr>
                <w:color w:val="auto"/>
                <w:szCs w:val="21"/>
              </w:rPr>
            </w:pPr>
            <w:r>
              <w:rPr>
                <w:color w:val="auto"/>
                <w:szCs w:val="21"/>
              </w:rPr>
              <w:t>⑥运营技术人员提前进岗，参与施工与安装、调试、验收的全过程，为今后的运转奠定基础。</w:t>
            </w:r>
          </w:p>
          <w:p w14:paraId="7686C904">
            <w:pPr>
              <w:pStyle w:val="16"/>
              <w:spacing w:after="0" w:line="240" w:lineRule="auto"/>
              <w:ind w:left="0" w:leftChars="0" w:firstLine="420" w:firstLineChars="200"/>
              <w:rPr>
                <w:color w:val="auto"/>
                <w:szCs w:val="21"/>
              </w:rPr>
            </w:pPr>
            <w:r>
              <w:rPr>
                <w:color w:val="auto"/>
                <w:szCs w:val="21"/>
              </w:rPr>
              <w:t>⑦建立健全运行管理台账制度，如实填写运行记录，并妥善保存。</w:t>
            </w:r>
          </w:p>
          <w:p w14:paraId="4C6EF21E">
            <w:pPr>
              <w:pStyle w:val="16"/>
              <w:spacing w:after="0" w:line="240" w:lineRule="auto"/>
              <w:rPr>
                <w:color w:val="auto"/>
                <w:szCs w:val="21"/>
              </w:rPr>
            </w:pPr>
            <w:r>
              <w:rPr>
                <w:color w:val="auto"/>
                <w:szCs w:val="21"/>
              </w:rPr>
              <w:t>（2）噪声设备环境管理</w:t>
            </w:r>
          </w:p>
          <w:p w14:paraId="4FFE55D7">
            <w:pPr>
              <w:pStyle w:val="16"/>
              <w:spacing w:after="0" w:line="240" w:lineRule="auto"/>
              <w:ind w:left="0" w:leftChars="0" w:firstLine="420" w:firstLineChars="200"/>
              <w:rPr>
                <w:color w:val="auto"/>
                <w:szCs w:val="21"/>
              </w:rPr>
            </w:pPr>
            <w:r>
              <w:rPr>
                <w:color w:val="auto"/>
                <w:szCs w:val="21"/>
              </w:rPr>
              <w:t>定期安排专业人员对产生噪声的设备进行检查和维护，确保设备长期、正常、稳定的达标运行，并做好检查和维护记录。</w:t>
            </w:r>
          </w:p>
          <w:p w14:paraId="17653A04">
            <w:pPr>
              <w:pStyle w:val="16"/>
              <w:adjustRightInd w:val="0"/>
              <w:snapToGrid w:val="0"/>
              <w:spacing w:after="0" w:line="240" w:lineRule="auto"/>
              <w:ind w:left="0" w:leftChars="0" w:firstLine="422" w:firstLineChars="200"/>
              <w:rPr>
                <w:b/>
                <w:bCs/>
                <w:color w:val="auto"/>
                <w:spacing w:val="-4"/>
                <w:szCs w:val="21"/>
              </w:rPr>
            </w:pPr>
            <w:r>
              <w:rPr>
                <w:rFonts w:hint="eastAsia"/>
                <w:b/>
                <w:bCs/>
                <w:color w:val="auto"/>
                <w:szCs w:val="21"/>
              </w:rPr>
              <w:t>2、</w:t>
            </w:r>
            <w:r>
              <w:rPr>
                <w:b/>
                <w:bCs/>
                <w:color w:val="auto"/>
                <w:spacing w:val="-4"/>
                <w:szCs w:val="21"/>
              </w:rPr>
              <w:t>排污口设置</w:t>
            </w:r>
          </w:p>
          <w:p w14:paraId="113A74F4">
            <w:pPr>
              <w:pStyle w:val="16"/>
              <w:adjustRightInd w:val="0"/>
              <w:snapToGrid w:val="0"/>
              <w:spacing w:after="0" w:line="240" w:lineRule="auto"/>
              <w:ind w:left="0" w:leftChars="0" w:firstLine="404" w:firstLineChars="200"/>
              <w:rPr>
                <w:color w:val="auto"/>
                <w:spacing w:val="-4"/>
                <w:szCs w:val="21"/>
              </w:rPr>
            </w:pPr>
            <w:r>
              <w:rPr>
                <w:color w:val="auto"/>
                <w:spacing w:val="-4"/>
                <w:szCs w:val="21"/>
              </w:rPr>
              <w:t>根据《重庆市排污口规范化清理整治实施方案》（渝环发</w:t>
            </w:r>
            <w:r>
              <w:rPr>
                <w:rFonts w:hint="eastAsia"/>
                <w:color w:val="auto"/>
                <w:spacing w:val="-4"/>
                <w:szCs w:val="21"/>
                <w:lang w:eastAsia="zh-CN"/>
              </w:rPr>
              <w:t>〔</w:t>
            </w:r>
            <w:r>
              <w:rPr>
                <w:color w:val="auto"/>
                <w:spacing w:val="-4"/>
                <w:szCs w:val="21"/>
              </w:rPr>
              <w:t>2012</w:t>
            </w:r>
            <w:r>
              <w:rPr>
                <w:rFonts w:hint="eastAsia"/>
                <w:color w:val="auto"/>
                <w:spacing w:val="-4"/>
                <w:szCs w:val="21"/>
                <w:lang w:eastAsia="zh-CN"/>
              </w:rPr>
              <w:t>〕</w:t>
            </w:r>
            <w:r>
              <w:rPr>
                <w:color w:val="auto"/>
                <w:spacing w:val="-4"/>
                <w:szCs w:val="21"/>
              </w:rPr>
              <w:t>26号）要求，本项目应规整排污口，具体如下要求：</w:t>
            </w:r>
          </w:p>
          <w:p w14:paraId="4E74D638">
            <w:pPr>
              <w:pStyle w:val="16"/>
              <w:adjustRightInd w:val="0"/>
              <w:snapToGrid w:val="0"/>
              <w:spacing w:after="0" w:line="240" w:lineRule="auto"/>
              <w:ind w:left="0" w:leftChars="0" w:firstLine="406" w:firstLineChars="200"/>
              <w:rPr>
                <w:b/>
                <w:bCs/>
                <w:color w:val="auto"/>
                <w:spacing w:val="-4"/>
                <w:szCs w:val="21"/>
              </w:rPr>
            </w:pPr>
            <w:r>
              <w:rPr>
                <w:rFonts w:hint="eastAsia"/>
                <w:b/>
                <w:bCs/>
                <w:color w:val="auto"/>
                <w:spacing w:val="-4"/>
                <w:szCs w:val="21"/>
              </w:rPr>
              <w:t>1）</w:t>
            </w:r>
            <w:r>
              <w:rPr>
                <w:b/>
                <w:bCs/>
                <w:color w:val="auto"/>
                <w:spacing w:val="-4"/>
                <w:szCs w:val="21"/>
              </w:rPr>
              <w:t>废水</w:t>
            </w:r>
          </w:p>
          <w:p w14:paraId="2FEBF047">
            <w:pPr>
              <w:pStyle w:val="16"/>
              <w:adjustRightInd w:val="0"/>
              <w:snapToGrid w:val="0"/>
              <w:spacing w:after="0" w:line="240" w:lineRule="auto"/>
              <w:ind w:left="0" w:leftChars="0" w:firstLine="404" w:firstLineChars="200"/>
              <w:rPr>
                <w:color w:val="auto"/>
                <w:spacing w:val="-4"/>
                <w:szCs w:val="21"/>
              </w:rPr>
            </w:pPr>
            <w:r>
              <w:rPr>
                <w:rFonts w:hint="eastAsia"/>
                <w:color w:val="auto"/>
                <w:spacing w:val="-4"/>
                <w:szCs w:val="21"/>
              </w:rPr>
              <w:t>项目废水依托原有排污口，不新增。</w:t>
            </w:r>
          </w:p>
          <w:p w14:paraId="7274C664">
            <w:pPr>
              <w:pStyle w:val="16"/>
              <w:adjustRightInd w:val="0"/>
              <w:snapToGrid w:val="0"/>
              <w:spacing w:after="0" w:line="240" w:lineRule="auto"/>
              <w:ind w:left="0" w:leftChars="0" w:firstLine="406" w:firstLineChars="200"/>
              <w:rPr>
                <w:b/>
                <w:bCs/>
                <w:color w:val="auto"/>
                <w:spacing w:val="-4"/>
                <w:szCs w:val="21"/>
              </w:rPr>
            </w:pPr>
            <w:r>
              <w:rPr>
                <w:b/>
                <w:bCs/>
                <w:color w:val="auto"/>
                <w:spacing w:val="-4"/>
                <w:szCs w:val="21"/>
              </w:rPr>
              <w:t>2</w:t>
            </w:r>
            <w:r>
              <w:rPr>
                <w:rFonts w:hint="eastAsia"/>
                <w:b/>
                <w:bCs/>
                <w:color w:val="auto"/>
                <w:spacing w:val="-4"/>
                <w:szCs w:val="21"/>
              </w:rPr>
              <w:t>）</w:t>
            </w:r>
            <w:r>
              <w:rPr>
                <w:b/>
                <w:bCs/>
                <w:color w:val="auto"/>
                <w:spacing w:val="-4"/>
                <w:szCs w:val="21"/>
              </w:rPr>
              <w:t>噪声</w:t>
            </w:r>
          </w:p>
          <w:p w14:paraId="33F7DE8C">
            <w:pPr>
              <w:pStyle w:val="16"/>
              <w:adjustRightInd w:val="0"/>
              <w:snapToGrid w:val="0"/>
              <w:spacing w:after="0" w:line="240" w:lineRule="auto"/>
              <w:ind w:left="0" w:leftChars="0" w:firstLine="404" w:firstLineChars="200"/>
              <w:rPr>
                <w:color w:val="auto"/>
                <w:spacing w:val="-4"/>
                <w:szCs w:val="21"/>
              </w:rPr>
            </w:pPr>
            <w:r>
              <w:rPr>
                <w:color w:val="auto"/>
                <w:spacing w:val="-4"/>
                <w:szCs w:val="21"/>
              </w:rPr>
              <w:t>（</w:t>
            </w:r>
            <w:r>
              <w:rPr>
                <w:rFonts w:hint="eastAsia"/>
                <w:color w:val="auto"/>
                <w:spacing w:val="-4"/>
                <w:szCs w:val="21"/>
              </w:rPr>
              <w:t>1</w:t>
            </w:r>
            <w:r>
              <w:rPr>
                <w:color w:val="auto"/>
                <w:spacing w:val="-4"/>
                <w:szCs w:val="21"/>
              </w:rPr>
              <w:t>）在固定噪声源厂界噪声敏感</w:t>
            </w:r>
            <w:r>
              <w:rPr>
                <w:rFonts w:hint="eastAsia"/>
                <w:color w:val="auto"/>
                <w:spacing w:val="-4"/>
                <w:szCs w:val="21"/>
                <w:lang w:eastAsia="zh-CN"/>
              </w:rPr>
              <w:t>且</w:t>
            </w:r>
            <w:r>
              <w:rPr>
                <w:color w:val="auto"/>
                <w:spacing w:val="-4"/>
                <w:szCs w:val="21"/>
              </w:rPr>
              <w:t>对外界影响最大处设置该噪声源的监测点。</w:t>
            </w:r>
          </w:p>
          <w:p w14:paraId="73278620">
            <w:pPr>
              <w:pStyle w:val="16"/>
              <w:adjustRightInd w:val="0"/>
              <w:snapToGrid w:val="0"/>
              <w:spacing w:after="0" w:line="240" w:lineRule="auto"/>
              <w:ind w:left="0" w:leftChars="0" w:firstLine="404" w:firstLineChars="200"/>
              <w:rPr>
                <w:color w:val="auto"/>
                <w:spacing w:val="-4"/>
                <w:szCs w:val="21"/>
              </w:rPr>
            </w:pPr>
            <w:r>
              <w:rPr>
                <w:color w:val="auto"/>
                <w:spacing w:val="-4"/>
                <w:szCs w:val="21"/>
              </w:rPr>
              <w:t>（</w:t>
            </w:r>
            <w:r>
              <w:rPr>
                <w:rFonts w:hint="eastAsia"/>
                <w:color w:val="auto"/>
                <w:spacing w:val="-4"/>
                <w:szCs w:val="21"/>
              </w:rPr>
              <w:t>2</w:t>
            </w:r>
            <w:r>
              <w:rPr>
                <w:color w:val="auto"/>
                <w:spacing w:val="-4"/>
                <w:szCs w:val="21"/>
              </w:rPr>
              <w:t>）噪声标志牌立于测点处。</w:t>
            </w:r>
          </w:p>
          <w:p w14:paraId="7A8C90F3">
            <w:pPr>
              <w:pStyle w:val="16"/>
              <w:adjustRightInd w:val="0"/>
              <w:snapToGrid w:val="0"/>
              <w:spacing w:after="0" w:line="240" w:lineRule="auto"/>
              <w:ind w:left="0" w:leftChars="0" w:firstLine="406" w:firstLineChars="200"/>
              <w:rPr>
                <w:b/>
                <w:bCs/>
                <w:color w:val="auto"/>
                <w:spacing w:val="-4"/>
                <w:szCs w:val="21"/>
              </w:rPr>
            </w:pPr>
            <w:r>
              <w:rPr>
                <w:rFonts w:hint="eastAsia"/>
                <w:b/>
                <w:bCs/>
                <w:color w:val="auto"/>
                <w:spacing w:val="-4"/>
                <w:szCs w:val="21"/>
              </w:rPr>
              <w:t>3）</w:t>
            </w:r>
            <w:r>
              <w:rPr>
                <w:b/>
                <w:bCs/>
                <w:color w:val="auto"/>
                <w:spacing w:val="-4"/>
                <w:szCs w:val="21"/>
              </w:rPr>
              <w:t>固体废物</w:t>
            </w:r>
          </w:p>
          <w:p w14:paraId="0F11198D">
            <w:pPr>
              <w:pStyle w:val="16"/>
              <w:adjustRightInd w:val="0"/>
              <w:snapToGrid w:val="0"/>
              <w:spacing w:after="0" w:line="240" w:lineRule="auto"/>
              <w:ind w:left="0" w:leftChars="0" w:firstLine="404" w:firstLineChars="200"/>
              <w:rPr>
                <w:color w:val="auto"/>
                <w:spacing w:val="-4"/>
                <w:szCs w:val="21"/>
              </w:rPr>
            </w:pPr>
            <w:r>
              <w:rPr>
                <w:color w:val="auto"/>
                <w:spacing w:val="-4"/>
                <w:szCs w:val="21"/>
              </w:rPr>
              <w:t>（1）医疗废物暂存间地面和1m高的墙裙进行防渗处理。地面有良好的排水性能，易于清洁和消毒，产生的废水采用管道直接排入医院污水处理设施，禁止将产生的废水直接排入外环境。</w:t>
            </w:r>
          </w:p>
          <w:p w14:paraId="5EB31D76">
            <w:pPr>
              <w:pStyle w:val="16"/>
              <w:adjustRightInd w:val="0"/>
              <w:snapToGrid w:val="0"/>
              <w:spacing w:after="0" w:line="240" w:lineRule="auto"/>
              <w:ind w:left="0" w:leftChars="0" w:firstLine="404" w:firstLineChars="200"/>
              <w:rPr>
                <w:color w:val="auto"/>
                <w:spacing w:val="-4"/>
                <w:szCs w:val="21"/>
              </w:rPr>
            </w:pPr>
            <w:r>
              <w:rPr>
                <w:color w:val="auto"/>
                <w:spacing w:val="-4"/>
                <w:szCs w:val="21"/>
              </w:rPr>
              <w:t>（</w:t>
            </w:r>
            <w:r>
              <w:rPr>
                <w:rFonts w:hint="eastAsia"/>
                <w:color w:val="auto"/>
                <w:spacing w:val="-4"/>
                <w:szCs w:val="21"/>
              </w:rPr>
              <w:t>2</w:t>
            </w:r>
            <w:r>
              <w:rPr>
                <w:color w:val="auto"/>
                <w:spacing w:val="-4"/>
                <w:szCs w:val="21"/>
              </w:rPr>
              <w:t>）医疗废物日产日清；确实不能日产日清，且当地最高气温高于25℃时，应将医疗废物低温暂时贮存，暂时贮存温度应低于20℃，时间最长不超过48h；定期对暂存设施、设备进行消毒和清洁。</w:t>
            </w:r>
          </w:p>
          <w:p w14:paraId="0DB89698">
            <w:pPr>
              <w:adjustRightInd w:val="0"/>
              <w:snapToGrid w:val="0"/>
              <w:jc w:val="center"/>
              <w:rPr>
                <w:color w:val="auto"/>
                <w:szCs w:val="21"/>
              </w:rPr>
            </w:pPr>
          </w:p>
        </w:tc>
      </w:tr>
    </w:tbl>
    <w:p w14:paraId="18649058">
      <w:pPr>
        <w:pStyle w:val="23"/>
        <w:jc w:val="center"/>
        <w:outlineLvl w:val="0"/>
        <w:rPr>
          <w:rFonts w:ascii="Times New Roman" w:hAnsi="Times New Roman"/>
          <w:snapToGrid w:val="0"/>
          <w:color w:val="auto"/>
          <w:sz w:val="30"/>
          <w:szCs w:val="30"/>
        </w:rPr>
      </w:pPr>
      <w:r>
        <w:rPr>
          <w:rFonts w:ascii="Times New Roman" w:hAnsi="Times New Roman"/>
          <w:snapToGrid w:val="0"/>
          <w:color w:val="auto"/>
        </w:rPr>
        <w:br w:type="page"/>
      </w:r>
      <w:r>
        <w:rPr>
          <w:rFonts w:ascii="Times New Roman" w:hAnsi="Times New Roman"/>
          <w:snapToGrid w:val="0"/>
          <w:color w:val="auto"/>
          <w:sz w:val="30"/>
          <w:szCs w:val="30"/>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224E1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6EE36F05">
            <w:pPr>
              <w:adjustRightInd w:val="0"/>
              <w:snapToGrid w:val="0"/>
              <w:spacing w:line="360" w:lineRule="auto"/>
              <w:ind w:firstLine="480" w:firstLineChars="200"/>
              <w:rPr>
                <w:bCs/>
                <w:color w:val="auto"/>
                <w:sz w:val="24"/>
              </w:rPr>
            </w:pPr>
            <w:r>
              <w:rPr>
                <w:rFonts w:hint="eastAsia"/>
                <w:color w:val="auto"/>
                <w:sz w:val="24"/>
                <w:lang w:eastAsia="zh-CN"/>
              </w:rPr>
              <w:t>重庆同心医院（有限合伙）</w:t>
            </w:r>
            <w:r>
              <w:rPr>
                <w:color w:val="auto"/>
                <w:sz w:val="24"/>
              </w:rPr>
              <w:t>拟</w:t>
            </w:r>
            <w:r>
              <w:rPr>
                <w:rFonts w:hint="eastAsia"/>
                <w:color w:val="auto"/>
                <w:kern w:val="0"/>
                <w:sz w:val="24"/>
                <w:lang w:val="en-US" w:eastAsia="zh-CN" w:bidi="ar"/>
              </w:rPr>
              <w:t>在3F新增租赁用房设置</w:t>
            </w:r>
            <w:r>
              <w:rPr>
                <w:rFonts w:hint="eastAsia"/>
                <w:color w:val="auto"/>
                <w:sz w:val="24"/>
                <w:lang w:eastAsia="zh-CN"/>
              </w:rPr>
              <w:t>病房区</w:t>
            </w:r>
            <w:r>
              <w:rPr>
                <w:rFonts w:hint="eastAsia"/>
                <w:color w:val="auto"/>
                <w:sz w:val="24"/>
                <w:lang w:val="en-US" w:eastAsia="zh-CN"/>
              </w:rPr>
              <w:t>扩建60张床位</w:t>
            </w:r>
            <w:r>
              <w:rPr>
                <w:rFonts w:hint="eastAsia"/>
                <w:color w:val="auto"/>
                <w:sz w:val="24"/>
                <w:lang w:eastAsia="zh-CN"/>
              </w:rPr>
              <w:t>（</w:t>
            </w:r>
            <w:r>
              <w:rPr>
                <w:rFonts w:hint="eastAsia"/>
                <w:color w:val="auto"/>
                <w:sz w:val="24"/>
                <w:lang w:val="en-US" w:eastAsia="zh-CN"/>
              </w:rPr>
              <w:t>原项目3F仅租赁部分，现将3F全部租赁用于医院用房</w:t>
            </w:r>
            <w:r>
              <w:rPr>
                <w:rFonts w:hint="eastAsia"/>
                <w:color w:val="auto"/>
                <w:sz w:val="24"/>
                <w:lang w:eastAsia="zh-CN"/>
              </w:rPr>
              <w:t>），</w:t>
            </w:r>
            <w:r>
              <w:rPr>
                <w:rFonts w:hint="eastAsia"/>
                <w:color w:val="auto"/>
                <w:sz w:val="24"/>
                <w:lang w:val="en-US" w:eastAsia="zh-CN"/>
              </w:rPr>
              <w:t>在2F托老院新增30张床位，</w:t>
            </w:r>
            <w:r>
              <w:rPr>
                <w:rFonts w:hint="eastAsia"/>
                <w:color w:val="auto"/>
                <w:kern w:val="0"/>
                <w:sz w:val="24"/>
                <w:lang w:val="en-US" w:eastAsia="zh-CN" w:bidi="ar"/>
              </w:rPr>
              <w:t>不新增</w:t>
            </w:r>
            <w:r>
              <w:rPr>
                <w:color w:val="auto"/>
                <w:sz w:val="24"/>
              </w:rPr>
              <w:t>科室</w:t>
            </w:r>
            <w:r>
              <w:rPr>
                <w:rFonts w:hint="eastAsia"/>
                <w:color w:val="auto"/>
                <w:sz w:val="24"/>
              </w:rPr>
              <w:t>和门诊</w:t>
            </w:r>
            <w:r>
              <w:rPr>
                <w:rFonts w:hint="eastAsia"/>
                <w:color w:val="auto"/>
                <w:kern w:val="0"/>
                <w:sz w:val="24"/>
                <w:lang w:eastAsia="zh-CN" w:bidi="ar"/>
              </w:rPr>
              <w:t>（</w:t>
            </w:r>
            <w:r>
              <w:rPr>
                <w:rFonts w:hint="eastAsia"/>
                <w:color w:val="auto"/>
                <w:kern w:val="0"/>
                <w:sz w:val="24"/>
                <w:lang w:bidi="ar"/>
              </w:rPr>
              <w:t>内科、外科、妇产科、中医科、儿科、皮肤科、口腔科、医学检验科、医学影像科及托老院等科室</w:t>
            </w:r>
            <w:r>
              <w:rPr>
                <w:rFonts w:hint="eastAsia"/>
                <w:color w:val="auto"/>
                <w:kern w:val="0"/>
                <w:sz w:val="24"/>
                <w:lang w:eastAsia="zh-CN" w:bidi="ar"/>
              </w:rPr>
              <w:t>），</w:t>
            </w:r>
            <w:r>
              <w:rPr>
                <w:rFonts w:hint="eastAsia"/>
                <w:color w:val="auto"/>
                <w:kern w:val="0"/>
                <w:sz w:val="24"/>
                <w:lang w:val="en-US" w:eastAsia="zh-CN" w:bidi="ar"/>
              </w:rPr>
              <w:t>仅对</w:t>
            </w:r>
            <w:r>
              <w:rPr>
                <w:rFonts w:hint="eastAsia"/>
                <w:color w:val="auto"/>
                <w:sz w:val="24"/>
              </w:rPr>
              <w:t>现有的科室</w:t>
            </w:r>
            <w:r>
              <w:rPr>
                <w:rFonts w:hint="eastAsia"/>
                <w:color w:val="auto"/>
                <w:sz w:val="24"/>
                <w:lang w:val="en-US" w:eastAsia="zh-CN"/>
              </w:rPr>
              <w:t>平面</w:t>
            </w:r>
            <w:r>
              <w:rPr>
                <w:rFonts w:hint="eastAsia"/>
                <w:color w:val="auto"/>
                <w:sz w:val="24"/>
              </w:rPr>
              <w:t>布置</w:t>
            </w:r>
            <w:r>
              <w:rPr>
                <w:rFonts w:hint="eastAsia"/>
                <w:color w:val="auto"/>
                <w:sz w:val="24"/>
                <w:lang w:val="en-US" w:eastAsia="zh-CN"/>
              </w:rPr>
              <w:t>进行了</w:t>
            </w:r>
            <w:r>
              <w:rPr>
                <w:rFonts w:hint="eastAsia"/>
                <w:color w:val="auto"/>
                <w:sz w:val="24"/>
              </w:rPr>
              <w:t>调整</w:t>
            </w:r>
            <w:r>
              <w:rPr>
                <w:color w:val="auto"/>
                <w:sz w:val="24"/>
              </w:rPr>
              <w:t>，</w:t>
            </w:r>
            <w:r>
              <w:rPr>
                <w:bCs/>
                <w:color w:val="auto"/>
                <w:sz w:val="24"/>
              </w:rPr>
              <w:t>属于基本医疗设施建设，符合国家和重庆市的产业政策，符合城市规划，以及符合医疗机构选址要求。项目建成后，有利于提高当地的医疗保健水平，社会效益明显。项目在服务期产生的各类污染物，按报告表中提出的环保措施进行治理、在确保污染物达标排放的前提下，项目对周围环境不会产生明显的影响，环境可接受。因此，项目环境影响可行。</w:t>
            </w:r>
          </w:p>
          <w:p w14:paraId="1584C05E">
            <w:pPr>
              <w:adjustRightInd w:val="0"/>
              <w:snapToGrid w:val="0"/>
              <w:spacing w:line="360" w:lineRule="auto"/>
              <w:ind w:firstLine="480" w:firstLineChars="200"/>
              <w:rPr>
                <w:bCs/>
                <w:color w:val="auto"/>
                <w:sz w:val="24"/>
              </w:rPr>
            </w:pPr>
          </w:p>
          <w:p w14:paraId="0B7F049F">
            <w:pPr>
              <w:adjustRightInd w:val="0"/>
              <w:snapToGrid w:val="0"/>
              <w:spacing w:line="360" w:lineRule="auto"/>
              <w:ind w:firstLine="480" w:firstLineChars="200"/>
              <w:rPr>
                <w:bCs/>
                <w:color w:val="auto"/>
                <w:sz w:val="24"/>
              </w:rPr>
            </w:pPr>
          </w:p>
          <w:p w14:paraId="799B97D3">
            <w:pPr>
              <w:adjustRightInd w:val="0"/>
              <w:snapToGrid w:val="0"/>
              <w:spacing w:line="360" w:lineRule="auto"/>
              <w:ind w:firstLine="480" w:firstLineChars="200"/>
              <w:rPr>
                <w:bCs/>
                <w:color w:val="auto"/>
                <w:sz w:val="24"/>
              </w:rPr>
            </w:pPr>
          </w:p>
          <w:p w14:paraId="3E12FF29">
            <w:pPr>
              <w:adjustRightInd w:val="0"/>
              <w:snapToGrid w:val="0"/>
              <w:spacing w:line="360" w:lineRule="auto"/>
              <w:ind w:firstLine="480" w:firstLineChars="200"/>
              <w:rPr>
                <w:bCs/>
                <w:color w:val="auto"/>
                <w:sz w:val="24"/>
              </w:rPr>
            </w:pPr>
          </w:p>
          <w:p w14:paraId="49EEBC90">
            <w:pPr>
              <w:adjustRightInd w:val="0"/>
              <w:snapToGrid w:val="0"/>
              <w:spacing w:line="360" w:lineRule="auto"/>
              <w:ind w:firstLine="480" w:firstLineChars="200"/>
              <w:rPr>
                <w:bCs/>
                <w:color w:val="auto"/>
                <w:sz w:val="24"/>
              </w:rPr>
            </w:pPr>
          </w:p>
          <w:p w14:paraId="0D56EB52">
            <w:pPr>
              <w:adjustRightInd w:val="0"/>
              <w:snapToGrid w:val="0"/>
              <w:spacing w:line="360" w:lineRule="auto"/>
              <w:ind w:firstLine="480" w:firstLineChars="200"/>
              <w:rPr>
                <w:bCs/>
                <w:color w:val="auto"/>
                <w:sz w:val="24"/>
              </w:rPr>
            </w:pPr>
          </w:p>
          <w:p w14:paraId="7A287CD3">
            <w:pPr>
              <w:adjustRightInd w:val="0"/>
              <w:snapToGrid w:val="0"/>
              <w:spacing w:line="360" w:lineRule="auto"/>
              <w:ind w:firstLine="480" w:firstLineChars="200"/>
              <w:rPr>
                <w:bCs/>
                <w:color w:val="auto"/>
                <w:sz w:val="24"/>
              </w:rPr>
            </w:pPr>
          </w:p>
          <w:p w14:paraId="1B5202D2">
            <w:pPr>
              <w:adjustRightInd w:val="0"/>
              <w:snapToGrid w:val="0"/>
              <w:spacing w:line="360" w:lineRule="auto"/>
              <w:ind w:firstLine="480" w:firstLineChars="200"/>
              <w:rPr>
                <w:bCs/>
                <w:color w:val="auto"/>
                <w:sz w:val="24"/>
              </w:rPr>
            </w:pPr>
          </w:p>
          <w:p w14:paraId="0DC365F5">
            <w:pPr>
              <w:adjustRightInd w:val="0"/>
              <w:snapToGrid w:val="0"/>
              <w:spacing w:line="360" w:lineRule="auto"/>
              <w:ind w:firstLine="480" w:firstLineChars="200"/>
              <w:rPr>
                <w:bCs/>
                <w:color w:val="auto"/>
                <w:sz w:val="24"/>
              </w:rPr>
            </w:pPr>
          </w:p>
          <w:p w14:paraId="7C4DD905">
            <w:pPr>
              <w:adjustRightInd w:val="0"/>
              <w:snapToGrid w:val="0"/>
              <w:spacing w:line="360" w:lineRule="auto"/>
              <w:ind w:firstLine="480" w:firstLineChars="200"/>
              <w:rPr>
                <w:bCs/>
                <w:color w:val="auto"/>
                <w:sz w:val="24"/>
              </w:rPr>
            </w:pPr>
          </w:p>
          <w:p w14:paraId="6227F6E1">
            <w:pPr>
              <w:adjustRightInd w:val="0"/>
              <w:snapToGrid w:val="0"/>
              <w:spacing w:line="360" w:lineRule="auto"/>
              <w:ind w:firstLine="480" w:firstLineChars="200"/>
              <w:rPr>
                <w:bCs/>
                <w:color w:val="auto"/>
                <w:sz w:val="24"/>
              </w:rPr>
            </w:pPr>
          </w:p>
          <w:p w14:paraId="6F117832">
            <w:pPr>
              <w:adjustRightInd w:val="0"/>
              <w:snapToGrid w:val="0"/>
              <w:spacing w:line="360" w:lineRule="auto"/>
              <w:ind w:firstLine="480" w:firstLineChars="200"/>
              <w:rPr>
                <w:bCs/>
                <w:color w:val="auto"/>
                <w:sz w:val="24"/>
              </w:rPr>
            </w:pPr>
          </w:p>
          <w:p w14:paraId="3DCC8B4E">
            <w:pPr>
              <w:adjustRightInd w:val="0"/>
              <w:snapToGrid w:val="0"/>
              <w:spacing w:line="360" w:lineRule="auto"/>
              <w:ind w:firstLine="480" w:firstLineChars="200"/>
              <w:rPr>
                <w:bCs/>
                <w:color w:val="auto"/>
                <w:sz w:val="24"/>
              </w:rPr>
            </w:pPr>
          </w:p>
          <w:p w14:paraId="2657D87D">
            <w:pPr>
              <w:adjustRightInd w:val="0"/>
              <w:snapToGrid w:val="0"/>
              <w:spacing w:line="360" w:lineRule="auto"/>
              <w:ind w:firstLine="480" w:firstLineChars="200"/>
              <w:rPr>
                <w:bCs/>
                <w:color w:val="auto"/>
                <w:sz w:val="24"/>
              </w:rPr>
            </w:pPr>
          </w:p>
          <w:p w14:paraId="52AD2F2A">
            <w:pPr>
              <w:adjustRightInd w:val="0"/>
              <w:snapToGrid w:val="0"/>
              <w:spacing w:line="360" w:lineRule="auto"/>
              <w:ind w:firstLine="480" w:firstLineChars="200"/>
              <w:rPr>
                <w:bCs/>
                <w:color w:val="auto"/>
                <w:sz w:val="24"/>
              </w:rPr>
            </w:pPr>
          </w:p>
          <w:p w14:paraId="6242F536">
            <w:pPr>
              <w:adjustRightInd w:val="0"/>
              <w:snapToGrid w:val="0"/>
              <w:spacing w:line="360" w:lineRule="auto"/>
              <w:ind w:firstLine="480" w:firstLineChars="200"/>
              <w:rPr>
                <w:bCs/>
                <w:color w:val="auto"/>
                <w:sz w:val="24"/>
              </w:rPr>
            </w:pPr>
          </w:p>
          <w:p w14:paraId="266EEC92">
            <w:pPr>
              <w:adjustRightInd w:val="0"/>
              <w:snapToGrid w:val="0"/>
              <w:spacing w:line="360" w:lineRule="auto"/>
              <w:ind w:firstLine="480" w:firstLineChars="200"/>
              <w:rPr>
                <w:bCs/>
                <w:color w:val="auto"/>
                <w:sz w:val="24"/>
              </w:rPr>
            </w:pPr>
          </w:p>
          <w:p w14:paraId="1181D107">
            <w:pPr>
              <w:spacing w:line="360" w:lineRule="auto"/>
              <w:rPr>
                <w:color w:val="auto"/>
                <w:sz w:val="24"/>
              </w:rPr>
            </w:pPr>
          </w:p>
        </w:tc>
      </w:tr>
    </w:tbl>
    <w:p w14:paraId="5D17DF61">
      <w:pPr>
        <w:rPr>
          <w:color w:val="auto"/>
        </w:rPr>
        <w:sectPr>
          <w:pgSz w:w="11905" w:h="16838"/>
          <w:pgMar w:top="1701" w:right="1531" w:bottom="2126"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724881F3">
      <w:pPr>
        <w:pStyle w:val="23"/>
        <w:adjustRightInd w:val="0"/>
        <w:snapToGrid w:val="0"/>
        <w:spacing w:before="0" w:beforeAutospacing="0" w:after="0" w:afterAutospacing="0" w:line="648" w:lineRule="auto"/>
        <w:outlineLvl w:val="0"/>
        <w:rPr>
          <w:rFonts w:ascii="Times New Roman" w:hAnsi="Times New Roman"/>
          <w:snapToGrid w:val="0"/>
          <w:color w:val="auto"/>
          <w:sz w:val="32"/>
          <w:szCs w:val="32"/>
        </w:rPr>
      </w:pPr>
      <w:r>
        <w:rPr>
          <w:rFonts w:ascii="Times New Roman" w:hAnsi="Times New Roman"/>
          <w:snapToGrid w:val="0"/>
          <w:color w:val="auto"/>
          <w:sz w:val="32"/>
          <w:szCs w:val="32"/>
        </w:rPr>
        <w:t>附表</w:t>
      </w:r>
    </w:p>
    <w:p w14:paraId="26C97713">
      <w:pPr>
        <w:pStyle w:val="23"/>
        <w:adjustRightInd w:val="0"/>
        <w:snapToGrid w:val="0"/>
        <w:spacing w:before="0" w:beforeAutospacing="0" w:after="0" w:afterAutospacing="0" w:line="360" w:lineRule="auto"/>
        <w:jc w:val="center"/>
        <w:outlineLvl w:val="0"/>
        <w:rPr>
          <w:rFonts w:ascii="Times New Roman" w:hAnsi="Times New Roman"/>
          <w:snapToGrid w:val="0"/>
          <w:color w:val="auto"/>
          <w:sz w:val="38"/>
          <w:szCs w:val="38"/>
        </w:rPr>
      </w:pPr>
      <w:r>
        <w:rPr>
          <w:rFonts w:ascii="Times New Roman" w:hAnsi="Times New Roman"/>
          <w:snapToGrid w:val="0"/>
          <w:color w:val="auto"/>
          <w:sz w:val="38"/>
          <w:szCs w:val="38"/>
        </w:rPr>
        <w:t>建设项目污染物排放量汇总表</w:t>
      </w:r>
    </w:p>
    <w:tbl>
      <w:tblPr>
        <w:tblStyle w:val="25"/>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648"/>
        <w:gridCol w:w="1137"/>
      </w:tblGrid>
      <w:tr w14:paraId="0480C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22AF2FEC">
            <w:pPr>
              <w:pStyle w:val="45"/>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0DD432C3">
            <w:pPr>
              <w:pStyle w:val="45"/>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417" w:type="dxa"/>
            <w:noWrap w:val="0"/>
            <w:tcMar>
              <w:left w:w="28" w:type="dxa"/>
              <w:right w:w="28" w:type="dxa"/>
            </w:tcMar>
            <w:vAlign w:val="center"/>
          </w:tcPr>
          <w:p w14:paraId="24B4BC9C">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noWrap w:val="0"/>
            <w:tcMar>
              <w:left w:w="28" w:type="dxa"/>
              <w:right w:w="28" w:type="dxa"/>
            </w:tcMar>
            <w:vAlign w:val="center"/>
          </w:tcPr>
          <w:p w14:paraId="73678098">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7496F36F">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1276" w:type="dxa"/>
            <w:noWrap w:val="0"/>
            <w:tcMar>
              <w:left w:w="28" w:type="dxa"/>
              <w:right w:w="28" w:type="dxa"/>
            </w:tcMar>
            <w:vAlign w:val="center"/>
          </w:tcPr>
          <w:p w14:paraId="1E2CC440">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74D202AA">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40F9DDF4">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1701" w:type="dxa"/>
            <w:noWrap w:val="0"/>
            <w:tcMar>
              <w:left w:w="28" w:type="dxa"/>
              <w:right w:w="28" w:type="dxa"/>
            </w:tcMar>
            <w:vAlign w:val="center"/>
          </w:tcPr>
          <w:p w14:paraId="4FF2E1E8">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7057E60A">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559" w:type="dxa"/>
            <w:noWrap w:val="0"/>
            <w:tcMar>
              <w:left w:w="28" w:type="dxa"/>
              <w:right w:w="28" w:type="dxa"/>
            </w:tcMar>
            <w:vAlign w:val="center"/>
          </w:tcPr>
          <w:p w14:paraId="26639234">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671D4649">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1761" w:type="dxa"/>
            <w:noWrap w:val="0"/>
            <w:tcMar>
              <w:left w:w="28" w:type="dxa"/>
              <w:right w:w="28" w:type="dxa"/>
            </w:tcMar>
            <w:vAlign w:val="center"/>
          </w:tcPr>
          <w:p w14:paraId="734B3B94">
            <w:pPr>
              <w:pStyle w:val="45"/>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47C9A649">
            <w:pPr>
              <w:pStyle w:val="45"/>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1648" w:type="dxa"/>
            <w:noWrap w:val="0"/>
            <w:tcMar>
              <w:left w:w="28" w:type="dxa"/>
              <w:right w:w="28" w:type="dxa"/>
            </w:tcMar>
            <w:vAlign w:val="center"/>
          </w:tcPr>
          <w:p w14:paraId="47C59B5A">
            <w:pPr>
              <w:pStyle w:val="45"/>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7D2A8C3A">
            <w:pPr>
              <w:pStyle w:val="45"/>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1137" w:type="dxa"/>
            <w:noWrap w:val="0"/>
            <w:tcMar>
              <w:left w:w="28" w:type="dxa"/>
              <w:right w:w="28" w:type="dxa"/>
            </w:tcMar>
            <w:vAlign w:val="center"/>
          </w:tcPr>
          <w:p w14:paraId="64FB092B">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3221E4ED">
            <w:pPr>
              <w:pStyle w:val="45"/>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67AA4D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DD90C6B">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noWrap w:val="0"/>
            <w:vAlign w:val="center"/>
          </w:tcPr>
          <w:p w14:paraId="3D8167E5">
            <w:pPr>
              <w:pStyle w:val="45"/>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w:t>
            </w:r>
          </w:p>
        </w:tc>
        <w:tc>
          <w:tcPr>
            <w:tcW w:w="1701" w:type="dxa"/>
            <w:noWrap w:val="0"/>
            <w:vAlign w:val="center"/>
          </w:tcPr>
          <w:p w14:paraId="498ABF77">
            <w:pPr>
              <w:jc w:val="center"/>
              <w:rPr>
                <w:snapToGrid w:val="0"/>
                <w:color w:val="auto"/>
                <w:kern w:val="21"/>
                <w:szCs w:val="21"/>
              </w:rPr>
            </w:pPr>
            <w:r>
              <w:rPr>
                <w:rFonts w:hint="eastAsia" w:ascii="Times New Roman"/>
                <w:snapToGrid w:val="0"/>
                <w:color w:val="auto"/>
                <w:kern w:val="21"/>
                <w:szCs w:val="21"/>
                <w:lang w:val="en-US" w:eastAsia="zh-CN"/>
              </w:rPr>
              <w:t>/</w:t>
            </w:r>
          </w:p>
        </w:tc>
        <w:tc>
          <w:tcPr>
            <w:tcW w:w="1276" w:type="dxa"/>
            <w:noWrap w:val="0"/>
            <w:vAlign w:val="center"/>
          </w:tcPr>
          <w:p w14:paraId="1295CDE7">
            <w:pPr>
              <w:jc w:val="center"/>
              <w:rPr>
                <w:snapToGrid w:val="0"/>
                <w:color w:val="auto"/>
                <w:kern w:val="21"/>
                <w:szCs w:val="21"/>
              </w:rPr>
            </w:pPr>
            <w:r>
              <w:rPr>
                <w:rFonts w:hint="eastAsia" w:ascii="Times New Roman"/>
                <w:snapToGrid w:val="0"/>
                <w:color w:val="auto"/>
                <w:kern w:val="21"/>
                <w:szCs w:val="21"/>
                <w:lang w:val="en-US" w:eastAsia="zh-CN"/>
              </w:rPr>
              <w:t>/</w:t>
            </w:r>
          </w:p>
        </w:tc>
        <w:tc>
          <w:tcPr>
            <w:tcW w:w="1701" w:type="dxa"/>
            <w:noWrap w:val="0"/>
            <w:vAlign w:val="center"/>
          </w:tcPr>
          <w:p w14:paraId="7007DA58">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559" w:type="dxa"/>
            <w:noWrap w:val="0"/>
            <w:vAlign w:val="center"/>
          </w:tcPr>
          <w:p w14:paraId="1E39AB2E">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761" w:type="dxa"/>
            <w:noWrap w:val="0"/>
            <w:vAlign w:val="center"/>
          </w:tcPr>
          <w:p w14:paraId="4BE4D016">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648" w:type="dxa"/>
            <w:noWrap w:val="0"/>
            <w:vAlign w:val="center"/>
          </w:tcPr>
          <w:p w14:paraId="3342F0C6">
            <w:pPr>
              <w:contextualSpacing/>
              <w:jc w:val="center"/>
              <w:rPr>
                <w:snapToGrid w:val="0"/>
                <w:color w:val="auto"/>
                <w:kern w:val="21"/>
                <w:szCs w:val="21"/>
              </w:rPr>
            </w:pPr>
            <w:r>
              <w:rPr>
                <w:rFonts w:hint="eastAsia" w:ascii="Times New Roman"/>
                <w:snapToGrid w:val="0"/>
                <w:color w:val="auto"/>
                <w:kern w:val="21"/>
                <w:szCs w:val="21"/>
                <w:lang w:val="en-US" w:eastAsia="zh-CN"/>
              </w:rPr>
              <w:t>/</w:t>
            </w:r>
          </w:p>
        </w:tc>
        <w:tc>
          <w:tcPr>
            <w:tcW w:w="1137" w:type="dxa"/>
            <w:noWrap w:val="0"/>
            <w:vAlign w:val="center"/>
          </w:tcPr>
          <w:p w14:paraId="666D9A5E">
            <w:pPr>
              <w:contextualSpacing/>
              <w:jc w:val="center"/>
              <w:rPr>
                <w:snapToGrid w:val="0"/>
                <w:color w:val="auto"/>
                <w:kern w:val="21"/>
                <w:szCs w:val="21"/>
              </w:rPr>
            </w:pPr>
            <w:r>
              <w:rPr>
                <w:rFonts w:hint="eastAsia" w:ascii="Times New Roman"/>
                <w:snapToGrid w:val="0"/>
                <w:color w:val="auto"/>
                <w:kern w:val="21"/>
                <w:szCs w:val="21"/>
                <w:lang w:val="en-US" w:eastAsia="zh-CN"/>
              </w:rPr>
              <w:t>/</w:t>
            </w:r>
          </w:p>
        </w:tc>
      </w:tr>
      <w:tr w14:paraId="73BD8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F17F179">
            <w:pPr>
              <w:pStyle w:val="45"/>
              <w:spacing w:beforeLines="0" w:afterLines="0" w:line="240" w:lineRule="auto"/>
              <w:rPr>
                <w:rFonts w:ascii="Times New Roman"/>
                <w:snapToGrid w:val="0"/>
                <w:color w:val="auto"/>
                <w:kern w:val="21"/>
                <w:szCs w:val="21"/>
              </w:rPr>
            </w:pPr>
          </w:p>
        </w:tc>
        <w:tc>
          <w:tcPr>
            <w:tcW w:w="1417" w:type="dxa"/>
            <w:noWrap w:val="0"/>
            <w:vAlign w:val="center"/>
          </w:tcPr>
          <w:p w14:paraId="656527A7">
            <w:pPr>
              <w:pStyle w:val="45"/>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701" w:type="dxa"/>
            <w:noWrap w:val="0"/>
            <w:vAlign w:val="center"/>
          </w:tcPr>
          <w:p w14:paraId="2D57E612">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276" w:type="dxa"/>
            <w:noWrap w:val="0"/>
            <w:vAlign w:val="center"/>
          </w:tcPr>
          <w:p w14:paraId="6E0BA3F6">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701" w:type="dxa"/>
            <w:noWrap w:val="0"/>
            <w:vAlign w:val="center"/>
          </w:tcPr>
          <w:p w14:paraId="3313DF7C">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559" w:type="dxa"/>
            <w:noWrap w:val="0"/>
            <w:vAlign w:val="center"/>
          </w:tcPr>
          <w:p w14:paraId="4400A4D1">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761" w:type="dxa"/>
            <w:noWrap w:val="0"/>
            <w:vAlign w:val="center"/>
          </w:tcPr>
          <w:p w14:paraId="7422F083">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648" w:type="dxa"/>
            <w:noWrap w:val="0"/>
            <w:vAlign w:val="center"/>
          </w:tcPr>
          <w:p w14:paraId="24940127">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c>
          <w:tcPr>
            <w:tcW w:w="1137" w:type="dxa"/>
            <w:noWrap w:val="0"/>
            <w:vAlign w:val="center"/>
          </w:tcPr>
          <w:p w14:paraId="47DCFA02">
            <w:pPr>
              <w:spacing w:beforeLines="0" w:afterLines="0" w:line="240" w:lineRule="auto"/>
              <w:jc w:val="center"/>
              <w:rPr>
                <w:rFonts w:ascii="Times New Roman"/>
                <w:snapToGrid w:val="0"/>
                <w:color w:val="auto"/>
                <w:kern w:val="21"/>
                <w:szCs w:val="21"/>
              </w:rPr>
            </w:pPr>
            <w:r>
              <w:rPr>
                <w:rFonts w:hint="eastAsia" w:ascii="Times New Roman"/>
                <w:snapToGrid w:val="0"/>
                <w:color w:val="auto"/>
                <w:kern w:val="21"/>
                <w:szCs w:val="21"/>
                <w:lang w:val="en-US" w:eastAsia="zh-CN"/>
              </w:rPr>
              <w:t>/</w:t>
            </w:r>
          </w:p>
        </w:tc>
      </w:tr>
      <w:tr w14:paraId="26E7F9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28538753">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noWrap w:val="0"/>
            <w:vAlign w:val="center"/>
          </w:tcPr>
          <w:p w14:paraId="3BD496C3">
            <w:pPr>
              <w:contextualSpacing/>
              <w:jc w:val="center"/>
              <w:rPr>
                <w:snapToGrid w:val="0"/>
                <w:color w:val="auto"/>
                <w:kern w:val="21"/>
                <w:szCs w:val="21"/>
              </w:rPr>
            </w:pPr>
            <w:r>
              <w:rPr>
                <w:color w:val="auto"/>
                <w:szCs w:val="21"/>
              </w:rPr>
              <w:t>废水量/t/a</w:t>
            </w:r>
          </w:p>
        </w:tc>
        <w:tc>
          <w:tcPr>
            <w:tcW w:w="1701" w:type="dxa"/>
            <w:noWrap w:val="0"/>
            <w:vAlign w:val="center"/>
          </w:tcPr>
          <w:p w14:paraId="75A25B4C">
            <w:pPr>
              <w:widowControl/>
              <w:adjustRightInd w:val="0"/>
              <w:snapToGrid w:val="0"/>
              <w:spacing w:line="240" w:lineRule="exact"/>
              <w:contextualSpacing/>
              <w:jc w:val="center"/>
              <w:rPr>
                <w:snapToGrid w:val="0"/>
                <w:color w:val="auto"/>
                <w:kern w:val="21"/>
                <w:sz w:val="21"/>
                <w:szCs w:val="21"/>
              </w:rPr>
            </w:pPr>
            <w:r>
              <w:rPr>
                <w:rFonts w:hint="eastAsia"/>
                <w:color w:val="auto"/>
                <w:szCs w:val="21"/>
                <w:lang w:val="en-US" w:eastAsia="zh-CN"/>
              </w:rPr>
              <w:t>22633.8</w:t>
            </w:r>
          </w:p>
        </w:tc>
        <w:tc>
          <w:tcPr>
            <w:tcW w:w="1276" w:type="dxa"/>
            <w:noWrap w:val="0"/>
            <w:vAlign w:val="center"/>
          </w:tcPr>
          <w:p w14:paraId="0E5B72AB">
            <w:pPr>
              <w:widowControl/>
              <w:adjustRightInd w:val="0"/>
              <w:snapToGrid w:val="0"/>
              <w:spacing w:line="240" w:lineRule="exact"/>
              <w:contextualSpacing/>
              <w:jc w:val="center"/>
              <w:rPr>
                <w:snapToGrid w:val="0"/>
                <w:color w:val="auto"/>
                <w:kern w:val="21"/>
                <w:sz w:val="21"/>
                <w:szCs w:val="21"/>
                <w:lang w:val="en-US" w:eastAsia="zh-CN" w:bidi="ar-SA"/>
              </w:rPr>
            </w:pPr>
            <w:r>
              <w:rPr>
                <w:rFonts w:hint="eastAsia"/>
                <w:color w:val="auto"/>
                <w:szCs w:val="21"/>
                <w:lang w:val="en-US" w:eastAsia="zh-CN"/>
              </w:rPr>
              <w:t>22633.8</w:t>
            </w:r>
          </w:p>
        </w:tc>
        <w:tc>
          <w:tcPr>
            <w:tcW w:w="1701" w:type="dxa"/>
            <w:noWrap w:val="0"/>
            <w:vAlign w:val="center"/>
          </w:tcPr>
          <w:p w14:paraId="47FBD923">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0</w:t>
            </w:r>
          </w:p>
        </w:tc>
        <w:tc>
          <w:tcPr>
            <w:tcW w:w="1559" w:type="dxa"/>
            <w:noWrap w:val="0"/>
            <w:vAlign w:val="center"/>
          </w:tcPr>
          <w:p w14:paraId="01C28C03">
            <w:pPr>
              <w:spacing w:line="240" w:lineRule="exact"/>
              <w:contextualSpacing/>
              <w:jc w:val="center"/>
              <w:rPr>
                <w:snapToGrid w:val="0"/>
                <w:color w:val="auto"/>
                <w:kern w:val="21"/>
                <w:szCs w:val="21"/>
              </w:rPr>
            </w:pPr>
            <w:r>
              <w:rPr>
                <w:rFonts w:hint="eastAsia"/>
                <w:color w:val="auto"/>
                <w:kern w:val="0"/>
                <w:szCs w:val="21"/>
                <w:lang w:val="en-US" w:eastAsia="zh-CN"/>
              </w:rPr>
              <w:t>10873.5</w:t>
            </w:r>
          </w:p>
        </w:tc>
        <w:tc>
          <w:tcPr>
            <w:tcW w:w="1761" w:type="dxa"/>
            <w:noWrap w:val="0"/>
            <w:vAlign w:val="center"/>
          </w:tcPr>
          <w:p w14:paraId="504CB03A">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5E0477A6">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33507.3</w:t>
            </w:r>
          </w:p>
        </w:tc>
        <w:tc>
          <w:tcPr>
            <w:tcW w:w="1137" w:type="dxa"/>
            <w:noWrap w:val="0"/>
            <w:vAlign w:val="center"/>
          </w:tcPr>
          <w:p w14:paraId="7D8C2BE7">
            <w:pPr>
              <w:spacing w:line="240" w:lineRule="exact"/>
              <w:contextualSpacing/>
              <w:jc w:val="center"/>
              <w:rPr>
                <w:snapToGrid w:val="0"/>
                <w:color w:val="auto"/>
                <w:kern w:val="21"/>
                <w:szCs w:val="21"/>
              </w:rPr>
            </w:pPr>
            <w:r>
              <w:rPr>
                <w:rFonts w:hint="eastAsia"/>
                <w:color w:val="auto"/>
                <w:kern w:val="0"/>
                <w:szCs w:val="21"/>
                <w:lang w:val="en-US" w:eastAsia="zh-CN"/>
              </w:rPr>
              <w:t>+10873.5</w:t>
            </w:r>
          </w:p>
        </w:tc>
      </w:tr>
      <w:tr w14:paraId="34A67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BB78E8D">
            <w:pPr>
              <w:pStyle w:val="45"/>
              <w:spacing w:beforeLines="0" w:afterLines="0" w:line="240" w:lineRule="auto"/>
              <w:rPr>
                <w:rFonts w:ascii="Times New Roman"/>
                <w:snapToGrid w:val="0"/>
                <w:color w:val="auto"/>
                <w:kern w:val="21"/>
                <w:szCs w:val="21"/>
              </w:rPr>
            </w:pPr>
          </w:p>
        </w:tc>
        <w:tc>
          <w:tcPr>
            <w:tcW w:w="1417" w:type="dxa"/>
            <w:noWrap w:val="0"/>
            <w:vAlign w:val="center"/>
          </w:tcPr>
          <w:p w14:paraId="16981465">
            <w:pPr>
              <w:contextualSpacing/>
              <w:jc w:val="center"/>
              <w:rPr>
                <w:snapToGrid w:val="0"/>
                <w:color w:val="auto"/>
                <w:kern w:val="21"/>
                <w:szCs w:val="21"/>
              </w:rPr>
            </w:pPr>
            <w:r>
              <w:rPr>
                <w:color w:val="auto"/>
                <w:szCs w:val="21"/>
              </w:rPr>
              <w:t>COD/t/a</w:t>
            </w:r>
          </w:p>
        </w:tc>
        <w:tc>
          <w:tcPr>
            <w:tcW w:w="1701" w:type="dxa"/>
            <w:noWrap w:val="0"/>
            <w:vAlign w:val="center"/>
          </w:tcPr>
          <w:p w14:paraId="4DCDC92E">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1.1317 </w:t>
            </w:r>
          </w:p>
        </w:tc>
        <w:tc>
          <w:tcPr>
            <w:tcW w:w="1276" w:type="dxa"/>
            <w:noWrap w:val="0"/>
            <w:vAlign w:val="center"/>
          </w:tcPr>
          <w:p w14:paraId="1635D940">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1.1317 </w:t>
            </w:r>
          </w:p>
        </w:tc>
        <w:tc>
          <w:tcPr>
            <w:tcW w:w="1701" w:type="dxa"/>
            <w:noWrap w:val="0"/>
            <w:vAlign w:val="center"/>
          </w:tcPr>
          <w:p w14:paraId="46D25059">
            <w:pPr>
              <w:pStyle w:val="45"/>
              <w:spacing w:beforeLines="0" w:afterLines="0" w:line="240" w:lineRule="auto"/>
              <w:rPr>
                <w:rFonts w:ascii="Times New Roman"/>
                <w:snapToGrid w:val="0"/>
                <w:color w:val="auto"/>
                <w:kern w:val="21"/>
                <w:szCs w:val="21"/>
              </w:rPr>
            </w:pPr>
            <w:r>
              <w:rPr>
                <w:rFonts w:ascii="Times New Roman"/>
                <w:color w:val="auto"/>
                <w:szCs w:val="21"/>
              </w:rPr>
              <w:t>0</w:t>
            </w:r>
          </w:p>
        </w:tc>
        <w:tc>
          <w:tcPr>
            <w:tcW w:w="1559" w:type="dxa"/>
            <w:noWrap w:val="0"/>
            <w:vAlign w:val="center"/>
          </w:tcPr>
          <w:p w14:paraId="7DDE10E7">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0.5437 </w:t>
            </w:r>
          </w:p>
        </w:tc>
        <w:tc>
          <w:tcPr>
            <w:tcW w:w="1761" w:type="dxa"/>
            <w:noWrap w:val="0"/>
            <w:vAlign w:val="center"/>
          </w:tcPr>
          <w:p w14:paraId="38B06C43">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0ADF3C0D">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1.6754</w:t>
            </w:r>
          </w:p>
        </w:tc>
        <w:tc>
          <w:tcPr>
            <w:tcW w:w="1137" w:type="dxa"/>
            <w:noWrap w:val="0"/>
            <w:vAlign w:val="center"/>
          </w:tcPr>
          <w:p w14:paraId="16D40437">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+0.5437 </w:t>
            </w:r>
          </w:p>
        </w:tc>
      </w:tr>
      <w:tr w14:paraId="7EAE4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CFD8452">
            <w:pPr>
              <w:pStyle w:val="45"/>
              <w:spacing w:beforeLines="0" w:afterLines="0" w:line="240" w:lineRule="auto"/>
              <w:rPr>
                <w:rFonts w:ascii="Times New Roman"/>
                <w:snapToGrid w:val="0"/>
                <w:color w:val="auto"/>
                <w:kern w:val="21"/>
                <w:szCs w:val="21"/>
              </w:rPr>
            </w:pPr>
          </w:p>
        </w:tc>
        <w:tc>
          <w:tcPr>
            <w:tcW w:w="1417" w:type="dxa"/>
            <w:noWrap w:val="0"/>
            <w:vAlign w:val="center"/>
          </w:tcPr>
          <w:p w14:paraId="19FF0183">
            <w:pPr>
              <w:contextualSpacing/>
              <w:jc w:val="center"/>
              <w:rPr>
                <w:snapToGrid w:val="0"/>
                <w:color w:val="auto"/>
                <w:kern w:val="21"/>
                <w:szCs w:val="21"/>
              </w:rPr>
            </w:pPr>
            <w:r>
              <w:rPr>
                <w:color w:val="auto"/>
                <w:szCs w:val="21"/>
              </w:rPr>
              <w:t>BOD</w:t>
            </w:r>
            <w:r>
              <w:rPr>
                <w:color w:val="auto"/>
                <w:szCs w:val="21"/>
                <w:vertAlign w:val="subscript"/>
              </w:rPr>
              <w:t>5</w:t>
            </w:r>
            <w:r>
              <w:rPr>
                <w:color w:val="auto"/>
                <w:szCs w:val="21"/>
              </w:rPr>
              <w:t>/t/a</w:t>
            </w:r>
          </w:p>
        </w:tc>
        <w:tc>
          <w:tcPr>
            <w:tcW w:w="1701" w:type="dxa"/>
            <w:noWrap w:val="0"/>
            <w:vAlign w:val="center"/>
          </w:tcPr>
          <w:p w14:paraId="29BD9A66">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0.2263 </w:t>
            </w:r>
          </w:p>
        </w:tc>
        <w:tc>
          <w:tcPr>
            <w:tcW w:w="1276" w:type="dxa"/>
            <w:noWrap w:val="0"/>
            <w:vAlign w:val="center"/>
          </w:tcPr>
          <w:p w14:paraId="3FFD4B1F">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0.2263 </w:t>
            </w:r>
          </w:p>
        </w:tc>
        <w:tc>
          <w:tcPr>
            <w:tcW w:w="1701" w:type="dxa"/>
            <w:noWrap w:val="0"/>
            <w:vAlign w:val="center"/>
          </w:tcPr>
          <w:p w14:paraId="06B5D9F6">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0</w:t>
            </w:r>
          </w:p>
        </w:tc>
        <w:tc>
          <w:tcPr>
            <w:tcW w:w="1559" w:type="dxa"/>
            <w:noWrap w:val="0"/>
            <w:vAlign w:val="center"/>
          </w:tcPr>
          <w:p w14:paraId="31FF557C">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0.1087 </w:t>
            </w:r>
          </w:p>
        </w:tc>
        <w:tc>
          <w:tcPr>
            <w:tcW w:w="1761" w:type="dxa"/>
            <w:noWrap w:val="0"/>
            <w:vAlign w:val="center"/>
          </w:tcPr>
          <w:p w14:paraId="6CE5CCD6">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1212DB13">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0.3350</w:t>
            </w:r>
          </w:p>
        </w:tc>
        <w:tc>
          <w:tcPr>
            <w:tcW w:w="1137" w:type="dxa"/>
            <w:noWrap w:val="0"/>
            <w:vAlign w:val="center"/>
          </w:tcPr>
          <w:p w14:paraId="3F519C82">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+0.1087 </w:t>
            </w:r>
          </w:p>
        </w:tc>
      </w:tr>
      <w:tr w14:paraId="11E5B1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0578AC6">
            <w:pPr>
              <w:pStyle w:val="45"/>
              <w:spacing w:beforeLines="0" w:afterLines="0" w:line="240" w:lineRule="auto"/>
              <w:rPr>
                <w:rFonts w:ascii="Times New Roman"/>
                <w:snapToGrid w:val="0"/>
                <w:color w:val="auto"/>
                <w:kern w:val="21"/>
                <w:szCs w:val="21"/>
              </w:rPr>
            </w:pPr>
          </w:p>
        </w:tc>
        <w:tc>
          <w:tcPr>
            <w:tcW w:w="1417" w:type="dxa"/>
            <w:noWrap w:val="0"/>
            <w:vAlign w:val="center"/>
          </w:tcPr>
          <w:p w14:paraId="2C0276A1">
            <w:pPr>
              <w:contextualSpacing/>
              <w:jc w:val="center"/>
              <w:rPr>
                <w:snapToGrid w:val="0"/>
                <w:color w:val="auto"/>
                <w:kern w:val="21"/>
                <w:szCs w:val="21"/>
              </w:rPr>
            </w:pPr>
            <w:r>
              <w:rPr>
                <w:color w:val="auto"/>
                <w:szCs w:val="21"/>
              </w:rPr>
              <w:t>SS/t/a</w:t>
            </w:r>
          </w:p>
        </w:tc>
        <w:tc>
          <w:tcPr>
            <w:tcW w:w="1701" w:type="dxa"/>
            <w:noWrap w:val="0"/>
            <w:vAlign w:val="center"/>
          </w:tcPr>
          <w:p w14:paraId="5801421B">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0.2263 </w:t>
            </w:r>
          </w:p>
        </w:tc>
        <w:tc>
          <w:tcPr>
            <w:tcW w:w="1276" w:type="dxa"/>
            <w:noWrap w:val="0"/>
            <w:vAlign w:val="center"/>
          </w:tcPr>
          <w:p w14:paraId="1D0D1601">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0.2263 </w:t>
            </w:r>
          </w:p>
        </w:tc>
        <w:tc>
          <w:tcPr>
            <w:tcW w:w="1701" w:type="dxa"/>
            <w:noWrap w:val="0"/>
            <w:vAlign w:val="center"/>
          </w:tcPr>
          <w:p w14:paraId="20009BB4">
            <w:pPr>
              <w:pStyle w:val="45"/>
              <w:spacing w:beforeLines="0" w:afterLines="0" w:line="240" w:lineRule="auto"/>
              <w:rPr>
                <w:rFonts w:ascii="Times New Roman"/>
                <w:snapToGrid w:val="0"/>
                <w:color w:val="auto"/>
                <w:kern w:val="21"/>
                <w:szCs w:val="21"/>
              </w:rPr>
            </w:pPr>
            <w:r>
              <w:rPr>
                <w:rFonts w:ascii="Times New Roman"/>
                <w:color w:val="auto"/>
                <w:szCs w:val="21"/>
              </w:rPr>
              <w:t>0</w:t>
            </w:r>
          </w:p>
        </w:tc>
        <w:tc>
          <w:tcPr>
            <w:tcW w:w="1559" w:type="dxa"/>
            <w:noWrap w:val="0"/>
            <w:vAlign w:val="center"/>
          </w:tcPr>
          <w:p w14:paraId="3C72B1BA">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0.1087 </w:t>
            </w:r>
          </w:p>
        </w:tc>
        <w:tc>
          <w:tcPr>
            <w:tcW w:w="1761" w:type="dxa"/>
            <w:noWrap w:val="0"/>
            <w:vAlign w:val="center"/>
          </w:tcPr>
          <w:p w14:paraId="13B54832">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74B5552F">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0.3350</w:t>
            </w:r>
          </w:p>
        </w:tc>
        <w:tc>
          <w:tcPr>
            <w:tcW w:w="1137" w:type="dxa"/>
            <w:noWrap w:val="0"/>
            <w:vAlign w:val="center"/>
          </w:tcPr>
          <w:p w14:paraId="0CCC14AE">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+0.1087 </w:t>
            </w:r>
          </w:p>
        </w:tc>
      </w:tr>
      <w:tr w14:paraId="6C5B5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A023A48">
            <w:pPr>
              <w:pStyle w:val="45"/>
              <w:spacing w:beforeLines="0" w:afterLines="0" w:line="240" w:lineRule="auto"/>
              <w:rPr>
                <w:rFonts w:ascii="Times New Roman"/>
                <w:snapToGrid w:val="0"/>
                <w:color w:val="auto"/>
                <w:kern w:val="21"/>
                <w:szCs w:val="21"/>
              </w:rPr>
            </w:pPr>
          </w:p>
        </w:tc>
        <w:tc>
          <w:tcPr>
            <w:tcW w:w="1417" w:type="dxa"/>
            <w:noWrap w:val="0"/>
            <w:vAlign w:val="center"/>
          </w:tcPr>
          <w:p w14:paraId="3256D9FD">
            <w:pPr>
              <w:contextualSpacing/>
              <w:jc w:val="center"/>
              <w:rPr>
                <w:snapToGrid w:val="0"/>
                <w:color w:val="auto"/>
                <w:kern w:val="21"/>
                <w:szCs w:val="21"/>
              </w:rPr>
            </w:pPr>
            <w:r>
              <w:rPr>
                <w:color w:val="auto"/>
                <w:szCs w:val="21"/>
              </w:rPr>
              <w:t>NH</w:t>
            </w:r>
            <w:r>
              <w:rPr>
                <w:color w:val="auto"/>
                <w:szCs w:val="21"/>
                <w:vertAlign w:val="subscript"/>
              </w:rPr>
              <w:t>3</w:t>
            </w:r>
            <w:r>
              <w:rPr>
                <w:color w:val="auto"/>
                <w:szCs w:val="21"/>
              </w:rPr>
              <w:t>-N/t/a</w:t>
            </w:r>
          </w:p>
        </w:tc>
        <w:tc>
          <w:tcPr>
            <w:tcW w:w="1701" w:type="dxa"/>
            <w:noWrap w:val="0"/>
            <w:vAlign w:val="center"/>
          </w:tcPr>
          <w:p w14:paraId="600B35CD">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0.1132 </w:t>
            </w:r>
          </w:p>
        </w:tc>
        <w:tc>
          <w:tcPr>
            <w:tcW w:w="1276" w:type="dxa"/>
            <w:noWrap w:val="0"/>
            <w:vAlign w:val="center"/>
          </w:tcPr>
          <w:p w14:paraId="7021E637">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0.1132 </w:t>
            </w:r>
          </w:p>
        </w:tc>
        <w:tc>
          <w:tcPr>
            <w:tcW w:w="1701" w:type="dxa"/>
            <w:noWrap w:val="0"/>
            <w:vAlign w:val="center"/>
          </w:tcPr>
          <w:p w14:paraId="58228E06">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0</w:t>
            </w:r>
          </w:p>
        </w:tc>
        <w:tc>
          <w:tcPr>
            <w:tcW w:w="1559" w:type="dxa"/>
            <w:noWrap w:val="0"/>
            <w:vAlign w:val="center"/>
          </w:tcPr>
          <w:p w14:paraId="62091A52">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0.0544 </w:t>
            </w:r>
          </w:p>
        </w:tc>
        <w:tc>
          <w:tcPr>
            <w:tcW w:w="1761" w:type="dxa"/>
            <w:noWrap w:val="0"/>
            <w:vAlign w:val="center"/>
          </w:tcPr>
          <w:p w14:paraId="3694E9D6">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26BB2F24">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0.1676</w:t>
            </w:r>
          </w:p>
        </w:tc>
        <w:tc>
          <w:tcPr>
            <w:tcW w:w="1137" w:type="dxa"/>
            <w:noWrap w:val="0"/>
            <w:vAlign w:val="center"/>
          </w:tcPr>
          <w:p w14:paraId="3D0DF074">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+0.0544 </w:t>
            </w:r>
          </w:p>
        </w:tc>
      </w:tr>
      <w:tr w14:paraId="0D276E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AFBC5FC">
            <w:pPr>
              <w:pStyle w:val="45"/>
              <w:spacing w:beforeLines="0" w:afterLines="0" w:line="240" w:lineRule="auto"/>
              <w:rPr>
                <w:rFonts w:ascii="Times New Roman"/>
                <w:snapToGrid w:val="0"/>
                <w:color w:val="auto"/>
                <w:kern w:val="21"/>
                <w:szCs w:val="21"/>
              </w:rPr>
            </w:pPr>
          </w:p>
        </w:tc>
        <w:tc>
          <w:tcPr>
            <w:tcW w:w="1417" w:type="dxa"/>
            <w:noWrap w:val="0"/>
            <w:vAlign w:val="center"/>
          </w:tcPr>
          <w:p w14:paraId="39785867">
            <w:pPr>
              <w:contextualSpacing/>
              <w:jc w:val="center"/>
              <w:rPr>
                <w:snapToGrid w:val="0"/>
                <w:color w:val="auto"/>
                <w:kern w:val="21"/>
                <w:szCs w:val="21"/>
              </w:rPr>
            </w:pPr>
            <w:r>
              <w:rPr>
                <w:color w:val="auto"/>
                <w:szCs w:val="21"/>
              </w:rPr>
              <w:t>LASt/a</w:t>
            </w:r>
          </w:p>
        </w:tc>
        <w:tc>
          <w:tcPr>
            <w:tcW w:w="1701" w:type="dxa"/>
            <w:noWrap w:val="0"/>
            <w:vAlign w:val="center"/>
          </w:tcPr>
          <w:p w14:paraId="145650F5">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0.0113 </w:t>
            </w:r>
          </w:p>
        </w:tc>
        <w:tc>
          <w:tcPr>
            <w:tcW w:w="1276" w:type="dxa"/>
            <w:noWrap w:val="0"/>
            <w:vAlign w:val="center"/>
          </w:tcPr>
          <w:p w14:paraId="725C9B1B">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0.0113 </w:t>
            </w:r>
          </w:p>
        </w:tc>
        <w:tc>
          <w:tcPr>
            <w:tcW w:w="1701" w:type="dxa"/>
            <w:noWrap w:val="0"/>
            <w:vAlign w:val="center"/>
          </w:tcPr>
          <w:p w14:paraId="4C70AC26">
            <w:pPr>
              <w:pStyle w:val="45"/>
              <w:spacing w:beforeLines="0" w:afterLines="0" w:line="240" w:lineRule="auto"/>
              <w:rPr>
                <w:rFonts w:ascii="Times New Roman"/>
                <w:snapToGrid w:val="0"/>
                <w:color w:val="auto"/>
                <w:kern w:val="21"/>
                <w:szCs w:val="21"/>
              </w:rPr>
            </w:pPr>
            <w:r>
              <w:rPr>
                <w:rFonts w:ascii="Times New Roman"/>
                <w:color w:val="auto"/>
                <w:szCs w:val="21"/>
              </w:rPr>
              <w:t>0</w:t>
            </w:r>
          </w:p>
        </w:tc>
        <w:tc>
          <w:tcPr>
            <w:tcW w:w="1559" w:type="dxa"/>
            <w:noWrap w:val="0"/>
            <w:vAlign w:val="center"/>
          </w:tcPr>
          <w:p w14:paraId="51F36136">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0.0054 </w:t>
            </w:r>
          </w:p>
        </w:tc>
        <w:tc>
          <w:tcPr>
            <w:tcW w:w="1761" w:type="dxa"/>
            <w:noWrap w:val="0"/>
            <w:vAlign w:val="center"/>
          </w:tcPr>
          <w:p w14:paraId="1D3D8082">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7CE0D818">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0.0167</w:t>
            </w:r>
          </w:p>
        </w:tc>
        <w:tc>
          <w:tcPr>
            <w:tcW w:w="1137" w:type="dxa"/>
            <w:noWrap w:val="0"/>
            <w:vAlign w:val="center"/>
          </w:tcPr>
          <w:p w14:paraId="6B948669">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+0.0054 </w:t>
            </w:r>
          </w:p>
        </w:tc>
      </w:tr>
      <w:tr w14:paraId="3EA69A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56BAC63">
            <w:pPr>
              <w:pStyle w:val="45"/>
              <w:spacing w:beforeLines="0" w:afterLines="0" w:line="240" w:lineRule="auto"/>
              <w:rPr>
                <w:rFonts w:ascii="Times New Roman"/>
                <w:snapToGrid w:val="0"/>
                <w:color w:val="auto"/>
                <w:kern w:val="21"/>
                <w:szCs w:val="21"/>
              </w:rPr>
            </w:pPr>
          </w:p>
        </w:tc>
        <w:tc>
          <w:tcPr>
            <w:tcW w:w="1417" w:type="dxa"/>
            <w:noWrap w:val="0"/>
            <w:vAlign w:val="center"/>
          </w:tcPr>
          <w:p w14:paraId="1DECA5C5">
            <w:pPr>
              <w:contextualSpacing/>
              <w:jc w:val="center"/>
              <w:rPr>
                <w:snapToGrid w:val="0"/>
                <w:color w:val="auto"/>
                <w:kern w:val="21"/>
                <w:szCs w:val="21"/>
              </w:rPr>
            </w:pPr>
            <w:r>
              <w:rPr>
                <w:color w:val="auto"/>
                <w:szCs w:val="21"/>
              </w:rPr>
              <w:t>动植物油t/a</w:t>
            </w:r>
          </w:p>
        </w:tc>
        <w:tc>
          <w:tcPr>
            <w:tcW w:w="1701" w:type="dxa"/>
            <w:noWrap w:val="0"/>
            <w:vAlign w:val="center"/>
          </w:tcPr>
          <w:p w14:paraId="0A71EC5A">
            <w:pPr>
              <w:adjustRightInd w:val="0"/>
              <w:snapToGrid w:val="0"/>
              <w:jc w:val="center"/>
              <w:rPr>
                <w:snapToGrid w:val="0"/>
                <w:color w:val="auto"/>
                <w:kern w:val="21"/>
                <w:sz w:val="21"/>
                <w:szCs w:val="21"/>
              </w:rPr>
            </w:pPr>
            <w:r>
              <w:rPr>
                <w:rFonts w:hint="eastAsia" w:ascii="Times New Roman" w:hAnsi="Times New Roman" w:eastAsia="宋体" w:cs="Times New Roman"/>
                <w:color w:val="auto"/>
                <w:kern w:val="0"/>
                <w:szCs w:val="21"/>
                <w:lang w:val="en-US" w:eastAsia="zh-CN"/>
              </w:rPr>
              <w:t xml:space="preserve">0.0226 </w:t>
            </w:r>
          </w:p>
        </w:tc>
        <w:tc>
          <w:tcPr>
            <w:tcW w:w="1276" w:type="dxa"/>
            <w:noWrap w:val="0"/>
            <w:vAlign w:val="center"/>
          </w:tcPr>
          <w:p w14:paraId="4215D3EF">
            <w:pPr>
              <w:adjustRightInd w:val="0"/>
              <w:snapToGrid w:val="0"/>
              <w:jc w:val="center"/>
              <w:rPr>
                <w:snapToGrid w:val="0"/>
                <w:color w:val="auto"/>
                <w:kern w:val="21"/>
                <w:sz w:val="21"/>
                <w:szCs w:val="21"/>
                <w:lang w:val="en-US" w:eastAsia="zh-CN" w:bidi="ar-SA"/>
              </w:rPr>
            </w:pPr>
            <w:r>
              <w:rPr>
                <w:rFonts w:hint="eastAsia" w:ascii="Times New Roman" w:hAnsi="Times New Roman" w:eastAsia="宋体" w:cs="Times New Roman"/>
                <w:color w:val="auto"/>
                <w:kern w:val="0"/>
                <w:szCs w:val="21"/>
                <w:lang w:val="en-US" w:eastAsia="zh-CN"/>
              </w:rPr>
              <w:t xml:space="preserve">0.0226 </w:t>
            </w:r>
          </w:p>
        </w:tc>
        <w:tc>
          <w:tcPr>
            <w:tcW w:w="1701" w:type="dxa"/>
            <w:noWrap w:val="0"/>
            <w:vAlign w:val="center"/>
          </w:tcPr>
          <w:p w14:paraId="5B375FCA">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0</w:t>
            </w:r>
          </w:p>
        </w:tc>
        <w:tc>
          <w:tcPr>
            <w:tcW w:w="1559" w:type="dxa"/>
            <w:noWrap w:val="0"/>
            <w:vAlign w:val="center"/>
          </w:tcPr>
          <w:p w14:paraId="5820CADE">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0.0109 </w:t>
            </w:r>
          </w:p>
        </w:tc>
        <w:tc>
          <w:tcPr>
            <w:tcW w:w="1761" w:type="dxa"/>
            <w:noWrap w:val="0"/>
            <w:vAlign w:val="center"/>
          </w:tcPr>
          <w:p w14:paraId="1D92C6FD">
            <w:pPr>
              <w:widowControl/>
              <w:adjustRightInd w:val="0"/>
              <w:snapToGrid w:val="0"/>
              <w:spacing w:line="240" w:lineRule="exact"/>
              <w:contextualSpacing/>
              <w:jc w:val="center"/>
              <w:rPr>
                <w:snapToGrid w:val="0"/>
                <w:color w:val="auto"/>
                <w:kern w:val="21"/>
                <w:szCs w:val="21"/>
              </w:rPr>
            </w:pPr>
            <w:r>
              <w:rPr>
                <w:color w:val="auto"/>
                <w:szCs w:val="21"/>
              </w:rPr>
              <w:t>0</w:t>
            </w:r>
          </w:p>
        </w:tc>
        <w:tc>
          <w:tcPr>
            <w:tcW w:w="1648" w:type="dxa"/>
            <w:noWrap w:val="0"/>
            <w:vAlign w:val="center"/>
          </w:tcPr>
          <w:p w14:paraId="489549CD">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0.0335</w:t>
            </w:r>
          </w:p>
        </w:tc>
        <w:tc>
          <w:tcPr>
            <w:tcW w:w="1137" w:type="dxa"/>
            <w:noWrap w:val="0"/>
            <w:vAlign w:val="center"/>
          </w:tcPr>
          <w:p w14:paraId="5EC8AD66">
            <w:pPr>
              <w:adjustRightInd w:val="0"/>
              <w:snapToGrid w:val="0"/>
              <w:jc w:val="center"/>
              <w:rPr>
                <w:snapToGrid w:val="0"/>
                <w:color w:val="auto"/>
                <w:kern w:val="21"/>
                <w:szCs w:val="21"/>
              </w:rPr>
            </w:pPr>
            <w:r>
              <w:rPr>
                <w:rFonts w:hint="eastAsia" w:ascii="Times New Roman" w:hAnsi="Times New Roman" w:eastAsia="宋体" w:cs="Times New Roman"/>
                <w:color w:val="auto"/>
                <w:kern w:val="0"/>
                <w:szCs w:val="21"/>
                <w:lang w:val="en-US" w:eastAsia="zh-CN"/>
              </w:rPr>
              <w:t xml:space="preserve">+0.0109 </w:t>
            </w:r>
          </w:p>
        </w:tc>
      </w:tr>
      <w:tr w14:paraId="2B186A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2BAC663E">
            <w:pPr>
              <w:pStyle w:val="45"/>
              <w:spacing w:beforeLines="0" w:afterLines="0" w:line="240" w:lineRule="auto"/>
              <w:rPr>
                <w:rFonts w:ascii="Times New Roman"/>
                <w:snapToGrid w:val="0"/>
                <w:color w:val="auto"/>
                <w:kern w:val="21"/>
                <w:szCs w:val="21"/>
              </w:rPr>
            </w:pPr>
          </w:p>
          <w:p w14:paraId="1B144DF5">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7701E58D">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noWrap w:val="0"/>
            <w:vAlign w:val="center"/>
          </w:tcPr>
          <w:p w14:paraId="11B6F150">
            <w:pPr>
              <w:contextualSpacing/>
              <w:jc w:val="center"/>
              <w:rPr>
                <w:snapToGrid w:val="0"/>
                <w:color w:val="auto"/>
                <w:kern w:val="21"/>
                <w:szCs w:val="21"/>
              </w:rPr>
            </w:pPr>
            <w:r>
              <w:rPr>
                <w:color w:val="auto"/>
                <w:szCs w:val="21"/>
              </w:rPr>
              <w:t>生活垃圾t/a</w:t>
            </w:r>
          </w:p>
        </w:tc>
        <w:tc>
          <w:tcPr>
            <w:tcW w:w="1701" w:type="dxa"/>
            <w:noWrap w:val="0"/>
            <w:vAlign w:val="center"/>
          </w:tcPr>
          <w:p w14:paraId="708B22C4">
            <w:pPr>
              <w:pStyle w:val="45"/>
              <w:spacing w:before="24" w:after="24" w:line="240" w:lineRule="auto"/>
              <w:rPr>
                <w:rFonts w:ascii="Times New Roman"/>
                <w:snapToGrid w:val="0"/>
                <w:color w:val="auto"/>
                <w:kern w:val="21"/>
                <w:szCs w:val="21"/>
              </w:rPr>
            </w:pPr>
            <w:r>
              <w:rPr>
                <w:rFonts w:hint="eastAsia" w:ascii="Times New Roman"/>
                <w:b w:val="0"/>
                <w:bCs w:val="0"/>
                <w:color w:val="auto"/>
                <w:szCs w:val="21"/>
                <w:lang w:val="en-US" w:eastAsia="zh-CN" w:bidi="ar"/>
              </w:rPr>
              <w:t>82.13</w:t>
            </w:r>
          </w:p>
        </w:tc>
        <w:tc>
          <w:tcPr>
            <w:tcW w:w="1276" w:type="dxa"/>
            <w:noWrap w:val="0"/>
            <w:vAlign w:val="center"/>
          </w:tcPr>
          <w:p w14:paraId="04F2EE3D">
            <w:pPr>
              <w:pStyle w:val="45"/>
              <w:spacing w:before="24" w:after="24" w:line="240" w:lineRule="auto"/>
              <w:rPr>
                <w:rFonts w:ascii="Times New Roman"/>
                <w:snapToGrid w:val="0"/>
                <w:color w:val="auto"/>
                <w:kern w:val="21"/>
                <w:szCs w:val="21"/>
              </w:rPr>
            </w:pPr>
            <w:r>
              <w:rPr>
                <w:rFonts w:hint="eastAsia" w:ascii="Times New Roman"/>
                <w:b w:val="0"/>
                <w:bCs w:val="0"/>
                <w:color w:val="auto"/>
                <w:szCs w:val="21"/>
                <w:lang w:val="en-US" w:eastAsia="zh-CN" w:bidi="ar"/>
              </w:rPr>
              <w:t>82.13</w:t>
            </w:r>
          </w:p>
        </w:tc>
        <w:tc>
          <w:tcPr>
            <w:tcW w:w="1701" w:type="dxa"/>
            <w:noWrap w:val="0"/>
            <w:vAlign w:val="center"/>
          </w:tcPr>
          <w:p w14:paraId="13596947">
            <w:pPr>
              <w:widowControl/>
              <w:adjustRightInd w:val="0"/>
              <w:snapToGrid w:val="0"/>
              <w:contextualSpacing/>
              <w:jc w:val="center"/>
              <w:rPr>
                <w:snapToGrid w:val="0"/>
                <w:color w:val="auto"/>
                <w:kern w:val="21"/>
                <w:szCs w:val="21"/>
              </w:rPr>
            </w:pPr>
            <w:r>
              <w:rPr>
                <w:color w:val="auto"/>
                <w:szCs w:val="21"/>
              </w:rPr>
              <w:t>0</w:t>
            </w:r>
          </w:p>
        </w:tc>
        <w:tc>
          <w:tcPr>
            <w:tcW w:w="1559" w:type="dxa"/>
            <w:noWrap w:val="0"/>
            <w:vAlign w:val="center"/>
          </w:tcPr>
          <w:p w14:paraId="1FBA0E3B">
            <w:pPr>
              <w:spacing w:line="240" w:lineRule="exact"/>
              <w:contextualSpacing/>
              <w:jc w:val="center"/>
              <w:rPr>
                <w:rFonts w:hint="default"/>
                <w:snapToGrid w:val="0"/>
                <w:color w:val="auto"/>
                <w:kern w:val="21"/>
                <w:szCs w:val="21"/>
                <w:lang w:val="en-US"/>
              </w:rPr>
            </w:pPr>
            <w:r>
              <w:rPr>
                <w:rFonts w:hint="eastAsia"/>
                <w:color w:val="auto"/>
                <w:szCs w:val="21"/>
                <w:lang w:val="en-US" w:eastAsia="zh-CN"/>
              </w:rPr>
              <w:t>40.15</w:t>
            </w:r>
          </w:p>
        </w:tc>
        <w:tc>
          <w:tcPr>
            <w:tcW w:w="1761" w:type="dxa"/>
            <w:noWrap w:val="0"/>
            <w:vAlign w:val="center"/>
          </w:tcPr>
          <w:p w14:paraId="438F4DE5">
            <w:pPr>
              <w:widowControl/>
              <w:adjustRightInd w:val="0"/>
              <w:snapToGrid w:val="0"/>
              <w:contextualSpacing/>
              <w:jc w:val="center"/>
              <w:rPr>
                <w:snapToGrid w:val="0"/>
                <w:color w:val="auto"/>
                <w:kern w:val="21"/>
                <w:szCs w:val="21"/>
              </w:rPr>
            </w:pPr>
            <w:r>
              <w:rPr>
                <w:color w:val="auto"/>
                <w:szCs w:val="21"/>
              </w:rPr>
              <w:t>0</w:t>
            </w:r>
          </w:p>
        </w:tc>
        <w:tc>
          <w:tcPr>
            <w:tcW w:w="1648" w:type="dxa"/>
            <w:noWrap w:val="0"/>
            <w:vAlign w:val="center"/>
          </w:tcPr>
          <w:p w14:paraId="37159DEE">
            <w:pPr>
              <w:spacing w:line="240" w:lineRule="exact"/>
              <w:contextualSpacing/>
              <w:jc w:val="center"/>
              <w:rPr>
                <w:snapToGrid w:val="0"/>
                <w:color w:val="auto"/>
                <w:kern w:val="21"/>
                <w:szCs w:val="21"/>
              </w:rPr>
            </w:pPr>
            <w:r>
              <w:rPr>
                <w:rFonts w:hint="eastAsia" w:cs="Times New Roman"/>
                <w:color w:val="auto"/>
                <w:szCs w:val="21"/>
                <w:lang w:val="en-US" w:eastAsia="zh-CN"/>
              </w:rPr>
              <w:t>122.28</w:t>
            </w:r>
          </w:p>
        </w:tc>
        <w:tc>
          <w:tcPr>
            <w:tcW w:w="1137" w:type="dxa"/>
            <w:noWrap w:val="0"/>
            <w:vAlign w:val="center"/>
          </w:tcPr>
          <w:p w14:paraId="25AA01AD">
            <w:pPr>
              <w:spacing w:line="240" w:lineRule="exact"/>
              <w:contextualSpacing/>
              <w:jc w:val="center"/>
              <w:rPr>
                <w:snapToGrid w:val="0"/>
                <w:color w:val="auto"/>
                <w:kern w:val="21"/>
                <w:szCs w:val="21"/>
              </w:rPr>
            </w:pPr>
            <w:r>
              <w:rPr>
                <w:rFonts w:hint="eastAsia"/>
                <w:color w:val="auto"/>
                <w:szCs w:val="21"/>
                <w:lang w:val="en-US" w:eastAsia="zh-CN"/>
              </w:rPr>
              <w:t>+40.15</w:t>
            </w:r>
          </w:p>
        </w:tc>
      </w:tr>
      <w:tr w14:paraId="3494F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038C66DC">
            <w:pPr>
              <w:pStyle w:val="45"/>
              <w:spacing w:beforeLines="0" w:afterLines="0" w:line="240" w:lineRule="auto"/>
              <w:rPr>
                <w:rFonts w:ascii="Times New Roman"/>
                <w:snapToGrid w:val="0"/>
                <w:color w:val="auto"/>
                <w:kern w:val="21"/>
                <w:szCs w:val="21"/>
              </w:rPr>
            </w:pPr>
          </w:p>
        </w:tc>
        <w:tc>
          <w:tcPr>
            <w:tcW w:w="1417" w:type="dxa"/>
            <w:noWrap w:val="0"/>
            <w:vAlign w:val="center"/>
          </w:tcPr>
          <w:p w14:paraId="451431AE">
            <w:pPr>
              <w:contextualSpacing/>
              <w:jc w:val="center"/>
              <w:rPr>
                <w:snapToGrid w:val="0"/>
                <w:color w:val="auto"/>
                <w:kern w:val="21"/>
                <w:szCs w:val="21"/>
              </w:rPr>
            </w:pPr>
            <w:r>
              <w:rPr>
                <w:rFonts w:hint="default"/>
                <w:color w:val="auto"/>
                <w:szCs w:val="21"/>
                <w:lang w:eastAsia="zh-CN"/>
              </w:rPr>
              <w:t>无毒无害包装材料</w:t>
            </w:r>
          </w:p>
        </w:tc>
        <w:tc>
          <w:tcPr>
            <w:tcW w:w="1701" w:type="dxa"/>
            <w:noWrap w:val="0"/>
            <w:vAlign w:val="center"/>
          </w:tcPr>
          <w:p w14:paraId="036F9AF8">
            <w:pPr>
              <w:pStyle w:val="45"/>
              <w:spacing w:before="24" w:after="24"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0.1</w:t>
            </w:r>
          </w:p>
        </w:tc>
        <w:tc>
          <w:tcPr>
            <w:tcW w:w="1276" w:type="dxa"/>
            <w:noWrap w:val="0"/>
            <w:vAlign w:val="center"/>
          </w:tcPr>
          <w:p w14:paraId="607D8C2F">
            <w:pPr>
              <w:pStyle w:val="45"/>
              <w:spacing w:before="24" w:after="24"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0.1</w:t>
            </w:r>
          </w:p>
        </w:tc>
        <w:tc>
          <w:tcPr>
            <w:tcW w:w="1701" w:type="dxa"/>
            <w:noWrap w:val="0"/>
            <w:vAlign w:val="center"/>
          </w:tcPr>
          <w:p w14:paraId="78F25BDC">
            <w:pPr>
              <w:widowControl/>
              <w:adjustRightInd w:val="0"/>
              <w:snapToGrid w:val="0"/>
              <w:contextualSpacing/>
              <w:jc w:val="center"/>
              <w:rPr>
                <w:snapToGrid w:val="0"/>
                <w:color w:val="auto"/>
                <w:kern w:val="21"/>
                <w:szCs w:val="21"/>
              </w:rPr>
            </w:pPr>
            <w:r>
              <w:rPr>
                <w:color w:val="auto"/>
                <w:szCs w:val="21"/>
              </w:rPr>
              <w:t>0</w:t>
            </w:r>
          </w:p>
        </w:tc>
        <w:tc>
          <w:tcPr>
            <w:tcW w:w="1559" w:type="dxa"/>
            <w:noWrap w:val="0"/>
            <w:vAlign w:val="center"/>
          </w:tcPr>
          <w:p w14:paraId="0BD86936">
            <w:pPr>
              <w:spacing w:line="240" w:lineRule="exact"/>
              <w:contextualSpacing/>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0.05</w:t>
            </w:r>
          </w:p>
        </w:tc>
        <w:tc>
          <w:tcPr>
            <w:tcW w:w="1761" w:type="dxa"/>
            <w:noWrap w:val="0"/>
            <w:vAlign w:val="center"/>
          </w:tcPr>
          <w:p w14:paraId="3ACD306F">
            <w:pPr>
              <w:widowControl/>
              <w:adjustRightInd w:val="0"/>
              <w:snapToGrid w:val="0"/>
              <w:contextualSpacing/>
              <w:jc w:val="center"/>
              <w:rPr>
                <w:snapToGrid w:val="0"/>
                <w:color w:val="auto"/>
                <w:kern w:val="21"/>
                <w:szCs w:val="21"/>
              </w:rPr>
            </w:pPr>
            <w:r>
              <w:rPr>
                <w:color w:val="auto"/>
                <w:szCs w:val="21"/>
              </w:rPr>
              <w:t>0</w:t>
            </w:r>
          </w:p>
        </w:tc>
        <w:tc>
          <w:tcPr>
            <w:tcW w:w="1648" w:type="dxa"/>
            <w:noWrap w:val="0"/>
            <w:vAlign w:val="center"/>
          </w:tcPr>
          <w:p w14:paraId="0539FCA9">
            <w:pPr>
              <w:spacing w:line="240" w:lineRule="exact"/>
              <w:contextualSpacing/>
              <w:jc w:val="center"/>
              <w:rPr>
                <w:snapToGrid w:val="0"/>
                <w:color w:val="auto"/>
                <w:kern w:val="21"/>
                <w:szCs w:val="21"/>
              </w:rPr>
            </w:pPr>
            <w:r>
              <w:rPr>
                <w:rFonts w:hint="eastAsia" w:cs="Times New Roman"/>
                <w:color w:val="auto"/>
                <w:szCs w:val="21"/>
                <w:lang w:val="en-US" w:eastAsia="zh-CN"/>
              </w:rPr>
              <w:t>0.15</w:t>
            </w:r>
          </w:p>
        </w:tc>
        <w:tc>
          <w:tcPr>
            <w:tcW w:w="1137" w:type="dxa"/>
            <w:noWrap w:val="0"/>
            <w:vAlign w:val="center"/>
          </w:tcPr>
          <w:p w14:paraId="281A6093">
            <w:pPr>
              <w:spacing w:line="240" w:lineRule="exact"/>
              <w:contextualSpacing/>
              <w:jc w:val="center"/>
              <w:rPr>
                <w:rFonts w:hint="default" w:eastAsia="宋体"/>
                <w:snapToGrid w:val="0"/>
                <w:color w:val="auto"/>
                <w:kern w:val="21"/>
                <w:szCs w:val="21"/>
                <w:lang w:val="en-US" w:eastAsia="zh-CN"/>
              </w:rPr>
            </w:pPr>
            <w:r>
              <w:rPr>
                <w:rFonts w:hint="eastAsia"/>
                <w:color w:val="auto"/>
                <w:szCs w:val="21"/>
                <w:lang w:val="en-US" w:eastAsia="zh-CN"/>
              </w:rPr>
              <w:t>+0.05</w:t>
            </w:r>
          </w:p>
        </w:tc>
      </w:tr>
      <w:tr w14:paraId="31433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75F9A0AB">
            <w:pPr>
              <w:pStyle w:val="45"/>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noWrap w:val="0"/>
            <w:vAlign w:val="center"/>
          </w:tcPr>
          <w:p w14:paraId="74EBF269">
            <w:pPr>
              <w:pStyle w:val="45"/>
              <w:spacing w:before="24" w:after="24" w:line="240" w:lineRule="auto"/>
              <w:rPr>
                <w:rFonts w:ascii="Times New Roman"/>
                <w:snapToGrid w:val="0"/>
                <w:color w:val="auto"/>
                <w:kern w:val="21"/>
                <w:szCs w:val="21"/>
              </w:rPr>
            </w:pPr>
            <w:r>
              <w:rPr>
                <w:rFonts w:ascii="Times New Roman"/>
                <w:color w:val="auto"/>
                <w:szCs w:val="21"/>
              </w:rPr>
              <w:t>废活性炭t/a</w:t>
            </w:r>
          </w:p>
        </w:tc>
        <w:tc>
          <w:tcPr>
            <w:tcW w:w="1701" w:type="dxa"/>
            <w:noWrap w:val="0"/>
            <w:vAlign w:val="center"/>
          </w:tcPr>
          <w:p w14:paraId="7B2C358A">
            <w:pPr>
              <w:pStyle w:val="45"/>
              <w:spacing w:before="24" w:after="24" w:line="240" w:lineRule="auto"/>
              <w:rPr>
                <w:rFonts w:hint="default" w:ascii="Times New Roman" w:eastAsia="宋体"/>
                <w:snapToGrid w:val="0"/>
                <w:color w:val="auto"/>
                <w:kern w:val="21"/>
                <w:szCs w:val="21"/>
                <w:lang w:val="en-US" w:eastAsia="zh-CN"/>
              </w:rPr>
            </w:pPr>
            <w:r>
              <w:rPr>
                <w:rFonts w:hint="eastAsia" w:ascii="Times New Roman"/>
                <w:color w:val="auto"/>
                <w:szCs w:val="21"/>
                <w:lang w:val="en-US" w:eastAsia="zh-CN" w:bidi="ar"/>
              </w:rPr>
              <w:t>0</w:t>
            </w:r>
          </w:p>
        </w:tc>
        <w:tc>
          <w:tcPr>
            <w:tcW w:w="1276" w:type="dxa"/>
            <w:noWrap w:val="0"/>
            <w:vAlign w:val="center"/>
          </w:tcPr>
          <w:p w14:paraId="52957E19">
            <w:pPr>
              <w:pStyle w:val="45"/>
              <w:spacing w:before="24" w:after="24" w:line="240" w:lineRule="auto"/>
              <w:rPr>
                <w:rFonts w:hint="default" w:ascii="Times New Roman" w:eastAsia="宋体"/>
                <w:snapToGrid w:val="0"/>
                <w:color w:val="auto"/>
                <w:kern w:val="21"/>
                <w:szCs w:val="21"/>
                <w:lang w:val="en-US" w:eastAsia="zh-CN"/>
              </w:rPr>
            </w:pPr>
            <w:r>
              <w:rPr>
                <w:rFonts w:hint="eastAsia" w:ascii="Times New Roman"/>
                <w:color w:val="auto"/>
                <w:szCs w:val="21"/>
                <w:lang w:val="en-US" w:eastAsia="zh-CN" w:bidi="ar"/>
              </w:rPr>
              <w:t>0</w:t>
            </w:r>
          </w:p>
        </w:tc>
        <w:tc>
          <w:tcPr>
            <w:tcW w:w="1701" w:type="dxa"/>
            <w:noWrap w:val="0"/>
            <w:vAlign w:val="center"/>
          </w:tcPr>
          <w:p w14:paraId="42979275">
            <w:pPr>
              <w:widowControl/>
              <w:adjustRightInd w:val="0"/>
              <w:snapToGrid w:val="0"/>
              <w:contextualSpacing/>
              <w:jc w:val="center"/>
              <w:rPr>
                <w:snapToGrid w:val="0"/>
                <w:color w:val="auto"/>
                <w:kern w:val="21"/>
                <w:szCs w:val="21"/>
              </w:rPr>
            </w:pPr>
            <w:r>
              <w:rPr>
                <w:color w:val="auto"/>
                <w:szCs w:val="21"/>
              </w:rPr>
              <w:t>0</w:t>
            </w:r>
          </w:p>
        </w:tc>
        <w:tc>
          <w:tcPr>
            <w:tcW w:w="1559" w:type="dxa"/>
            <w:noWrap w:val="0"/>
            <w:vAlign w:val="center"/>
          </w:tcPr>
          <w:p w14:paraId="77141A72">
            <w:pPr>
              <w:spacing w:line="240" w:lineRule="exact"/>
              <w:contextualSpacing/>
              <w:jc w:val="center"/>
              <w:rPr>
                <w:rFonts w:hint="default" w:eastAsia="宋体"/>
                <w:snapToGrid w:val="0"/>
                <w:color w:val="auto"/>
                <w:kern w:val="21"/>
                <w:szCs w:val="21"/>
                <w:lang w:val="en-US" w:eastAsia="zh-CN"/>
              </w:rPr>
            </w:pPr>
            <w:r>
              <w:rPr>
                <w:rFonts w:hint="eastAsia"/>
                <w:color w:val="auto"/>
                <w:szCs w:val="21"/>
                <w:lang w:val="en-US" w:eastAsia="zh-CN"/>
              </w:rPr>
              <w:t>0.5</w:t>
            </w:r>
          </w:p>
        </w:tc>
        <w:tc>
          <w:tcPr>
            <w:tcW w:w="1761" w:type="dxa"/>
            <w:noWrap w:val="0"/>
            <w:vAlign w:val="center"/>
          </w:tcPr>
          <w:p w14:paraId="277873AA">
            <w:pPr>
              <w:widowControl/>
              <w:adjustRightInd w:val="0"/>
              <w:snapToGrid w:val="0"/>
              <w:contextualSpacing/>
              <w:jc w:val="center"/>
              <w:rPr>
                <w:snapToGrid w:val="0"/>
                <w:color w:val="auto"/>
                <w:kern w:val="21"/>
                <w:szCs w:val="21"/>
              </w:rPr>
            </w:pPr>
            <w:r>
              <w:rPr>
                <w:color w:val="auto"/>
                <w:szCs w:val="21"/>
              </w:rPr>
              <w:t>0</w:t>
            </w:r>
          </w:p>
        </w:tc>
        <w:tc>
          <w:tcPr>
            <w:tcW w:w="1648" w:type="dxa"/>
            <w:noWrap w:val="0"/>
            <w:vAlign w:val="center"/>
          </w:tcPr>
          <w:p w14:paraId="23B83C73">
            <w:pPr>
              <w:spacing w:line="240" w:lineRule="exact"/>
              <w:contextualSpacing/>
              <w:jc w:val="center"/>
              <w:rPr>
                <w:rFonts w:hint="default" w:eastAsia="宋体"/>
                <w:snapToGrid w:val="0"/>
                <w:color w:val="auto"/>
                <w:kern w:val="21"/>
                <w:szCs w:val="21"/>
                <w:lang w:val="en-US" w:eastAsia="zh-CN"/>
              </w:rPr>
            </w:pPr>
            <w:r>
              <w:rPr>
                <w:rFonts w:hint="eastAsia" w:cs="Times New Roman"/>
                <w:color w:val="auto"/>
                <w:szCs w:val="21"/>
                <w:lang w:val="en-US" w:eastAsia="zh-CN"/>
              </w:rPr>
              <w:t>0.5</w:t>
            </w:r>
          </w:p>
        </w:tc>
        <w:tc>
          <w:tcPr>
            <w:tcW w:w="1137" w:type="dxa"/>
            <w:noWrap w:val="0"/>
            <w:vAlign w:val="center"/>
          </w:tcPr>
          <w:p w14:paraId="51220B07">
            <w:pPr>
              <w:spacing w:line="240" w:lineRule="exact"/>
              <w:contextualSpacing/>
              <w:jc w:val="center"/>
              <w:rPr>
                <w:snapToGrid w:val="0"/>
                <w:color w:val="auto"/>
                <w:kern w:val="21"/>
                <w:szCs w:val="21"/>
              </w:rPr>
            </w:pPr>
            <w:r>
              <w:rPr>
                <w:rFonts w:hint="eastAsia"/>
                <w:color w:val="auto"/>
                <w:szCs w:val="21"/>
                <w:lang w:val="en-US" w:eastAsia="zh-CN"/>
              </w:rPr>
              <w:t>+0</w:t>
            </w:r>
            <w:r>
              <w:rPr>
                <w:color w:val="auto"/>
                <w:szCs w:val="21"/>
              </w:rPr>
              <w:t>.5</w:t>
            </w:r>
          </w:p>
        </w:tc>
      </w:tr>
      <w:tr w14:paraId="151D9A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585E7259">
            <w:pPr>
              <w:pStyle w:val="45"/>
              <w:spacing w:beforeLines="0" w:afterLines="0" w:line="240" w:lineRule="auto"/>
              <w:rPr>
                <w:rFonts w:ascii="Times New Roman"/>
                <w:snapToGrid w:val="0"/>
                <w:color w:val="auto"/>
                <w:kern w:val="21"/>
                <w:szCs w:val="21"/>
              </w:rPr>
            </w:pPr>
          </w:p>
        </w:tc>
        <w:tc>
          <w:tcPr>
            <w:tcW w:w="1417" w:type="dxa"/>
            <w:noWrap w:val="0"/>
            <w:vAlign w:val="center"/>
          </w:tcPr>
          <w:p w14:paraId="55852532">
            <w:pPr>
              <w:pStyle w:val="45"/>
              <w:spacing w:before="24" w:after="24" w:line="240" w:lineRule="auto"/>
              <w:rPr>
                <w:rFonts w:ascii="Times New Roman"/>
                <w:snapToGrid w:val="0"/>
                <w:color w:val="auto"/>
                <w:kern w:val="21"/>
                <w:szCs w:val="21"/>
              </w:rPr>
            </w:pPr>
            <w:r>
              <w:rPr>
                <w:rFonts w:ascii="Times New Roman"/>
                <w:color w:val="auto"/>
                <w:szCs w:val="21"/>
              </w:rPr>
              <w:t>医疗废物t/a</w:t>
            </w:r>
          </w:p>
        </w:tc>
        <w:tc>
          <w:tcPr>
            <w:tcW w:w="1701" w:type="dxa"/>
            <w:noWrap w:val="0"/>
            <w:vAlign w:val="center"/>
          </w:tcPr>
          <w:p w14:paraId="3EEA0DFF">
            <w:pPr>
              <w:pStyle w:val="45"/>
              <w:spacing w:before="24" w:after="24" w:line="240" w:lineRule="auto"/>
              <w:rPr>
                <w:rFonts w:hint="default" w:ascii="Times New Roman"/>
                <w:snapToGrid w:val="0"/>
                <w:color w:val="auto"/>
                <w:kern w:val="21"/>
                <w:szCs w:val="21"/>
                <w:lang w:val="en-US"/>
              </w:rPr>
            </w:pPr>
            <w:r>
              <w:rPr>
                <w:rFonts w:hint="eastAsia" w:ascii="Times New Roman"/>
                <w:color w:val="auto"/>
                <w:szCs w:val="21"/>
                <w:lang w:val="en-US" w:eastAsia="zh-CN" w:bidi="ar"/>
              </w:rPr>
              <w:t>23.7</w:t>
            </w:r>
          </w:p>
        </w:tc>
        <w:tc>
          <w:tcPr>
            <w:tcW w:w="1276" w:type="dxa"/>
            <w:noWrap w:val="0"/>
            <w:vAlign w:val="center"/>
          </w:tcPr>
          <w:p w14:paraId="20B5EE41">
            <w:pPr>
              <w:pStyle w:val="45"/>
              <w:spacing w:before="24" w:after="24" w:line="240" w:lineRule="auto"/>
              <w:rPr>
                <w:rFonts w:ascii="Times New Roman"/>
                <w:snapToGrid w:val="0"/>
                <w:color w:val="auto"/>
                <w:kern w:val="21"/>
                <w:szCs w:val="21"/>
              </w:rPr>
            </w:pPr>
            <w:r>
              <w:rPr>
                <w:rFonts w:hint="eastAsia" w:ascii="Times New Roman"/>
                <w:color w:val="auto"/>
                <w:szCs w:val="21"/>
                <w:lang w:val="en-US" w:eastAsia="zh-CN" w:bidi="ar"/>
              </w:rPr>
              <w:t>23.7</w:t>
            </w:r>
          </w:p>
        </w:tc>
        <w:tc>
          <w:tcPr>
            <w:tcW w:w="1701" w:type="dxa"/>
            <w:noWrap w:val="0"/>
            <w:vAlign w:val="center"/>
          </w:tcPr>
          <w:p w14:paraId="20034171">
            <w:pPr>
              <w:widowControl/>
              <w:adjustRightInd w:val="0"/>
              <w:snapToGrid w:val="0"/>
              <w:contextualSpacing/>
              <w:jc w:val="center"/>
              <w:rPr>
                <w:snapToGrid w:val="0"/>
                <w:color w:val="auto"/>
                <w:kern w:val="21"/>
                <w:szCs w:val="21"/>
              </w:rPr>
            </w:pPr>
            <w:r>
              <w:rPr>
                <w:color w:val="auto"/>
                <w:szCs w:val="21"/>
              </w:rPr>
              <w:t>0</w:t>
            </w:r>
          </w:p>
        </w:tc>
        <w:tc>
          <w:tcPr>
            <w:tcW w:w="1559" w:type="dxa"/>
            <w:noWrap w:val="0"/>
            <w:vAlign w:val="center"/>
          </w:tcPr>
          <w:p w14:paraId="515A2A8A">
            <w:pPr>
              <w:spacing w:line="240" w:lineRule="exact"/>
              <w:contextualSpacing/>
              <w:jc w:val="center"/>
              <w:rPr>
                <w:rFonts w:hint="default"/>
                <w:snapToGrid w:val="0"/>
                <w:color w:val="auto"/>
                <w:kern w:val="21"/>
                <w:szCs w:val="21"/>
                <w:lang w:val="en-US"/>
              </w:rPr>
            </w:pPr>
            <w:r>
              <w:rPr>
                <w:rFonts w:hint="eastAsia"/>
                <w:color w:val="auto"/>
                <w:szCs w:val="21"/>
                <w:lang w:val="en-US" w:eastAsia="zh-CN"/>
              </w:rPr>
              <w:t>14.6</w:t>
            </w:r>
          </w:p>
        </w:tc>
        <w:tc>
          <w:tcPr>
            <w:tcW w:w="1761" w:type="dxa"/>
            <w:noWrap w:val="0"/>
            <w:vAlign w:val="center"/>
          </w:tcPr>
          <w:p w14:paraId="33989B0B">
            <w:pPr>
              <w:widowControl/>
              <w:adjustRightInd w:val="0"/>
              <w:snapToGrid w:val="0"/>
              <w:contextualSpacing/>
              <w:jc w:val="center"/>
              <w:rPr>
                <w:snapToGrid w:val="0"/>
                <w:color w:val="auto"/>
                <w:kern w:val="21"/>
                <w:szCs w:val="21"/>
              </w:rPr>
            </w:pPr>
            <w:r>
              <w:rPr>
                <w:color w:val="auto"/>
                <w:szCs w:val="21"/>
              </w:rPr>
              <w:t>0</w:t>
            </w:r>
          </w:p>
        </w:tc>
        <w:tc>
          <w:tcPr>
            <w:tcW w:w="1648" w:type="dxa"/>
            <w:noWrap w:val="0"/>
            <w:vAlign w:val="center"/>
          </w:tcPr>
          <w:p w14:paraId="4FA46EFC">
            <w:pPr>
              <w:spacing w:line="240" w:lineRule="exact"/>
              <w:contextualSpacing/>
              <w:jc w:val="center"/>
              <w:rPr>
                <w:snapToGrid w:val="0"/>
                <w:color w:val="auto"/>
                <w:kern w:val="21"/>
                <w:szCs w:val="21"/>
              </w:rPr>
            </w:pPr>
            <w:r>
              <w:rPr>
                <w:rFonts w:hint="eastAsia" w:cs="Times New Roman"/>
                <w:color w:val="auto"/>
                <w:szCs w:val="21"/>
                <w:lang w:val="en-US" w:eastAsia="zh-CN"/>
              </w:rPr>
              <w:t>38.3</w:t>
            </w:r>
          </w:p>
        </w:tc>
        <w:tc>
          <w:tcPr>
            <w:tcW w:w="1137" w:type="dxa"/>
            <w:noWrap w:val="0"/>
            <w:vAlign w:val="center"/>
          </w:tcPr>
          <w:p w14:paraId="2D515524">
            <w:pPr>
              <w:spacing w:line="240" w:lineRule="exact"/>
              <w:contextualSpacing/>
              <w:jc w:val="center"/>
              <w:rPr>
                <w:snapToGrid w:val="0"/>
                <w:color w:val="auto"/>
                <w:kern w:val="21"/>
                <w:szCs w:val="21"/>
              </w:rPr>
            </w:pPr>
            <w:r>
              <w:rPr>
                <w:rFonts w:hint="eastAsia"/>
                <w:color w:val="auto"/>
                <w:szCs w:val="21"/>
                <w:lang w:val="en-US" w:eastAsia="zh-CN"/>
              </w:rPr>
              <w:t>+14.6</w:t>
            </w:r>
          </w:p>
        </w:tc>
      </w:tr>
      <w:tr w14:paraId="3CBC52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32082F8">
            <w:pPr>
              <w:pStyle w:val="45"/>
              <w:spacing w:beforeLines="0" w:afterLines="0" w:line="240" w:lineRule="auto"/>
              <w:rPr>
                <w:rFonts w:ascii="Times New Roman"/>
                <w:snapToGrid w:val="0"/>
                <w:color w:val="auto"/>
                <w:kern w:val="21"/>
                <w:szCs w:val="21"/>
              </w:rPr>
            </w:pPr>
          </w:p>
        </w:tc>
        <w:tc>
          <w:tcPr>
            <w:tcW w:w="1417" w:type="dxa"/>
            <w:noWrap w:val="0"/>
            <w:vAlign w:val="center"/>
          </w:tcPr>
          <w:p w14:paraId="038EB938">
            <w:pPr>
              <w:adjustRightInd w:val="0"/>
              <w:snapToGrid w:val="0"/>
              <w:jc w:val="center"/>
              <w:rPr>
                <w:snapToGrid w:val="0"/>
                <w:color w:val="auto"/>
                <w:kern w:val="21"/>
                <w:szCs w:val="21"/>
              </w:rPr>
            </w:pPr>
            <w:r>
              <w:rPr>
                <w:color w:val="auto"/>
                <w:szCs w:val="21"/>
              </w:rPr>
              <w:t>特殊废液t/a</w:t>
            </w:r>
          </w:p>
        </w:tc>
        <w:tc>
          <w:tcPr>
            <w:tcW w:w="1701" w:type="dxa"/>
            <w:noWrap w:val="0"/>
            <w:vAlign w:val="center"/>
          </w:tcPr>
          <w:p w14:paraId="5D138AC9">
            <w:pPr>
              <w:pStyle w:val="45"/>
              <w:spacing w:before="24" w:after="24" w:line="240" w:lineRule="auto"/>
              <w:rPr>
                <w:rFonts w:hint="eastAsia" w:ascii="Times New Roman" w:eastAsia="宋体"/>
                <w:snapToGrid w:val="0"/>
                <w:color w:val="auto"/>
                <w:kern w:val="21"/>
                <w:szCs w:val="21"/>
                <w:lang w:eastAsia="zh-CN"/>
              </w:rPr>
            </w:pPr>
            <w:r>
              <w:rPr>
                <w:rFonts w:ascii="Times New Roman"/>
                <w:color w:val="auto"/>
                <w:szCs w:val="21"/>
                <w:lang w:bidi="ar"/>
              </w:rPr>
              <w:t>0.</w:t>
            </w:r>
            <w:r>
              <w:rPr>
                <w:rFonts w:hint="eastAsia" w:ascii="Times New Roman"/>
                <w:color w:val="auto"/>
                <w:szCs w:val="21"/>
                <w:lang w:val="en-US" w:eastAsia="zh-CN" w:bidi="ar"/>
              </w:rPr>
              <w:t>01</w:t>
            </w:r>
          </w:p>
        </w:tc>
        <w:tc>
          <w:tcPr>
            <w:tcW w:w="1276" w:type="dxa"/>
            <w:noWrap w:val="0"/>
            <w:vAlign w:val="center"/>
          </w:tcPr>
          <w:p w14:paraId="26E46B27">
            <w:pPr>
              <w:pStyle w:val="45"/>
              <w:spacing w:before="24" w:after="24" w:line="240" w:lineRule="auto"/>
              <w:rPr>
                <w:rFonts w:hint="default" w:ascii="Times New Roman" w:eastAsia="宋体"/>
                <w:snapToGrid w:val="0"/>
                <w:color w:val="auto"/>
                <w:kern w:val="21"/>
                <w:szCs w:val="21"/>
                <w:lang w:val="en-US" w:eastAsia="zh-CN"/>
              </w:rPr>
            </w:pPr>
            <w:r>
              <w:rPr>
                <w:rFonts w:ascii="Times New Roman"/>
                <w:color w:val="auto"/>
                <w:szCs w:val="21"/>
                <w:lang w:bidi="ar"/>
              </w:rPr>
              <w:t>0.</w:t>
            </w:r>
            <w:r>
              <w:rPr>
                <w:rFonts w:hint="eastAsia" w:ascii="Times New Roman"/>
                <w:color w:val="auto"/>
                <w:szCs w:val="21"/>
                <w:lang w:val="en-US" w:eastAsia="zh-CN" w:bidi="ar"/>
              </w:rPr>
              <w:t>01</w:t>
            </w:r>
          </w:p>
        </w:tc>
        <w:tc>
          <w:tcPr>
            <w:tcW w:w="1701" w:type="dxa"/>
            <w:noWrap w:val="0"/>
            <w:vAlign w:val="center"/>
          </w:tcPr>
          <w:p w14:paraId="215F06FB">
            <w:pPr>
              <w:widowControl/>
              <w:adjustRightInd w:val="0"/>
              <w:snapToGrid w:val="0"/>
              <w:contextualSpacing/>
              <w:jc w:val="center"/>
              <w:rPr>
                <w:snapToGrid w:val="0"/>
                <w:color w:val="auto"/>
                <w:kern w:val="21"/>
                <w:szCs w:val="21"/>
              </w:rPr>
            </w:pPr>
            <w:r>
              <w:rPr>
                <w:color w:val="auto"/>
                <w:szCs w:val="21"/>
              </w:rPr>
              <w:t>0</w:t>
            </w:r>
          </w:p>
        </w:tc>
        <w:tc>
          <w:tcPr>
            <w:tcW w:w="1559" w:type="dxa"/>
            <w:noWrap w:val="0"/>
            <w:vAlign w:val="center"/>
          </w:tcPr>
          <w:p w14:paraId="19EAF48D">
            <w:pPr>
              <w:contextualSpacing/>
              <w:jc w:val="center"/>
              <w:rPr>
                <w:rFonts w:hint="default" w:eastAsia="宋体"/>
                <w:snapToGrid w:val="0"/>
                <w:color w:val="auto"/>
                <w:kern w:val="21"/>
                <w:szCs w:val="21"/>
                <w:lang w:val="en-US" w:eastAsia="zh-CN"/>
              </w:rPr>
            </w:pPr>
            <w:r>
              <w:rPr>
                <w:color w:val="auto"/>
                <w:szCs w:val="21"/>
              </w:rPr>
              <w:t>0</w:t>
            </w:r>
            <w:r>
              <w:rPr>
                <w:rFonts w:hint="eastAsia"/>
                <w:color w:val="auto"/>
                <w:szCs w:val="21"/>
                <w:lang w:val="en-US" w:eastAsia="zh-CN"/>
              </w:rPr>
              <w:t>.01</w:t>
            </w:r>
          </w:p>
        </w:tc>
        <w:tc>
          <w:tcPr>
            <w:tcW w:w="1761" w:type="dxa"/>
            <w:noWrap w:val="0"/>
            <w:vAlign w:val="center"/>
          </w:tcPr>
          <w:p w14:paraId="7D835190">
            <w:pPr>
              <w:widowControl/>
              <w:adjustRightInd w:val="0"/>
              <w:snapToGrid w:val="0"/>
              <w:contextualSpacing/>
              <w:jc w:val="center"/>
              <w:rPr>
                <w:snapToGrid w:val="0"/>
                <w:color w:val="auto"/>
                <w:kern w:val="21"/>
                <w:szCs w:val="21"/>
              </w:rPr>
            </w:pPr>
            <w:r>
              <w:rPr>
                <w:color w:val="auto"/>
                <w:szCs w:val="21"/>
              </w:rPr>
              <w:t>0</w:t>
            </w:r>
          </w:p>
        </w:tc>
        <w:tc>
          <w:tcPr>
            <w:tcW w:w="1648" w:type="dxa"/>
            <w:noWrap w:val="0"/>
            <w:vAlign w:val="center"/>
          </w:tcPr>
          <w:p w14:paraId="140CD1A4">
            <w:pPr>
              <w:spacing w:line="240" w:lineRule="exact"/>
              <w:contextualSpacing/>
              <w:jc w:val="center"/>
              <w:rPr>
                <w:rFonts w:hint="default" w:eastAsia="宋体"/>
                <w:snapToGrid w:val="0"/>
                <w:color w:val="auto"/>
                <w:kern w:val="21"/>
                <w:szCs w:val="21"/>
                <w:lang w:val="en-US" w:eastAsia="zh-CN"/>
              </w:rPr>
            </w:pPr>
            <w:r>
              <w:rPr>
                <w:rFonts w:hint="eastAsia" w:cs="Times New Roman"/>
                <w:color w:val="auto"/>
                <w:szCs w:val="21"/>
                <w:lang w:val="en-US" w:eastAsia="zh-CN"/>
              </w:rPr>
              <w:t>0.02</w:t>
            </w:r>
          </w:p>
        </w:tc>
        <w:tc>
          <w:tcPr>
            <w:tcW w:w="1137" w:type="dxa"/>
            <w:noWrap w:val="0"/>
            <w:vAlign w:val="center"/>
          </w:tcPr>
          <w:p w14:paraId="765E99D4">
            <w:pPr>
              <w:spacing w:line="240" w:lineRule="exact"/>
              <w:contextualSpacing/>
              <w:jc w:val="center"/>
              <w:rPr>
                <w:rFonts w:hint="default" w:eastAsia="宋体"/>
                <w:snapToGrid w:val="0"/>
                <w:color w:val="auto"/>
                <w:kern w:val="21"/>
                <w:szCs w:val="21"/>
                <w:lang w:val="en-US" w:eastAsia="zh-CN"/>
              </w:rPr>
            </w:pPr>
            <w:r>
              <w:rPr>
                <w:rFonts w:hint="eastAsia"/>
                <w:color w:val="auto"/>
                <w:szCs w:val="21"/>
                <w:lang w:val="en-US" w:eastAsia="zh-CN"/>
              </w:rPr>
              <w:t>+0.01</w:t>
            </w:r>
          </w:p>
        </w:tc>
      </w:tr>
      <w:tr w14:paraId="0C84F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AB7C076">
            <w:pPr>
              <w:pStyle w:val="45"/>
              <w:spacing w:beforeLines="0" w:afterLines="0" w:line="240" w:lineRule="auto"/>
              <w:rPr>
                <w:rFonts w:ascii="Times New Roman"/>
                <w:snapToGrid w:val="0"/>
                <w:color w:val="auto"/>
                <w:kern w:val="21"/>
                <w:szCs w:val="21"/>
              </w:rPr>
            </w:pPr>
          </w:p>
        </w:tc>
        <w:tc>
          <w:tcPr>
            <w:tcW w:w="1417" w:type="dxa"/>
            <w:noWrap w:val="0"/>
            <w:vAlign w:val="center"/>
          </w:tcPr>
          <w:p w14:paraId="4CBBF352">
            <w:pPr>
              <w:contextualSpacing/>
              <w:jc w:val="center"/>
              <w:rPr>
                <w:rFonts w:ascii="Times New Roman" w:hAnsi="Times New Roman" w:eastAsia="宋体" w:cs="Times New Roman"/>
                <w:snapToGrid w:val="0"/>
                <w:color w:val="auto"/>
                <w:kern w:val="21"/>
                <w:sz w:val="21"/>
                <w:szCs w:val="21"/>
                <w:lang w:val="en-US" w:eastAsia="zh-CN" w:bidi="ar-SA"/>
              </w:rPr>
            </w:pPr>
            <w:r>
              <w:rPr>
                <w:color w:val="auto"/>
                <w:szCs w:val="21"/>
              </w:rPr>
              <w:t>污水处理站污泥t/a</w:t>
            </w:r>
          </w:p>
        </w:tc>
        <w:tc>
          <w:tcPr>
            <w:tcW w:w="1701" w:type="dxa"/>
            <w:noWrap w:val="0"/>
            <w:vAlign w:val="center"/>
          </w:tcPr>
          <w:p w14:paraId="2B54FD09">
            <w:pPr>
              <w:pStyle w:val="45"/>
              <w:spacing w:before="24" w:after="24" w:line="240" w:lineRule="auto"/>
              <w:rPr>
                <w:rFonts w:ascii="Times New Roman" w:hAnsi="Times New Roman" w:eastAsia="宋体" w:cs="Times New Roman"/>
                <w:snapToGrid w:val="0"/>
                <w:color w:val="auto"/>
                <w:kern w:val="21"/>
                <w:sz w:val="21"/>
                <w:szCs w:val="21"/>
                <w:lang w:val="en-US" w:eastAsia="zh-CN" w:bidi="ar-SA"/>
              </w:rPr>
            </w:pPr>
            <w:r>
              <w:rPr>
                <w:rFonts w:hint="eastAsia" w:ascii="Times New Roman"/>
                <w:color w:val="auto"/>
                <w:szCs w:val="21"/>
                <w:lang w:val="en-US" w:eastAsia="zh-CN"/>
              </w:rPr>
              <w:t>6.57</w:t>
            </w:r>
          </w:p>
        </w:tc>
        <w:tc>
          <w:tcPr>
            <w:tcW w:w="1276" w:type="dxa"/>
            <w:noWrap w:val="0"/>
            <w:vAlign w:val="center"/>
          </w:tcPr>
          <w:p w14:paraId="2DA06758">
            <w:pPr>
              <w:pStyle w:val="45"/>
              <w:spacing w:before="24" w:after="24" w:line="240" w:lineRule="auto"/>
              <w:rPr>
                <w:rFonts w:ascii="Times New Roman" w:hAnsi="Times New Roman" w:eastAsia="宋体" w:cs="Times New Roman"/>
                <w:snapToGrid w:val="0"/>
                <w:color w:val="auto"/>
                <w:kern w:val="21"/>
                <w:sz w:val="21"/>
                <w:szCs w:val="21"/>
                <w:lang w:val="en-US" w:eastAsia="zh-CN" w:bidi="ar-SA"/>
              </w:rPr>
            </w:pPr>
            <w:r>
              <w:rPr>
                <w:rFonts w:hint="eastAsia" w:ascii="Times New Roman"/>
                <w:color w:val="auto"/>
                <w:szCs w:val="21"/>
                <w:lang w:val="en-US" w:eastAsia="zh-CN"/>
              </w:rPr>
              <w:t>6.57</w:t>
            </w:r>
          </w:p>
        </w:tc>
        <w:tc>
          <w:tcPr>
            <w:tcW w:w="1701" w:type="dxa"/>
            <w:noWrap w:val="0"/>
            <w:vAlign w:val="center"/>
          </w:tcPr>
          <w:p w14:paraId="45E551AB">
            <w:pPr>
              <w:widowControl/>
              <w:adjustRightInd w:val="0"/>
              <w:snapToGrid w:val="0"/>
              <w:contextualSpacing/>
              <w:jc w:val="center"/>
              <w:rPr>
                <w:rFonts w:ascii="Times New Roman" w:hAnsi="Times New Roman" w:eastAsia="宋体" w:cs="Times New Roman"/>
                <w:snapToGrid w:val="0"/>
                <w:color w:val="auto"/>
                <w:kern w:val="21"/>
                <w:sz w:val="21"/>
                <w:szCs w:val="21"/>
                <w:lang w:val="en-US" w:eastAsia="zh-CN" w:bidi="ar-SA"/>
              </w:rPr>
            </w:pPr>
            <w:r>
              <w:rPr>
                <w:color w:val="auto"/>
                <w:szCs w:val="21"/>
              </w:rPr>
              <w:t>0</w:t>
            </w:r>
          </w:p>
        </w:tc>
        <w:tc>
          <w:tcPr>
            <w:tcW w:w="1559" w:type="dxa"/>
            <w:noWrap w:val="0"/>
            <w:vAlign w:val="center"/>
          </w:tcPr>
          <w:p w14:paraId="51AF8463">
            <w:pPr>
              <w:spacing w:line="240" w:lineRule="exact"/>
              <w:contextualSpacing/>
              <w:jc w:val="center"/>
              <w:rPr>
                <w:rFonts w:hint="default" w:ascii="Times New Roman" w:hAnsi="Times New Roman" w:eastAsia="宋体" w:cs="Times New Roman"/>
                <w:snapToGrid w:val="0"/>
                <w:color w:val="auto"/>
                <w:kern w:val="21"/>
                <w:sz w:val="21"/>
                <w:szCs w:val="21"/>
                <w:lang w:val="en-US" w:eastAsia="zh-CN" w:bidi="ar-SA"/>
              </w:rPr>
            </w:pPr>
            <w:r>
              <w:rPr>
                <w:rFonts w:hint="eastAsia"/>
                <w:color w:val="auto"/>
                <w:szCs w:val="21"/>
                <w:lang w:val="en-US" w:eastAsia="zh-CN"/>
              </w:rPr>
              <w:t>2.92</w:t>
            </w:r>
          </w:p>
        </w:tc>
        <w:tc>
          <w:tcPr>
            <w:tcW w:w="1761" w:type="dxa"/>
            <w:noWrap w:val="0"/>
            <w:vAlign w:val="center"/>
          </w:tcPr>
          <w:p w14:paraId="6883DF53">
            <w:pPr>
              <w:widowControl/>
              <w:adjustRightInd w:val="0"/>
              <w:snapToGrid w:val="0"/>
              <w:contextualSpacing/>
              <w:jc w:val="center"/>
              <w:rPr>
                <w:rFonts w:ascii="Times New Roman" w:hAnsi="Times New Roman" w:eastAsia="宋体" w:cs="Times New Roman"/>
                <w:snapToGrid w:val="0"/>
                <w:color w:val="auto"/>
                <w:kern w:val="21"/>
                <w:sz w:val="21"/>
                <w:szCs w:val="21"/>
                <w:lang w:val="en-US" w:eastAsia="zh-CN" w:bidi="ar-SA"/>
              </w:rPr>
            </w:pPr>
            <w:r>
              <w:rPr>
                <w:color w:val="auto"/>
                <w:szCs w:val="21"/>
              </w:rPr>
              <w:t>0</w:t>
            </w:r>
          </w:p>
        </w:tc>
        <w:tc>
          <w:tcPr>
            <w:tcW w:w="1648" w:type="dxa"/>
            <w:noWrap w:val="0"/>
            <w:vAlign w:val="center"/>
          </w:tcPr>
          <w:p w14:paraId="75198B80">
            <w:pPr>
              <w:spacing w:line="240" w:lineRule="exact"/>
              <w:contextualSpacing/>
              <w:jc w:val="center"/>
              <w:rPr>
                <w:rFonts w:ascii="Times New Roman" w:hAnsi="Times New Roman" w:eastAsia="宋体" w:cs="Times New Roman"/>
                <w:snapToGrid w:val="0"/>
                <w:color w:val="auto"/>
                <w:kern w:val="21"/>
                <w:sz w:val="21"/>
                <w:szCs w:val="21"/>
                <w:lang w:val="en-US" w:eastAsia="zh-CN" w:bidi="ar-SA"/>
              </w:rPr>
            </w:pPr>
            <w:r>
              <w:rPr>
                <w:rFonts w:hint="eastAsia" w:cs="Times New Roman"/>
                <w:color w:val="auto"/>
                <w:szCs w:val="21"/>
                <w:lang w:val="en-US" w:eastAsia="zh-CN"/>
              </w:rPr>
              <w:t>9.49</w:t>
            </w:r>
          </w:p>
        </w:tc>
        <w:tc>
          <w:tcPr>
            <w:tcW w:w="1137" w:type="dxa"/>
            <w:noWrap w:val="0"/>
            <w:vAlign w:val="center"/>
          </w:tcPr>
          <w:p w14:paraId="7F3C20F2">
            <w:pPr>
              <w:spacing w:line="240" w:lineRule="exact"/>
              <w:contextualSpacing/>
              <w:jc w:val="center"/>
              <w:rPr>
                <w:rFonts w:ascii="Times New Roman" w:hAnsi="Times New Roman" w:eastAsia="宋体" w:cs="Times New Roman"/>
                <w:snapToGrid w:val="0"/>
                <w:color w:val="auto"/>
                <w:kern w:val="21"/>
                <w:sz w:val="21"/>
                <w:szCs w:val="21"/>
                <w:lang w:val="en-US" w:eastAsia="zh-CN" w:bidi="ar-SA"/>
              </w:rPr>
            </w:pPr>
            <w:r>
              <w:rPr>
                <w:rFonts w:hint="eastAsia"/>
                <w:color w:val="auto"/>
                <w:szCs w:val="21"/>
                <w:lang w:val="en-US" w:eastAsia="zh-CN"/>
              </w:rPr>
              <w:t>+2.92</w:t>
            </w:r>
          </w:p>
        </w:tc>
      </w:tr>
      <w:tr w14:paraId="08D0C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627F9CA">
            <w:pPr>
              <w:pStyle w:val="45"/>
              <w:spacing w:beforeLines="0" w:afterLines="0" w:line="240" w:lineRule="auto"/>
              <w:rPr>
                <w:rFonts w:ascii="Times New Roman"/>
                <w:snapToGrid w:val="0"/>
                <w:color w:val="auto"/>
                <w:kern w:val="21"/>
                <w:szCs w:val="21"/>
              </w:rPr>
            </w:pPr>
          </w:p>
        </w:tc>
        <w:tc>
          <w:tcPr>
            <w:tcW w:w="1417" w:type="dxa"/>
            <w:noWrap w:val="0"/>
            <w:vAlign w:val="center"/>
          </w:tcPr>
          <w:p w14:paraId="00C39210">
            <w:pPr>
              <w:contextualSpacing/>
              <w:jc w:val="center"/>
              <w:rPr>
                <w:color w:val="auto"/>
                <w:szCs w:val="21"/>
              </w:rPr>
            </w:pPr>
            <w:r>
              <w:rPr>
                <w:rFonts w:hint="default" w:ascii="Times New Roman" w:hAnsi="Times New Roman" w:eastAsia="宋体" w:cs="Times New Roman"/>
                <w:color w:val="auto"/>
                <w:szCs w:val="21"/>
              </w:rPr>
              <w:t>废紫外线灯管</w:t>
            </w:r>
          </w:p>
        </w:tc>
        <w:tc>
          <w:tcPr>
            <w:tcW w:w="1701" w:type="dxa"/>
            <w:noWrap w:val="0"/>
            <w:vAlign w:val="center"/>
          </w:tcPr>
          <w:p w14:paraId="2363C148">
            <w:pPr>
              <w:pStyle w:val="45"/>
              <w:spacing w:before="24" w:after="24" w:line="240" w:lineRule="auto"/>
              <w:rPr>
                <w:rFonts w:hint="default" w:ascii="Times New Roman"/>
                <w:color w:val="auto"/>
                <w:szCs w:val="21"/>
                <w:lang w:val="en-US" w:eastAsia="zh-CN"/>
              </w:rPr>
            </w:pPr>
            <w:r>
              <w:rPr>
                <w:rFonts w:hint="eastAsia" w:ascii="Times New Roman"/>
                <w:color w:val="auto"/>
                <w:szCs w:val="21"/>
                <w:lang w:val="en-US" w:eastAsia="zh-CN"/>
              </w:rPr>
              <w:t>0.01</w:t>
            </w:r>
          </w:p>
        </w:tc>
        <w:tc>
          <w:tcPr>
            <w:tcW w:w="1276" w:type="dxa"/>
            <w:noWrap w:val="0"/>
            <w:vAlign w:val="center"/>
          </w:tcPr>
          <w:p w14:paraId="57EA2CDD">
            <w:pPr>
              <w:pStyle w:val="45"/>
              <w:spacing w:before="24" w:after="24" w:line="240" w:lineRule="auto"/>
              <w:rPr>
                <w:rFonts w:hint="default" w:ascii="Times New Roman"/>
                <w:color w:val="auto"/>
                <w:szCs w:val="21"/>
                <w:lang w:val="en-US" w:eastAsia="zh-CN"/>
              </w:rPr>
            </w:pPr>
            <w:r>
              <w:rPr>
                <w:rFonts w:hint="eastAsia" w:ascii="Times New Roman"/>
                <w:color w:val="auto"/>
                <w:szCs w:val="21"/>
                <w:lang w:val="en-US" w:eastAsia="zh-CN"/>
              </w:rPr>
              <w:t>0.01</w:t>
            </w:r>
          </w:p>
        </w:tc>
        <w:tc>
          <w:tcPr>
            <w:tcW w:w="1701" w:type="dxa"/>
            <w:noWrap w:val="0"/>
            <w:vAlign w:val="center"/>
          </w:tcPr>
          <w:p w14:paraId="5B99B883">
            <w:pPr>
              <w:widowControl/>
              <w:adjustRightInd w:val="0"/>
              <w:snapToGrid w:val="0"/>
              <w:contextualSpacing/>
              <w:jc w:val="center"/>
              <w:rPr>
                <w:color w:val="auto"/>
                <w:szCs w:val="21"/>
              </w:rPr>
            </w:pPr>
            <w:r>
              <w:rPr>
                <w:color w:val="auto"/>
                <w:szCs w:val="21"/>
              </w:rPr>
              <w:t>0</w:t>
            </w:r>
          </w:p>
        </w:tc>
        <w:tc>
          <w:tcPr>
            <w:tcW w:w="1559" w:type="dxa"/>
            <w:noWrap w:val="0"/>
            <w:vAlign w:val="center"/>
          </w:tcPr>
          <w:p w14:paraId="63B0486C">
            <w:pPr>
              <w:spacing w:line="240" w:lineRule="exact"/>
              <w:contextualSpacing/>
              <w:jc w:val="center"/>
              <w:rPr>
                <w:rFonts w:hint="default"/>
                <w:color w:val="auto"/>
                <w:szCs w:val="21"/>
                <w:lang w:val="en-US" w:eastAsia="zh-CN"/>
              </w:rPr>
            </w:pPr>
            <w:r>
              <w:rPr>
                <w:rFonts w:hint="eastAsia"/>
                <w:color w:val="auto"/>
                <w:szCs w:val="21"/>
                <w:lang w:val="en-US" w:eastAsia="zh-CN"/>
              </w:rPr>
              <w:t>0.01</w:t>
            </w:r>
          </w:p>
        </w:tc>
        <w:tc>
          <w:tcPr>
            <w:tcW w:w="1761" w:type="dxa"/>
            <w:noWrap w:val="0"/>
            <w:vAlign w:val="center"/>
          </w:tcPr>
          <w:p w14:paraId="7AAC1DB1">
            <w:pPr>
              <w:widowControl/>
              <w:adjustRightInd w:val="0"/>
              <w:snapToGrid w:val="0"/>
              <w:contextualSpacing/>
              <w:jc w:val="center"/>
              <w:rPr>
                <w:color w:val="auto"/>
                <w:szCs w:val="21"/>
              </w:rPr>
            </w:pPr>
            <w:r>
              <w:rPr>
                <w:color w:val="auto"/>
                <w:szCs w:val="21"/>
              </w:rPr>
              <w:t>0</w:t>
            </w:r>
          </w:p>
        </w:tc>
        <w:tc>
          <w:tcPr>
            <w:tcW w:w="1648" w:type="dxa"/>
            <w:noWrap w:val="0"/>
            <w:vAlign w:val="center"/>
          </w:tcPr>
          <w:p w14:paraId="0F1E43D1">
            <w:pPr>
              <w:spacing w:line="240" w:lineRule="exact"/>
              <w:contextualSpacing/>
              <w:jc w:val="center"/>
              <w:rPr>
                <w:rFonts w:hint="default" w:cs="Times New Roman"/>
                <w:color w:val="auto"/>
                <w:szCs w:val="21"/>
                <w:lang w:val="en-US" w:eastAsia="zh-CN"/>
              </w:rPr>
            </w:pPr>
            <w:r>
              <w:rPr>
                <w:rFonts w:hint="eastAsia" w:cs="Times New Roman"/>
                <w:color w:val="auto"/>
                <w:szCs w:val="21"/>
                <w:lang w:val="en-US" w:eastAsia="zh-CN"/>
              </w:rPr>
              <w:t>0.02</w:t>
            </w:r>
          </w:p>
        </w:tc>
        <w:tc>
          <w:tcPr>
            <w:tcW w:w="1137" w:type="dxa"/>
            <w:noWrap w:val="0"/>
            <w:vAlign w:val="center"/>
          </w:tcPr>
          <w:p w14:paraId="70C78E79">
            <w:pPr>
              <w:spacing w:line="240" w:lineRule="exact"/>
              <w:contextualSpacing/>
              <w:jc w:val="center"/>
              <w:rPr>
                <w:rFonts w:hint="default"/>
                <w:color w:val="auto"/>
                <w:szCs w:val="21"/>
                <w:lang w:val="en-US" w:eastAsia="zh-CN"/>
              </w:rPr>
            </w:pPr>
            <w:r>
              <w:rPr>
                <w:rFonts w:hint="eastAsia"/>
                <w:color w:val="auto"/>
                <w:szCs w:val="21"/>
                <w:lang w:val="en-US" w:eastAsia="zh-CN"/>
              </w:rPr>
              <w:t>+0.01</w:t>
            </w:r>
          </w:p>
        </w:tc>
      </w:tr>
    </w:tbl>
    <w:p w14:paraId="52F267DE">
      <w:pPr>
        <w:pStyle w:val="45"/>
        <w:spacing w:before="192" w:beforeLines="80" w:after="24"/>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59B581B5">
      <w:pPr>
        <w:rPr>
          <w:color w:val="auto"/>
        </w:rPr>
      </w:pPr>
    </w:p>
    <w:p w14:paraId="3865E166">
      <w:pPr>
        <w:pStyle w:val="21"/>
        <w:rPr>
          <w:color w:val="auto"/>
        </w:rPr>
      </w:pPr>
    </w:p>
    <w:p w14:paraId="544B1B12">
      <w:pPr>
        <w:rPr>
          <w:rFonts w:ascii="宋体" w:hAnsi="宋体" w:eastAsia="黑体"/>
          <w:color w:val="auto"/>
        </w:rPr>
      </w:pPr>
    </w:p>
    <w:sectPr>
      <w:footerReference r:id="rId5" w:type="default"/>
      <w:pgSz w:w="16838" w:h="11905" w:orient="landscape"/>
      <w:pgMar w:top="1531" w:right="1701" w:bottom="1531" w:left="2126" w:header="851" w:footer="850"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Times New Roman Regular">
    <w:altName w:val="Times New Roman"/>
    <w:panose1 w:val="02020503050405090304"/>
    <w:charset w:val="00"/>
    <w:family w:val="auto"/>
    <w:pitch w:val="default"/>
    <w:sig w:usb0="00000000" w:usb1="00000000" w:usb2="00000001" w:usb3="00000000" w:csb0="400001BF" w:csb1="DFF70000"/>
  </w:font>
  <w:font w:name="Hiragino Sans GB">
    <w:altName w:val="宋体"/>
    <w:panose1 w:val="020B0300000000000000"/>
    <w:charset w:val="86"/>
    <w:family w:val="auto"/>
    <w:pitch w:val="default"/>
    <w:sig w:usb0="00000000" w:usb1="00000000" w:usb2="00000016" w:usb3="00000000" w:csb0="00060007"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454854">
    <w:pPr>
      <w:pStyle w:val="18"/>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2E9D84">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44</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072E9D84">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44</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6FC8E0">
    <w:pPr>
      <w:pStyle w:val="18"/>
      <w:ind w:right="360" w:firstLine="360"/>
      <w:jc w:val="center"/>
    </w:pPr>
    <w:r>
      <w:rPr>
        <w:sz w:val="18"/>
      </w:rPr>
      <mc:AlternateContent>
        <mc:Choice Requires="wps">
          <w:drawing>
            <wp:anchor distT="0" distB="0" distL="114300" distR="114300" simplePos="0" relativeHeight="25170432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D1D188">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44</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04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14:paraId="01D1D188">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44</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68890">
    <w:pPr>
      <w:pStyle w:val="18"/>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DB43BE">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75</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69DB43BE">
                    <w:pPr>
                      <w:pStyle w:val="18"/>
                      <w:rPr>
                        <w:rStyle w:val="28"/>
                        <w:rFonts w:ascii="宋体" w:hAnsi="宋体"/>
                        <w:sz w:val="28"/>
                        <w:szCs w:val="28"/>
                      </w:rPr>
                    </w:pPr>
                    <w:r>
                      <w:rPr>
                        <w:rStyle w:val="28"/>
                        <w:rFonts w:hint="eastAsia" w:ascii="宋体" w:hAnsi="宋体"/>
                        <w:sz w:val="28"/>
                        <w:szCs w:val="28"/>
                      </w:rPr>
                      <w:t>—</w:t>
                    </w:r>
                    <w:r>
                      <w:rPr>
                        <w:rStyle w:val="28"/>
                        <w:rFonts w:hint="eastAsia" w:ascii="宋体" w:hAnsi="宋体"/>
                        <w:sz w:val="20"/>
                      </w:rPr>
                      <w:t xml:space="preserve">  </w:t>
                    </w:r>
                    <w:r>
                      <w:rPr>
                        <w:rFonts w:ascii="宋体" w:hAnsi="宋体"/>
                        <w:sz w:val="26"/>
                        <w:szCs w:val="26"/>
                      </w:rPr>
                      <w:fldChar w:fldCharType="begin"/>
                    </w:r>
                    <w:r>
                      <w:rPr>
                        <w:rStyle w:val="28"/>
                        <w:rFonts w:ascii="宋体" w:hAnsi="宋体"/>
                        <w:sz w:val="26"/>
                        <w:szCs w:val="26"/>
                      </w:rPr>
                      <w:instrText xml:space="preserve">PAGE  </w:instrText>
                    </w:r>
                    <w:r>
                      <w:rPr>
                        <w:rFonts w:ascii="宋体" w:hAnsi="宋体"/>
                        <w:sz w:val="26"/>
                        <w:szCs w:val="26"/>
                      </w:rPr>
                      <w:fldChar w:fldCharType="separate"/>
                    </w:r>
                    <w:r>
                      <w:rPr>
                        <w:rStyle w:val="28"/>
                        <w:rFonts w:ascii="宋体" w:hAnsi="宋体"/>
                        <w:sz w:val="26"/>
                        <w:szCs w:val="26"/>
                      </w:rPr>
                      <w:t>75</w:t>
                    </w:r>
                    <w:r>
                      <w:rPr>
                        <w:rFonts w:ascii="宋体" w:hAnsi="宋体"/>
                        <w:sz w:val="26"/>
                        <w:szCs w:val="26"/>
                      </w:rPr>
                      <w:fldChar w:fldCharType="end"/>
                    </w:r>
                    <w:r>
                      <w:rPr>
                        <w:rStyle w:val="28"/>
                        <w:rFonts w:hint="eastAsia" w:ascii="宋体" w:hAnsi="宋体"/>
                        <w:sz w:val="20"/>
                      </w:rPr>
                      <w:t xml:space="preserve">  </w:t>
                    </w:r>
                    <w:r>
                      <w:rPr>
                        <w:rStyle w:val="28"/>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AB17D8"/>
    <w:multiLevelType w:val="singleLevel"/>
    <w:tmpl w:val="93AB17D8"/>
    <w:lvl w:ilvl="0" w:tentative="0">
      <w:start w:val="9"/>
      <w:numFmt w:val="chineseCounting"/>
      <w:suff w:val="space"/>
      <w:lvlText w:val="第%1条"/>
      <w:lvlJc w:val="left"/>
      <w:rPr>
        <w:rFonts w:hint="eastAsia"/>
      </w:rPr>
    </w:lvl>
  </w:abstractNum>
  <w:abstractNum w:abstractNumId="1">
    <w:nsid w:val="F2EB0D44"/>
    <w:multiLevelType w:val="singleLevel"/>
    <w:tmpl w:val="F2EB0D44"/>
    <w:lvl w:ilvl="0" w:tentative="0">
      <w:start w:val="1"/>
      <w:numFmt w:val="chineseCounting"/>
      <w:suff w:val="space"/>
      <w:lvlText w:val="第%1条"/>
      <w:lvlJc w:val="left"/>
      <w:rPr>
        <w:rFonts w:hint="eastAsia"/>
      </w:rPr>
    </w:lvl>
  </w:abstractNum>
  <w:abstractNum w:abstractNumId="2">
    <w:nsid w:val="F37722EF"/>
    <w:multiLevelType w:val="singleLevel"/>
    <w:tmpl w:val="F37722EF"/>
    <w:lvl w:ilvl="0" w:tentative="0">
      <w:start w:val="1"/>
      <w:numFmt w:val="chineseCounting"/>
      <w:suff w:val="space"/>
      <w:lvlText w:val="第%1条"/>
      <w:lvlJc w:val="left"/>
      <w:rPr>
        <w:rFonts w:hint="eastAsia"/>
      </w:rPr>
    </w:lvl>
  </w:abstractNum>
  <w:abstractNum w:abstractNumId="3">
    <w:nsid w:val="FD1911DF"/>
    <w:multiLevelType w:val="singleLevel"/>
    <w:tmpl w:val="FD1911DF"/>
    <w:lvl w:ilvl="0" w:tentative="0">
      <w:start w:val="1"/>
      <w:numFmt w:val="decimal"/>
      <w:suff w:val="nothing"/>
      <w:lvlText w:val="%1）"/>
      <w:lvlJc w:val="left"/>
      <w:pPr>
        <w:ind w:left="-22"/>
      </w:pPr>
    </w:lvl>
  </w:abstractNum>
  <w:abstractNum w:abstractNumId="4">
    <w:nsid w:val="1E979CA4"/>
    <w:multiLevelType w:val="singleLevel"/>
    <w:tmpl w:val="1E979CA4"/>
    <w:lvl w:ilvl="0" w:tentative="0">
      <w:start w:val="1"/>
      <w:numFmt w:val="upperLetter"/>
      <w:suff w:val="nothing"/>
      <w:lvlText w:val="%1、"/>
      <w:lvlJc w:val="left"/>
      <w:pPr>
        <w:ind w:left="-50"/>
      </w:pPr>
    </w:lvl>
  </w:abstractNum>
  <w:abstractNum w:abstractNumId="5">
    <w:nsid w:val="2E3202B7"/>
    <w:multiLevelType w:val="singleLevel"/>
    <w:tmpl w:val="2E3202B7"/>
    <w:lvl w:ilvl="0" w:tentative="0">
      <w:start w:val="2"/>
      <w:numFmt w:val="decimal"/>
      <w:suff w:val="nothing"/>
      <w:lvlText w:val="（%1）"/>
      <w:lvlJc w:val="left"/>
    </w:lvl>
  </w:abstractNum>
  <w:abstractNum w:abstractNumId="6">
    <w:nsid w:val="43EA9710"/>
    <w:multiLevelType w:val="singleLevel"/>
    <w:tmpl w:val="43EA9710"/>
    <w:lvl w:ilvl="0" w:tentative="0">
      <w:start w:val="2"/>
      <w:numFmt w:val="decimal"/>
      <w:suff w:val="nothing"/>
      <w:lvlText w:val="%1）"/>
      <w:lvlJc w:val="left"/>
    </w:lvl>
  </w:abstractNum>
  <w:abstractNum w:abstractNumId="7">
    <w:nsid w:val="53C3838E"/>
    <w:multiLevelType w:val="singleLevel"/>
    <w:tmpl w:val="53C3838E"/>
    <w:lvl w:ilvl="0" w:tentative="0">
      <w:start w:val="1"/>
      <w:numFmt w:val="decimal"/>
      <w:lvlText w:val="%1."/>
      <w:lvlJc w:val="left"/>
      <w:pPr>
        <w:tabs>
          <w:tab w:val="left" w:pos="312"/>
        </w:tabs>
      </w:pPr>
    </w:lvl>
  </w:abstractNum>
  <w:num w:numId="1">
    <w:abstractNumId w:val="2"/>
  </w:num>
  <w:num w:numId="2">
    <w:abstractNumId w:val="1"/>
  </w:num>
  <w:num w:numId="3">
    <w:abstractNumId w:val="0"/>
  </w:num>
  <w:num w:numId="4">
    <w:abstractNumId w:val="7"/>
  </w:num>
  <w:num w:numId="5">
    <w:abstractNumId w:val="6"/>
  </w:num>
  <w:num w:numId="6">
    <w:abstractNumId w:val="5"/>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Q1MjkwNTY2OGQzZDJmMDY4NzI5ODFkYTFjODFmY2YifQ=="/>
  </w:docVars>
  <w:rsids>
    <w:rsidRoot w:val="00172A27"/>
    <w:rsid w:val="000060B3"/>
    <w:rsid w:val="0004364B"/>
    <w:rsid w:val="00061B1F"/>
    <w:rsid w:val="000733C4"/>
    <w:rsid w:val="00074783"/>
    <w:rsid w:val="0007570B"/>
    <w:rsid w:val="0008070B"/>
    <w:rsid w:val="000810AC"/>
    <w:rsid w:val="00081A02"/>
    <w:rsid w:val="00082231"/>
    <w:rsid w:val="00092D38"/>
    <w:rsid w:val="0009377B"/>
    <w:rsid w:val="000A20C9"/>
    <w:rsid w:val="000B058F"/>
    <w:rsid w:val="000B4467"/>
    <w:rsid w:val="000B4DB9"/>
    <w:rsid w:val="000C09AC"/>
    <w:rsid w:val="000C767F"/>
    <w:rsid w:val="000D5A44"/>
    <w:rsid w:val="000E3ED2"/>
    <w:rsid w:val="000F6F9D"/>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4A68"/>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5719"/>
    <w:rsid w:val="00356653"/>
    <w:rsid w:val="0035743F"/>
    <w:rsid w:val="00357BE2"/>
    <w:rsid w:val="0036170C"/>
    <w:rsid w:val="00366E0F"/>
    <w:rsid w:val="00381A72"/>
    <w:rsid w:val="00384676"/>
    <w:rsid w:val="00390857"/>
    <w:rsid w:val="003A4BF3"/>
    <w:rsid w:val="003B420D"/>
    <w:rsid w:val="003B71F4"/>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D3E82"/>
    <w:rsid w:val="004E6946"/>
    <w:rsid w:val="004F1AD8"/>
    <w:rsid w:val="004F380F"/>
    <w:rsid w:val="005039CB"/>
    <w:rsid w:val="0050558F"/>
    <w:rsid w:val="00506286"/>
    <w:rsid w:val="00510813"/>
    <w:rsid w:val="00511990"/>
    <w:rsid w:val="00511DE0"/>
    <w:rsid w:val="00514870"/>
    <w:rsid w:val="00514B9B"/>
    <w:rsid w:val="00517F02"/>
    <w:rsid w:val="00524303"/>
    <w:rsid w:val="005258A2"/>
    <w:rsid w:val="005401AE"/>
    <w:rsid w:val="00542483"/>
    <w:rsid w:val="00542E07"/>
    <w:rsid w:val="00545424"/>
    <w:rsid w:val="00554A7B"/>
    <w:rsid w:val="0055572C"/>
    <w:rsid w:val="0056106A"/>
    <w:rsid w:val="005720AE"/>
    <w:rsid w:val="00594D77"/>
    <w:rsid w:val="005969E4"/>
    <w:rsid w:val="005A06B7"/>
    <w:rsid w:val="005A1759"/>
    <w:rsid w:val="005A68A7"/>
    <w:rsid w:val="005D06F5"/>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2C7C"/>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1F05"/>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3E6B"/>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97E83"/>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548A"/>
    <w:rsid w:val="00A368DB"/>
    <w:rsid w:val="00A423AA"/>
    <w:rsid w:val="00A53EC6"/>
    <w:rsid w:val="00A55C0F"/>
    <w:rsid w:val="00A8713F"/>
    <w:rsid w:val="00A90BA1"/>
    <w:rsid w:val="00A97A9A"/>
    <w:rsid w:val="00AA0671"/>
    <w:rsid w:val="00AA2531"/>
    <w:rsid w:val="00AB1E09"/>
    <w:rsid w:val="00AB5330"/>
    <w:rsid w:val="00AB7747"/>
    <w:rsid w:val="00AB7AC6"/>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26D0"/>
    <w:rsid w:val="00D36D86"/>
    <w:rsid w:val="00D428AA"/>
    <w:rsid w:val="00D50A34"/>
    <w:rsid w:val="00D53EFA"/>
    <w:rsid w:val="00D90E42"/>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37064"/>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5D1E09"/>
    <w:rsid w:val="02277FAB"/>
    <w:rsid w:val="02697903"/>
    <w:rsid w:val="02B511AA"/>
    <w:rsid w:val="02F96569"/>
    <w:rsid w:val="03497149"/>
    <w:rsid w:val="035C47BB"/>
    <w:rsid w:val="035E4D7F"/>
    <w:rsid w:val="03EA7B21"/>
    <w:rsid w:val="05276A44"/>
    <w:rsid w:val="0572043E"/>
    <w:rsid w:val="05F83EAE"/>
    <w:rsid w:val="063E7D85"/>
    <w:rsid w:val="06490B00"/>
    <w:rsid w:val="067C08D0"/>
    <w:rsid w:val="07293586"/>
    <w:rsid w:val="07295285"/>
    <w:rsid w:val="07506C6F"/>
    <w:rsid w:val="07636392"/>
    <w:rsid w:val="07770C56"/>
    <w:rsid w:val="08B121F6"/>
    <w:rsid w:val="08C901D4"/>
    <w:rsid w:val="08E77B1C"/>
    <w:rsid w:val="092217DD"/>
    <w:rsid w:val="093A7294"/>
    <w:rsid w:val="09721E59"/>
    <w:rsid w:val="098B0D35"/>
    <w:rsid w:val="09EA4AC0"/>
    <w:rsid w:val="0A263993"/>
    <w:rsid w:val="0A2D3AC2"/>
    <w:rsid w:val="0A8E5F10"/>
    <w:rsid w:val="0AA755DF"/>
    <w:rsid w:val="0B120D44"/>
    <w:rsid w:val="0B5D7BAD"/>
    <w:rsid w:val="0B5E596C"/>
    <w:rsid w:val="0B6D3656"/>
    <w:rsid w:val="0B742979"/>
    <w:rsid w:val="0BCD61C4"/>
    <w:rsid w:val="0BD27BF6"/>
    <w:rsid w:val="0C3B3C7D"/>
    <w:rsid w:val="0CAB2EAE"/>
    <w:rsid w:val="0D501A82"/>
    <w:rsid w:val="0D621C7D"/>
    <w:rsid w:val="0E654321"/>
    <w:rsid w:val="0E73034D"/>
    <w:rsid w:val="0EBC4F38"/>
    <w:rsid w:val="0F13775A"/>
    <w:rsid w:val="0F5F45FE"/>
    <w:rsid w:val="0F9A112B"/>
    <w:rsid w:val="104C067C"/>
    <w:rsid w:val="106D2F64"/>
    <w:rsid w:val="10765BEA"/>
    <w:rsid w:val="10B63710"/>
    <w:rsid w:val="10F10820"/>
    <w:rsid w:val="111C2F7A"/>
    <w:rsid w:val="11665CA1"/>
    <w:rsid w:val="11E938BF"/>
    <w:rsid w:val="12281C97"/>
    <w:rsid w:val="1240530E"/>
    <w:rsid w:val="13951726"/>
    <w:rsid w:val="14396509"/>
    <w:rsid w:val="146C2176"/>
    <w:rsid w:val="14DD2C3C"/>
    <w:rsid w:val="15685DAD"/>
    <w:rsid w:val="15695999"/>
    <w:rsid w:val="15DF413E"/>
    <w:rsid w:val="16087E1D"/>
    <w:rsid w:val="168C4DDC"/>
    <w:rsid w:val="168E5489"/>
    <w:rsid w:val="17701D14"/>
    <w:rsid w:val="17735226"/>
    <w:rsid w:val="18003EA0"/>
    <w:rsid w:val="18660B98"/>
    <w:rsid w:val="189F624C"/>
    <w:rsid w:val="19715A3A"/>
    <w:rsid w:val="1A1C66C0"/>
    <w:rsid w:val="1A42393B"/>
    <w:rsid w:val="1A454BA6"/>
    <w:rsid w:val="1AAD45DE"/>
    <w:rsid w:val="1AEE50DE"/>
    <w:rsid w:val="1B046F80"/>
    <w:rsid w:val="1B3267B5"/>
    <w:rsid w:val="1B40161D"/>
    <w:rsid w:val="1B441859"/>
    <w:rsid w:val="1B565C84"/>
    <w:rsid w:val="1B6606B1"/>
    <w:rsid w:val="1B686CD4"/>
    <w:rsid w:val="1BA41BDC"/>
    <w:rsid w:val="1BC816C7"/>
    <w:rsid w:val="1C5E7925"/>
    <w:rsid w:val="1CFD070F"/>
    <w:rsid w:val="1D396C76"/>
    <w:rsid w:val="1D5F6196"/>
    <w:rsid w:val="1D6132A5"/>
    <w:rsid w:val="1D8E56D5"/>
    <w:rsid w:val="1DFD773A"/>
    <w:rsid w:val="1E0243E3"/>
    <w:rsid w:val="1E7A43DA"/>
    <w:rsid w:val="1E9525BF"/>
    <w:rsid w:val="1E967C3D"/>
    <w:rsid w:val="1EE173A9"/>
    <w:rsid w:val="1F042BDF"/>
    <w:rsid w:val="1F1E6B72"/>
    <w:rsid w:val="1F5A6AC1"/>
    <w:rsid w:val="1FE7539E"/>
    <w:rsid w:val="20671BE0"/>
    <w:rsid w:val="207A4D38"/>
    <w:rsid w:val="20963CB8"/>
    <w:rsid w:val="20A81A1B"/>
    <w:rsid w:val="20B07FB6"/>
    <w:rsid w:val="20B45120"/>
    <w:rsid w:val="20B646FB"/>
    <w:rsid w:val="213B74B1"/>
    <w:rsid w:val="214615B0"/>
    <w:rsid w:val="215A2310"/>
    <w:rsid w:val="21B70347"/>
    <w:rsid w:val="21DE318A"/>
    <w:rsid w:val="21EF5B80"/>
    <w:rsid w:val="22123147"/>
    <w:rsid w:val="22576990"/>
    <w:rsid w:val="22F47480"/>
    <w:rsid w:val="23B20189"/>
    <w:rsid w:val="23DE1C48"/>
    <w:rsid w:val="23F2672C"/>
    <w:rsid w:val="23F64E85"/>
    <w:rsid w:val="240210CD"/>
    <w:rsid w:val="24BF09F7"/>
    <w:rsid w:val="252D53FE"/>
    <w:rsid w:val="25851BDC"/>
    <w:rsid w:val="25EC2D81"/>
    <w:rsid w:val="25F07475"/>
    <w:rsid w:val="26111955"/>
    <w:rsid w:val="2630678A"/>
    <w:rsid w:val="2640598B"/>
    <w:rsid w:val="268D1190"/>
    <w:rsid w:val="26C51CB0"/>
    <w:rsid w:val="26F625F8"/>
    <w:rsid w:val="277057A2"/>
    <w:rsid w:val="28EE5146"/>
    <w:rsid w:val="29206EB8"/>
    <w:rsid w:val="292E0E1F"/>
    <w:rsid w:val="29595666"/>
    <w:rsid w:val="29874881"/>
    <w:rsid w:val="29E325E0"/>
    <w:rsid w:val="2A452503"/>
    <w:rsid w:val="2AD41754"/>
    <w:rsid w:val="2B5003A7"/>
    <w:rsid w:val="2BA936A8"/>
    <w:rsid w:val="2BBE0788"/>
    <w:rsid w:val="2C315A5A"/>
    <w:rsid w:val="2C4B1C25"/>
    <w:rsid w:val="2D2F1475"/>
    <w:rsid w:val="2D9E56F5"/>
    <w:rsid w:val="2DC42F7A"/>
    <w:rsid w:val="2DE26439"/>
    <w:rsid w:val="2E667F96"/>
    <w:rsid w:val="2E8226AB"/>
    <w:rsid w:val="2EDF51C6"/>
    <w:rsid w:val="2F634EE2"/>
    <w:rsid w:val="2FD065E6"/>
    <w:rsid w:val="2FD96870"/>
    <w:rsid w:val="304659BF"/>
    <w:rsid w:val="30580BC9"/>
    <w:rsid w:val="306D79C2"/>
    <w:rsid w:val="30BA0B27"/>
    <w:rsid w:val="310B6F6D"/>
    <w:rsid w:val="311E2ED7"/>
    <w:rsid w:val="315619EE"/>
    <w:rsid w:val="315C449C"/>
    <w:rsid w:val="31B82709"/>
    <w:rsid w:val="31D05482"/>
    <w:rsid w:val="32400B34"/>
    <w:rsid w:val="32953E7F"/>
    <w:rsid w:val="329E6876"/>
    <w:rsid w:val="333015F2"/>
    <w:rsid w:val="334B6320"/>
    <w:rsid w:val="33D934D4"/>
    <w:rsid w:val="33FE2F6A"/>
    <w:rsid w:val="340E07E5"/>
    <w:rsid w:val="340F4127"/>
    <w:rsid w:val="34235BF7"/>
    <w:rsid w:val="349C18EB"/>
    <w:rsid w:val="34CC177B"/>
    <w:rsid w:val="35005C28"/>
    <w:rsid w:val="358C5FA8"/>
    <w:rsid w:val="35AE4ECC"/>
    <w:rsid w:val="35C15DF1"/>
    <w:rsid w:val="36074A7F"/>
    <w:rsid w:val="368807A6"/>
    <w:rsid w:val="36923549"/>
    <w:rsid w:val="36B75FBF"/>
    <w:rsid w:val="36BD0C45"/>
    <w:rsid w:val="36EB3BA5"/>
    <w:rsid w:val="37E00298"/>
    <w:rsid w:val="38A15094"/>
    <w:rsid w:val="38B302F9"/>
    <w:rsid w:val="38F12CD3"/>
    <w:rsid w:val="38F94775"/>
    <w:rsid w:val="392971ED"/>
    <w:rsid w:val="39325651"/>
    <w:rsid w:val="39884572"/>
    <w:rsid w:val="3A7C65AB"/>
    <w:rsid w:val="3A872856"/>
    <w:rsid w:val="3B3763D1"/>
    <w:rsid w:val="3B966B51"/>
    <w:rsid w:val="3C2C3A3A"/>
    <w:rsid w:val="3C2F6E1E"/>
    <w:rsid w:val="3C4F64BA"/>
    <w:rsid w:val="3CBF1817"/>
    <w:rsid w:val="3CDA245A"/>
    <w:rsid w:val="3D1E06B7"/>
    <w:rsid w:val="3EDA0523"/>
    <w:rsid w:val="3EE3461E"/>
    <w:rsid w:val="3F4C0D81"/>
    <w:rsid w:val="3FA71F42"/>
    <w:rsid w:val="40105AB8"/>
    <w:rsid w:val="407A6407"/>
    <w:rsid w:val="409F716F"/>
    <w:rsid w:val="41F51D12"/>
    <w:rsid w:val="4200449D"/>
    <w:rsid w:val="42025FC1"/>
    <w:rsid w:val="422007B3"/>
    <w:rsid w:val="423A3BCC"/>
    <w:rsid w:val="424E57D2"/>
    <w:rsid w:val="425F45B3"/>
    <w:rsid w:val="42681453"/>
    <w:rsid w:val="42B26C49"/>
    <w:rsid w:val="433A6FE6"/>
    <w:rsid w:val="43480868"/>
    <w:rsid w:val="4350713C"/>
    <w:rsid w:val="436653E0"/>
    <w:rsid w:val="43934910"/>
    <w:rsid w:val="43C4431A"/>
    <w:rsid w:val="43D67428"/>
    <w:rsid w:val="43F07317"/>
    <w:rsid w:val="44B951CC"/>
    <w:rsid w:val="44CD14E0"/>
    <w:rsid w:val="44F20B0B"/>
    <w:rsid w:val="45120AE5"/>
    <w:rsid w:val="452E5F4C"/>
    <w:rsid w:val="45540008"/>
    <w:rsid w:val="45612018"/>
    <w:rsid w:val="456B2AC9"/>
    <w:rsid w:val="457B2B2E"/>
    <w:rsid w:val="458946E9"/>
    <w:rsid w:val="45A47C0E"/>
    <w:rsid w:val="46577FD6"/>
    <w:rsid w:val="46D955A7"/>
    <w:rsid w:val="47133957"/>
    <w:rsid w:val="47891627"/>
    <w:rsid w:val="47A07E0C"/>
    <w:rsid w:val="4870272E"/>
    <w:rsid w:val="48C003C3"/>
    <w:rsid w:val="48D56DE3"/>
    <w:rsid w:val="48E92CAA"/>
    <w:rsid w:val="496B1B98"/>
    <w:rsid w:val="49D212BF"/>
    <w:rsid w:val="49DC7715"/>
    <w:rsid w:val="49F90755"/>
    <w:rsid w:val="4A023139"/>
    <w:rsid w:val="4A7B576F"/>
    <w:rsid w:val="4AD31C6F"/>
    <w:rsid w:val="4AF561A9"/>
    <w:rsid w:val="4B3501E5"/>
    <w:rsid w:val="4BB5687D"/>
    <w:rsid w:val="4BFF7D20"/>
    <w:rsid w:val="4C05623A"/>
    <w:rsid w:val="4C1673F7"/>
    <w:rsid w:val="4C4A0649"/>
    <w:rsid w:val="4C7E5ECA"/>
    <w:rsid w:val="4C876AA5"/>
    <w:rsid w:val="4CA6237C"/>
    <w:rsid w:val="4D0E00FB"/>
    <w:rsid w:val="4D176606"/>
    <w:rsid w:val="4D671BE9"/>
    <w:rsid w:val="4DEC4FB0"/>
    <w:rsid w:val="4E075D8A"/>
    <w:rsid w:val="4E2B43A3"/>
    <w:rsid w:val="4E334D22"/>
    <w:rsid w:val="4E3C0A1F"/>
    <w:rsid w:val="4E8A365E"/>
    <w:rsid w:val="4EC00FAD"/>
    <w:rsid w:val="4F080D57"/>
    <w:rsid w:val="4F687C8D"/>
    <w:rsid w:val="4F9843DC"/>
    <w:rsid w:val="4FAF183D"/>
    <w:rsid w:val="4FC62A8C"/>
    <w:rsid w:val="4FE20F0D"/>
    <w:rsid w:val="4FE51552"/>
    <w:rsid w:val="4FF119DB"/>
    <w:rsid w:val="50504C4B"/>
    <w:rsid w:val="505050F6"/>
    <w:rsid w:val="50786B5A"/>
    <w:rsid w:val="509C6E7C"/>
    <w:rsid w:val="50A01227"/>
    <w:rsid w:val="50D4376B"/>
    <w:rsid w:val="513C18E4"/>
    <w:rsid w:val="5162104E"/>
    <w:rsid w:val="51680D19"/>
    <w:rsid w:val="51C8613D"/>
    <w:rsid w:val="523B2EE5"/>
    <w:rsid w:val="5265474D"/>
    <w:rsid w:val="528C69DA"/>
    <w:rsid w:val="52AB49A5"/>
    <w:rsid w:val="53A039CC"/>
    <w:rsid w:val="53A1505A"/>
    <w:rsid w:val="53FF358D"/>
    <w:rsid w:val="54063E08"/>
    <w:rsid w:val="543437E8"/>
    <w:rsid w:val="54841B9E"/>
    <w:rsid w:val="548E78BF"/>
    <w:rsid w:val="549531F1"/>
    <w:rsid w:val="54CD57E0"/>
    <w:rsid w:val="54F73313"/>
    <w:rsid w:val="54F80955"/>
    <w:rsid w:val="555170A7"/>
    <w:rsid w:val="5587536D"/>
    <w:rsid w:val="559B174B"/>
    <w:rsid w:val="559D6787"/>
    <w:rsid w:val="55B32556"/>
    <w:rsid w:val="55C3323B"/>
    <w:rsid w:val="55CE0CF4"/>
    <w:rsid w:val="567C0213"/>
    <w:rsid w:val="56B22A9C"/>
    <w:rsid w:val="57B72A76"/>
    <w:rsid w:val="57C3426C"/>
    <w:rsid w:val="57CE1F93"/>
    <w:rsid w:val="58125922"/>
    <w:rsid w:val="586D10F6"/>
    <w:rsid w:val="58852584"/>
    <w:rsid w:val="588743D1"/>
    <w:rsid w:val="5887701A"/>
    <w:rsid w:val="594B0F86"/>
    <w:rsid w:val="596F1309"/>
    <w:rsid w:val="59B862D5"/>
    <w:rsid w:val="59C0439F"/>
    <w:rsid w:val="59EA1A77"/>
    <w:rsid w:val="5A8955A4"/>
    <w:rsid w:val="5AA7187A"/>
    <w:rsid w:val="5ABE2233"/>
    <w:rsid w:val="5BDF5D95"/>
    <w:rsid w:val="5BFE7528"/>
    <w:rsid w:val="5C221AFD"/>
    <w:rsid w:val="5CCB0D41"/>
    <w:rsid w:val="5CDD0CA0"/>
    <w:rsid w:val="5D2A618C"/>
    <w:rsid w:val="5D550AF6"/>
    <w:rsid w:val="5E2467F1"/>
    <w:rsid w:val="5E556359"/>
    <w:rsid w:val="5E640B7C"/>
    <w:rsid w:val="5E9D36BD"/>
    <w:rsid w:val="5F1A2B43"/>
    <w:rsid w:val="5FB837BB"/>
    <w:rsid w:val="5FBF6F44"/>
    <w:rsid w:val="601B2AEB"/>
    <w:rsid w:val="60483CAF"/>
    <w:rsid w:val="60CC405A"/>
    <w:rsid w:val="619217FC"/>
    <w:rsid w:val="61AD75B0"/>
    <w:rsid w:val="61E215D8"/>
    <w:rsid w:val="621B3775"/>
    <w:rsid w:val="62364782"/>
    <w:rsid w:val="629F58C6"/>
    <w:rsid w:val="62D41063"/>
    <w:rsid w:val="631515CE"/>
    <w:rsid w:val="631557C9"/>
    <w:rsid w:val="636A26C6"/>
    <w:rsid w:val="637C5914"/>
    <w:rsid w:val="638E12D1"/>
    <w:rsid w:val="6394356A"/>
    <w:rsid w:val="639C3F43"/>
    <w:rsid w:val="63C61B2C"/>
    <w:rsid w:val="63D40BE9"/>
    <w:rsid w:val="64102431"/>
    <w:rsid w:val="644C2A7E"/>
    <w:rsid w:val="648730D8"/>
    <w:rsid w:val="64A5243A"/>
    <w:rsid w:val="64D11928"/>
    <w:rsid w:val="64F531DE"/>
    <w:rsid w:val="65047840"/>
    <w:rsid w:val="65073B44"/>
    <w:rsid w:val="651732D0"/>
    <w:rsid w:val="65373578"/>
    <w:rsid w:val="66675D50"/>
    <w:rsid w:val="668B2434"/>
    <w:rsid w:val="66965DCD"/>
    <w:rsid w:val="671F124A"/>
    <w:rsid w:val="677A33C6"/>
    <w:rsid w:val="67F7361D"/>
    <w:rsid w:val="681F6961"/>
    <w:rsid w:val="682E0AF6"/>
    <w:rsid w:val="68610A2F"/>
    <w:rsid w:val="68805514"/>
    <w:rsid w:val="68C21AA7"/>
    <w:rsid w:val="68E633CE"/>
    <w:rsid w:val="69316E2F"/>
    <w:rsid w:val="694E2071"/>
    <w:rsid w:val="69766163"/>
    <w:rsid w:val="697A3B33"/>
    <w:rsid w:val="69CB0318"/>
    <w:rsid w:val="69D44760"/>
    <w:rsid w:val="6A520EC7"/>
    <w:rsid w:val="6A74639E"/>
    <w:rsid w:val="6AD606D3"/>
    <w:rsid w:val="6AF87E20"/>
    <w:rsid w:val="6B322639"/>
    <w:rsid w:val="6C636C38"/>
    <w:rsid w:val="6CED4028"/>
    <w:rsid w:val="6D447830"/>
    <w:rsid w:val="6DB34098"/>
    <w:rsid w:val="6DB545B6"/>
    <w:rsid w:val="6DCA0921"/>
    <w:rsid w:val="6DE02FB4"/>
    <w:rsid w:val="6E1D2590"/>
    <w:rsid w:val="6E514CED"/>
    <w:rsid w:val="6EB563D5"/>
    <w:rsid w:val="6ED03A59"/>
    <w:rsid w:val="6ED36C87"/>
    <w:rsid w:val="6ED92677"/>
    <w:rsid w:val="6F225983"/>
    <w:rsid w:val="6FC80107"/>
    <w:rsid w:val="6FFC5590"/>
    <w:rsid w:val="704D62D7"/>
    <w:rsid w:val="706D1DD0"/>
    <w:rsid w:val="70856B87"/>
    <w:rsid w:val="709953B2"/>
    <w:rsid w:val="70C466F2"/>
    <w:rsid w:val="70D527EE"/>
    <w:rsid w:val="70FE016D"/>
    <w:rsid w:val="710C5C82"/>
    <w:rsid w:val="715B5300"/>
    <w:rsid w:val="71911528"/>
    <w:rsid w:val="71C2031A"/>
    <w:rsid w:val="71D27F8A"/>
    <w:rsid w:val="72377488"/>
    <w:rsid w:val="72553024"/>
    <w:rsid w:val="729F7231"/>
    <w:rsid w:val="72E74AAF"/>
    <w:rsid w:val="73122968"/>
    <w:rsid w:val="731F5D5E"/>
    <w:rsid w:val="73560D97"/>
    <w:rsid w:val="73C51AD5"/>
    <w:rsid w:val="741E793C"/>
    <w:rsid w:val="745E3944"/>
    <w:rsid w:val="747C5650"/>
    <w:rsid w:val="758D7546"/>
    <w:rsid w:val="75AE2FE8"/>
    <w:rsid w:val="75C649B0"/>
    <w:rsid w:val="75FA1C75"/>
    <w:rsid w:val="75FC2008"/>
    <w:rsid w:val="7635099D"/>
    <w:rsid w:val="767755A1"/>
    <w:rsid w:val="7747457E"/>
    <w:rsid w:val="77762421"/>
    <w:rsid w:val="7787292C"/>
    <w:rsid w:val="779E2AFA"/>
    <w:rsid w:val="77B56B1F"/>
    <w:rsid w:val="77BE388D"/>
    <w:rsid w:val="780F09F4"/>
    <w:rsid w:val="783F3035"/>
    <w:rsid w:val="785A2147"/>
    <w:rsid w:val="78A90480"/>
    <w:rsid w:val="78CB7FDC"/>
    <w:rsid w:val="78D24988"/>
    <w:rsid w:val="7A364017"/>
    <w:rsid w:val="7A8265E1"/>
    <w:rsid w:val="7AD30607"/>
    <w:rsid w:val="7B155CC7"/>
    <w:rsid w:val="7B3963E2"/>
    <w:rsid w:val="7B686D42"/>
    <w:rsid w:val="7B841746"/>
    <w:rsid w:val="7BAF4743"/>
    <w:rsid w:val="7C124E33"/>
    <w:rsid w:val="7C6C5AC7"/>
    <w:rsid w:val="7C6F1281"/>
    <w:rsid w:val="7C7244B2"/>
    <w:rsid w:val="7C9E7256"/>
    <w:rsid w:val="7CB21D47"/>
    <w:rsid w:val="7CC6544B"/>
    <w:rsid w:val="7CC93C68"/>
    <w:rsid w:val="7D0239FF"/>
    <w:rsid w:val="7D456FA2"/>
    <w:rsid w:val="7D5E40CD"/>
    <w:rsid w:val="7DCD56F2"/>
    <w:rsid w:val="7EB904A9"/>
    <w:rsid w:val="7F001CE7"/>
    <w:rsid w:val="7F2A5CAA"/>
    <w:rsid w:val="7F354F10"/>
    <w:rsid w:val="7FAF4922"/>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0" w:semiHidden="0" w:name="index heading" w:locked="1"/>
    <w:lsdException w:qFormat="1"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qFormat="1" w:unhideWhenUsed="0" w:uiPriority="0" w:semiHidden="0" w:name="Body Text 3" w:locked="1"/>
    <w:lsdException w:qFormat="1" w:uiPriority="99" w:semiHidden="0" w:name="Body Text Indent 2" w:locked="1"/>
    <w:lsdException w:unhideWhenUsed="0" w:uiPriority="0" w:semiHidden="0" w:name="Body Text Indent 3" w:locked="1"/>
    <w:lsdException w:unhideWhenUsed="0" w:uiPriority="0" w:semiHidden="0" w:name="Block Text" w:locked="1"/>
    <w:lsdException w:qFormat="1" w:unhideWhenUsed="0"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spacing w:before="260" w:after="260" w:line="416" w:lineRule="auto"/>
      <w:outlineLvl w:val="1"/>
    </w:pPr>
    <w:rPr>
      <w:rFonts w:ascii="Arial" w:hAnsi="Arial" w:eastAsia="黑体"/>
      <w:b/>
      <w:bCs/>
      <w:sz w:val="32"/>
      <w:szCs w:val="32"/>
    </w:rPr>
  </w:style>
  <w:style w:type="character" w:default="1" w:styleId="27">
    <w:name w:val="Default Paragraph Font"/>
    <w:semiHidden/>
    <w:qFormat/>
    <w:uiPriority w:val="0"/>
  </w:style>
  <w:style w:type="table" w:default="1" w:styleId="25">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locked/>
    <w:uiPriority w:val="0"/>
    <w:pPr>
      <w:spacing w:after="120"/>
      <w:ind w:left="420" w:leftChars="200" w:firstLine="420" w:firstLineChars="200"/>
    </w:pPr>
    <w:rPr>
      <w:rFonts w:ascii="Times New Roman" w:hAnsi="Times New Roman"/>
    </w:rPr>
  </w:style>
  <w:style w:type="paragraph" w:styleId="3">
    <w:name w:val="Body Text Indent"/>
    <w:basedOn w:val="1"/>
    <w:next w:val="4"/>
    <w:link w:val="35"/>
    <w:qFormat/>
    <w:uiPriority w:val="0"/>
    <w:pPr>
      <w:spacing w:after="120"/>
      <w:ind w:left="420" w:leftChars="200"/>
    </w:pPr>
    <w:rPr>
      <w:kern w:val="0"/>
      <w:sz w:val="24"/>
      <w:szCs w:val="20"/>
    </w:rPr>
  </w:style>
  <w:style w:type="paragraph" w:customStyle="1" w:styleId="4">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7">
    <w:name w:val="List 3"/>
    <w:basedOn w:val="1"/>
    <w:next w:val="1"/>
    <w:qFormat/>
    <w:locked/>
    <w:uiPriority w:val="0"/>
    <w:pPr>
      <w:autoSpaceDE w:val="0"/>
      <w:autoSpaceDN w:val="0"/>
      <w:adjustRightInd w:val="0"/>
      <w:spacing w:line="288" w:lineRule="auto"/>
      <w:ind w:left="1260" w:hanging="420"/>
      <w:jc w:val="left"/>
      <w:textAlignment w:val="baseline"/>
    </w:pPr>
    <w:rPr>
      <w:kern w:val="0"/>
      <w:sz w:val="24"/>
      <w:szCs w:val="20"/>
    </w:rPr>
  </w:style>
  <w:style w:type="paragraph" w:styleId="8">
    <w:name w:val="Note Heading"/>
    <w:basedOn w:val="1"/>
    <w:next w:val="1"/>
    <w:qFormat/>
    <w:locked/>
    <w:uiPriority w:val="0"/>
    <w:pPr>
      <w:jc w:val="center"/>
    </w:pPr>
    <w:rPr>
      <w:szCs w:val="24"/>
    </w:rPr>
  </w:style>
  <w:style w:type="paragraph" w:styleId="9">
    <w:name w:val="Normal Indent"/>
    <w:basedOn w:val="1"/>
    <w:next w:val="1"/>
    <w:qFormat/>
    <w:locked/>
    <w:uiPriority w:val="0"/>
    <w:pPr>
      <w:tabs>
        <w:tab w:val="left" w:pos="540"/>
        <w:tab w:val="left" w:pos="1080"/>
        <w:tab w:val="left" w:pos="1800"/>
      </w:tabs>
      <w:adjustRightInd w:val="0"/>
      <w:snapToGrid w:val="0"/>
      <w:spacing w:line="360" w:lineRule="auto"/>
      <w:ind w:firstLine="480"/>
    </w:pPr>
    <w:rPr>
      <w:rFonts w:ascii="仿宋_GB2312" w:hAnsi="宋体"/>
      <w:sz w:val="24"/>
      <w:szCs w:val="21"/>
    </w:rPr>
  </w:style>
  <w:style w:type="paragraph" w:styleId="10">
    <w:name w:val="caption"/>
    <w:basedOn w:val="1"/>
    <w:next w:val="1"/>
    <w:unhideWhenUsed/>
    <w:qFormat/>
    <w:locked/>
    <w:uiPriority w:val="35"/>
    <w:pPr>
      <w:spacing w:line="240" w:lineRule="auto"/>
      <w:ind w:firstLine="0" w:firstLineChars="0"/>
      <w:jc w:val="center"/>
    </w:pPr>
    <w:rPr>
      <w:rFonts w:ascii="Times New Roman" w:hAnsi="Times New Roman" w:eastAsia="宋体" w:cs="黑体"/>
      <w:szCs w:val="20"/>
    </w:rPr>
  </w:style>
  <w:style w:type="paragraph" w:styleId="11">
    <w:name w:val="annotation text"/>
    <w:basedOn w:val="1"/>
    <w:link w:val="33"/>
    <w:semiHidden/>
    <w:qFormat/>
    <w:uiPriority w:val="0"/>
    <w:pPr>
      <w:jc w:val="left"/>
    </w:pPr>
    <w:rPr>
      <w:kern w:val="0"/>
      <w:sz w:val="24"/>
      <w:szCs w:val="20"/>
    </w:rPr>
  </w:style>
  <w:style w:type="paragraph" w:styleId="12">
    <w:name w:val="Body Text 3"/>
    <w:basedOn w:val="1"/>
    <w:qFormat/>
    <w:locked/>
    <w:uiPriority w:val="0"/>
    <w:pPr>
      <w:spacing w:after="120" w:afterLines="0" w:afterAutospacing="0"/>
    </w:pPr>
    <w:rPr>
      <w:sz w:val="16"/>
    </w:rPr>
  </w:style>
  <w:style w:type="paragraph" w:styleId="13">
    <w:name w:val="Body Text"/>
    <w:basedOn w:val="1"/>
    <w:link w:val="34"/>
    <w:qFormat/>
    <w:uiPriority w:val="0"/>
    <w:pPr>
      <w:widowControl/>
      <w:snapToGrid w:val="0"/>
      <w:spacing w:before="60" w:after="160" w:line="259" w:lineRule="auto"/>
      <w:ind w:right="113"/>
    </w:pPr>
    <w:rPr>
      <w:kern w:val="0"/>
      <w:sz w:val="18"/>
      <w:szCs w:val="20"/>
    </w:rPr>
  </w:style>
  <w:style w:type="paragraph" w:styleId="14">
    <w:name w:val="Plain Text"/>
    <w:basedOn w:val="1"/>
    <w:qFormat/>
    <w:locked/>
    <w:uiPriority w:val="0"/>
    <w:rPr>
      <w:rFonts w:ascii="宋体" w:hAnsi="Courier New"/>
      <w:szCs w:val="21"/>
    </w:rPr>
  </w:style>
  <w:style w:type="paragraph" w:styleId="15">
    <w:name w:val="Date"/>
    <w:basedOn w:val="1"/>
    <w:next w:val="1"/>
    <w:link w:val="36"/>
    <w:qFormat/>
    <w:uiPriority w:val="0"/>
    <w:pPr>
      <w:ind w:left="100" w:leftChars="2500"/>
    </w:pPr>
    <w:rPr>
      <w:kern w:val="0"/>
      <w:sz w:val="24"/>
      <w:szCs w:val="20"/>
    </w:rPr>
  </w:style>
  <w:style w:type="paragraph" w:styleId="16">
    <w:name w:val="Body Text Indent 2"/>
    <w:basedOn w:val="1"/>
    <w:unhideWhenUsed/>
    <w:qFormat/>
    <w:locked/>
    <w:uiPriority w:val="99"/>
    <w:pPr>
      <w:spacing w:after="120" w:line="480" w:lineRule="auto"/>
      <w:ind w:left="420" w:leftChars="200"/>
    </w:pPr>
  </w:style>
  <w:style w:type="paragraph" w:styleId="17">
    <w:name w:val="Balloon Text"/>
    <w:basedOn w:val="1"/>
    <w:link w:val="37"/>
    <w:semiHidden/>
    <w:qFormat/>
    <w:uiPriority w:val="0"/>
    <w:rPr>
      <w:kern w:val="0"/>
      <w:sz w:val="18"/>
      <w:szCs w:val="20"/>
    </w:rPr>
  </w:style>
  <w:style w:type="paragraph" w:styleId="18">
    <w:name w:val="footer"/>
    <w:basedOn w:val="1"/>
    <w:link w:val="38"/>
    <w:qFormat/>
    <w:uiPriority w:val="99"/>
    <w:pPr>
      <w:tabs>
        <w:tab w:val="center" w:pos="4153"/>
        <w:tab w:val="right" w:pos="8306"/>
      </w:tabs>
      <w:snapToGrid w:val="0"/>
      <w:jc w:val="left"/>
    </w:pPr>
    <w:rPr>
      <w:kern w:val="0"/>
      <w:sz w:val="18"/>
      <w:szCs w:val="20"/>
    </w:rPr>
  </w:style>
  <w:style w:type="paragraph" w:styleId="19">
    <w:name w:val="header"/>
    <w:basedOn w:val="1"/>
    <w:link w:val="39"/>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toc 1"/>
    <w:basedOn w:val="1"/>
    <w:next w:val="1"/>
    <w:unhideWhenUsed/>
    <w:qFormat/>
    <w:locked/>
    <w:uiPriority w:val="39"/>
    <w:pPr>
      <w:spacing w:line="320" w:lineRule="exact"/>
      <w:jc w:val="center"/>
    </w:pPr>
    <w:rPr>
      <w:sz w:val="26"/>
      <w:szCs w:val="24"/>
    </w:rPr>
  </w:style>
  <w:style w:type="paragraph" w:styleId="21">
    <w:name w:val="index heading"/>
    <w:basedOn w:val="1"/>
    <w:next w:val="22"/>
    <w:qFormat/>
    <w:locked/>
    <w:uiPriority w:val="0"/>
  </w:style>
  <w:style w:type="paragraph" w:styleId="22">
    <w:name w:val="index 1"/>
    <w:basedOn w:val="1"/>
    <w:next w:val="1"/>
    <w:qFormat/>
    <w:locked/>
    <w:uiPriority w:val="0"/>
    <w:pPr>
      <w:jc w:val="center"/>
    </w:pPr>
    <w:rPr>
      <w:rFonts w:ascii="楷体_GB2312"/>
      <w:bCs/>
      <w:color w:val="000000"/>
    </w:rPr>
  </w:style>
  <w:style w:type="paragraph" w:styleId="23">
    <w:name w:val="Normal (Web)"/>
    <w:basedOn w:val="1"/>
    <w:link w:val="40"/>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11"/>
    <w:next w:val="11"/>
    <w:link w:val="41"/>
    <w:semiHidden/>
    <w:qFormat/>
    <w:uiPriority w:val="0"/>
    <w:rPr>
      <w:b/>
      <w:sz w:val="24"/>
      <w:szCs w:val="20"/>
    </w:rPr>
  </w:style>
  <w:style w:type="table" w:styleId="26">
    <w:name w:val="Table Grid"/>
    <w:basedOn w:val="2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qFormat/>
    <w:locked/>
    <w:uiPriority w:val="0"/>
  </w:style>
  <w:style w:type="character" w:styleId="29">
    <w:name w:val="Hyperlink"/>
    <w:qFormat/>
    <w:locked/>
    <w:uiPriority w:val="99"/>
    <w:rPr>
      <w:rFonts w:ascii="仿宋_GB2312" w:hAnsi="Tahoma" w:eastAsia="仿宋_GB2312"/>
      <w:color w:val="0562B6"/>
      <w:szCs w:val="21"/>
      <w:u w:val="none"/>
    </w:rPr>
  </w:style>
  <w:style w:type="character" w:styleId="30">
    <w:name w:val="annotation reference"/>
    <w:semiHidden/>
    <w:qFormat/>
    <w:uiPriority w:val="0"/>
    <w:rPr>
      <w:sz w:val="21"/>
    </w:rPr>
  </w:style>
  <w:style w:type="paragraph" w:customStyle="1" w:styleId="31">
    <w:name w:val="Default"/>
    <w:basedOn w:val="32"/>
    <w:qFormat/>
    <w:uiPriority w:val="0"/>
    <w:pPr>
      <w:widowControl w:val="0"/>
      <w:tabs>
        <w:tab w:val="right" w:pos="0"/>
      </w:tabs>
      <w:autoSpaceDE w:val="0"/>
      <w:autoSpaceDN w:val="0"/>
      <w:adjustRightInd w:val="0"/>
    </w:pPr>
    <w:rPr>
      <w:rFonts w:ascii="仿宋" w:hAnsi="Times New Roman" w:eastAsia="仿宋" w:cs="仿宋"/>
      <w:color w:val="000000"/>
      <w:sz w:val="24"/>
      <w:szCs w:val="24"/>
      <w:lang w:val="en-US" w:eastAsia="zh-CN" w:bidi="ar-SA"/>
    </w:rPr>
  </w:style>
  <w:style w:type="paragraph" w:customStyle="1" w:styleId="32">
    <w:name w:val="纯文本1"/>
    <w:basedOn w:val="1"/>
    <w:qFormat/>
    <w:uiPriority w:val="0"/>
    <w:pPr>
      <w:tabs>
        <w:tab w:val="right" w:pos="0"/>
      </w:tabs>
      <w:adjustRightInd w:val="0"/>
      <w:snapToGrid w:val="0"/>
      <w:spacing w:line="360" w:lineRule="auto"/>
      <w:jc w:val="center"/>
      <w:textAlignment w:val="baseline"/>
    </w:pPr>
    <w:rPr>
      <w:rFonts w:ascii="宋体" w:hAnsi="Courier New" w:eastAsia="仿宋_GB2312"/>
      <w:snapToGrid w:val="0"/>
      <w:kern w:val="0"/>
      <w:sz w:val="24"/>
      <w:szCs w:val="20"/>
    </w:rPr>
  </w:style>
  <w:style w:type="character" w:customStyle="1" w:styleId="33">
    <w:name w:val="批注文字 Char"/>
    <w:link w:val="11"/>
    <w:qFormat/>
    <w:locked/>
    <w:uiPriority w:val="0"/>
    <w:rPr>
      <w:rFonts w:ascii="Times New Roman" w:hAnsi="Times New Roman" w:eastAsia="宋体"/>
      <w:sz w:val="24"/>
    </w:rPr>
  </w:style>
  <w:style w:type="character" w:customStyle="1" w:styleId="34">
    <w:name w:val="正文文本 Char"/>
    <w:link w:val="13"/>
    <w:qFormat/>
    <w:locked/>
    <w:uiPriority w:val="0"/>
    <w:rPr>
      <w:sz w:val="18"/>
    </w:rPr>
  </w:style>
  <w:style w:type="character" w:customStyle="1" w:styleId="35">
    <w:name w:val="正文文本缩进 Char"/>
    <w:link w:val="3"/>
    <w:semiHidden/>
    <w:qFormat/>
    <w:locked/>
    <w:uiPriority w:val="0"/>
    <w:rPr>
      <w:rFonts w:ascii="Times New Roman" w:hAnsi="Times New Roman" w:eastAsia="宋体"/>
      <w:sz w:val="24"/>
    </w:rPr>
  </w:style>
  <w:style w:type="character" w:customStyle="1" w:styleId="36">
    <w:name w:val="日期 Char"/>
    <w:link w:val="15"/>
    <w:qFormat/>
    <w:locked/>
    <w:uiPriority w:val="0"/>
    <w:rPr>
      <w:rFonts w:ascii="Times New Roman" w:hAnsi="Times New Roman" w:eastAsia="宋体"/>
      <w:sz w:val="24"/>
    </w:rPr>
  </w:style>
  <w:style w:type="character" w:customStyle="1" w:styleId="37">
    <w:name w:val="批注框文本 Char"/>
    <w:link w:val="17"/>
    <w:semiHidden/>
    <w:qFormat/>
    <w:locked/>
    <w:uiPriority w:val="0"/>
    <w:rPr>
      <w:rFonts w:ascii="Times New Roman" w:hAnsi="Times New Roman" w:eastAsia="宋体"/>
      <w:sz w:val="18"/>
    </w:rPr>
  </w:style>
  <w:style w:type="character" w:customStyle="1" w:styleId="38">
    <w:name w:val="页脚 Char"/>
    <w:link w:val="18"/>
    <w:qFormat/>
    <w:locked/>
    <w:uiPriority w:val="99"/>
    <w:rPr>
      <w:sz w:val="18"/>
    </w:rPr>
  </w:style>
  <w:style w:type="character" w:customStyle="1" w:styleId="39">
    <w:name w:val="页眉 Char"/>
    <w:link w:val="19"/>
    <w:qFormat/>
    <w:locked/>
    <w:uiPriority w:val="0"/>
    <w:rPr>
      <w:sz w:val="18"/>
    </w:rPr>
  </w:style>
  <w:style w:type="character" w:customStyle="1" w:styleId="40">
    <w:name w:val="普通(网站) Char"/>
    <w:link w:val="23"/>
    <w:qFormat/>
    <w:locked/>
    <w:uiPriority w:val="0"/>
    <w:rPr>
      <w:rFonts w:ascii="宋体" w:hAnsi="宋体" w:eastAsia="宋体"/>
      <w:sz w:val="24"/>
    </w:rPr>
  </w:style>
  <w:style w:type="character" w:customStyle="1" w:styleId="41">
    <w:name w:val="批注主题 Char"/>
    <w:link w:val="24"/>
    <w:semiHidden/>
    <w:qFormat/>
    <w:locked/>
    <w:uiPriority w:val="0"/>
    <w:rPr>
      <w:rFonts w:ascii="Times New Roman" w:hAnsi="Times New Roman" w:eastAsia="宋体"/>
      <w:b/>
      <w:kern w:val="2"/>
      <w:sz w:val="24"/>
    </w:rPr>
  </w:style>
  <w:style w:type="character" w:customStyle="1" w:styleId="42">
    <w:name w:val="正文文本 字符1"/>
    <w:semiHidden/>
    <w:qFormat/>
    <w:uiPriority w:val="0"/>
    <w:rPr>
      <w:rFonts w:ascii="Times New Roman" w:hAnsi="Times New Roman" w:eastAsia="宋体"/>
      <w:sz w:val="24"/>
    </w:rPr>
  </w:style>
  <w:style w:type="character" w:customStyle="1" w:styleId="43">
    <w:name w:val="批注文字 字符1"/>
    <w:semiHidden/>
    <w:qFormat/>
    <w:uiPriority w:val="0"/>
    <w:rPr>
      <w:rFonts w:ascii="Times New Roman" w:hAnsi="Times New Roman" w:eastAsia="宋体"/>
      <w:sz w:val="24"/>
    </w:rPr>
  </w:style>
  <w:style w:type="character" w:customStyle="1" w:styleId="44">
    <w:name w:val="表格 Char"/>
    <w:link w:val="45"/>
    <w:qFormat/>
    <w:locked/>
    <w:uiPriority w:val="0"/>
    <w:rPr>
      <w:rFonts w:ascii="宋体"/>
      <w:sz w:val="21"/>
    </w:rPr>
  </w:style>
  <w:style w:type="paragraph" w:customStyle="1" w:styleId="45">
    <w:name w:val="表格"/>
    <w:basedOn w:val="1"/>
    <w:next w:val="1"/>
    <w:link w:val="44"/>
    <w:qFormat/>
    <w:uiPriority w:val="0"/>
    <w:pPr>
      <w:adjustRightInd w:val="0"/>
      <w:snapToGrid w:val="0"/>
      <w:spacing w:beforeLines="10" w:afterLines="10" w:line="259" w:lineRule="auto"/>
      <w:jc w:val="center"/>
    </w:pPr>
    <w:rPr>
      <w:rFonts w:ascii="宋体"/>
      <w:kern w:val="0"/>
      <w:szCs w:val="20"/>
    </w:rPr>
  </w:style>
  <w:style w:type="character" w:customStyle="1" w:styleId="46">
    <w:name w:val="页脚 字符"/>
    <w:qFormat/>
    <w:uiPriority w:val="99"/>
  </w:style>
  <w:style w:type="character" w:customStyle="1" w:styleId="47">
    <w:name w:val="日期 字符"/>
    <w:semiHidden/>
    <w:qFormat/>
    <w:uiPriority w:val="0"/>
    <w:rPr>
      <w:rFonts w:ascii="Times New Roman" w:hAnsi="Times New Roman" w:eastAsia="宋体"/>
      <w:sz w:val="24"/>
    </w:rPr>
  </w:style>
  <w:style w:type="paragraph" w:customStyle="1" w:styleId="48">
    <w:name w:val="正文3"/>
    <w:basedOn w:val="1"/>
    <w:qFormat/>
    <w:uiPriority w:val="0"/>
  </w:style>
  <w:style w:type="paragraph" w:customStyle="1" w:styleId="49">
    <w:name w:val="Table Paragraph"/>
    <w:basedOn w:val="31"/>
    <w:next w:val="31"/>
    <w:qFormat/>
    <w:uiPriority w:val="1"/>
    <w:pPr>
      <w:autoSpaceDE w:val="0"/>
      <w:autoSpaceDN w:val="0"/>
      <w:adjustRightInd w:val="0"/>
      <w:jc w:val="left"/>
    </w:pPr>
    <w:rPr>
      <w:rFonts w:ascii="Times New Roman" w:hAnsi="Times New Roman" w:eastAsia="宋体"/>
      <w:kern w:val="0"/>
      <w:sz w:val="24"/>
      <w:szCs w:val="24"/>
    </w:rPr>
  </w:style>
  <w:style w:type="paragraph" w:customStyle="1" w:styleId="50">
    <w:name w:val="文中表格文本"/>
    <w:basedOn w:val="1"/>
    <w:qFormat/>
    <w:uiPriority w:val="0"/>
    <w:pPr>
      <w:topLinePunct/>
      <w:snapToGrid w:val="0"/>
      <w:spacing w:line="240" w:lineRule="auto"/>
      <w:ind w:firstLine="0" w:firstLineChars="0"/>
      <w:jc w:val="center"/>
    </w:pPr>
    <w:rPr>
      <w:rFonts w:ascii="宋体" w:hAnsi="宋体" w:cs="宋体"/>
      <w:kern w:val="0"/>
      <w:sz w:val="21"/>
      <w:szCs w:val="21"/>
    </w:rPr>
  </w:style>
  <w:style w:type="paragraph" w:customStyle="1" w:styleId="51">
    <w:name w:val="图表标题"/>
    <w:basedOn w:val="1"/>
    <w:next w:val="1"/>
    <w:qFormat/>
    <w:uiPriority w:val="0"/>
    <w:pPr>
      <w:spacing w:line="276" w:lineRule="auto"/>
      <w:jc w:val="center"/>
    </w:pPr>
    <w:rPr>
      <w:b/>
    </w:rPr>
  </w:style>
  <w:style w:type="paragraph" w:customStyle="1" w:styleId="5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3">
    <w:name w:val="表格文字"/>
    <w:basedOn w:val="9"/>
    <w:next w:val="1"/>
    <w:qFormat/>
    <w:uiPriority w:val="0"/>
    <w:pPr>
      <w:widowControl w:val="0"/>
      <w:adjustRightInd w:val="0"/>
      <w:snapToGrid w:val="0"/>
      <w:spacing w:line="360" w:lineRule="exact"/>
      <w:jc w:val="center"/>
    </w:pPr>
    <w:rPr>
      <w:rFonts w:ascii="宋体" w:hAnsi="宋体" w:eastAsia="宋体" w:cs="Times New Roman"/>
      <w:spacing w:val="8"/>
      <w:sz w:val="24"/>
    </w:rPr>
  </w:style>
  <w:style w:type="paragraph" w:customStyle="1" w:styleId="54">
    <w:name w:val="4小表"/>
    <w:basedOn w:val="1"/>
    <w:qFormat/>
    <w:uiPriority w:val="0"/>
    <w:pPr>
      <w:adjustRightInd w:val="0"/>
      <w:snapToGrid w:val="0"/>
      <w:spacing w:line="460" w:lineRule="exact"/>
      <w:jc w:val="center"/>
    </w:pPr>
    <w:rPr>
      <w:kern w:val="0"/>
      <w:sz w:val="20"/>
      <w:szCs w:val="21"/>
    </w:rPr>
  </w:style>
  <w:style w:type="paragraph" w:customStyle="1" w:styleId="55">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5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7">
    <w:name w:val="表头"/>
    <w:basedOn w:val="58"/>
    <w:next w:val="1"/>
    <w:qFormat/>
    <w:uiPriority w:val="0"/>
    <w:pPr>
      <w:tabs>
        <w:tab w:val="left" w:pos="2895"/>
      </w:tabs>
      <w:adjustRightInd w:val="0"/>
      <w:jc w:val="center"/>
    </w:pPr>
    <w:rPr>
      <w:rFonts w:ascii="仿宋_GB2312" w:hAnsi="Tahoma"/>
      <w:sz w:val="24"/>
      <w:szCs w:val="24"/>
    </w:rPr>
  </w:style>
  <w:style w:type="paragraph" w:customStyle="1" w:styleId="58">
    <w:name w:val="L正文"/>
    <w:basedOn w:val="1"/>
    <w:qFormat/>
    <w:uiPriority w:val="0"/>
    <w:pPr>
      <w:adjustRightInd w:val="0"/>
      <w:snapToGrid w:val="0"/>
    </w:pPr>
    <w:rPr>
      <w:szCs w:val="24"/>
    </w:rPr>
  </w:style>
  <w:style w:type="paragraph" w:customStyle="1" w:styleId="59">
    <w:name w:val="表格内容"/>
    <w:basedOn w:val="1"/>
    <w:qFormat/>
    <w:uiPriority w:val="0"/>
    <w:pPr>
      <w:jc w:val="center"/>
    </w:pPr>
    <w:rPr>
      <w:color w:val="FF0000"/>
      <w:szCs w:val="20"/>
    </w:rPr>
  </w:style>
  <w:style w:type="paragraph" w:customStyle="1" w:styleId="60">
    <w:name w:val="表文排版"/>
    <w:basedOn w:val="13"/>
    <w:qFormat/>
    <w:uiPriority w:val="0"/>
    <w:pPr>
      <w:autoSpaceDE w:val="0"/>
      <w:autoSpaceDN w:val="0"/>
      <w:adjustRightInd w:val="0"/>
      <w:snapToGrid w:val="0"/>
      <w:spacing w:after="0" w:line="360" w:lineRule="auto"/>
      <w:ind w:firstLine="482"/>
      <w:jc w:val="center"/>
      <w:textAlignment w:val="baseline"/>
    </w:pPr>
    <w:rPr>
      <w:rFonts w:ascii="Times New Roman" w:hAnsi="Times New Roman"/>
      <w:kern w:val="0"/>
      <w:sz w:val="22"/>
      <w:szCs w:val="24"/>
      <w:lang w:val="en-US" w:eastAsia="zh-CN"/>
    </w:rPr>
  </w:style>
  <w:style w:type="paragraph" w:customStyle="1" w:styleId="61">
    <w:name w:val="表"/>
    <w:basedOn w:val="13"/>
    <w:qFormat/>
    <w:uiPriority w:val="0"/>
    <w:pPr>
      <w:adjustRightInd w:val="0"/>
      <w:snapToGrid w:val="0"/>
      <w:spacing w:line="400" w:lineRule="exact"/>
      <w:jc w:val="center"/>
    </w:pPr>
    <w:rPr>
      <w:rFonts w:eastAsia="仿宋_GB2312"/>
      <w:sz w:val="24"/>
      <w:szCs w:val="24"/>
    </w:rPr>
  </w:style>
  <w:style w:type="paragraph" w:customStyle="1" w:styleId="62">
    <w:name w:val="表中文字"/>
    <w:basedOn w:val="1"/>
    <w:qFormat/>
    <w:uiPriority w:val="0"/>
    <w:pPr>
      <w:adjustRightInd w:val="0"/>
      <w:snapToGrid w:val="0"/>
      <w:spacing w:line="400" w:lineRule="exact"/>
      <w:jc w:val="center"/>
    </w:pPr>
    <w:rPr>
      <w:rFonts w:ascii="仿宋_GB2312" w:hAnsi="Tahoma"/>
      <w:szCs w:val="24"/>
    </w:rPr>
  </w:style>
  <w:style w:type="paragraph" w:customStyle="1" w:styleId="63">
    <w:name w:val="报告书正文"/>
    <w:basedOn w:val="16"/>
    <w:qFormat/>
    <w:uiPriority w:val="0"/>
    <w:pPr>
      <w:tabs>
        <w:tab w:val="left" w:pos="6300"/>
      </w:tabs>
      <w:adjustRightInd w:val="0"/>
      <w:snapToGrid w:val="0"/>
      <w:spacing w:after="0" w:line="480" w:lineRule="exact"/>
      <w:ind w:left="0" w:leftChars="0" w:firstLine="480" w:firstLineChars="200"/>
    </w:pPr>
    <w:rPr>
      <w:rFonts w:ascii="宋体" w:hAnsi="宋体"/>
      <w:bCs/>
      <w:kern w:val="0"/>
      <w:sz w:val="24"/>
      <w:szCs w:val="24"/>
    </w:rPr>
  </w:style>
  <w:style w:type="paragraph" w:customStyle="1" w:styleId="64">
    <w:name w:val="正文 首行缩进:  2 字符"/>
    <w:basedOn w:val="1"/>
    <w:qFormat/>
    <w:uiPriority w:val="0"/>
    <w:pPr>
      <w:adjustRightInd w:val="0"/>
      <w:snapToGrid w:val="0"/>
      <w:spacing w:line="360" w:lineRule="auto"/>
      <w:ind w:firstLine="470" w:firstLineChars="196"/>
      <w:jc w:val="both"/>
    </w:pPr>
    <w:rPr>
      <w:rFonts w:hAnsi="仿宋_GB2312" w:cs="Times New Roman"/>
    </w:rPr>
  </w:style>
  <w:style w:type="paragraph" w:customStyle="1" w:styleId="65">
    <w:name w:val="正文   1"/>
    <w:basedOn w:val="1"/>
    <w:qFormat/>
    <w:uiPriority w:val="0"/>
    <w:pPr>
      <w:spacing w:line="480" w:lineRule="exact"/>
      <w:ind w:firstLine="200" w:firstLineChars="200"/>
    </w:pPr>
    <w:rPr>
      <w:rFonts w:ascii="黑体" w:hAnsi="黑体" w:eastAsia="黑体" w:cs="宋体"/>
      <w:b/>
      <w:bCs/>
      <w:sz w:val="26"/>
      <w:szCs w:val="26"/>
    </w:rPr>
  </w:style>
  <w:style w:type="paragraph" w:customStyle="1" w:styleId="66">
    <w:name w:val="大表中文字"/>
    <w:basedOn w:val="1"/>
    <w:qFormat/>
    <w:uiPriority w:val="0"/>
    <w:pPr>
      <w:adjustRightInd w:val="0"/>
      <w:snapToGrid w:val="0"/>
      <w:spacing w:line="400" w:lineRule="exact"/>
      <w:ind w:firstLine="0" w:firstLineChars="0"/>
      <w:jc w:val="center"/>
    </w:pPr>
    <w:rPr>
      <w:szCs w:val="24"/>
    </w:rPr>
  </w:style>
  <w:style w:type="paragraph" w:customStyle="1" w:styleId="67">
    <w:name w:val="表头图头"/>
    <w:basedOn w:val="1"/>
    <w:qFormat/>
    <w:uiPriority w:val="0"/>
    <w:pPr>
      <w:jc w:val="center"/>
    </w:pPr>
  </w:style>
  <w:style w:type="paragraph" w:customStyle="1" w:styleId="68">
    <w:name w:val="小表中格式"/>
    <w:basedOn w:val="69"/>
    <w:qFormat/>
    <w:uiPriority w:val="0"/>
    <w:pPr>
      <w:spacing w:line="360" w:lineRule="exact"/>
      <w:ind w:firstLine="0" w:firstLineChars="0"/>
      <w:jc w:val="center"/>
    </w:pPr>
    <w:rPr>
      <w:w w:val="100"/>
      <w:sz w:val="21"/>
      <w:szCs w:val="20"/>
    </w:rPr>
  </w:style>
  <w:style w:type="paragraph" w:customStyle="1" w:styleId="69">
    <w:name w:val="样式 四号 左侧:  1.53 厘米"/>
    <w:basedOn w:val="1"/>
    <w:qFormat/>
    <w:uiPriority w:val="0"/>
    <w:pPr>
      <w:adjustRightInd w:val="0"/>
    </w:pPr>
    <w:rPr>
      <w:w w:val="90"/>
      <w:sz w:val="28"/>
      <w:szCs w:val="28"/>
    </w:rPr>
  </w:style>
  <w:style w:type="paragraph" w:customStyle="1" w:styleId="70">
    <w:name w:val="正文文本缩进1"/>
    <w:basedOn w:val="1"/>
    <w:qFormat/>
    <w:uiPriority w:val="0"/>
    <w:pPr>
      <w:widowControl/>
      <w:spacing w:after="120"/>
      <w:ind w:left="420" w:leftChars="200" w:firstLine="200"/>
    </w:pPr>
    <w:rPr>
      <w:rFonts w:ascii="Calibri" w:hAnsi="Calibri"/>
    </w:rPr>
  </w:style>
  <w:style w:type="paragraph" w:customStyle="1" w:styleId="71">
    <w:name w:val="!正文(alt+c)"/>
    <w:qFormat/>
    <w:uiPriority w:val="0"/>
    <w:pPr>
      <w:spacing w:line="420" w:lineRule="exact"/>
      <w:ind w:firstLine="200" w:firstLineChars="200"/>
      <w:jc w:val="both"/>
    </w:pPr>
    <w:rPr>
      <w:rFonts w:ascii="Times New Roman" w:hAnsi="Times New Roman" w:eastAsia="宋体" w:cs="Times New Roman"/>
      <w:sz w:val="24"/>
      <w:lang w:val="en-US" w:eastAsia="zh-CN" w:bidi="ar-SA"/>
    </w:rPr>
  </w:style>
  <w:style w:type="table" w:customStyle="1" w:styleId="72">
    <w:name w:val="Table Normal"/>
    <w:unhideWhenUsed/>
    <w:qFormat/>
    <w:uiPriority w:val="0"/>
    <w:rPr>
      <w:lang w:val="en-US" w:eastAsia="zh-CN" w:bidi="ar-SA"/>
    </w:rPr>
    <w:tblPr>
      <w:tblCellMar>
        <w:top w:w="0" w:type="dxa"/>
        <w:left w:w="0" w:type="dxa"/>
        <w:bottom w:w="0" w:type="dxa"/>
        <w:right w:w="0" w:type="dxa"/>
      </w:tblCellMar>
    </w:tblPr>
  </w:style>
  <w:style w:type="paragraph" w:customStyle="1" w:styleId="73">
    <w:name w:val="表体"/>
    <w:qFormat/>
    <w:uiPriority w:val="0"/>
    <w:pPr>
      <w:spacing w:line="240" w:lineRule="atLeast"/>
      <w:jc w:val="center"/>
    </w:pPr>
    <w:rPr>
      <w:rFonts w:ascii="Times New Roman" w:hAnsi="Times New Roman" w:eastAsia="宋体" w:cs="Times New Roman"/>
      <w:color w:val="000080"/>
      <w:kern w:val="2"/>
      <w:sz w:val="21"/>
      <w:szCs w:val="24"/>
      <w:lang w:val="en-US" w:eastAsia="zh-CN" w:bidi="ar-SA"/>
    </w:rPr>
  </w:style>
  <w:style w:type="paragraph" w:customStyle="1" w:styleId="74">
    <w:name w:val="正文111111111"/>
    <w:basedOn w:val="1"/>
    <w:qFormat/>
    <w:uiPriority w:val="0"/>
    <w:pPr>
      <w:spacing w:line="360" w:lineRule="auto"/>
      <w:ind w:firstLine="480" w:firstLineChars="200"/>
    </w:pPr>
    <w:rPr>
      <w:sz w:val="24"/>
      <w:szCs w:val="20"/>
    </w:rPr>
  </w:style>
  <w:style w:type="paragraph" w:customStyle="1" w:styleId="75">
    <w:name w:val="图头表头"/>
    <w:basedOn w:val="1"/>
    <w:qFormat/>
    <w:uiPriority w:val="0"/>
    <w:pPr>
      <w:spacing w:line="240" w:lineRule="auto"/>
      <w:ind w:firstLine="0" w:firstLineChars="0"/>
      <w:jc w:val="center"/>
    </w:pPr>
  </w:style>
  <w:style w:type="paragraph" w:customStyle="1" w:styleId="76">
    <w:name w:val="大表格"/>
    <w:basedOn w:val="1"/>
    <w:qFormat/>
    <w:uiPriority w:val="1"/>
    <w:pPr>
      <w:spacing w:line="240" w:lineRule="auto"/>
      <w:ind w:firstLine="0" w:firstLineChars="0"/>
      <w:jc w:val="center"/>
    </w:pPr>
  </w:style>
  <w:style w:type="paragraph" w:customStyle="1" w:styleId="77">
    <w:name w:val="（正文）"/>
    <w:basedOn w:val="1"/>
    <w:qFormat/>
    <w:uiPriority w:val="0"/>
    <w:pPr>
      <w:spacing w:line="460" w:lineRule="exact"/>
      <w:ind w:firstLine="200" w:firstLineChars="200"/>
      <w:jc w:val="left"/>
    </w:pPr>
    <w:rPr>
      <w:rFonts w:ascii="宋体" w:hAnsi="宋体"/>
      <w:bCs/>
      <w:sz w:val="24"/>
      <w:szCs w:val="24"/>
    </w:rPr>
  </w:style>
  <w:style w:type="paragraph" w:customStyle="1" w:styleId="78">
    <w:name w:val="List Paragraph"/>
    <w:basedOn w:val="1"/>
    <w:qFormat/>
    <w:uiPriority w:val="34"/>
    <w:pPr>
      <w:spacing w:line="240" w:lineRule="auto"/>
      <w:ind w:firstLine="420"/>
    </w:pPr>
    <w:rPr>
      <w:rFonts w:ascii="Calibri" w:hAnsi="Calibri" w:eastAsia="宋体"/>
      <w:sz w:val="21"/>
      <w:szCs w:val="22"/>
    </w:rPr>
  </w:style>
  <w:style w:type="paragraph" w:customStyle="1" w:styleId="79">
    <w:name w:val="正文11111"/>
    <w:basedOn w:val="1"/>
    <w:autoRedefine/>
    <w:qFormat/>
    <w:uiPriority w:val="0"/>
    <w:pPr>
      <w:ind w:firstLine="200" w:firstLineChars="200"/>
    </w:pPr>
    <w:rPr>
      <w:kern w:val="0"/>
    </w:rPr>
  </w:style>
  <w:style w:type="paragraph" w:customStyle="1" w:styleId="80">
    <w:name w:val="报告正文"/>
    <w:qFormat/>
    <w:uiPriority w:val="0"/>
    <w:pPr>
      <w:spacing w:line="460" w:lineRule="atLeast"/>
      <w:ind w:firstLine="200" w:firstLineChars="200"/>
      <w:jc w:val="both"/>
    </w:pPr>
    <w:rPr>
      <w:rFonts w:ascii="Cambria Math" w:hAnsi="Cambria Math" w:cs="Cambria Math" w:eastAsiaTheme="minorEastAsia"/>
      <w:kern w:val="2"/>
      <w:sz w:val="24"/>
      <w:szCs w:val="24"/>
      <w:lang w:val="en-US" w:eastAsia="zh-CN" w:bidi="ar-SA"/>
    </w:rPr>
  </w:style>
  <w:style w:type="paragraph" w:customStyle="1" w:styleId="81">
    <w:name w:val="表格内居中文字"/>
    <w:qFormat/>
    <w:uiPriority w:val="0"/>
    <w:pPr>
      <w:jc w:val="center"/>
    </w:pPr>
    <w:rPr>
      <w:rFonts w:ascii="Cambria Math" w:hAnsi="Cambria Math" w:cs="Cambria Math" w:eastAsiaTheme="minorEastAsia"/>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7.wmf"/><Relationship Id="rId25" Type="http://schemas.openxmlformats.org/officeDocument/2006/relationships/oleObject" Target="embeddings/oleObject3.bin"/><Relationship Id="rId24" Type="http://schemas.openxmlformats.org/officeDocument/2006/relationships/image" Target="media/image16.jpeg"/><Relationship Id="rId23" Type="http://schemas.openxmlformats.org/officeDocument/2006/relationships/image" Target="media/image15.wmf"/><Relationship Id="rId22" Type="http://schemas.openxmlformats.org/officeDocument/2006/relationships/oleObject" Target="embeddings/oleObject2.bin"/><Relationship Id="rId21" Type="http://schemas.openxmlformats.org/officeDocument/2006/relationships/image" Target="media/image14.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83</Pages>
  <Words>235</Words>
  <Characters>313</Characters>
  <Lines>396</Lines>
  <Paragraphs>111</Paragraphs>
  <TotalTime>3</TotalTime>
  <ScaleCrop>false</ScaleCrop>
  <LinksUpToDate>false</LinksUpToDate>
  <CharactersWithSpaces>331</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silence</cp:lastModifiedBy>
  <cp:lastPrinted>2022-09-29T02:06:00Z</cp:lastPrinted>
  <dcterms:modified xsi:type="dcterms:W3CDTF">2025-06-17T04:24:01Z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DC4EACE5038B4C9F8856DFC3484AF646</vt:lpwstr>
  </property>
  <property fmtid="{D5CDD505-2E9C-101B-9397-08002B2CF9AE}" pid="4" name="KSOTemplateDocerSaveRecord">
    <vt:lpwstr>eyJoZGlkIjoiZjRmYWUxOWJhMWE5OGFmZGQyNzA0NjBkZTNhOGRjMDEiLCJ1c2VySWQiOiIyNDg4ODMzNzUifQ==</vt:lpwstr>
  </property>
</Properties>
</file>