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9AD8D">
      <w:pPr>
        <w:rPr>
          <w:rFonts w:hint="default" w:ascii="Times New Roman" w:hAnsi="Times New Roman" w:eastAsia="仿宋_GB2312" w:cs="Times New Roman"/>
          <w:color w:val="000000" w:themeColor="text1"/>
          <w:sz w:val="36"/>
          <w:szCs w:val="36"/>
          <w14:textFill>
            <w14:solidFill>
              <w14:schemeClr w14:val="tx1"/>
            </w14:solidFill>
          </w14:textFill>
        </w:rPr>
      </w:pPr>
    </w:p>
    <w:p w14:paraId="2576999A">
      <w:pPr>
        <w:rPr>
          <w:rFonts w:hint="default" w:ascii="Times New Roman" w:hAnsi="Times New Roman" w:eastAsia="仿宋_GB2312" w:cs="Times New Roman"/>
          <w:color w:val="000000" w:themeColor="text1"/>
          <w:sz w:val="36"/>
          <w:szCs w:val="36"/>
          <w14:textFill>
            <w14:solidFill>
              <w14:schemeClr w14:val="tx1"/>
            </w14:solidFill>
          </w14:textFill>
        </w:rPr>
      </w:pPr>
    </w:p>
    <w:p w14:paraId="018D9608">
      <w:pPr>
        <w:rPr>
          <w:rFonts w:hint="default" w:ascii="Times New Roman" w:hAnsi="Times New Roman" w:eastAsia="仿宋_GB2312" w:cs="Times New Roman"/>
          <w:color w:val="000000" w:themeColor="text1"/>
          <w:sz w:val="36"/>
          <w:szCs w:val="36"/>
          <w14:textFill>
            <w14:solidFill>
              <w14:schemeClr w14:val="tx1"/>
            </w14:solidFill>
          </w14:textFill>
        </w:rPr>
      </w:pPr>
    </w:p>
    <w:p w14:paraId="51DC5A2D">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6391E0DC">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0FDFFAA1">
      <w:pPr>
        <w:adjustRightInd w:val="0"/>
        <w:snapToGrid w:val="0"/>
        <w:spacing w:line="288" w:lineRule="auto"/>
        <w:jc w:val="center"/>
        <w:outlineLvl w:val="0"/>
        <w:rPr>
          <w:rFonts w:hint="eastAsia" w:ascii="Times New Roman" w:hAnsi="Times New Roman" w:eastAsia="华文仿宋" w:cs="Times New Roman"/>
          <w:color w:val="000000" w:themeColor="text1"/>
          <w:kern w:val="44"/>
          <w:sz w:val="28"/>
          <w:szCs w:val="28"/>
          <w:lang w:eastAsia="zh-CN"/>
          <w14:textFill>
            <w14:solidFill>
              <w14:schemeClr w14:val="tx1"/>
            </w14:solidFill>
          </w14:textFill>
        </w:rPr>
      </w:pPr>
      <w:r>
        <w:rPr>
          <w:rFonts w:hint="eastAsia" w:ascii="Times New Roman" w:hAnsi="Times New Roman" w:eastAsia="华文仿宋" w:cs="Times New Roman"/>
          <w:color w:val="000000" w:themeColor="text1"/>
          <w:kern w:val="44"/>
          <w:sz w:val="28"/>
          <w:szCs w:val="28"/>
          <w:lang w:eastAsia="zh-CN"/>
          <w14:textFill>
            <w14:solidFill>
              <w14:schemeClr w14:val="tx1"/>
            </w14:solidFill>
          </w14:textFill>
        </w:rPr>
        <w:t>（</w:t>
      </w:r>
      <w:r>
        <w:rPr>
          <w:rFonts w:hint="eastAsia" w:ascii="Times New Roman" w:hAnsi="Times New Roman" w:eastAsia="华文仿宋" w:cs="Times New Roman"/>
          <w:color w:val="000000" w:themeColor="text1"/>
          <w:kern w:val="44"/>
          <w:sz w:val="28"/>
          <w:szCs w:val="28"/>
          <w:lang w:val="en-US" w:eastAsia="zh-CN"/>
          <w14:textFill>
            <w14:solidFill>
              <w14:schemeClr w14:val="tx1"/>
            </w14:solidFill>
          </w14:textFill>
        </w:rPr>
        <w:t>公示版</w:t>
      </w:r>
      <w:r>
        <w:rPr>
          <w:rFonts w:hint="eastAsia" w:ascii="Times New Roman" w:hAnsi="Times New Roman" w:eastAsia="华文仿宋" w:cs="Times New Roman"/>
          <w:color w:val="000000" w:themeColor="text1"/>
          <w:kern w:val="44"/>
          <w:sz w:val="28"/>
          <w:szCs w:val="28"/>
          <w:lang w:eastAsia="zh-CN"/>
          <w14:textFill>
            <w14:solidFill>
              <w14:schemeClr w14:val="tx1"/>
            </w14:solidFill>
          </w14:textFill>
        </w:rPr>
        <w:t>）</w:t>
      </w:r>
    </w:p>
    <w:p w14:paraId="4909A9FE">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29398CF6">
      <w:pPr>
        <w:ind w:firstLine="1040"/>
        <w:rPr>
          <w:rFonts w:hint="default" w:ascii="Times New Roman" w:hAnsi="Times New Roman" w:eastAsia="仿宋" w:cs="Times New Roman"/>
          <w:color w:val="000000" w:themeColor="text1"/>
          <w:sz w:val="44"/>
          <w:szCs w:val="44"/>
          <w14:textFill>
            <w14:solidFill>
              <w14:schemeClr w14:val="tx1"/>
            </w14:solidFill>
          </w14:textFill>
        </w:rPr>
      </w:pPr>
      <w:bookmarkStart w:id="37" w:name="_GoBack"/>
      <w:bookmarkEnd w:id="37"/>
    </w:p>
    <w:p w14:paraId="762FA230">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01594FA6">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1E7F31D1">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24EC00B1">
      <w:pPr>
        <w:keepNext w:val="0"/>
        <w:keepLines w:val="0"/>
        <w:pageBreakBefore w:val="0"/>
        <w:widowControl w:val="0"/>
        <w:kinsoku/>
        <w:wordWrap/>
        <w:overflowPunct/>
        <w:topLinePunct w:val="0"/>
        <w:autoSpaceDE/>
        <w:autoSpaceDN/>
        <w:bidi w:val="0"/>
        <w:adjustRightInd w:val="0"/>
        <w:snapToGrid w:val="0"/>
        <w:spacing w:line="360" w:lineRule="auto"/>
        <w:ind w:left="2518" w:leftChars="342" w:hanging="1800" w:hangingChars="500"/>
        <w:jc w:val="both"/>
        <w:textAlignment w:val="auto"/>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安兴动物医院</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p>
    <w:p w14:paraId="4029E43F">
      <w:pPr>
        <w:keepNext w:val="0"/>
        <w:keepLines w:val="0"/>
        <w:pageBreakBefore w:val="0"/>
        <w:widowControl w:val="0"/>
        <w:kinsoku/>
        <w:wordWrap/>
        <w:overflowPunct/>
        <w:topLinePunct w:val="0"/>
        <w:autoSpaceDE/>
        <w:autoSpaceDN/>
        <w:bidi w:val="0"/>
        <w:adjustRightInd w:val="0"/>
        <w:snapToGrid w:val="0"/>
        <w:spacing w:line="360" w:lineRule="auto"/>
        <w:ind w:left="2518" w:leftChars="342" w:hanging="1800" w:hangingChars="500"/>
        <w:jc w:val="both"/>
        <w:textAlignment w:val="auto"/>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eastAsia" w:ascii="Times New Roman" w:hAnsi="Times New Roman" w:eastAsia="仿宋_GB2312" w:cs="Times New Roman"/>
          <w:color w:val="000000" w:themeColor="text1"/>
          <w:sz w:val="32"/>
          <w:szCs w:val="32"/>
          <w:u w:val="single"/>
          <w:lang w:val="en-US" w:eastAsia="zh-CN"/>
          <w14:textFill>
            <w14:solidFill>
              <w14:schemeClr w14:val="tx1"/>
            </w14:solidFill>
          </w14:textFill>
        </w:rPr>
        <w:t>高新技术产业开发区安兴动物医院</w:t>
      </w:r>
    </w:p>
    <w:p w14:paraId="76A6F775">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二〇二</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五</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年</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六</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月</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p>
    <w:p w14:paraId="3D2D5A0F">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bookmarkStart w:id="0" w:name="_Hlk57884087"/>
    </w:p>
    <w:p w14:paraId="2337F655">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79563DDA">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192DAD1C">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484B749D">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bookmarkEnd w:id="0"/>
    <w:p w14:paraId="56591AB4">
      <w:pPr>
        <w:adjustRightInd w:val="0"/>
        <w:snapToGrid w:val="0"/>
        <w:spacing w:line="288" w:lineRule="auto"/>
        <w:jc w:val="cente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3704E523">
      <w:pPr>
        <w:pStyle w:val="19"/>
        <w:jc w:val="center"/>
        <w:outlineLvl w:val="0"/>
        <w:rPr>
          <w:rFonts w:hint="default" w:ascii="Times New Roman" w:hAnsi="Times New Roman" w:eastAsia="宋体" w:cs="Times New Roman"/>
          <w:snapToGrid w:val="0"/>
          <w:color w:val="auto"/>
          <w:sz w:val="30"/>
          <w:szCs w:val="30"/>
        </w:rPr>
      </w:pPr>
    </w:p>
    <w:p w14:paraId="666B70DA">
      <w:pPr>
        <w:pStyle w:val="19"/>
        <w:jc w:val="center"/>
        <w:outlineLvl w:val="0"/>
        <w:rPr>
          <w:rFonts w:hint="default" w:ascii="Times New Roman" w:hAnsi="Times New Roman" w:eastAsia="宋体" w:cs="Times New Roman"/>
          <w:snapToGrid w:val="0"/>
          <w:color w:val="auto"/>
          <w:sz w:val="30"/>
          <w:szCs w:val="30"/>
        </w:rPr>
      </w:pPr>
    </w:p>
    <w:p w14:paraId="433605F8">
      <w:pPr>
        <w:pStyle w:val="19"/>
        <w:jc w:val="center"/>
        <w:outlineLvl w:val="0"/>
        <w:rPr>
          <w:rFonts w:hint="default" w:ascii="Times New Roman" w:hAnsi="Times New Roman" w:eastAsia="宋体" w:cs="Times New Roman"/>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5BDC496">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一、建设项目基本情况</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70"/>
        <w:gridCol w:w="2400"/>
        <w:gridCol w:w="1961"/>
        <w:gridCol w:w="2639"/>
      </w:tblGrid>
      <w:tr w14:paraId="490DF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12E4D1A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000" w:type="dxa"/>
            <w:gridSpan w:val="3"/>
            <w:noWrap w:val="0"/>
            <w:vAlign w:val="center"/>
          </w:tcPr>
          <w:p w14:paraId="0A761FF2">
            <w:pPr>
              <w:adjustRightInd w:val="0"/>
              <w:snapToGrid w:val="0"/>
              <w:jc w:val="center"/>
              <w:rPr>
                <w:rFonts w:hint="default" w:ascii="Times New Roman" w:hAnsi="Times New Roman" w:eastAsia="宋体" w:cs="Times New Roman"/>
                <w:color w:val="auto"/>
                <w:sz w:val="21"/>
                <w:szCs w:val="21"/>
                <w:lang w:val="en-US"/>
              </w:rPr>
            </w:pPr>
            <w:r>
              <w:rPr>
                <w:rFonts w:hint="eastAsia"/>
                <w:color w:val="auto"/>
                <w:szCs w:val="21"/>
                <w:lang w:val="en-US" w:eastAsia="zh-CN"/>
              </w:rPr>
              <w:t>安兴动物医院</w:t>
            </w:r>
          </w:p>
        </w:tc>
      </w:tr>
      <w:tr w14:paraId="4CC0D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30AB40F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000" w:type="dxa"/>
            <w:gridSpan w:val="3"/>
            <w:noWrap w:val="0"/>
            <w:vAlign w:val="center"/>
          </w:tcPr>
          <w:p w14:paraId="4B2CDA2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2502-500107-04-05-235935</w:t>
            </w:r>
          </w:p>
        </w:tc>
      </w:tr>
      <w:tr w14:paraId="09268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011F8C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2400" w:type="dxa"/>
            <w:noWrap w:val="0"/>
            <w:vAlign w:val="center"/>
          </w:tcPr>
          <w:p w14:paraId="544341B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傅*轶</w:t>
            </w:r>
          </w:p>
        </w:tc>
        <w:tc>
          <w:tcPr>
            <w:tcW w:w="1961" w:type="dxa"/>
            <w:noWrap w:val="0"/>
            <w:vAlign w:val="center"/>
          </w:tcPr>
          <w:p w14:paraId="7C14479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2639" w:type="dxa"/>
            <w:noWrap w:val="0"/>
            <w:vAlign w:val="center"/>
          </w:tcPr>
          <w:p w14:paraId="420D5DB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8522</w:t>
            </w:r>
          </w:p>
        </w:tc>
      </w:tr>
      <w:tr w14:paraId="48672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2299730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000" w:type="dxa"/>
            <w:gridSpan w:val="3"/>
            <w:noWrap w:val="0"/>
            <w:vAlign w:val="center"/>
          </w:tcPr>
          <w:p w14:paraId="1A352FD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重庆市九龙坡区经纬大道1305号19幢吊2-3商业</w:t>
            </w:r>
          </w:p>
          <w:p w14:paraId="7A89C19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（远洋城二期大门旁商业二楼）</w:t>
            </w:r>
          </w:p>
        </w:tc>
      </w:tr>
      <w:tr w14:paraId="619E2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3DAA18B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000" w:type="dxa"/>
            <w:gridSpan w:val="3"/>
            <w:noWrap w:val="0"/>
            <w:vAlign w:val="center"/>
          </w:tcPr>
          <w:p w14:paraId="5C3C46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东经</w:t>
            </w:r>
            <w:r>
              <w:rPr>
                <w:rFonts w:hint="default" w:ascii="Times New Roman" w:hAnsi="Times New Roman" w:eastAsia="宋体" w:cs="Times New Roman"/>
                <w:color w:val="auto"/>
                <w:sz w:val="21"/>
                <w:szCs w:val="21"/>
                <w:u w:val="single"/>
                <w:lang w:val="en-US" w:eastAsia="zh-CN"/>
              </w:rPr>
              <w:t>106</w:t>
            </w:r>
            <w:r>
              <w:rPr>
                <w:rFonts w:hint="default" w:ascii="Times New Roman" w:hAnsi="Times New Roman" w:eastAsia="宋体" w:cs="Times New Roman"/>
                <w:color w:val="auto"/>
                <w:sz w:val="21"/>
                <w:szCs w:val="21"/>
              </w:rPr>
              <w:t>度</w:t>
            </w:r>
            <w:r>
              <w:rPr>
                <w:rFonts w:hint="eastAsia" w:ascii="Times New Roman" w:hAnsi="Times New Roman" w:cs="Times New Roman"/>
                <w:color w:val="auto"/>
                <w:sz w:val="21"/>
                <w:szCs w:val="21"/>
                <w:u w:val="single"/>
                <w:lang w:val="en-US" w:eastAsia="zh-CN"/>
              </w:rPr>
              <w:t>28</w:t>
            </w:r>
            <w:r>
              <w:rPr>
                <w:rFonts w:hint="default" w:ascii="Times New Roman" w:hAnsi="Times New Roman" w:eastAsia="宋体" w:cs="Times New Roman"/>
                <w:color w:val="auto"/>
                <w:sz w:val="21"/>
                <w:szCs w:val="21"/>
              </w:rPr>
              <w:t>分</w:t>
            </w:r>
            <w:r>
              <w:rPr>
                <w:rFonts w:hint="eastAsia" w:ascii="Times New Roman" w:hAnsi="Times New Roman" w:cs="Times New Roman"/>
                <w:color w:val="auto"/>
                <w:sz w:val="21"/>
                <w:szCs w:val="21"/>
                <w:u w:val="single"/>
                <w:lang w:val="en-US" w:eastAsia="zh-CN"/>
              </w:rPr>
              <w:t>2.681</w:t>
            </w:r>
            <w:r>
              <w:rPr>
                <w:rFonts w:hint="default" w:ascii="Times New Roman" w:hAnsi="Times New Roman" w:eastAsia="宋体" w:cs="Times New Roman"/>
                <w:color w:val="auto"/>
                <w:sz w:val="21"/>
                <w:szCs w:val="21"/>
              </w:rPr>
              <w:t>秒，</w:t>
            </w:r>
            <w:r>
              <w:rPr>
                <w:rFonts w:hint="default" w:ascii="Times New Roman" w:hAnsi="Times New Roman" w:eastAsia="宋体" w:cs="Times New Roman"/>
                <w:color w:val="auto"/>
                <w:sz w:val="21"/>
                <w:szCs w:val="21"/>
                <w:lang w:eastAsia="zh-CN"/>
              </w:rPr>
              <w:t>北纬</w:t>
            </w:r>
            <w:r>
              <w:rPr>
                <w:rFonts w:hint="default" w:ascii="Times New Roman" w:hAnsi="Times New Roman" w:eastAsia="宋体" w:cs="Times New Roman"/>
                <w:color w:val="auto"/>
                <w:sz w:val="21"/>
                <w:szCs w:val="21"/>
                <w:u w:val="single"/>
                <w:lang w:val="en-US" w:eastAsia="zh-CN"/>
              </w:rPr>
              <w:t>29</w:t>
            </w:r>
            <w:r>
              <w:rPr>
                <w:rFonts w:hint="default" w:ascii="Times New Roman" w:hAnsi="Times New Roman" w:eastAsia="宋体" w:cs="Times New Roman"/>
                <w:color w:val="auto"/>
                <w:sz w:val="21"/>
                <w:szCs w:val="21"/>
              </w:rPr>
              <w:t>度</w:t>
            </w:r>
            <w:r>
              <w:rPr>
                <w:rFonts w:hint="eastAsia" w:ascii="Times New Roman" w:hAnsi="Times New Roman" w:cs="Times New Roman"/>
                <w:color w:val="auto"/>
                <w:sz w:val="21"/>
                <w:szCs w:val="21"/>
                <w:u w:val="single"/>
                <w:lang w:val="en-US" w:eastAsia="zh-CN"/>
              </w:rPr>
              <w:t>31</w:t>
            </w:r>
            <w:r>
              <w:rPr>
                <w:rFonts w:hint="default" w:ascii="Times New Roman" w:hAnsi="Times New Roman" w:eastAsia="宋体" w:cs="Times New Roman"/>
                <w:color w:val="auto"/>
                <w:sz w:val="21"/>
                <w:szCs w:val="21"/>
              </w:rPr>
              <w:t>分</w:t>
            </w:r>
            <w:r>
              <w:rPr>
                <w:rFonts w:hint="eastAsia" w:ascii="Times New Roman" w:hAnsi="Times New Roman" w:cs="Times New Roman"/>
                <w:color w:val="auto"/>
                <w:sz w:val="21"/>
                <w:szCs w:val="21"/>
                <w:u w:val="single"/>
                <w:lang w:val="en-US" w:eastAsia="zh-CN"/>
              </w:rPr>
              <w:t>56.929</w:t>
            </w:r>
            <w:r>
              <w:rPr>
                <w:rFonts w:hint="default" w:ascii="Times New Roman" w:hAnsi="Times New Roman" w:eastAsia="宋体" w:cs="Times New Roman"/>
                <w:color w:val="auto"/>
                <w:sz w:val="21"/>
                <w:szCs w:val="21"/>
              </w:rPr>
              <w:t>秒）</w:t>
            </w:r>
          </w:p>
        </w:tc>
      </w:tr>
      <w:tr w14:paraId="180EF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70" w:type="dxa"/>
            <w:noWrap w:val="0"/>
            <w:tcMar>
              <w:top w:w="16" w:type="dxa"/>
              <w:left w:w="16" w:type="dxa"/>
              <w:right w:w="16" w:type="dxa"/>
            </w:tcMar>
            <w:vAlign w:val="center"/>
          </w:tcPr>
          <w:p w14:paraId="2E73ED0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14:paraId="6E7CEA6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2400" w:type="dxa"/>
            <w:noWrap w:val="0"/>
            <w:vAlign w:val="center"/>
          </w:tcPr>
          <w:p w14:paraId="0727928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O8222 </w:t>
            </w:r>
          </w:p>
          <w:p w14:paraId="1137E68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宠物医院服务</w:t>
            </w:r>
          </w:p>
        </w:tc>
        <w:tc>
          <w:tcPr>
            <w:tcW w:w="1961" w:type="dxa"/>
            <w:noWrap w:val="0"/>
            <w:vAlign w:val="center"/>
          </w:tcPr>
          <w:p w14:paraId="59FC9E70">
            <w:pPr>
              <w:adjustRightInd w:val="0"/>
              <w:snapToGrid w:val="0"/>
              <w:jc w:val="center"/>
              <w:rPr>
                <w:rFonts w:hint="default" w:ascii="Times New Roman" w:hAnsi="Times New Roman" w:eastAsia="宋体" w:cs="Times New Roman"/>
                <w:color w:val="auto"/>
                <w:sz w:val="21"/>
                <w:szCs w:val="21"/>
              </w:rPr>
            </w:pPr>
            <w:bookmarkStart w:id="1" w:name="_Hlk49843745"/>
            <w:r>
              <w:rPr>
                <w:rFonts w:hint="default" w:ascii="Times New Roman" w:hAnsi="Times New Roman" w:eastAsia="宋体" w:cs="Times New Roman"/>
                <w:color w:val="auto"/>
                <w:sz w:val="21"/>
                <w:szCs w:val="21"/>
              </w:rPr>
              <w:t>建设项目</w:t>
            </w:r>
          </w:p>
          <w:p w14:paraId="53CD718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bookmarkEnd w:id="1"/>
          </w:p>
        </w:tc>
        <w:tc>
          <w:tcPr>
            <w:tcW w:w="2639" w:type="dxa"/>
            <w:noWrap w:val="0"/>
            <w:vAlign w:val="center"/>
          </w:tcPr>
          <w:p w14:paraId="2F88704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五十、社会事业与服务业</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123动物医院</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设有动物颅腔、胸腔或腹腔手术设施的</w:t>
            </w:r>
            <w:r>
              <w:rPr>
                <w:rFonts w:hint="eastAsia" w:ascii="Times New Roman" w:hAnsi="Times New Roman" w:cs="Times New Roman"/>
                <w:color w:val="auto"/>
                <w:sz w:val="21"/>
                <w:szCs w:val="21"/>
                <w:lang w:val="en-US" w:eastAsia="zh-CN"/>
              </w:rPr>
              <w:t>”</w:t>
            </w:r>
          </w:p>
        </w:tc>
      </w:tr>
      <w:tr w14:paraId="30B3B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70" w:type="dxa"/>
            <w:noWrap w:val="0"/>
            <w:tcMar>
              <w:top w:w="16" w:type="dxa"/>
              <w:left w:w="16" w:type="dxa"/>
              <w:right w:w="16" w:type="dxa"/>
            </w:tcMar>
            <w:vAlign w:val="center"/>
          </w:tcPr>
          <w:p w14:paraId="7C3CD95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2400" w:type="dxa"/>
            <w:noWrap w:val="0"/>
            <w:vAlign w:val="center"/>
          </w:tcPr>
          <w:p w14:paraId="21855C0C">
            <w:pPr>
              <w:jc w:val="lef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新建（迁建）</w:t>
            </w:r>
          </w:p>
          <w:p w14:paraId="5580A907">
            <w:pPr>
              <w:jc w:val="lef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改建</w:t>
            </w:r>
          </w:p>
          <w:p w14:paraId="5AFD558F">
            <w:pPr>
              <w:jc w:val="lef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扩建</w:t>
            </w:r>
          </w:p>
          <w:p w14:paraId="3DA361B3">
            <w:pPr>
              <w:jc w:val="lef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技术改造</w:t>
            </w:r>
          </w:p>
        </w:tc>
        <w:tc>
          <w:tcPr>
            <w:tcW w:w="1961" w:type="dxa"/>
            <w:noWrap w:val="0"/>
            <w:vAlign w:val="center"/>
          </w:tcPr>
          <w:p w14:paraId="21701AC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14:paraId="31ECE15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2639" w:type="dxa"/>
            <w:noWrap w:val="0"/>
            <w:vAlign w:val="center"/>
          </w:tcPr>
          <w:p w14:paraId="67462C96">
            <w:pPr>
              <w:jc w:val="left"/>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 xml:space="preserve">首次申报项目             </w:t>
            </w:r>
          </w:p>
          <w:p w14:paraId="5304053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□不予批准后再次申报项目</w:t>
            </w:r>
          </w:p>
          <w:p w14:paraId="614E4E19">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□超五年重新审核项目     </w:t>
            </w:r>
          </w:p>
          <w:p w14:paraId="35F9D374">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□重大变动重新报批项目</w:t>
            </w:r>
          </w:p>
        </w:tc>
      </w:tr>
      <w:tr w14:paraId="11ADA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70" w:type="dxa"/>
            <w:noWrap w:val="0"/>
            <w:tcMar>
              <w:top w:w="16" w:type="dxa"/>
              <w:left w:w="16" w:type="dxa"/>
              <w:right w:w="16" w:type="dxa"/>
            </w:tcMar>
            <w:vAlign w:val="center"/>
          </w:tcPr>
          <w:p w14:paraId="51F03D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14:paraId="74501E2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备案）部门（选填）</w:t>
            </w:r>
          </w:p>
        </w:tc>
        <w:tc>
          <w:tcPr>
            <w:tcW w:w="2400" w:type="dxa"/>
            <w:noWrap w:val="0"/>
            <w:vAlign w:val="center"/>
          </w:tcPr>
          <w:p w14:paraId="74C0088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重庆市</w:t>
            </w:r>
            <w:r>
              <w:rPr>
                <w:rFonts w:hint="eastAsia" w:ascii="Times New Roman" w:hAnsi="Times New Roman" w:cs="Times New Roman"/>
                <w:color w:val="auto"/>
                <w:sz w:val="21"/>
                <w:szCs w:val="21"/>
                <w:lang w:val="en-US" w:eastAsia="zh-CN"/>
              </w:rPr>
              <w:t>九龙坡</w:t>
            </w:r>
            <w:r>
              <w:rPr>
                <w:rFonts w:hint="default" w:ascii="Times New Roman" w:hAnsi="Times New Roman" w:eastAsia="宋体" w:cs="Times New Roman"/>
                <w:color w:val="auto"/>
                <w:sz w:val="21"/>
                <w:szCs w:val="21"/>
                <w:lang w:val="en-US" w:eastAsia="zh-CN"/>
              </w:rPr>
              <w:t>区发展和改革委员会</w:t>
            </w:r>
          </w:p>
        </w:tc>
        <w:tc>
          <w:tcPr>
            <w:tcW w:w="1961" w:type="dxa"/>
            <w:noWrap w:val="0"/>
            <w:vAlign w:val="center"/>
          </w:tcPr>
          <w:p w14:paraId="2E1AAC7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14:paraId="2A96EE5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备案）文号（选填）</w:t>
            </w:r>
          </w:p>
        </w:tc>
        <w:tc>
          <w:tcPr>
            <w:tcW w:w="2639" w:type="dxa"/>
            <w:noWrap w:val="0"/>
            <w:vAlign w:val="center"/>
          </w:tcPr>
          <w:p w14:paraId="2F5E9CFB">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2502-500107-04-05-235935</w:t>
            </w:r>
          </w:p>
        </w:tc>
      </w:tr>
      <w:tr w14:paraId="1F2A2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187D5F3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2400" w:type="dxa"/>
            <w:noWrap w:val="0"/>
            <w:vAlign w:val="center"/>
          </w:tcPr>
          <w:p w14:paraId="117C0CA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961" w:type="dxa"/>
            <w:noWrap w:val="0"/>
            <w:tcMar>
              <w:top w:w="16" w:type="dxa"/>
              <w:left w:w="16" w:type="dxa"/>
              <w:right w:w="16" w:type="dxa"/>
            </w:tcMar>
            <w:vAlign w:val="center"/>
          </w:tcPr>
          <w:p w14:paraId="6FD46C7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环保投资（万元）</w:t>
            </w:r>
          </w:p>
        </w:tc>
        <w:tc>
          <w:tcPr>
            <w:tcW w:w="2639" w:type="dxa"/>
            <w:noWrap w:val="0"/>
            <w:vAlign w:val="center"/>
          </w:tcPr>
          <w:p w14:paraId="7A00816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14:paraId="68968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2B022D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2400" w:type="dxa"/>
            <w:noWrap w:val="0"/>
            <w:vAlign w:val="center"/>
          </w:tcPr>
          <w:p w14:paraId="6A05F75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16.7</w:t>
            </w:r>
          </w:p>
        </w:tc>
        <w:tc>
          <w:tcPr>
            <w:tcW w:w="1961" w:type="dxa"/>
            <w:noWrap w:val="0"/>
            <w:tcMar>
              <w:top w:w="16" w:type="dxa"/>
              <w:left w:w="16" w:type="dxa"/>
              <w:right w:w="16" w:type="dxa"/>
            </w:tcMar>
            <w:vAlign w:val="center"/>
          </w:tcPr>
          <w:p w14:paraId="6644107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施工工期</w:t>
            </w:r>
          </w:p>
        </w:tc>
        <w:tc>
          <w:tcPr>
            <w:tcW w:w="2639" w:type="dxa"/>
            <w:noWrap w:val="0"/>
            <w:vAlign w:val="center"/>
          </w:tcPr>
          <w:p w14:paraId="198F4FE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个月</w:t>
            </w:r>
          </w:p>
        </w:tc>
      </w:tr>
      <w:tr w14:paraId="347E6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0" w:type="dxa"/>
            <w:noWrap w:val="0"/>
            <w:tcMar>
              <w:top w:w="16" w:type="dxa"/>
              <w:left w:w="16" w:type="dxa"/>
              <w:right w:w="16" w:type="dxa"/>
            </w:tcMar>
            <w:vAlign w:val="center"/>
          </w:tcPr>
          <w:p w14:paraId="025EF2B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2400" w:type="dxa"/>
            <w:noWrap w:val="0"/>
            <w:vAlign w:val="center"/>
          </w:tcPr>
          <w:p w14:paraId="083768E9">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否</w:t>
            </w:r>
          </w:p>
          <w:p w14:paraId="0B871154">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r>
              <w:rPr>
                <w:rFonts w:hint="default" w:ascii="Times New Roman" w:hAnsi="Times New Roman" w:eastAsia="宋体" w:cs="Times New Roman"/>
                <w:color w:val="auto"/>
                <w:sz w:val="21"/>
                <w:szCs w:val="21"/>
                <w:u w:val="single"/>
              </w:rPr>
              <w:t xml:space="preserve">             </w:t>
            </w:r>
          </w:p>
        </w:tc>
        <w:tc>
          <w:tcPr>
            <w:tcW w:w="1961" w:type="dxa"/>
            <w:noWrap w:val="0"/>
            <w:tcMar>
              <w:top w:w="16" w:type="dxa"/>
              <w:left w:w="16" w:type="dxa"/>
              <w:right w:w="16" w:type="dxa"/>
            </w:tcMar>
            <w:vAlign w:val="center"/>
          </w:tcPr>
          <w:p w14:paraId="18037C0D">
            <w:pPr>
              <w:adjustRightInd w:val="0"/>
              <w:snapToGrid w:val="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用地（用海）</w:t>
            </w:r>
          </w:p>
          <w:p w14:paraId="7C9D1B8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2639" w:type="dxa"/>
            <w:noWrap w:val="0"/>
            <w:vAlign w:val="center"/>
          </w:tcPr>
          <w:p w14:paraId="064EA6AC">
            <w:pPr>
              <w:pStyle w:val="32"/>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129.14</w:t>
            </w:r>
          </w:p>
        </w:tc>
      </w:tr>
      <w:tr w14:paraId="4945E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0" w:type="dxa"/>
            <w:noWrap w:val="0"/>
            <w:vAlign w:val="center"/>
          </w:tcPr>
          <w:p w14:paraId="790CED4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7000" w:type="dxa"/>
            <w:gridSpan w:val="3"/>
            <w:noWrap w:val="0"/>
            <w:vAlign w:val="center"/>
          </w:tcPr>
          <w:p w14:paraId="75F826F1">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 xml:space="preserve">对照《建设项目环境影响报告表编制技术指南（污染影响类）（试行）》中“表 </w:t>
            </w:r>
            <w:r>
              <w:rPr>
                <w:rFonts w:hint="default" w:ascii="Times New Roman" w:hAnsi="Times New Roman" w:cs="Times New Roman"/>
                <w:b w:val="0"/>
                <w:bCs w:val="0"/>
                <w:color w:val="auto"/>
                <w:kern w:val="0"/>
                <w:szCs w:val="21"/>
                <w:lang w:val="en-US" w:eastAsia="zh-CN"/>
              </w:rPr>
              <w:t xml:space="preserve">1 </w:t>
            </w:r>
            <w:r>
              <w:rPr>
                <w:rFonts w:hint="eastAsia" w:ascii="Times New Roman" w:hAnsi="Times New Roman" w:cs="Times New Roman"/>
                <w:b w:val="0"/>
                <w:bCs w:val="0"/>
                <w:color w:val="auto"/>
                <w:kern w:val="0"/>
                <w:szCs w:val="21"/>
                <w:lang w:val="en-US" w:eastAsia="zh-CN"/>
              </w:rPr>
              <w:t>专项评价设置原则表”，项目无需开展专项评价，专项评价设置原则对照情况详见下表：</w:t>
            </w:r>
          </w:p>
          <w:p w14:paraId="27D696BB">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eastAsia="zh-CN"/>
              </w:rPr>
              <w:t>表</w:t>
            </w:r>
            <w:r>
              <w:rPr>
                <w:rFonts w:hint="default" w:ascii="Times New Roman" w:hAnsi="Times New Roman" w:eastAsia="宋体" w:cs="Times New Roman"/>
                <w:b/>
                <w:bCs/>
                <w:color w:val="auto"/>
                <w:kern w:val="0"/>
                <w:szCs w:val="21"/>
                <w:lang w:val="en-US" w:eastAsia="zh-CN"/>
              </w:rPr>
              <w:t>1-1   专项评价设置原则表</w:t>
            </w:r>
          </w:p>
          <w:tbl>
            <w:tblPr>
              <w:tblStyle w:val="22"/>
              <w:tblW w:w="68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5"/>
              <w:gridCol w:w="3040"/>
              <w:gridCol w:w="2758"/>
            </w:tblGrid>
            <w:tr w14:paraId="15AC9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05" w:type="dxa"/>
                  <w:tcBorders>
                    <w:tl2br w:val="nil"/>
                    <w:tr2bl w:val="nil"/>
                  </w:tcBorders>
                  <w:noWrap w:val="0"/>
                  <w:vAlign w:val="center"/>
                </w:tcPr>
                <w:p w14:paraId="1222A547">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专项评价的类别</w:t>
                  </w:r>
                </w:p>
              </w:tc>
              <w:tc>
                <w:tcPr>
                  <w:tcW w:w="3040" w:type="dxa"/>
                  <w:tcBorders>
                    <w:tl2br w:val="nil"/>
                    <w:tr2bl w:val="nil"/>
                  </w:tcBorders>
                  <w:noWrap w:val="0"/>
                  <w:vAlign w:val="center"/>
                </w:tcPr>
                <w:p w14:paraId="29CB3FEB">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设置原则</w:t>
                  </w:r>
                </w:p>
              </w:tc>
              <w:tc>
                <w:tcPr>
                  <w:tcW w:w="2758" w:type="dxa"/>
                  <w:tcBorders>
                    <w:tl2br w:val="nil"/>
                    <w:tr2bl w:val="nil"/>
                  </w:tcBorders>
                  <w:noWrap w:val="0"/>
                  <w:vAlign w:val="center"/>
                </w:tcPr>
                <w:p w14:paraId="4108419E">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本项目</w:t>
                  </w:r>
                </w:p>
              </w:tc>
            </w:tr>
            <w:tr w14:paraId="005B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05" w:type="dxa"/>
                  <w:tcBorders>
                    <w:tl2br w:val="nil"/>
                    <w:tr2bl w:val="nil"/>
                  </w:tcBorders>
                  <w:noWrap w:val="0"/>
                  <w:vAlign w:val="center"/>
                </w:tcPr>
                <w:p w14:paraId="28C9287A">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大气</w:t>
                  </w:r>
                </w:p>
              </w:tc>
              <w:tc>
                <w:tcPr>
                  <w:tcW w:w="3040" w:type="dxa"/>
                  <w:tcBorders>
                    <w:tl2br w:val="nil"/>
                    <w:tr2bl w:val="nil"/>
                  </w:tcBorders>
                  <w:noWrap w:val="0"/>
                  <w:vAlign w:val="center"/>
                </w:tcPr>
                <w:p w14:paraId="53AFAFD0">
                  <w:pPr>
                    <w:pStyle w:val="19"/>
                    <w:keepNext w:val="0"/>
                    <w:keepLines w:val="0"/>
                    <w:pageBreakBefore w:val="0"/>
                    <w:kinsoku/>
                    <w:wordWrap/>
                    <w:overflowPunct/>
                    <w:topLinePunct w:val="0"/>
                    <w:bidi w:val="0"/>
                    <w:adjustRightInd w:val="0"/>
                    <w:snapToGrid w:val="0"/>
                    <w:spacing w:before="0" w:beforeAutospacing="0" w:after="0" w:afterAutospacing="0" w:line="240" w:lineRule="exact"/>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排放废气含有毒有害污染物</w:t>
                  </w:r>
                  <w:r>
                    <w:rPr>
                      <w:rFonts w:hint="default" w:ascii="Times New Roman" w:hAnsi="Times New Roman" w:eastAsia="宋体" w:cs="Times New Roman"/>
                      <w:b w:val="0"/>
                      <w:bCs/>
                      <w:color w:val="auto"/>
                      <w:sz w:val="18"/>
                      <w:szCs w:val="18"/>
                      <w:vertAlign w:val="superscript"/>
                    </w:rPr>
                    <w:t>1</w:t>
                  </w:r>
                  <w:r>
                    <w:rPr>
                      <w:rFonts w:hint="default" w:ascii="Times New Roman" w:hAnsi="Times New Roman" w:eastAsia="宋体" w:cs="Times New Roman"/>
                      <w:b w:val="0"/>
                      <w:bCs/>
                      <w:color w:val="auto"/>
                      <w:sz w:val="18"/>
                      <w:szCs w:val="18"/>
                    </w:rPr>
                    <w:t>、二噁英、苯并</w:t>
                  </w:r>
                  <w:r>
                    <w:rPr>
                      <w:rFonts w:hint="default" w:ascii="Times New Roman" w:hAnsi="Times New Roman" w:eastAsia="宋体" w:cs="Times New Roman"/>
                      <w:b w:val="0"/>
                      <w:bCs/>
                      <w:color w:val="auto"/>
                      <w:sz w:val="18"/>
                      <w:szCs w:val="18"/>
                      <w:lang w:eastAsia="zh-CN"/>
                    </w:rPr>
                    <w:t>〔</w:t>
                  </w:r>
                  <w:r>
                    <w:rPr>
                      <w:rFonts w:hint="default" w:ascii="Times New Roman" w:hAnsi="Times New Roman" w:eastAsia="宋体" w:cs="Times New Roman"/>
                      <w:b w:val="0"/>
                      <w:bCs/>
                      <w:color w:val="auto"/>
                      <w:sz w:val="18"/>
                      <w:szCs w:val="18"/>
                    </w:rPr>
                    <w:t>a〕芘、氰化物、氯气且厂界外500米范围内有环境空气保护目标</w:t>
                  </w:r>
                  <w:r>
                    <w:rPr>
                      <w:rFonts w:hint="default" w:ascii="Times New Roman" w:hAnsi="Times New Roman" w:eastAsia="宋体" w:cs="Times New Roman"/>
                      <w:b w:val="0"/>
                      <w:bCs/>
                      <w:color w:val="auto"/>
                      <w:sz w:val="18"/>
                      <w:szCs w:val="18"/>
                      <w:vertAlign w:val="superscript"/>
                    </w:rPr>
                    <w:t>2</w:t>
                  </w:r>
                  <w:r>
                    <w:rPr>
                      <w:rFonts w:hint="default" w:ascii="Times New Roman" w:hAnsi="Times New Roman" w:eastAsia="宋体" w:cs="Times New Roman"/>
                      <w:b w:val="0"/>
                      <w:bCs/>
                      <w:color w:val="auto"/>
                      <w:sz w:val="18"/>
                      <w:szCs w:val="18"/>
                    </w:rPr>
                    <w:t>的建设项目</w:t>
                  </w:r>
                </w:p>
              </w:tc>
              <w:tc>
                <w:tcPr>
                  <w:tcW w:w="2758" w:type="dxa"/>
                  <w:tcBorders>
                    <w:tl2br w:val="nil"/>
                    <w:tr2bl w:val="nil"/>
                  </w:tcBorders>
                  <w:noWrap w:val="0"/>
                  <w:vAlign w:val="center"/>
                </w:tcPr>
                <w:p w14:paraId="6CAC579B">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rPr>
                    <w:t>项目营运期</w:t>
                  </w:r>
                  <w:r>
                    <w:rPr>
                      <w:rFonts w:hint="eastAsia" w:ascii="Times New Roman" w:hAnsi="Times New Roman" w:cs="Times New Roman"/>
                      <w:b w:val="0"/>
                      <w:bCs/>
                      <w:color w:val="auto"/>
                      <w:sz w:val="18"/>
                      <w:szCs w:val="18"/>
                      <w:lang w:val="en-US" w:eastAsia="zh-CN"/>
                    </w:rPr>
                    <w:t>大气</w:t>
                  </w:r>
                  <w:r>
                    <w:rPr>
                      <w:rFonts w:hint="default" w:ascii="Times New Roman" w:hAnsi="Times New Roman" w:eastAsia="宋体" w:cs="Times New Roman"/>
                      <w:b w:val="0"/>
                      <w:bCs/>
                      <w:color w:val="auto"/>
                      <w:sz w:val="18"/>
                      <w:szCs w:val="18"/>
                    </w:rPr>
                    <w:t>污染因子</w:t>
                  </w:r>
                  <w:r>
                    <w:rPr>
                      <w:rFonts w:hint="default" w:ascii="Times New Roman" w:hAnsi="Times New Roman" w:eastAsia="宋体" w:cs="Times New Roman"/>
                      <w:b w:val="0"/>
                      <w:bCs/>
                      <w:color w:val="auto"/>
                      <w:sz w:val="18"/>
                      <w:szCs w:val="18"/>
                      <w:lang w:val="en-US" w:eastAsia="zh-CN"/>
                    </w:rPr>
                    <w:t>不涉及上述</w:t>
                  </w:r>
                  <w:r>
                    <w:rPr>
                      <w:rFonts w:hint="default" w:ascii="Times New Roman" w:hAnsi="Times New Roman" w:eastAsia="宋体" w:cs="Times New Roman"/>
                      <w:b w:val="0"/>
                      <w:bCs/>
                      <w:color w:val="auto"/>
                      <w:sz w:val="18"/>
                      <w:szCs w:val="18"/>
                    </w:rPr>
                    <w:t>污染物</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无需开展大气专项评价。</w:t>
                  </w:r>
                </w:p>
              </w:tc>
            </w:tr>
            <w:tr w14:paraId="092AB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5" w:type="dxa"/>
                  <w:tcBorders>
                    <w:tl2br w:val="nil"/>
                    <w:tr2bl w:val="nil"/>
                  </w:tcBorders>
                  <w:noWrap w:val="0"/>
                  <w:vAlign w:val="center"/>
                </w:tcPr>
                <w:p w14:paraId="2F7956E5">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地表水</w:t>
                  </w:r>
                </w:p>
              </w:tc>
              <w:tc>
                <w:tcPr>
                  <w:tcW w:w="3040" w:type="dxa"/>
                  <w:tcBorders>
                    <w:tl2br w:val="nil"/>
                    <w:tr2bl w:val="nil"/>
                  </w:tcBorders>
                  <w:noWrap w:val="0"/>
                  <w:vAlign w:val="center"/>
                </w:tcPr>
                <w:p w14:paraId="1760D331">
                  <w:pPr>
                    <w:pStyle w:val="19"/>
                    <w:keepNext w:val="0"/>
                    <w:keepLines w:val="0"/>
                    <w:pageBreakBefore w:val="0"/>
                    <w:kinsoku/>
                    <w:wordWrap/>
                    <w:overflowPunct/>
                    <w:topLinePunct w:val="0"/>
                    <w:bidi w:val="0"/>
                    <w:adjustRightInd w:val="0"/>
                    <w:snapToGrid w:val="0"/>
                    <w:spacing w:before="0" w:beforeAutospacing="0" w:after="0" w:afterAutospacing="0" w:line="240" w:lineRule="exact"/>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新增工业废水直排建设项目（槽罐车外送污水处理厂的除外）；新增废水直排的污水集中处理厂</w:t>
                  </w:r>
                </w:p>
              </w:tc>
              <w:tc>
                <w:tcPr>
                  <w:tcW w:w="2758" w:type="dxa"/>
                  <w:tcBorders>
                    <w:tl2br w:val="nil"/>
                    <w:tr2bl w:val="nil"/>
                  </w:tcBorders>
                  <w:noWrap w:val="0"/>
                  <w:vAlign w:val="center"/>
                </w:tcPr>
                <w:p w14:paraId="1719B41C">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项目污水进入污水处理厂，</w:t>
                  </w:r>
                  <w:r>
                    <w:rPr>
                      <w:rFonts w:hint="eastAsia" w:ascii="Times New Roman" w:hAnsi="Times New Roman" w:cs="Times New Roman"/>
                      <w:color w:val="auto"/>
                      <w:kern w:val="0"/>
                      <w:sz w:val="18"/>
                      <w:szCs w:val="18"/>
                      <w:lang w:val="en-US" w:eastAsia="zh-CN"/>
                    </w:rPr>
                    <w:t>不属于工业废水直排项目</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无需开展地表水专项评价。</w:t>
                  </w:r>
                </w:p>
              </w:tc>
            </w:tr>
            <w:tr w14:paraId="5829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05" w:type="dxa"/>
                  <w:tcBorders>
                    <w:tl2br w:val="nil"/>
                    <w:tr2bl w:val="nil"/>
                  </w:tcBorders>
                  <w:noWrap w:val="0"/>
                  <w:vAlign w:val="center"/>
                </w:tcPr>
                <w:p w14:paraId="0109BE19">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环境风险</w:t>
                  </w:r>
                </w:p>
              </w:tc>
              <w:tc>
                <w:tcPr>
                  <w:tcW w:w="3040" w:type="dxa"/>
                  <w:tcBorders>
                    <w:tl2br w:val="nil"/>
                    <w:tr2bl w:val="nil"/>
                  </w:tcBorders>
                  <w:noWrap w:val="0"/>
                  <w:vAlign w:val="center"/>
                </w:tcPr>
                <w:p w14:paraId="449629C5">
                  <w:pPr>
                    <w:pStyle w:val="19"/>
                    <w:keepNext w:val="0"/>
                    <w:keepLines w:val="0"/>
                    <w:pageBreakBefore w:val="0"/>
                    <w:kinsoku/>
                    <w:wordWrap/>
                    <w:overflowPunct/>
                    <w:topLinePunct w:val="0"/>
                    <w:bidi w:val="0"/>
                    <w:adjustRightInd w:val="0"/>
                    <w:snapToGrid w:val="0"/>
                    <w:spacing w:before="0" w:beforeAutospacing="0" w:after="0" w:afterAutospacing="0" w:line="240" w:lineRule="exact"/>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有毒有害和易燃易爆危险物质存储量超过临界量</w:t>
                  </w:r>
                  <w:r>
                    <w:rPr>
                      <w:rFonts w:hint="default" w:ascii="Times New Roman" w:hAnsi="Times New Roman" w:eastAsia="宋体" w:cs="Times New Roman"/>
                      <w:b w:val="0"/>
                      <w:bCs/>
                      <w:color w:val="auto"/>
                      <w:sz w:val="18"/>
                      <w:szCs w:val="18"/>
                      <w:vertAlign w:val="superscript"/>
                    </w:rPr>
                    <w:t>3</w:t>
                  </w:r>
                  <w:r>
                    <w:rPr>
                      <w:rFonts w:hint="default" w:ascii="Times New Roman" w:hAnsi="Times New Roman" w:eastAsia="宋体" w:cs="Times New Roman"/>
                      <w:b w:val="0"/>
                      <w:bCs/>
                      <w:color w:val="auto"/>
                      <w:sz w:val="18"/>
                      <w:szCs w:val="18"/>
                    </w:rPr>
                    <w:t>的建设项目</w:t>
                  </w:r>
                </w:p>
              </w:tc>
              <w:tc>
                <w:tcPr>
                  <w:tcW w:w="2758" w:type="dxa"/>
                  <w:tcBorders>
                    <w:tl2br w:val="nil"/>
                    <w:tr2bl w:val="nil"/>
                  </w:tcBorders>
                  <w:noWrap w:val="0"/>
                  <w:vAlign w:val="center"/>
                </w:tcPr>
                <w:p w14:paraId="69D0C538">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highlight w:val="none"/>
                      <w:lang w:eastAsia="zh-CN"/>
                    </w:rPr>
                    <w:t>根据</w:t>
                  </w:r>
                  <w:r>
                    <w:rPr>
                      <w:rFonts w:hint="default" w:ascii="Times New Roman" w:hAnsi="Times New Roman" w:eastAsia="宋体" w:cs="Times New Roman"/>
                      <w:b w:val="0"/>
                      <w:bCs/>
                      <w:color w:val="auto"/>
                      <w:sz w:val="18"/>
                      <w:szCs w:val="18"/>
                      <w:highlight w:val="none"/>
                      <w:lang w:val="en-US" w:eastAsia="zh-CN"/>
                    </w:rPr>
                    <w:t>计算，项目Q＜1，未超过临界量</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无需开展环境风险专项评价。</w:t>
                  </w:r>
                </w:p>
              </w:tc>
            </w:tr>
            <w:tr w14:paraId="1B3FE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05" w:type="dxa"/>
                  <w:tcBorders>
                    <w:tl2br w:val="nil"/>
                    <w:tr2bl w:val="nil"/>
                  </w:tcBorders>
                  <w:noWrap w:val="0"/>
                  <w:vAlign w:val="center"/>
                </w:tcPr>
                <w:p w14:paraId="645B43BC">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生态</w:t>
                  </w:r>
                </w:p>
              </w:tc>
              <w:tc>
                <w:tcPr>
                  <w:tcW w:w="3040" w:type="dxa"/>
                  <w:tcBorders>
                    <w:tl2br w:val="nil"/>
                    <w:tr2bl w:val="nil"/>
                  </w:tcBorders>
                  <w:noWrap w:val="0"/>
                  <w:vAlign w:val="center"/>
                </w:tcPr>
                <w:p w14:paraId="0ABD3A93">
                  <w:pPr>
                    <w:keepNext w:val="0"/>
                    <w:keepLines w:val="0"/>
                    <w:pageBreakBefore w:val="0"/>
                    <w:kinsoku/>
                    <w:wordWrap/>
                    <w:overflowPunct/>
                    <w:topLinePunct w:val="0"/>
                    <w:autoSpaceDE w:val="0"/>
                    <w:autoSpaceDN w:val="0"/>
                    <w:bidi w:val="0"/>
                    <w:adjustRightInd w:val="0"/>
                    <w:spacing w:line="240" w:lineRule="exact"/>
                    <w:jc w:val="left"/>
                    <w:textAlignment w:val="auto"/>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kern w:val="0"/>
                      <w:sz w:val="18"/>
                      <w:szCs w:val="18"/>
                    </w:rPr>
                    <w:t>取水口下游500米范围内有重要水生生物的自然产卵场、索饵场、越冬场和洄游通道的新增河道取水的污染类建设项目</w:t>
                  </w:r>
                </w:p>
              </w:tc>
              <w:tc>
                <w:tcPr>
                  <w:tcW w:w="2758" w:type="dxa"/>
                  <w:tcBorders>
                    <w:tl2br w:val="nil"/>
                    <w:tr2bl w:val="nil"/>
                  </w:tcBorders>
                  <w:noWrap w:val="0"/>
                  <w:vAlign w:val="center"/>
                </w:tcPr>
                <w:p w14:paraId="518E941D">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rPr>
                    <w:t>项目不涉及取水</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无需开展生态专项评价。</w:t>
                  </w:r>
                </w:p>
              </w:tc>
            </w:tr>
            <w:tr w14:paraId="78528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05" w:type="dxa"/>
                  <w:tcBorders>
                    <w:tl2br w:val="nil"/>
                    <w:tr2bl w:val="nil"/>
                  </w:tcBorders>
                  <w:noWrap w:val="0"/>
                  <w:vAlign w:val="center"/>
                </w:tcPr>
                <w:p w14:paraId="6D2BCF3D">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海洋</w:t>
                  </w:r>
                </w:p>
              </w:tc>
              <w:tc>
                <w:tcPr>
                  <w:tcW w:w="3040" w:type="dxa"/>
                  <w:tcBorders>
                    <w:tl2br w:val="nil"/>
                    <w:tr2bl w:val="nil"/>
                  </w:tcBorders>
                  <w:noWrap w:val="0"/>
                  <w:vAlign w:val="center"/>
                </w:tcPr>
                <w:p w14:paraId="205FE75F">
                  <w:pPr>
                    <w:pStyle w:val="19"/>
                    <w:keepNext w:val="0"/>
                    <w:keepLines w:val="0"/>
                    <w:pageBreakBefore w:val="0"/>
                    <w:kinsoku/>
                    <w:wordWrap/>
                    <w:overflowPunct/>
                    <w:topLinePunct w:val="0"/>
                    <w:bidi w:val="0"/>
                    <w:adjustRightInd w:val="0"/>
                    <w:snapToGrid w:val="0"/>
                    <w:spacing w:before="0" w:beforeAutospacing="0" w:after="0" w:afterAutospacing="0" w:line="240" w:lineRule="exact"/>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直接向海排放污染物的海洋工程建设项目</w:t>
                  </w:r>
                </w:p>
              </w:tc>
              <w:tc>
                <w:tcPr>
                  <w:tcW w:w="2758" w:type="dxa"/>
                  <w:tcBorders>
                    <w:tl2br w:val="nil"/>
                    <w:tr2bl w:val="nil"/>
                  </w:tcBorders>
                  <w:noWrap w:val="0"/>
                  <w:vAlign w:val="center"/>
                </w:tcPr>
                <w:p w14:paraId="18F54D01">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rPr>
                    <w:t>项目不属于海洋工程建设项目</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无需开展海洋专项评价。</w:t>
                  </w:r>
                </w:p>
              </w:tc>
            </w:tr>
            <w:tr w14:paraId="34527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05" w:type="dxa"/>
                  <w:tcBorders>
                    <w:tl2br w:val="nil"/>
                    <w:tr2bl w:val="nil"/>
                  </w:tcBorders>
                  <w:noWrap w:val="0"/>
                  <w:vAlign w:val="center"/>
                </w:tcPr>
                <w:p w14:paraId="2B37E2F4">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地下水</w:t>
                  </w:r>
                </w:p>
              </w:tc>
              <w:tc>
                <w:tcPr>
                  <w:tcW w:w="3040" w:type="dxa"/>
                  <w:tcBorders>
                    <w:tl2br w:val="nil"/>
                    <w:tr2bl w:val="nil"/>
                  </w:tcBorders>
                  <w:noWrap w:val="0"/>
                  <w:vAlign w:val="center"/>
                </w:tcPr>
                <w:p w14:paraId="04016344">
                  <w:pPr>
                    <w:pStyle w:val="19"/>
                    <w:keepNext w:val="0"/>
                    <w:keepLines w:val="0"/>
                    <w:pageBreakBefore w:val="0"/>
                    <w:kinsoku/>
                    <w:wordWrap/>
                    <w:overflowPunct/>
                    <w:topLinePunct w:val="0"/>
                    <w:bidi w:val="0"/>
                    <w:adjustRightInd w:val="0"/>
                    <w:snapToGrid w:val="0"/>
                    <w:spacing w:before="0" w:beforeAutospacing="0" w:after="0" w:afterAutospacing="0" w:line="240" w:lineRule="exact"/>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涉及集中式饮用水水源和热水、矿泉水、温泉等特殊地下水资源保护区</w:t>
                  </w:r>
                </w:p>
              </w:tc>
              <w:tc>
                <w:tcPr>
                  <w:tcW w:w="2758" w:type="dxa"/>
                  <w:tcBorders>
                    <w:tl2br w:val="nil"/>
                    <w:tr2bl w:val="nil"/>
                  </w:tcBorders>
                  <w:noWrap w:val="0"/>
                  <w:vAlign w:val="center"/>
                </w:tcPr>
                <w:p w14:paraId="00A557B9">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rPr>
                    <w:t>项目不涉及集中式饮用水水源和热水、矿泉水、温泉等特殊地下水资源保护区</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无需开展地下水专项评价。</w:t>
                  </w:r>
                </w:p>
              </w:tc>
            </w:tr>
            <w:tr w14:paraId="56CC9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803" w:type="dxa"/>
                  <w:gridSpan w:val="3"/>
                  <w:tcBorders>
                    <w:tl2br w:val="nil"/>
                    <w:tr2bl w:val="nil"/>
                  </w:tcBorders>
                  <w:noWrap w:val="0"/>
                  <w:vAlign w:val="center"/>
                </w:tcPr>
                <w:p w14:paraId="7027EBD7">
                  <w:pPr>
                    <w:keepNext w:val="0"/>
                    <w:keepLines w:val="0"/>
                    <w:pageBreakBefore w:val="0"/>
                    <w:kinsoku/>
                    <w:wordWrap/>
                    <w:overflowPunct/>
                    <w:topLinePunct w:val="0"/>
                    <w:autoSpaceDE w:val="0"/>
                    <w:autoSpaceDN w:val="0"/>
                    <w:bidi w:val="0"/>
                    <w:adjustRightInd w:val="0"/>
                    <w:spacing w:line="240" w:lineRule="exact"/>
                    <w:jc w:val="left"/>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5"/>
                      <w:szCs w:val="15"/>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w:t>
                  </w:r>
                  <w:r>
                    <w:rPr>
                      <w:rFonts w:hint="default" w:ascii="Times New Roman" w:hAnsi="Times New Roman" w:eastAsia="宋体" w:cs="Times New Roman"/>
                      <w:b w:val="0"/>
                      <w:bCs/>
                      <w:color w:val="auto"/>
                      <w:sz w:val="15"/>
                      <w:szCs w:val="15"/>
                      <w:lang w:val="en-US" w:eastAsia="zh-CN"/>
                    </w:rPr>
                    <w:t>-2018</w:t>
                  </w:r>
                  <w:r>
                    <w:rPr>
                      <w:rFonts w:hint="default" w:ascii="Times New Roman" w:hAnsi="Times New Roman" w:eastAsia="宋体" w:cs="Times New Roman"/>
                      <w:b w:val="0"/>
                      <w:bCs/>
                      <w:color w:val="auto"/>
                      <w:sz w:val="15"/>
                      <w:szCs w:val="15"/>
                    </w:rPr>
                    <w:t>）附录B、附录C。</w:t>
                  </w:r>
                </w:p>
              </w:tc>
            </w:tr>
          </w:tbl>
          <w:p w14:paraId="563491AE">
            <w:pPr>
              <w:autoSpaceDE w:val="0"/>
              <w:autoSpaceDN w:val="0"/>
              <w:adjustRightInd w:val="0"/>
              <w:snapToGrid w:val="0"/>
              <w:spacing w:line="360" w:lineRule="auto"/>
              <w:jc w:val="both"/>
              <w:rPr>
                <w:rFonts w:hint="default" w:ascii="Times New Roman" w:hAnsi="Times New Roman" w:eastAsia="宋体" w:cs="Times New Roman"/>
                <w:color w:val="auto"/>
                <w:kern w:val="0"/>
                <w:szCs w:val="21"/>
                <w:lang w:val="en-US" w:eastAsia="zh-CN"/>
              </w:rPr>
            </w:pPr>
          </w:p>
        </w:tc>
      </w:tr>
      <w:tr w14:paraId="7B852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0" w:type="dxa"/>
            <w:noWrap w:val="0"/>
            <w:vAlign w:val="center"/>
          </w:tcPr>
          <w:p w14:paraId="527E0DE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规划情况</w:t>
            </w:r>
          </w:p>
        </w:tc>
        <w:tc>
          <w:tcPr>
            <w:tcW w:w="7000" w:type="dxa"/>
            <w:gridSpan w:val="3"/>
            <w:noWrap w:val="0"/>
            <w:vAlign w:val="center"/>
          </w:tcPr>
          <w:p w14:paraId="14C28A5A">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val="en-US" w:eastAsia="zh-CN"/>
              </w:rPr>
              <w:t>/</w:t>
            </w:r>
          </w:p>
        </w:tc>
      </w:tr>
      <w:tr w14:paraId="0B830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70" w:type="dxa"/>
            <w:noWrap w:val="0"/>
            <w:vAlign w:val="center"/>
          </w:tcPr>
          <w:p w14:paraId="47314F4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14:paraId="6FAFA95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评价情况</w:t>
            </w:r>
          </w:p>
        </w:tc>
        <w:tc>
          <w:tcPr>
            <w:tcW w:w="7000" w:type="dxa"/>
            <w:gridSpan w:val="3"/>
            <w:noWrap w:val="0"/>
            <w:vAlign w:val="center"/>
          </w:tcPr>
          <w:p w14:paraId="7EB63811">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val="en-US" w:eastAsia="zh-CN"/>
              </w:rPr>
              <w:t>/</w:t>
            </w:r>
          </w:p>
        </w:tc>
      </w:tr>
      <w:tr w14:paraId="51836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870" w:type="dxa"/>
            <w:noWrap w:val="0"/>
            <w:vAlign w:val="center"/>
          </w:tcPr>
          <w:p w14:paraId="5CA2B0E7">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w:t>
            </w:r>
          </w:p>
          <w:p w14:paraId="62E877DE">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影响评价符合性分析</w:t>
            </w:r>
          </w:p>
        </w:tc>
        <w:tc>
          <w:tcPr>
            <w:tcW w:w="7000" w:type="dxa"/>
            <w:gridSpan w:val="3"/>
            <w:noWrap w:val="0"/>
            <w:vAlign w:val="center"/>
          </w:tcPr>
          <w:p w14:paraId="36F9EFEC">
            <w:pPr>
              <w:autoSpaceDE w:val="0"/>
              <w:autoSpaceDN w:val="0"/>
              <w:adjustRightInd w:val="0"/>
              <w:snapToGrid w:val="0"/>
              <w:spacing w:line="360" w:lineRule="auto"/>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b/>
                <w:bCs/>
                <w:color w:val="auto"/>
                <w:kern w:val="0"/>
                <w:szCs w:val="21"/>
                <w:lang w:val="en-US" w:eastAsia="zh-CN"/>
              </w:rPr>
              <w:t>/</w:t>
            </w:r>
          </w:p>
        </w:tc>
      </w:tr>
      <w:tr w14:paraId="5DCD0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0" w:type="dxa"/>
            <w:noWrap w:val="0"/>
            <w:vAlign w:val="center"/>
          </w:tcPr>
          <w:p w14:paraId="0DEEF41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7000" w:type="dxa"/>
            <w:gridSpan w:val="3"/>
            <w:noWrap w:val="0"/>
            <w:vAlign w:val="center"/>
          </w:tcPr>
          <w:p w14:paraId="6615E324">
            <w:pPr>
              <w:keepNext w:val="0"/>
              <w:keepLines w:val="0"/>
              <w:pageBreakBefore w:val="0"/>
              <w:widowControl w:val="0"/>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1.1“</w:t>
            </w:r>
            <w:r>
              <w:rPr>
                <w:rFonts w:hint="default" w:ascii="Times New Roman" w:hAnsi="Times New Roman" w:eastAsia="宋体" w:cs="Times New Roman"/>
                <w:b/>
                <w:bCs/>
                <w:color w:val="auto"/>
                <w:kern w:val="0"/>
                <w:szCs w:val="21"/>
                <w:lang w:val="en-US" w:eastAsia="zh-CN"/>
              </w:rPr>
              <w:t>三线一单</w:t>
            </w:r>
            <w:r>
              <w:rPr>
                <w:rFonts w:hint="eastAsia" w:ascii="Times New Roman" w:hAnsi="Times New Roman" w:cs="Times New Roman"/>
                <w:b/>
                <w:bCs/>
                <w:color w:val="auto"/>
                <w:kern w:val="0"/>
                <w:szCs w:val="21"/>
                <w:lang w:val="en-US" w:eastAsia="zh-CN"/>
              </w:rPr>
              <w:t>”</w:t>
            </w:r>
            <w:r>
              <w:rPr>
                <w:rFonts w:hint="default" w:ascii="Times New Roman" w:hAnsi="Times New Roman" w:eastAsia="宋体" w:cs="Times New Roman"/>
                <w:b/>
                <w:bCs/>
                <w:color w:val="auto"/>
                <w:kern w:val="0"/>
                <w:szCs w:val="21"/>
                <w:lang w:val="en-US" w:eastAsia="zh-CN"/>
              </w:rPr>
              <w:t>符合性分析</w:t>
            </w:r>
          </w:p>
          <w:p w14:paraId="088F40DF">
            <w:pPr>
              <w:keepNext w:val="0"/>
              <w:keepLines w:val="0"/>
              <w:pageBreakBefore w:val="0"/>
              <w:widowControl w:val="0"/>
              <w:kinsoku/>
              <w:wordWrap/>
              <w:overflowPunct/>
              <w:topLinePunct w:val="0"/>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通过在重庆市</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三线一单</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智检服务平台进行调查分析，项目所在区域位于</w:t>
            </w:r>
            <w:r>
              <w:rPr>
                <w:rFonts w:hint="eastAsia" w:ascii="Times New Roman" w:hAnsi="Times New Roman" w:cs="Times New Roman"/>
                <w:color w:val="auto"/>
                <w:sz w:val="21"/>
                <w:szCs w:val="21"/>
                <w:lang w:val="en-US" w:eastAsia="zh-CN"/>
              </w:rPr>
              <w:t>九龙坡区</w:t>
            </w:r>
            <w:r>
              <w:rPr>
                <w:rFonts w:hint="default" w:ascii="Times New Roman" w:hAnsi="Times New Roman" w:eastAsia="宋体" w:cs="Times New Roman"/>
                <w:color w:val="auto"/>
                <w:sz w:val="21"/>
                <w:szCs w:val="21"/>
                <w:lang w:val="en-US" w:eastAsia="zh-CN"/>
              </w:rPr>
              <w:t>，环境管控单元编码：ZH50010720001，</w:t>
            </w:r>
            <w:r>
              <w:rPr>
                <w:rFonts w:hint="eastAsia" w:ascii="Times New Roman" w:hAnsi="Times New Roman" w:eastAsia="宋体" w:cs="Times New Roman"/>
                <w:color w:val="auto"/>
                <w:sz w:val="21"/>
                <w:szCs w:val="21"/>
                <w:lang w:val="en-US" w:eastAsia="zh-CN"/>
              </w:rPr>
              <w:t>经分析</w:t>
            </w:r>
            <w:r>
              <w:rPr>
                <w:rFonts w:hint="default" w:ascii="Times New Roman" w:hAnsi="Times New Roman" w:eastAsia="宋体" w:cs="Times New Roman"/>
                <w:color w:val="auto"/>
                <w:sz w:val="21"/>
                <w:szCs w:val="21"/>
                <w:lang w:val="en-US" w:eastAsia="zh-CN"/>
              </w:rPr>
              <w:t>，建设项目</w:t>
            </w:r>
            <w:r>
              <w:rPr>
                <w:rFonts w:hint="eastAsia" w:ascii="Times New Roman" w:hAnsi="Times New Roman" w:eastAsia="宋体" w:cs="Times New Roman"/>
                <w:color w:val="auto"/>
                <w:sz w:val="21"/>
                <w:szCs w:val="21"/>
                <w:lang w:val="en-US" w:eastAsia="zh-CN"/>
              </w:rPr>
              <w:t>符合</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三线一单</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管控要求</w:t>
            </w:r>
            <w:r>
              <w:rPr>
                <w:rFonts w:hint="eastAsia" w:ascii="Times New Roman" w:hAnsi="Times New Roman" w:eastAsia="宋体" w:cs="Times New Roman"/>
                <w:color w:val="auto"/>
                <w:sz w:val="21"/>
                <w:szCs w:val="21"/>
                <w:lang w:val="en-US" w:eastAsia="zh-CN"/>
              </w:rPr>
              <w:t>，其</w:t>
            </w:r>
            <w:r>
              <w:rPr>
                <w:rFonts w:hint="default" w:ascii="Times New Roman" w:hAnsi="Times New Roman" w:eastAsia="宋体" w:cs="Times New Roman"/>
                <w:color w:val="auto"/>
                <w:sz w:val="21"/>
                <w:szCs w:val="21"/>
                <w:lang w:val="en-US" w:eastAsia="zh-CN"/>
              </w:rPr>
              <w:t>符合性分析见下表：</w:t>
            </w:r>
          </w:p>
          <w:p w14:paraId="0E922A44">
            <w:pPr>
              <w:keepNext w:val="0"/>
              <w:keepLines w:val="0"/>
              <w:pageBreakBefore w:val="0"/>
              <w:widowControl w:val="0"/>
              <w:kinsoku/>
              <w:wordWrap/>
              <w:overflowPunct/>
              <w:topLinePunct w:val="0"/>
              <w:autoSpaceDE w:val="0"/>
              <w:autoSpaceDN w:val="0"/>
              <w:bidi w:val="0"/>
              <w:adjustRightInd/>
              <w:snapToGrid/>
              <w:spacing w:line="4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color w:val="auto"/>
                <w:sz w:val="21"/>
                <w:szCs w:val="21"/>
              </w:rPr>
              <w:t>表1</w:t>
            </w:r>
            <w:r>
              <w:rPr>
                <w:rFonts w:hint="default" w:ascii="Times New Roman" w:hAnsi="Times New Roman" w:cs="Times New Roman"/>
                <w:b/>
                <w:color w:val="auto"/>
                <w:sz w:val="21"/>
                <w:szCs w:val="21"/>
                <w:lang w:val="en-US" w:eastAsia="zh-CN"/>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 xml:space="preserve"> </w:t>
            </w:r>
            <w:r>
              <w:rPr>
                <w:rFonts w:hint="default" w:ascii="Times New Roman" w:hAnsi="Times New Roman" w:cs="Times New Roman"/>
                <w:b/>
                <w:bCs/>
                <w:color w:val="auto"/>
                <w:sz w:val="21"/>
                <w:szCs w:val="21"/>
                <w:lang w:val="en-US" w:eastAsia="zh-CN"/>
              </w:rPr>
              <w:t>建设项目与</w:t>
            </w:r>
            <w:r>
              <w:rPr>
                <w:rFonts w:hint="eastAsia"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lang w:val="en-US" w:eastAsia="zh-CN"/>
              </w:rPr>
              <w:t>三线一单</w:t>
            </w:r>
            <w:r>
              <w:rPr>
                <w:rFonts w:hint="eastAsia"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lang w:val="en-US" w:eastAsia="zh-CN"/>
              </w:rPr>
              <w:t>管控要求的符合性分析表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45"/>
              <w:gridCol w:w="2761"/>
              <w:gridCol w:w="1734"/>
              <w:gridCol w:w="712"/>
            </w:tblGrid>
            <w:tr w14:paraId="562F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tcBorders>
                    <w:tl2br w:val="nil"/>
                    <w:tr2bl w:val="nil"/>
                  </w:tcBorders>
                  <w:noWrap w:val="0"/>
                  <w:vAlign w:val="center"/>
                </w:tcPr>
                <w:p w14:paraId="1DE997F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5"/>
                      <w:szCs w:val="15"/>
                      <w:lang w:val="en-US"/>
                    </w:rPr>
                  </w:pPr>
                  <w:r>
                    <w:rPr>
                      <w:rFonts w:hint="default" w:ascii="Times New Roman" w:hAnsi="Times New Roman" w:eastAsia="宋体" w:cs="Times New Roman"/>
                      <w:bCs/>
                      <w:color w:val="auto"/>
                      <w:kern w:val="2"/>
                      <w:sz w:val="15"/>
                      <w:szCs w:val="15"/>
                      <w:lang w:val="en-US" w:eastAsia="zh-CN" w:bidi="ar"/>
                    </w:rPr>
                    <w:t>管控要求层级</w:t>
                  </w:r>
                </w:p>
              </w:tc>
              <w:tc>
                <w:tcPr>
                  <w:tcW w:w="549" w:type="pct"/>
                  <w:tcBorders>
                    <w:tl2br w:val="nil"/>
                    <w:tr2bl w:val="nil"/>
                  </w:tcBorders>
                  <w:noWrap w:val="0"/>
                  <w:vAlign w:val="center"/>
                </w:tcPr>
                <w:p w14:paraId="7CD5DFF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5"/>
                      <w:szCs w:val="15"/>
                      <w:lang w:val="en-US"/>
                    </w:rPr>
                  </w:pPr>
                  <w:r>
                    <w:rPr>
                      <w:rFonts w:hint="default" w:ascii="Times New Roman" w:hAnsi="Times New Roman" w:eastAsia="宋体" w:cs="Times New Roman"/>
                      <w:bCs/>
                      <w:color w:val="auto"/>
                      <w:kern w:val="2"/>
                      <w:sz w:val="15"/>
                      <w:szCs w:val="15"/>
                      <w:lang w:val="en-US" w:eastAsia="zh-CN" w:bidi="ar"/>
                    </w:rPr>
                    <w:t>管控类型</w:t>
                  </w:r>
                </w:p>
              </w:tc>
              <w:tc>
                <w:tcPr>
                  <w:tcW w:w="2037" w:type="pct"/>
                  <w:tcBorders>
                    <w:tl2br w:val="nil"/>
                    <w:tr2bl w:val="nil"/>
                  </w:tcBorders>
                  <w:noWrap w:val="0"/>
                  <w:vAlign w:val="center"/>
                </w:tcPr>
                <w:p w14:paraId="6F28B74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5"/>
                      <w:szCs w:val="15"/>
                      <w:lang w:val="en-US"/>
                    </w:rPr>
                  </w:pPr>
                  <w:r>
                    <w:rPr>
                      <w:rFonts w:hint="default" w:ascii="Times New Roman" w:hAnsi="Times New Roman" w:eastAsia="宋体" w:cs="Times New Roman"/>
                      <w:bCs/>
                      <w:color w:val="auto"/>
                      <w:kern w:val="2"/>
                      <w:sz w:val="15"/>
                      <w:szCs w:val="15"/>
                      <w:lang w:val="en-US" w:eastAsia="zh-CN" w:bidi="ar"/>
                    </w:rPr>
                    <w:t>管控要求</w:t>
                  </w:r>
                </w:p>
              </w:tc>
              <w:tc>
                <w:tcPr>
                  <w:tcW w:w="1279" w:type="pct"/>
                  <w:tcBorders>
                    <w:tl2br w:val="nil"/>
                    <w:tr2bl w:val="nil"/>
                  </w:tcBorders>
                  <w:noWrap w:val="0"/>
                  <w:vAlign w:val="center"/>
                </w:tcPr>
                <w:p w14:paraId="47BC175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5"/>
                      <w:szCs w:val="15"/>
                      <w:lang w:val="en-US"/>
                    </w:rPr>
                  </w:pPr>
                  <w:r>
                    <w:rPr>
                      <w:rFonts w:hint="default" w:ascii="Times New Roman" w:hAnsi="Times New Roman" w:eastAsia="宋体" w:cs="Times New Roman"/>
                      <w:bCs/>
                      <w:color w:val="auto"/>
                      <w:kern w:val="2"/>
                      <w:sz w:val="15"/>
                      <w:szCs w:val="15"/>
                      <w:lang w:val="en-US" w:eastAsia="zh-CN" w:bidi="ar"/>
                    </w:rPr>
                    <w:t>建设项目相关情况</w:t>
                  </w:r>
                </w:p>
              </w:tc>
              <w:tc>
                <w:tcPr>
                  <w:tcW w:w="525" w:type="pct"/>
                  <w:tcBorders>
                    <w:tl2br w:val="nil"/>
                    <w:tr2bl w:val="nil"/>
                  </w:tcBorders>
                  <w:noWrap w:val="0"/>
                  <w:vAlign w:val="center"/>
                </w:tcPr>
                <w:p w14:paraId="7B7AD65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15"/>
                      <w:szCs w:val="15"/>
                      <w:lang w:val="en-US"/>
                    </w:rPr>
                  </w:pPr>
                  <w:r>
                    <w:rPr>
                      <w:rFonts w:hint="default" w:ascii="Times New Roman" w:hAnsi="Times New Roman" w:eastAsia="宋体" w:cs="Times New Roman"/>
                      <w:bCs/>
                      <w:color w:val="auto"/>
                      <w:kern w:val="2"/>
                      <w:sz w:val="15"/>
                      <w:szCs w:val="15"/>
                      <w:lang w:val="en-US" w:eastAsia="zh-CN" w:bidi="ar"/>
                    </w:rPr>
                    <w:t>符合性分析结论</w:t>
                  </w:r>
                </w:p>
              </w:tc>
            </w:tr>
            <w:tr w14:paraId="7C66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restart"/>
                  <w:tcBorders>
                    <w:tl2br w:val="nil"/>
                    <w:tr2bl w:val="nil"/>
                  </w:tcBorders>
                  <w:noWrap w:val="0"/>
                  <w:vAlign w:val="center"/>
                </w:tcPr>
                <w:p w14:paraId="41F3823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kern w:val="0"/>
                      <w:sz w:val="15"/>
                      <w:szCs w:val="15"/>
                      <w:lang w:val="en-US" w:eastAsia="zh-CN" w:bidi="ar"/>
                    </w:rPr>
                    <w:t>《重庆市</w:t>
                  </w:r>
                  <w:r>
                    <w:rPr>
                      <w:rFonts w:hint="eastAsia" w:ascii="Times New Roman" w:hAnsi="Times New Roman" w:cs="Times New Roman"/>
                      <w:color w:val="auto"/>
                      <w:kern w:val="0"/>
                      <w:sz w:val="15"/>
                      <w:szCs w:val="15"/>
                      <w:lang w:val="en-US" w:eastAsia="zh-CN" w:bidi="ar"/>
                    </w:rPr>
                    <w:t>“</w:t>
                  </w:r>
                  <w:r>
                    <w:rPr>
                      <w:rFonts w:hint="default" w:ascii="Times New Roman" w:hAnsi="Times New Roman" w:eastAsia="宋体" w:cs="Times New Roman"/>
                      <w:color w:val="auto"/>
                      <w:kern w:val="0"/>
                      <w:sz w:val="15"/>
                      <w:szCs w:val="15"/>
                      <w:lang w:val="en-US" w:eastAsia="zh-CN" w:bidi="ar"/>
                    </w:rPr>
                    <w:t>三线一单</w:t>
                  </w:r>
                  <w:r>
                    <w:rPr>
                      <w:rFonts w:hint="eastAsia" w:ascii="Times New Roman" w:hAnsi="Times New Roman" w:cs="Times New Roman"/>
                      <w:color w:val="auto"/>
                      <w:kern w:val="0"/>
                      <w:sz w:val="15"/>
                      <w:szCs w:val="15"/>
                      <w:lang w:val="en-US" w:eastAsia="zh-CN" w:bidi="ar"/>
                    </w:rPr>
                    <w:t>”</w:t>
                  </w:r>
                  <w:r>
                    <w:rPr>
                      <w:rFonts w:hint="default" w:ascii="Times New Roman" w:hAnsi="Times New Roman" w:eastAsia="宋体" w:cs="Times New Roman"/>
                      <w:color w:val="auto"/>
                      <w:kern w:val="0"/>
                      <w:sz w:val="15"/>
                      <w:szCs w:val="15"/>
                      <w:lang w:val="en-US" w:eastAsia="zh-CN" w:bidi="ar"/>
                    </w:rPr>
                    <w:t xml:space="preserve">生态环境分区管控调整方案（2023 </w:t>
                  </w:r>
                </w:p>
                <w:p w14:paraId="775DC61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kern w:val="0"/>
                      <w:sz w:val="15"/>
                      <w:szCs w:val="15"/>
                      <w:lang w:val="en-US" w:eastAsia="zh-CN" w:bidi="ar"/>
                    </w:rPr>
                    <w:t>年）》</w:t>
                  </w:r>
                </w:p>
                <w:p w14:paraId="60CA87F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0"/>
                      <w:sz w:val="15"/>
                      <w:szCs w:val="15"/>
                      <w:lang w:val="en-US" w:eastAsia="zh-CN" w:bidi="ar"/>
                    </w:rPr>
                    <w:t>（渝环</w:t>
                  </w:r>
                  <w:r>
                    <w:rPr>
                      <w:rFonts w:hint="default" w:ascii="Times New Roman" w:hAnsi="Times New Roman" w:eastAsia="宋体" w:cs="Times New Roman"/>
                      <w:color w:val="auto"/>
                      <w:sz w:val="15"/>
                      <w:szCs w:val="15"/>
                      <w:lang w:val="en-US" w:eastAsia="zh-CN"/>
                    </w:rPr>
                    <w:t>规</w:t>
                  </w:r>
                  <w:r>
                    <w:rPr>
                      <w:rFonts w:hint="default" w:ascii="Times New Roman" w:hAnsi="Times New Roman" w:eastAsia="宋体" w:cs="Times New Roman"/>
                      <w:color w:val="auto"/>
                      <w:sz w:val="15"/>
                      <w:szCs w:val="15"/>
                      <w:lang w:val="en-US"/>
                    </w:rPr>
                    <w:t>〔202</w:t>
                  </w:r>
                  <w:r>
                    <w:rPr>
                      <w:rFonts w:hint="default" w:ascii="Times New Roman" w:hAnsi="Times New Roman" w:eastAsia="宋体" w:cs="Times New Roman"/>
                      <w:color w:val="auto"/>
                      <w:sz w:val="15"/>
                      <w:szCs w:val="15"/>
                      <w:lang w:val="en-US" w:eastAsia="zh-CN"/>
                    </w:rPr>
                    <w:t>4</w:t>
                  </w:r>
                  <w:r>
                    <w:rPr>
                      <w:rFonts w:hint="default" w:ascii="Times New Roman" w:hAnsi="Times New Roman" w:eastAsia="宋体" w:cs="Times New Roman"/>
                      <w:color w:val="auto"/>
                      <w:sz w:val="15"/>
                      <w:szCs w:val="15"/>
                      <w:lang w:val="en-US"/>
                    </w:rPr>
                    <w:t>〕</w:t>
                  </w:r>
                  <w:r>
                    <w:rPr>
                      <w:rFonts w:hint="default" w:ascii="Times New Roman" w:hAnsi="Times New Roman" w:eastAsia="宋体" w:cs="Times New Roman"/>
                      <w:color w:val="auto"/>
                      <w:sz w:val="15"/>
                      <w:szCs w:val="15"/>
                      <w:lang w:val="en-US" w:eastAsia="zh-CN"/>
                    </w:rPr>
                    <w:t>2</w:t>
                  </w:r>
                  <w:r>
                    <w:rPr>
                      <w:rFonts w:hint="default" w:ascii="Times New Roman" w:hAnsi="Times New Roman" w:eastAsia="宋体" w:cs="Times New Roman"/>
                      <w:color w:val="auto"/>
                      <w:sz w:val="15"/>
                      <w:szCs w:val="15"/>
                      <w:lang w:val="en-US"/>
                    </w:rPr>
                    <w:t>号</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kern w:val="2"/>
                      <w:sz w:val="15"/>
                      <w:szCs w:val="15"/>
                      <w:lang w:val="en-US" w:eastAsia="zh-CN" w:bidi="ar"/>
                    </w:rPr>
                    <w:t>总体管控要求</w:t>
                  </w:r>
                </w:p>
              </w:tc>
              <w:tc>
                <w:tcPr>
                  <w:tcW w:w="549" w:type="pct"/>
                  <w:vMerge w:val="restart"/>
                  <w:tcBorders>
                    <w:tl2br w:val="nil"/>
                    <w:tr2bl w:val="nil"/>
                  </w:tcBorders>
                  <w:noWrap w:val="0"/>
                  <w:vAlign w:val="center"/>
                </w:tcPr>
                <w:p w14:paraId="6A51A83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空间布局约束</w:t>
                  </w:r>
                </w:p>
              </w:tc>
              <w:tc>
                <w:tcPr>
                  <w:tcW w:w="2037" w:type="pct"/>
                  <w:tcBorders>
                    <w:tl2br w:val="nil"/>
                    <w:tr2bl w:val="nil"/>
                  </w:tcBorders>
                  <w:noWrap w:val="0"/>
                  <w:vAlign w:val="center"/>
                </w:tcPr>
                <w:p w14:paraId="36DCB986">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第一条 深入贯彻习近平生态文明思想，筑牢长江上游重要生态屏障，推动优势区域重点发展、生态功能区重点保护、城乡融合发展，优化重点区域、流域、产业的空间布局。</w:t>
                  </w:r>
                </w:p>
              </w:tc>
              <w:tc>
                <w:tcPr>
                  <w:tcW w:w="1279" w:type="pct"/>
                  <w:vMerge w:val="restart"/>
                  <w:tcBorders>
                    <w:tl2br w:val="nil"/>
                    <w:tr2bl w:val="nil"/>
                  </w:tcBorders>
                  <w:noWrap w:val="0"/>
                  <w:vAlign w:val="center"/>
                </w:tcPr>
                <w:p w14:paraId="67EBE3E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cs="Times New Roman"/>
                      <w:color w:val="auto"/>
                      <w:sz w:val="15"/>
                      <w:szCs w:val="15"/>
                      <w:lang w:val="en-US" w:eastAsia="zh-CN"/>
                    </w:rPr>
                  </w:pPr>
                  <w:r>
                    <w:rPr>
                      <w:rFonts w:hint="default" w:ascii="Times New Roman" w:hAnsi="Times New Roman" w:eastAsia="宋体" w:cs="Times New Roman"/>
                      <w:color w:val="auto"/>
                      <w:kern w:val="2"/>
                      <w:sz w:val="15"/>
                      <w:szCs w:val="15"/>
                      <w:lang w:val="en-US" w:eastAsia="zh-CN" w:bidi="ar"/>
                    </w:rPr>
                    <w:t>项目</w:t>
                  </w:r>
                  <w:r>
                    <w:rPr>
                      <w:rFonts w:hint="eastAsia" w:ascii="Times New Roman" w:hAnsi="Times New Roman" w:cs="Times New Roman"/>
                      <w:color w:val="auto"/>
                      <w:kern w:val="2"/>
                      <w:sz w:val="15"/>
                      <w:szCs w:val="15"/>
                      <w:lang w:val="en-US" w:eastAsia="zh-CN" w:bidi="ar"/>
                    </w:rPr>
                    <w:t>位于重庆市九龙坡区经纬大道1305号远洋城二期19幢吊2-3商业</w:t>
                  </w:r>
                  <w:r>
                    <w:rPr>
                      <w:rFonts w:hint="default" w:ascii="Times New Roman" w:hAnsi="Times New Roman" w:eastAsia="宋体" w:cs="Times New Roman"/>
                      <w:color w:val="auto"/>
                      <w:kern w:val="0"/>
                      <w:sz w:val="15"/>
                      <w:szCs w:val="15"/>
                      <w:lang w:val="en-US" w:eastAsia="zh-CN"/>
                    </w:rPr>
                    <w:t>，</w:t>
                  </w:r>
                  <w:r>
                    <w:rPr>
                      <w:rFonts w:hint="default" w:ascii="Times New Roman" w:hAnsi="Times New Roman" w:eastAsia="宋体" w:cs="Times New Roman"/>
                      <w:color w:val="auto"/>
                      <w:sz w:val="15"/>
                      <w:szCs w:val="15"/>
                      <w:lang w:val="en-US" w:eastAsia="zh-CN"/>
                    </w:rPr>
                    <w:t>不属于化工等高污染项目；不涉及环境防护距离</w:t>
                  </w:r>
                  <w:r>
                    <w:rPr>
                      <w:rFonts w:hint="eastAsia" w:ascii="Times New Roman" w:hAnsi="Times New Roman" w:cs="Times New Roman"/>
                      <w:color w:val="auto"/>
                      <w:sz w:val="15"/>
                      <w:szCs w:val="15"/>
                      <w:lang w:val="en-US" w:eastAsia="zh-CN"/>
                    </w:rPr>
                    <w:t>；项目不属于“两高”项目。</w:t>
                  </w:r>
                </w:p>
              </w:tc>
              <w:tc>
                <w:tcPr>
                  <w:tcW w:w="525" w:type="pct"/>
                  <w:tcBorders>
                    <w:tl2br w:val="nil"/>
                    <w:tr2bl w:val="nil"/>
                  </w:tcBorders>
                  <w:noWrap w:val="0"/>
                  <w:vAlign w:val="center"/>
                </w:tcPr>
                <w:p w14:paraId="5B20BB2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符合</w:t>
                  </w:r>
                </w:p>
              </w:tc>
            </w:tr>
            <w:tr w14:paraId="3223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noWrap w:val="0"/>
                  <w:vAlign w:val="center"/>
                </w:tcPr>
                <w:p w14:paraId="6AC1322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p>
              </w:tc>
              <w:tc>
                <w:tcPr>
                  <w:tcW w:w="549" w:type="pct"/>
                  <w:vMerge w:val="continue"/>
                  <w:tcBorders>
                    <w:tl2br w:val="nil"/>
                    <w:tr2bl w:val="nil"/>
                  </w:tcBorders>
                  <w:noWrap w:val="0"/>
                  <w:vAlign w:val="center"/>
                </w:tcPr>
                <w:p w14:paraId="7DC1199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21B9A775">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sz w:val="15"/>
                      <w:szCs w:val="15"/>
                      <w:lang w:val="en-US" w:eastAsia="zh-CN"/>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279" w:type="pct"/>
                  <w:vMerge w:val="continue"/>
                  <w:tcBorders>
                    <w:tl2br w:val="nil"/>
                    <w:tr2bl w:val="nil"/>
                  </w:tcBorders>
                  <w:noWrap w:val="0"/>
                  <w:vAlign w:val="center"/>
                </w:tcPr>
                <w:p w14:paraId="23E86D6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40FDB7E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5606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6154C11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p>
              </w:tc>
              <w:tc>
                <w:tcPr>
                  <w:tcW w:w="549" w:type="pct"/>
                  <w:vMerge w:val="continue"/>
                  <w:tcBorders>
                    <w:tl2br w:val="nil"/>
                    <w:tr2bl w:val="nil"/>
                  </w:tcBorders>
                  <w:noWrap w:val="0"/>
                  <w:vAlign w:val="center"/>
                </w:tcPr>
                <w:p w14:paraId="784931E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FA80775">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sz w:val="15"/>
                      <w:szCs w:val="15"/>
                      <w:lang w:val="en-US" w:eastAsia="zh-CN"/>
                    </w:rPr>
                    <w:t>第三条 禁止在合规园区外新建、扩建钢铁、石化、化工、焦化、建材、有色、制浆造纸等高污染项目（高污染项目严格按照《环境保护综合名录》</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高污染</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产品名录执行）。禁止新建、扩建不符合国家石化、现代煤化工等产业布局规划的项目。新建、改建、扩建</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两高</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279" w:type="pct"/>
                  <w:vMerge w:val="continue"/>
                  <w:tcBorders>
                    <w:tl2br w:val="nil"/>
                    <w:tr2bl w:val="nil"/>
                  </w:tcBorders>
                  <w:noWrap w:val="0"/>
                  <w:vAlign w:val="center"/>
                </w:tcPr>
                <w:p w14:paraId="754966C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1AC3F25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7870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66689EB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p>
              </w:tc>
              <w:tc>
                <w:tcPr>
                  <w:tcW w:w="549" w:type="pct"/>
                  <w:vMerge w:val="continue"/>
                  <w:tcBorders>
                    <w:tl2br w:val="nil"/>
                    <w:tr2bl w:val="nil"/>
                  </w:tcBorders>
                  <w:noWrap w:val="0"/>
                  <w:vAlign w:val="center"/>
                </w:tcPr>
                <w:p w14:paraId="2A8111F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1B6C7C1">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sz w:val="15"/>
                      <w:szCs w:val="15"/>
                      <w:lang w:val="en-US" w:eastAsia="zh-CN"/>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279" w:type="pct"/>
                  <w:vMerge w:val="continue"/>
                  <w:tcBorders>
                    <w:tl2br w:val="nil"/>
                    <w:tr2bl w:val="nil"/>
                  </w:tcBorders>
                  <w:noWrap w:val="0"/>
                  <w:vAlign w:val="center"/>
                </w:tcPr>
                <w:p w14:paraId="3A5F7C1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71F9AD2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65FF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2E5466B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p>
              </w:tc>
              <w:tc>
                <w:tcPr>
                  <w:tcW w:w="549" w:type="pct"/>
                  <w:vMerge w:val="continue"/>
                  <w:tcBorders>
                    <w:tl2br w:val="nil"/>
                    <w:tr2bl w:val="nil"/>
                  </w:tcBorders>
                  <w:noWrap w:val="0"/>
                  <w:vAlign w:val="center"/>
                </w:tcPr>
                <w:p w14:paraId="08DBC2D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C99F3B2">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sz w:val="15"/>
                      <w:szCs w:val="15"/>
                      <w:lang w:val="en-US" w:eastAsia="zh-CN"/>
                    </w:rPr>
                    <w:t>第五条 新建、扩建有色金属冶炼、电镀、铅蓄电池等企业应布设在依法合规设立并经过规划环评的产业园区。</w:t>
                  </w:r>
                </w:p>
              </w:tc>
              <w:tc>
                <w:tcPr>
                  <w:tcW w:w="1279" w:type="pct"/>
                  <w:vMerge w:val="continue"/>
                  <w:tcBorders>
                    <w:tl2br w:val="nil"/>
                    <w:tr2bl w:val="nil"/>
                  </w:tcBorders>
                  <w:noWrap w:val="0"/>
                  <w:vAlign w:val="center"/>
                </w:tcPr>
                <w:p w14:paraId="30EC2DC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2881D6B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628D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7C4F722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p>
              </w:tc>
              <w:tc>
                <w:tcPr>
                  <w:tcW w:w="549" w:type="pct"/>
                  <w:vMerge w:val="continue"/>
                  <w:tcBorders>
                    <w:tl2br w:val="nil"/>
                    <w:tr2bl w:val="nil"/>
                  </w:tcBorders>
                  <w:noWrap w:val="0"/>
                  <w:vAlign w:val="center"/>
                </w:tcPr>
                <w:p w14:paraId="7977664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2C8F7CC">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第六条 涉及环境防护距离的工业企业或项目应通过选址或调整布局原则上将环境防护距离控制在园区边界或用地红线内，提前合理规划项目地块布置、预防环境风险。</w:t>
                  </w:r>
                </w:p>
              </w:tc>
              <w:tc>
                <w:tcPr>
                  <w:tcW w:w="1279" w:type="pct"/>
                  <w:vMerge w:val="continue"/>
                  <w:tcBorders>
                    <w:tl2br w:val="nil"/>
                    <w:tr2bl w:val="nil"/>
                  </w:tcBorders>
                  <w:noWrap w:val="0"/>
                  <w:vAlign w:val="center"/>
                </w:tcPr>
                <w:p w14:paraId="3387C8D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554D847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070A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7A9374E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p>
              </w:tc>
              <w:tc>
                <w:tcPr>
                  <w:tcW w:w="549" w:type="pct"/>
                  <w:vMerge w:val="continue"/>
                  <w:tcBorders>
                    <w:tl2br w:val="nil"/>
                    <w:tr2bl w:val="nil"/>
                  </w:tcBorders>
                  <w:noWrap w:val="0"/>
                  <w:vAlign w:val="center"/>
                </w:tcPr>
                <w:p w14:paraId="7C313E0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3F242744">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sz w:val="15"/>
                      <w:szCs w:val="15"/>
                      <w:lang w:val="en-US" w:eastAsia="zh-CN"/>
                    </w:rPr>
                    <w:t>第七条 有效规范空间开发秩序，合理控制空间开发强度，切实将各类开发活动限制在资源环境承载能力之内，为构建高效协调可持续的国土空间开发格局奠定坚实基础。</w:t>
                  </w:r>
                </w:p>
              </w:tc>
              <w:tc>
                <w:tcPr>
                  <w:tcW w:w="1279" w:type="pct"/>
                  <w:vMerge w:val="continue"/>
                  <w:tcBorders>
                    <w:tl2br w:val="nil"/>
                    <w:tr2bl w:val="nil"/>
                  </w:tcBorders>
                  <w:noWrap w:val="0"/>
                  <w:vAlign w:val="center"/>
                </w:tcPr>
                <w:p w14:paraId="052A47D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2A42403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46F4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343C451C">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restart"/>
                  <w:tcBorders>
                    <w:tl2br w:val="nil"/>
                    <w:tr2bl w:val="nil"/>
                  </w:tcBorders>
                  <w:noWrap w:val="0"/>
                  <w:vAlign w:val="center"/>
                </w:tcPr>
                <w:p w14:paraId="73C69B2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污染物排放管控</w:t>
                  </w:r>
                </w:p>
              </w:tc>
              <w:tc>
                <w:tcPr>
                  <w:tcW w:w="2037" w:type="pct"/>
                  <w:tcBorders>
                    <w:tl2br w:val="nil"/>
                    <w:tr2bl w:val="nil"/>
                  </w:tcBorders>
                  <w:noWrap w:val="0"/>
                  <w:vAlign w:val="center"/>
                </w:tcPr>
                <w:p w14:paraId="27E65F65">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两高</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行业建设项目应满足超低排放要求。加强水泥和平板玻璃行业差别化管理，新改扩建项目严格落实相关产业政策要求，满足能效标杆水平、环保绩效 A 级指标要求。</w:t>
                  </w:r>
                </w:p>
              </w:tc>
              <w:tc>
                <w:tcPr>
                  <w:tcW w:w="1279" w:type="pct"/>
                  <w:tcBorders>
                    <w:tl2br w:val="nil"/>
                    <w:tr2bl w:val="nil"/>
                  </w:tcBorders>
                  <w:noWrap w:val="0"/>
                  <w:vAlign w:val="center"/>
                </w:tcPr>
                <w:p w14:paraId="46DACB4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项目不属于以上行业。</w:t>
                  </w:r>
                </w:p>
              </w:tc>
              <w:tc>
                <w:tcPr>
                  <w:tcW w:w="525" w:type="pct"/>
                  <w:tcBorders>
                    <w:tl2br w:val="nil"/>
                    <w:tr2bl w:val="nil"/>
                  </w:tcBorders>
                  <w:noWrap w:val="0"/>
                  <w:vAlign w:val="center"/>
                </w:tcPr>
                <w:p w14:paraId="5F3E33C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符合</w:t>
                  </w:r>
                </w:p>
              </w:tc>
            </w:tr>
            <w:tr w14:paraId="523C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606" w:type="pct"/>
                  <w:vMerge w:val="continue"/>
                  <w:tcBorders>
                    <w:tl2br w:val="nil"/>
                    <w:tr2bl w:val="nil"/>
                  </w:tcBorders>
                  <w:noWrap w:val="0"/>
                  <w:vAlign w:val="center"/>
                </w:tcPr>
                <w:p w14:paraId="3BB22732">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765FF0F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77A03E60">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第九条 严格落实国家及我市大气污染防控相关要求，对大气环境质量未达标地区，新建、改扩建项目实施更严格的污染物排放总量控制要求。严格落实区域削减要求，所在区域</w:t>
                  </w:r>
                  <w:r>
                    <w:rPr>
                      <w:rFonts w:hint="default" w:ascii="Times New Roman" w:hAnsi="Times New Roman" w:eastAsia="宋体" w:cs="Times New Roman"/>
                      <w:color w:val="auto"/>
                      <w:sz w:val="15"/>
                      <w:szCs w:val="15"/>
                      <w:highlight w:val="none"/>
                      <w:lang w:val="en-US" w:eastAsia="zh-CN"/>
                    </w:rPr>
                    <w:t>、流域控制单元环境质量未达到国家或者地方环境质</w:t>
                  </w:r>
                  <w:r>
                    <w:rPr>
                      <w:rFonts w:hint="default" w:ascii="Times New Roman" w:hAnsi="Times New Roman" w:eastAsia="宋体" w:cs="Times New Roman"/>
                      <w:color w:val="auto"/>
                      <w:sz w:val="15"/>
                      <w:szCs w:val="15"/>
                      <w:lang w:val="en-US" w:eastAsia="zh-CN"/>
                    </w:rPr>
                    <w:t>量标准的，建设项目需提出有效的区域削减方案，主要污染物实行区域倍量削减。</w:t>
                  </w:r>
                </w:p>
              </w:tc>
              <w:tc>
                <w:tcPr>
                  <w:tcW w:w="1279" w:type="pct"/>
                  <w:tcBorders>
                    <w:tl2br w:val="nil"/>
                    <w:tr2bl w:val="nil"/>
                  </w:tcBorders>
                  <w:noWrap w:val="0"/>
                  <w:vAlign w:val="center"/>
                </w:tcPr>
                <w:p w14:paraId="1FB36BE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eastAsia" w:ascii="Times New Roman" w:hAnsi="Times New Roman" w:cs="Times New Roman"/>
                      <w:color w:val="auto"/>
                      <w:kern w:val="2"/>
                      <w:sz w:val="15"/>
                      <w:szCs w:val="15"/>
                      <w:lang w:val="en-US" w:eastAsia="zh-CN" w:bidi="ar"/>
                    </w:rPr>
                    <w:t>九龙坡区</w:t>
                  </w:r>
                  <w:r>
                    <w:rPr>
                      <w:rFonts w:hint="default" w:ascii="Times New Roman" w:hAnsi="Times New Roman" w:eastAsia="宋体" w:cs="Times New Roman"/>
                      <w:color w:val="auto"/>
                      <w:kern w:val="2"/>
                      <w:sz w:val="15"/>
                      <w:szCs w:val="15"/>
                      <w:lang w:val="en-US" w:eastAsia="zh-CN" w:bidi="ar"/>
                    </w:rPr>
                    <w:t>为达标区域，项目为动物医院项目，无大气污染物排放总量指标。</w:t>
                  </w:r>
                </w:p>
              </w:tc>
              <w:tc>
                <w:tcPr>
                  <w:tcW w:w="525" w:type="pct"/>
                  <w:tcBorders>
                    <w:tl2br w:val="nil"/>
                    <w:tr2bl w:val="nil"/>
                  </w:tcBorders>
                  <w:noWrap w:val="0"/>
                  <w:vAlign w:val="center"/>
                </w:tcPr>
                <w:p w14:paraId="55E3ADD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0B72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noWrap w:val="0"/>
                  <w:vAlign w:val="center"/>
                </w:tcPr>
                <w:p w14:paraId="3FAFE418">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6CC4736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4B778D7">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279" w:type="pct"/>
                  <w:tcBorders>
                    <w:tl2br w:val="nil"/>
                    <w:tr2bl w:val="nil"/>
                  </w:tcBorders>
                  <w:noWrap w:val="0"/>
                  <w:vAlign w:val="center"/>
                </w:tcPr>
                <w:p w14:paraId="4B6DE6C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项目所在地属于</w:t>
                  </w:r>
                  <w:r>
                    <w:rPr>
                      <w:rFonts w:hint="eastAsia" w:ascii="Times New Roman" w:hAnsi="Times New Roman" w:cs="Times New Roman"/>
                      <w:color w:val="auto"/>
                      <w:kern w:val="2"/>
                      <w:sz w:val="15"/>
                      <w:szCs w:val="15"/>
                      <w:lang w:val="en-US" w:eastAsia="zh-CN" w:bidi="ar"/>
                    </w:rPr>
                    <w:t>九龙坡区</w:t>
                  </w:r>
                  <w:r>
                    <w:rPr>
                      <w:rFonts w:hint="default" w:ascii="Times New Roman" w:hAnsi="Times New Roman" w:eastAsia="宋体" w:cs="Times New Roman"/>
                      <w:color w:val="auto"/>
                      <w:kern w:val="2"/>
                      <w:sz w:val="15"/>
                      <w:szCs w:val="15"/>
                      <w:lang w:val="en-US" w:eastAsia="zh-CN" w:bidi="ar"/>
                    </w:rPr>
                    <w:t>，且不涉及以上重点行业。</w:t>
                  </w:r>
                </w:p>
              </w:tc>
              <w:tc>
                <w:tcPr>
                  <w:tcW w:w="525" w:type="pct"/>
                  <w:tcBorders>
                    <w:tl2br w:val="nil"/>
                    <w:tr2bl w:val="nil"/>
                  </w:tcBorders>
                  <w:noWrap w:val="0"/>
                  <w:vAlign w:val="center"/>
                </w:tcPr>
                <w:p w14:paraId="797E03A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5315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5645C92E">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14096CC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9AC6557">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279" w:type="pct"/>
                  <w:tcBorders>
                    <w:tl2br w:val="nil"/>
                    <w:tr2bl w:val="nil"/>
                  </w:tcBorders>
                  <w:noWrap w:val="0"/>
                  <w:vAlign w:val="center"/>
                </w:tcPr>
                <w:p w14:paraId="71BF7B3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项目所在地属于</w:t>
                  </w:r>
                  <w:r>
                    <w:rPr>
                      <w:rFonts w:hint="eastAsia" w:ascii="Times New Roman" w:hAnsi="Times New Roman" w:cs="Times New Roman"/>
                      <w:color w:val="auto"/>
                      <w:kern w:val="2"/>
                      <w:sz w:val="15"/>
                      <w:szCs w:val="15"/>
                      <w:lang w:val="en-US" w:eastAsia="zh-CN" w:bidi="ar"/>
                    </w:rPr>
                    <w:t>九龙坡区，污水经收集处理后排入污水处理厂集中处理</w:t>
                  </w:r>
                </w:p>
              </w:tc>
              <w:tc>
                <w:tcPr>
                  <w:tcW w:w="525" w:type="pct"/>
                  <w:tcBorders>
                    <w:tl2br w:val="nil"/>
                    <w:tr2bl w:val="nil"/>
                  </w:tcBorders>
                  <w:noWrap w:val="0"/>
                  <w:vAlign w:val="center"/>
                </w:tcPr>
                <w:p w14:paraId="5578853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0038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1F216F6D">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77A8F5F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41443979">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第十二条 推进乡镇生活污水处理设施达标改造。新建城市生活污水处理厂全部按照一级 A 标及以上排放标准设计、施工、验收，建制乡镇生活污水处理设施出水水质不得低于一级 B 标排放标准；对现有截留制排水管网实施雨污分流改造，针对无法彻底雨污分流的老城区，尊重现实合理保留截留制区域，合理提高截留倍数；对新建的排水管网，全部按照雨污分流模式实施建设。</w:t>
                  </w:r>
                </w:p>
              </w:tc>
              <w:tc>
                <w:tcPr>
                  <w:tcW w:w="1279" w:type="pct"/>
                  <w:tcBorders>
                    <w:tl2br w:val="nil"/>
                    <w:tr2bl w:val="nil"/>
                  </w:tcBorders>
                  <w:noWrap w:val="0"/>
                  <w:vAlign w:val="center"/>
                </w:tcPr>
                <w:p w14:paraId="7B5F1FA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项目不属于以上项目</w:t>
                  </w:r>
                </w:p>
              </w:tc>
              <w:tc>
                <w:tcPr>
                  <w:tcW w:w="525" w:type="pct"/>
                  <w:tcBorders>
                    <w:tl2br w:val="nil"/>
                    <w:tr2bl w:val="nil"/>
                  </w:tcBorders>
                  <w:noWrap w:val="0"/>
                  <w:vAlign w:val="center"/>
                </w:tcPr>
                <w:p w14:paraId="4B0A65B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49CB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7B67DA5D">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42EBD9D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8ACD317">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等量替代</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原则。</w:t>
                  </w:r>
                </w:p>
              </w:tc>
              <w:tc>
                <w:tcPr>
                  <w:tcW w:w="1279" w:type="pct"/>
                  <w:tcBorders>
                    <w:tl2br w:val="nil"/>
                    <w:tr2bl w:val="nil"/>
                  </w:tcBorders>
                  <w:noWrap w:val="0"/>
                  <w:vAlign w:val="center"/>
                </w:tcPr>
                <w:p w14:paraId="23C06FB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项目不属于以上项目</w:t>
                  </w:r>
                </w:p>
              </w:tc>
              <w:tc>
                <w:tcPr>
                  <w:tcW w:w="525" w:type="pct"/>
                  <w:tcBorders>
                    <w:tl2br w:val="nil"/>
                    <w:tr2bl w:val="nil"/>
                  </w:tcBorders>
                  <w:noWrap w:val="0"/>
                  <w:vAlign w:val="center"/>
                </w:tcPr>
                <w:p w14:paraId="11533B1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60AF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3BFD296F">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3C9C404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14BAD96">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279" w:type="pct"/>
                  <w:tcBorders>
                    <w:tl2br w:val="nil"/>
                    <w:tr2bl w:val="nil"/>
                  </w:tcBorders>
                  <w:noWrap w:val="0"/>
                  <w:vAlign w:val="center"/>
                </w:tcPr>
                <w:p w14:paraId="63168F6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项目严格执行以上要求</w:t>
                  </w:r>
                </w:p>
              </w:tc>
              <w:tc>
                <w:tcPr>
                  <w:tcW w:w="525" w:type="pct"/>
                  <w:tcBorders>
                    <w:tl2br w:val="nil"/>
                    <w:tr2bl w:val="nil"/>
                  </w:tcBorders>
                  <w:noWrap w:val="0"/>
                  <w:vAlign w:val="center"/>
                </w:tcPr>
                <w:p w14:paraId="78287D8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6419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6078C0B0">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1936460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FCFB9B4">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第十五条 建设分类投放、分类收集、分类运输、分类处理的生活垃圾处理系统。合理布局生活垃圾分类收集站点，完善分类运输系统，加快补齐分类收集转运设施能力短板。强化</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无废城市</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制度、技术、市场、监管、全民行动</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五大体系</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建设，推进城市固体废物精细化管理。</w:t>
                  </w:r>
                </w:p>
              </w:tc>
              <w:tc>
                <w:tcPr>
                  <w:tcW w:w="1279" w:type="pct"/>
                  <w:tcBorders>
                    <w:tl2br w:val="nil"/>
                    <w:tr2bl w:val="nil"/>
                  </w:tcBorders>
                  <w:noWrap w:val="0"/>
                  <w:vAlign w:val="center"/>
                </w:tcPr>
                <w:p w14:paraId="229A9D3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项目不属于以上项目</w:t>
                  </w:r>
                </w:p>
              </w:tc>
              <w:tc>
                <w:tcPr>
                  <w:tcW w:w="525" w:type="pct"/>
                  <w:tcBorders>
                    <w:tl2br w:val="nil"/>
                    <w:tr2bl w:val="nil"/>
                  </w:tcBorders>
                  <w:noWrap w:val="0"/>
                  <w:vAlign w:val="center"/>
                </w:tcPr>
                <w:p w14:paraId="764335D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24E7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noWrap w:val="0"/>
                  <w:vAlign w:val="center"/>
                </w:tcPr>
                <w:p w14:paraId="12F50D45">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restart"/>
                  <w:tcBorders>
                    <w:tl2br w:val="nil"/>
                    <w:tr2bl w:val="nil"/>
                  </w:tcBorders>
                  <w:noWrap w:val="0"/>
                  <w:vAlign w:val="center"/>
                </w:tcPr>
                <w:p w14:paraId="7B02892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环境风险防控</w:t>
                  </w:r>
                </w:p>
              </w:tc>
              <w:tc>
                <w:tcPr>
                  <w:tcW w:w="2037" w:type="pct"/>
                  <w:tcBorders>
                    <w:tl2br w:val="nil"/>
                    <w:tr2bl w:val="nil"/>
                  </w:tcBorders>
                  <w:noWrap w:val="0"/>
                  <w:vAlign w:val="center"/>
                </w:tcPr>
                <w:p w14:paraId="24928134">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279" w:type="pct"/>
                  <w:vMerge w:val="restart"/>
                  <w:tcBorders>
                    <w:tl2br w:val="nil"/>
                    <w:tr2bl w:val="nil"/>
                  </w:tcBorders>
                  <w:noWrap w:val="0"/>
                  <w:vAlign w:val="center"/>
                </w:tcPr>
                <w:p w14:paraId="3365EFE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环境风险采取相应环境风险防范措施后，风险可控。</w:t>
                  </w:r>
                </w:p>
              </w:tc>
              <w:tc>
                <w:tcPr>
                  <w:tcW w:w="525" w:type="pct"/>
                  <w:tcBorders>
                    <w:tl2br w:val="nil"/>
                    <w:tr2bl w:val="nil"/>
                  </w:tcBorders>
                  <w:noWrap w:val="0"/>
                  <w:vAlign w:val="center"/>
                </w:tcPr>
                <w:p w14:paraId="35A015B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符合</w:t>
                  </w:r>
                </w:p>
              </w:tc>
            </w:tr>
            <w:tr w14:paraId="531D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noWrap w:val="0"/>
                  <w:vAlign w:val="center"/>
                </w:tcPr>
                <w:p w14:paraId="35AF4A76">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3827076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0E6B8AC">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0"/>
                      <w:sz w:val="15"/>
                      <w:szCs w:val="15"/>
                      <w:lang w:val="en-US" w:eastAsia="zh-CN" w:bidi="ar"/>
                    </w:rPr>
                  </w:pPr>
                  <w:r>
                    <w:rPr>
                      <w:rFonts w:hint="default" w:ascii="Times New Roman" w:hAnsi="Times New Roman" w:eastAsia="宋体" w:cs="Times New Roman"/>
                      <w:color w:val="auto"/>
                      <w:sz w:val="15"/>
                      <w:szCs w:val="15"/>
                      <w:lang w:val="en-US" w:eastAsia="zh-CN"/>
                    </w:rPr>
                    <w:t>第十七条 强化化工园区涉水突发环境事件四级环境风险防范体系建设。持续推进重点化工园区（化工集中区）建设有毒有害气体监测预警体系和水质生物毒性预警体系。</w:t>
                  </w:r>
                </w:p>
              </w:tc>
              <w:tc>
                <w:tcPr>
                  <w:tcW w:w="1279" w:type="pct"/>
                  <w:vMerge w:val="continue"/>
                  <w:tcBorders>
                    <w:tl2br w:val="nil"/>
                    <w:tr2bl w:val="nil"/>
                  </w:tcBorders>
                  <w:noWrap w:val="0"/>
                  <w:vAlign w:val="center"/>
                </w:tcPr>
                <w:p w14:paraId="7B2ED44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015A7F8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0423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06" w:type="pct"/>
                  <w:vMerge w:val="continue"/>
                  <w:tcBorders>
                    <w:tl2br w:val="nil"/>
                    <w:tr2bl w:val="nil"/>
                  </w:tcBorders>
                  <w:noWrap w:val="0"/>
                  <w:vAlign w:val="center"/>
                </w:tcPr>
                <w:p w14:paraId="31D840C2">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restart"/>
                  <w:tcBorders>
                    <w:tl2br w:val="nil"/>
                    <w:tr2bl w:val="nil"/>
                  </w:tcBorders>
                  <w:noWrap w:val="0"/>
                  <w:vAlign w:val="center"/>
                </w:tcPr>
                <w:p w14:paraId="6F8DEFD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资源开发利用效率</w:t>
                  </w:r>
                </w:p>
              </w:tc>
              <w:tc>
                <w:tcPr>
                  <w:tcW w:w="2037" w:type="pct"/>
                  <w:tcBorders>
                    <w:tl2br w:val="nil"/>
                    <w:tr2bl w:val="nil"/>
                  </w:tcBorders>
                  <w:noWrap w:val="0"/>
                  <w:vAlign w:val="center"/>
                </w:tcPr>
                <w:p w14:paraId="23632327">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第十八条 实施能源领域碳达峰碳中和行动，科学有序推动能源生产消费方式绿色低碳变革。实施可再生能源替代，减少化石能源消费。加强产业布局和能耗</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双控</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政策衔接，促进重点用能领域用能结构优化和能效提升。</w:t>
                  </w:r>
                </w:p>
              </w:tc>
              <w:tc>
                <w:tcPr>
                  <w:tcW w:w="1279" w:type="pct"/>
                  <w:vMerge w:val="restart"/>
                  <w:tcBorders>
                    <w:tl2br w:val="nil"/>
                    <w:tr2bl w:val="nil"/>
                  </w:tcBorders>
                  <w:noWrap w:val="0"/>
                  <w:vAlign w:val="center"/>
                </w:tcPr>
                <w:p w14:paraId="55992B3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r>
                    <w:rPr>
                      <w:rFonts w:hint="eastAsia" w:ascii="Times New Roman" w:hAnsi="Times New Roman" w:cs="Times New Roman"/>
                      <w:color w:val="auto"/>
                      <w:sz w:val="15"/>
                      <w:szCs w:val="15"/>
                      <w:lang w:val="en-US" w:eastAsia="zh-CN"/>
                    </w:rPr>
                    <w:t>项目</w:t>
                  </w:r>
                  <w:r>
                    <w:rPr>
                      <w:rFonts w:hint="eastAsia" w:ascii="Times New Roman" w:hAnsi="Times New Roman" w:eastAsia="宋体" w:cs="Times New Roman"/>
                      <w:color w:val="auto"/>
                      <w:sz w:val="15"/>
                      <w:szCs w:val="15"/>
                      <w:lang w:val="en-US" w:eastAsia="zh-CN"/>
                    </w:rPr>
                    <w:t>能耗为电耗，</w:t>
                  </w:r>
                  <w:r>
                    <w:rPr>
                      <w:rFonts w:hint="eastAsia" w:ascii="Times New Roman" w:hAnsi="Times New Roman" w:cs="Times New Roman"/>
                      <w:color w:val="auto"/>
                      <w:sz w:val="15"/>
                      <w:szCs w:val="15"/>
                      <w:lang w:val="en-US" w:eastAsia="zh-CN"/>
                    </w:rPr>
                    <w:t>项目不属于“两高”项目，</w:t>
                  </w:r>
                  <w:r>
                    <w:rPr>
                      <w:rFonts w:hint="default" w:ascii="Times New Roman" w:hAnsi="Times New Roman" w:eastAsia="宋体" w:cs="Times New Roman"/>
                      <w:color w:val="auto"/>
                      <w:sz w:val="15"/>
                      <w:szCs w:val="15"/>
                      <w:lang w:val="en-US" w:eastAsia="zh-CN"/>
                    </w:rPr>
                    <w:t>也不属于火电、石化、有色金属、造纸、印染等高耗水行业，主要以电为能源，达到清洁生产先进水平。</w:t>
                  </w:r>
                </w:p>
              </w:tc>
              <w:tc>
                <w:tcPr>
                  <w:tcW w:w="525" w:type="pct"/>
                  <w:tcBorders>
                    <w:tl2br w:val="nil"/>
                    <w:tr2bl w:val="nil"/>
                  </w:tcBorders>
                  <w:noWrap w:val="0"/>
                  <w:vAlign w:val="center"/>
                </w:tcPr>
                <w:p w14:paraId="11EC334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479F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noWrap w:val="0"/>
                  <w:vAlign w:val="center"/>
                </w:tcPr>
                <w:p w14:paraId="51434F38">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2052B4B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86369EB">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279" w:type="pct"/>
                  <w:vMerge w:val="continue"/>
                  <w:tcBorders>
                    <w:tl2br w:val="nil"/>
                    <w:tr2bl w:val="nil"/>
                  </w:tcBorders>
                  <w:noWrap w:val="0"/>
                  <w:vAlign w:val="center"/>
                </w:tcPr>
                <w:p w14:paraId="7D6DD30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7406238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0846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noWrap w:val="0"/>
                  <w:vAlign w:val="center"/>
                </w:tcPr>
                <w:p w14:paraId="6CE62292">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6B0BD0E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41ED3E5">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第二十条 新建、扩建</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两高</w:t>
                  </w:r>
                  <w:r>
                    <w:rPr>
                      <w:rFonts w:hint="eastAsia" w:ascii="Times New Roman" w:hAnsi="Times New Roman" w:cs="Times New Roman"/>
                      <w:color w:val="auto"/>
                      <w:sz w:val="15"/>
                      <w:szCs w:val="15"/>
                      <w:lang w:val="en-US" w:eastAsia="zh-CN"/>
                    </w:rPr>
                    <w:t>”</w:t>
                  </w:r>
                  <w:r>
                    <w:rPr>
                      <w:rFonts w:hint="default" w:ascii="Times New Roman" w:hAnsi="Times New Roman" w:eastAsia="宋体" w:cs="Times New Roman"/>
                      <w:color w:val="auto"/>
                      <w:sz w:val="15"/>
                      <w:szCs w:val="15"/>
                      <w:lang w:val="en-US" w:eastAsia="zh-CN"/>
                    </w:rPr>
                    <w:t>项目应采用先进适用的工艺技术和装备，单位产品物耗、能耗、水耗等达到清洁生产先进水平</w:t>
                  </w:r>
                </w:p>
              </w:tc>
              <w:tc>
                <w:tcPr>
                  <w:tcW w:w="1279" w:type="pct"/>
                  <w:vMerge w:val="continue"/>
                  <w:tcBorders>
                    <w:tl2br w:val="nil"/>
                    <w:tr2bl w:val="nil"/>
                  </w:tcBorders>
                  <w:noWrap w:val="0"/>
                  <w:vAlign w:val="center"/>
                </w:tcPr>
                <w:p w14:paraId="6F7313A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0A45A35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2067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06" w:type="pct"/>
                  <w:vMerge w:val="continue"/>
                  <w:tcBorders>
                    <w:tl2br w:val="nil"/>
                    <w:tr2bl w:val="nil"/>
                  </w:tcBorders>
                  <w:noWrap w:val="0"/>
                  <w:vAlign w:val="center"/>
                </w:tcPr>
                <w:p w14:paraId="39482AC9">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1D7D232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2D17F804">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279" w:type="pct"/>
                  <w:vMerge w:val="continue"/>
                  <w:tcBorders>
                    <w:tl2br w:val="nil"/>
                    <w:tr2bl w:val="nil"/>
                  </w:tcBorders>
                  <w:noWrap w:val="0"/>
                  <w:vAlign w:val="center"/>
                </w:tcPr>
                <w:p w14:paraId="11C8C7A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kern w:val="2"/>
                      <w:sz w:val="15"/>
                      <w:szCs w:val="15"/>
                      <w:lang w:val="en-US" w:eastAsia="zh-CN" w:bidi="ar"/>
                    </w:rPr>
                  </w:pPr>
                </w:p>
              </w:tc>
              <w:tc>
                <w:tcPr>
                  <w:tcW w:w="525" w:type="pct"/>
                  <w:tcBorders>
                    <w:tl2br w:val="nil"/>
                    <w:tr2bl w:val="nil"/>
                  </w:tcBorders>
                  <w:noWrap w:val="0"/>
                  <w:vAlign w:val="center"/>
                </w:tcPr>
                <w:p w14:paraId="74C69EC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15"/>
                      <w:szCs w:val="15"/>
                      <w:lang w:val="en-US" w:eastAsia="zh-CN" w:bidi="ar"/>
                    </w:rPr>
                  </w:pPr>
                  <w:r>
                    <w:rPr>
                      <w:rFonts w:hint="default" w:ascii="Times New Roman" w:hAnsi="Times New Roman" w:eastAsia="宋体" w:cs="Times New Roman"/>
                      <w:color w:val="auto"/>
                      <w:kern w:val="2"/>
                      <w:sz w:val="15"/>
                      <w:szCs w:val="15"/>
                      <w:lang w:val="en-US" w:eastAsia="zh-CN" w:bidi="ar"/>
                    </w:rPr>
                    <w:t>符合</w:t>
                  </w:r>
                </w:p>
              </w:tc>
            </w:tr>
            <w:tr w14:paraId="4B6B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6FBC16E0">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3524074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p>
              </w:tc>
              <w:tc>
                <w:tcPr>
                  <w:tcW w:w="2037" w:type="pct"/>
                  <w:tcBorders>
                    <w:tl2br w:val="nil"/>
                    <w:tr2bl w:val="nil"/>
                  </w:tcBorders>
                  <w:noWrap w:val="0"/>
                  <w:vAlign w:val="center"/>
                </w:tcPr>
                <w:p w14:paraId="2772BB72">
                  <w:pPr>
                    <w:keepNext w:val="0"/>
                    <w:keepLines w:val="0"/>
                    <w:pageBreakBefore w:val="0"/>
                    <w:widowControl w:val="0"/>
                    <w:suppressLineNumbers w:val="0"/>
                    <w:suppressAutoHyphens/>
                    <w:kinsoku/>
                    <w:wordWrap/>
                    <w:overflowPunct/>
                    <w:topLinePunct w:val="0"/>
                    <w:autoSpaceDE/>
                    <w:autoSpaceDN/>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279" w:type="pct"/>
                  <w:vMerge w:val="continue"/>
                  <w:tcBorders>
                    <w:tl2br w:val="nil"/>
                    <w:tr2bl w:val="nil"/>
                  </w:tcBorders>
                  <w:noWrap w:val="0"/>
                  <w:vAlign w:val="center"/>
                </w:tcPr>
                <w:p w14:paraId="77253C3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left"/>
                    <w:textAlignment w:val="auto"/>
                    <w:rPr>
                      <w:rFonts w:hint="default" w:ascii="Times New Roman" w:hAnsi="Times New Roman" w:eastAsia="宋体" w:cs="Times New Roman"/>
                      <w:color w:val="auto"/>
                      <w:sz w:val="15"/>
                      <w:szCs w:val="15"/>
                      <w:lang w:val="en-US"/>
                    </w:rPr>
                  </w:pPr>
                </w:p>
              </w:tc>
              <w:tc>
                <w:tcPr>
                  <w:tcW w:w="525" w:type="pct"/>
                  <w:tcBorders>
                    <w:tl2br w:val="nil"/>
                    <w:tr2bl w:val="nil"/>
                  </w:tcBorders>
                  <w:noWrap w:val="0"/>
                  <w:vAlign w:val="center"/>
                </w:tcPr>
                <w:p w14:paraId="56D8F80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符合</w:t>
                  </w:r>
                </w:p>
              </w:tc>
            </w:tr>
            <w:tr w14:paraId="77CA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restart"/>
                  <w:tcBorders>
                    <w:tl2br w:val="nil"/>
                    <w:tr2bl w:val="nil"/>
                  </w:tcBorders>
                  <w:noWrap w:val="0"/>
                  <w:vAlign w:val="center"/>
                </w:tcPr>
                <w:p w14:paraId="4E59A9C8">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《重庆市</w:t>
                  </w:r>
                  <w:r>
                    <w:rPr>
                      <w:rFonts w:hint="eastAsia" w:ascii="Times New Roman" w:hAnsi="Times New Roman" w:cs="Times New Roman"/>
                      <w:color w:val="auto"/>
                      <w:kern w:val="0"/>
                      <w:sz w:val="15"/>
                      <w:szCs w:val="15"/>
                      <w:lang w:val="en-US" w:eastAsia="zh-CN"/>
                    </w:rPr>
                    <w:t>九龙坡区“</w:t>
                  </w:r>
                  <w:r>
                    <w:rPr>
                      <w:rFonts w:hint="default" w:ascii="Times New Roman" w:hAnsi="Times New Roman" w:eastAsia="宋体" w:cs="Times New Roman"/>
                      <w:color w:val="auto"/>
                      <w:kern w:val="0"/>
                      <w:sz w:val="15"/>
                      <w:szCs w:val="15"/>
                      <w:lang w:val="en-US" w:eastAsia="zh-CN"/>
                    </w:rPr>
                    <w:t>三线一单</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生态环境分区管控调整方案（2023年）》</w:t>
                  </w:r>
                </w:p>
              </w:tc>
              <w:tc>
                <w:tcPr>
                  <w:tcW w:w="549" w:type="pct"/>
                  <w:vMerge w:val="restart"/>
                  <w:tcBorders>
                    <w:tl2br w:val="nil"/>
                    <w:tr2bl w:val="nil"/>
                  </w:tcBorders>
                  <w:noWrap w:val="0"/>
                  <w:vAlign w:val="center"/>
                </w:tcPr>
                <w:p w14:paraId="40BE895A">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空间布局约束</w:t>
                  </w:r>
                </w:p>
              </w:tc>
              <w:tc>
                <w:tcPr>
                  <w:tcW w:w="2037" w:type="pct"/>
                  <w:tcBorders>
                    <w:tl2br w:val="nil"/>
                    <w:tr2bl w:val="nil"/>
                  </w:tcBorders>
                  <w:noWrap w:val="0"/>
                  <w:vAlign w:val="center"/>
                </w:tcPr>
                <w:p w14:paraId="7C111237">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第一条 执行重点管控单元市级总体要求第一条、第二条、第三条、第四条、第五条和第七条。</w:t>
                  </w:r>
                </w:p>
              </w:tc>
              <w:tc>
                <w:tcPr>
                  <w:tcW w:w="1279" w:type="pct"/>
                  <w:tcBorders>
                    <w:tl2br w:val="nil"/>
                    <w:tr2bl w:val="nil"/>
                  </w:tcBorders>
                  <w:noWrap w:val="0"/>
                  <w:vAlign w:val="center"/>
                </w:tcPr>
                <w:p w14:paraId="3587AA96">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sz w:val="15"/>
                      <w:szCs w:val="15"/>
                      <w:lang w:val="en-US" w:eastAsia="zh-CN"/>
                    </w:rPr>
                    <w:t>经分析，项目符合市级总体要求。</w:t>
                  </w:r>
                </w:p>
              </w:tc>
              <w:tc>
                <w:tcPr>
                  <w:tcW w:w="525" w:type="pct"/>
                  <w:tcBorders>
                    <w:tl2br w:val="nil"/>
                    <w:tr2bl w:val="nil"/>
                  </w:tcBorders>
                  <w:noWrap w:val="0"/>
                  <w:vAlign w:val="center"/>
                </w:tcPr>
                <w:p w14:paraId="02E8DA84">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符合</w:t>
                  </w:r>
                </w:p>
              </w:tc>
            </w:tr>
            <w:tr w14:paraId="78DC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2E1B7F9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p>
              </w:tc>
              <w:tc>
                <w:tcPr>
                  <w:tcW w:w="549" w:type="pct"/>
                  <w:vMerge w:val="continue"/>
                  <w:tcBorders>
                    <w:tl2br w:val="nil"/>
                    <w:tr2bl w:val="nil"/>
                  </w:tcBorders>
                  <w:noWrap w:val="0"/>
                  <w:vAlign w:val="center"/>
                </w:tcPr>
                <w:p w14:paraId="2E5971C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1C45173A">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第二条 以完善优势产业链发展作为方向，科学合理优化工业用地空间布局，推进产城融合高质量发展。 有序推动九龙新城园区东部片区（原九龙工业园区）</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东三街</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和九龙街道工业用地转型升级，重点发展制造服务业；推动九龙西城新能源、装备制造、新材料等产业往下游延伸。九龙新城园区西部片区（原西彭工业园区）内紧邻居住用地、 中小学用地等的工业用地后续应严格控制高噪声、异味明显的项目入驻，并根据实际情况设置一定防护距离。</w:t>
                  </w:r>
                </w:p>
              </w:tc>
              <w:tc>
                <w:tcPr>
                  <w:tcW w:w="1279" w:type="pct"/>
                  <w:tcBorders>
                    <w:tl2br w:val="nil"/>
                    <w:tr2bl w:val="nil"/>
                  </w:tcBorders>
                  <w:noWrap w:val="0"/>
                  <w:vAlign w:val="center"/>
                </w:tcPr>
                <w:p w14:paraId="76B7EE2D">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项目位于</w:t>
                  </w:r>
                  <w:r>
                    <w:rPr>
                      <w:rFonts w:hint="eastAsia" w:ascii="Times New Roman" w:hAnsi="Times New Roman" w:cs="Times New Roman"/>
                      <w:color w:val="auto"/>
                      <w:kern w:val="2"/>
                      <w:sz w:val="15"/>
                      <w:szCs w:val="15"/>
                      <w:lang w:val="en-US" w:eastAsia="zh-CN" w:bidi="ar"/>
                    </w:rPr>
                    <w:t>九龙坡区经纬大道1305号</w:t>
                  </w:r>
                  <w:r>
                    <w:rPr>
                      <w:rFonts w:hint="default" w:ascii="Times New Roman" w:hAnsi="Times New Roman" w:eastAsia="宋体" w:cs="Times New Roman"/>
                      <w:color w:val="auto"/>
                      <w:kern w:val="0"/>
                      <w:sz w:val="15"/>
                      <w:szCs w:val="15"/>
                      <w:lang w:val="en-US" w:eastAsia="zh-CN"/>
                    </w:rPr>
                    <w:t>，</w:t>
                  </w:r>
                  <w:r>
                    <w:rPr>
                      <w:rFonts w:hint="eastAsia" w:ascii="Times New Roman" w:hAnsi="Times New Roman" w:cs="Times New Roman"/>
                      <w:color w:val="auto"/>
                      <w:kern w:val="0"/>
                      <w:sz w:val="15"/>
                      <w:szCs w:val="15"/>
                      <w:lang w:val="en-US" w:eastAsia="zh-CN"/>
                    </w:rPr>
                    <w:t>为动物医院项目，不在工业园区内</w:t>
                  </w:r>
                </w:p>
              </w:tc>
              <w:tc>
                <w:tcPr>
                  <w:tcW w:w="525" w:type="pct"/>
                  <w:tcBorders>
                    <w:tl2br w:val="nil"/>
                    <w:tr2bl w:val="nil"/>
                  </w:tcBorders>
                  <w:noWrap w:val="0"/>
                  <w:vAlign w:val="center"/>
                </w:tcPr>
                <w:p w14:paraId="0D6043BC">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符合</w:t>
                  </w:r>
                </w:p>
              </w:tc>
            </w:tr>
            <w:tr w14:paraId="51F0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06" w:type="pct"/>
                  <w:vMerge w:val="continue"/>
                  <w:tcBorders>
                    <w:tl2br w:val="nil"/>
                    <w:tr2bl w:val="nil"/>
                  </w:tcBorders>
                  <w:noWrap w:val="0"/>
                  <w:vAlign w:val="center"/>
                </w:tcPr>
                <w:p w14:paraId="22A0FCCB">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restart"/>
                  <w:tcBorders>
                    <w:tl2br w:val="nil"/>
                    <w:tr2bl w:val="nil"/>
                  </w:tcBorders>
                  <w:noWrap w:val="0"/>
                  <w:vAlign w:val="center"/>
                </w:tcPr>
                <w:p w14:paraId="403A431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污染物排放管控</w:t>
                  </w:r>
                </w:p>
              </w:tc>
              <w:tc>
                <w:tcPr>
                  <w:tcW w:w="2037" w:type="pct"/>
                  <w:tcBorders>
                    <w:tl2br w:val="nil"/>
                    <w:tr2bl w:val="nil"/>
                  </w:tcBorders>
                  <w:noWrap w:val="0"/>
                  <w:vAlign w:val="center"/>
                </w:tcPr>
                <w:p w14:paraId="65ACD4B9">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第三条 执行重点管控单元市级总体要求第八条、第九条、第十一条、第十二条、第十四条和第十五条。</w:t>
                  </w:r>
                </w:p>
              </w:tc>
              <w:tc>
                <w:tcPr>
                  <w:tcW w:w="1279" w:type="pct"/>
                  <w:tcBorders>
                    <w:tl2br w:val="nil"/>
                    <w:tr2bl w:val="nil"/>
                  </w:tcBorders>
                  <w:noWrap w:val="0"/>
                  <w:vAlign w:val="center"/>
                </w:tcPr>
                <w:p w14:paraId="36BC3F0E">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sz w:val="15"/>
                      <w:szCs w:val="15"/>
                      <w:lang w:val="en-US" w:eastAsia="zh-CN"/>
                    </w:rPr>
                    <w:t>经分析</w:t>
                  </w:r>
                  <w:r>
                    <w:rPr>
                      <w:rFonts w:hint="eastAsia" w:ascii="Times New Roman" w:hAnsi="Times New Roman" w:cs="Times New Roman"/>
                      <w:color w:val="auto"/>
                      <w:sz w:val="15"/>
                      <w:szCs w:val="15"/>
                      <w:lang w:val="en-US" w:eastAsia="zh-CN"/>
                    </w:rPr>
                    <w:t>，</w:t>
                  </w:r>
                  <w:r>
                    <w:rPr>
                      <w:rFonts w:hint="eastAsia" w:ascii="Times New Roman" w:hAnsi="Times New Roman" w:eastAsia="宋体" w:cs="Times New Roman"/>
                      <w:color w:val="auto"/>
                      <w:sz w:val="15"/>
                      <w:szCs w:val="15"/>
                      <w:lang w:val="en-US" w:eastAsia="zh-CN"/>
                    </w:rPr>
                    <w:t>符合市级总体要求。</w:t>
                  </w:r>
                </w:p>
              </w:tc>
              <w:tc>
                <w:tcPr>
                  <w:tcW w:w="525" w:type="pct"/>
                  <w:tcBorders>
                    <w:tl2br w:val="nil"/>
                    <w:tr2bl w:val="nil"/>
                  </w:tcBorders>
                  <w:noWrap w:val="0"/>
                  <w:vAlign w:val="center"/>
                </w:tcPr>
                <w:p w14:paraId="6642669C">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w:t>
                  </w:r>
                </w:p>
              </w:tc>
            </w:tr>
            <w:tr w14:paraId="0414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606" w:type="pct"/>
                  <w:vMerge w:val="continue"/>
                  <w:tcBorders>
                    <w:tl2br w:val="nil"/>
                    <w:tr2bl w:val="nil"/>
                  </w:tcBorders>
                  <w:noWrap w:val="0"/>
                  <w:vAlign w:val="center"/>
                </w:tcPr>
                <w:p w14:paraId="3203A2C9">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032CC15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531FF2D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第四条 以重点行业为抓手，深化挥发性有机物治理，减缓工居混杂矛盾。 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1279" w:type="pct"/>
                  <w:tcBorders>
                    <w:tl2br w:val="nil"/>
                    <w:tr2bl w:val="nil"/>
                  </w:tcBorders>
                  <w:noWrap w:val="0"/>
                  <w:vAlign w:val="center"/>
                </w:tcPr>
                <w:p w14:paraId="396015B1">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cs="Times New Roman"/>
                      <w:color w:val="auto"/>
                      <w:sz w:val="15"/>
                      <w:szCs w:val="15"/>
                      <w:lang w:val="en-US" w:eastAsia="zh-CN"/>
                    </w:rPr>
                    <w:t>项目为</w:t>
                  </w:r>
                  <w:r>
                    <w:rPr>
                      <w:rFonts w:hint="eastAsia" w:ascii="Times New Roman" w:hAnsi="Times New Roman" w:cs="Times New Roman"/>
                      <w:color w:val="auto"/>
                      <w:kern w:val="0"/>
                      <w:sz w:val="15"/>
                      <w:szCs w:val="15"/>
                      <w:lang w:val="en-US" w:eastAsia="zh-CN"/>
                    </w:rPr>
                    <w:t>动物医院项目，不属于工业类项目，不涉及VOCs的排放</w:t>
                  </w:r>
                </w:p>
              </w:tc>
              <w:tc>
                <w:tcPr>
                  <w:tcW w:w="525" w:type="pct"/>
                  <w:tcBorders>
                    <w:tl2br w:val="nil"/>
                    <w:tr2bl w:val="nil"/>
                  </w:tcBorders>
                  <w:noWrap w:val="0"/>
                  <w:vAlign w:val="center"/>
                </w:tcPr>
                <w:p w14:paraId="1B3475A8">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符合</w:t>
                  </w:r>
                </w:p>
              </w:tc>
            </w:tr>
            <w:tr w14:paraId="6BBE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06" w:type="pct"/>
                  <w:vMerge w:val="continue"/>
                  <w:tcBorders>
                    <w:tl2br w:val="nil"/>
                    <w:tr2bl w:val="nil"/>
                  </w:tcBorders>
                  <w:noWrap w:val="0"/>
                  <w:vAlign w:val="center"/>
                </w:tcPr>
                <w:p w14:paraId="1C05F60C">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5DACC23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60C34EF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第五条 以餐饮油烟为重点，强化生活污染防治。加大居民生活油烟排放治理，推动具备条件的餐饮单位安装餐饮油烟在线监控设施，加强对重点区域无油烟净化设施露天 摊位的管理。</w:t>
                  </w:r>
                </w:p>
              </w:tc>
              <w:tc>
                <w:tcPr>
                  <w:tcW w:w="1279" w:type="pct"/>
                  <w:tcBorders>
                    <w:tl2br w:val="nil"/>
                    <w:tr2bl w:val="nil"/>
                  </w:tcBorders>
                  <w:noWrap w:val="0"/>
                  <w:vAlign w:val="center"/>
                </w:tcPr>
                <w:p w14:paraId="7325CBB8">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bCs/>
                      <w:color w:val="auto"/>
                      <w:sz w:val="15"/>
                      <w:szCs w:val="15"/>
                      <w:lang w:eastAsia="zh-CN" w:bidi="ar"/>
                    </w:rPr>
                    <w:t>项目</w:t>
                  </w:r>
                  <w:r>
                    <w:rPr>
                      <w:rFonts w:hint="eastAsia" w:ascii="Times New Roman" w:hAnsi="Times New Roman" w:cs="Times New Roman"/>
                      <w:color w:val="auto"/>
                      <w:sz w:val="15"/>
                      <w:szCs w:val="15"/>
                      <w:lang w:val="en-US" w:eastAsia="zh-CN"/>
                    </w:rPr>
                    <w:t>为</w:t>
                  </w:r>
                  <w:r>
                    <w:rPr>
                      <w:rFonts w:hint="eastAsia" w:ascii="Times New Roman" w:hAnsi="Times New Roman" w:cs="Times New Roman"/>
                      <w:color w:val="auto"/>
                      <w:kern w:val="0"/>
                      <w:sz w:val="15"/>
                      <w:szCs w:val="15"/>
                      <w:lang w:val="en-US" w:eastAsia="zh-CN"/>
                    </w:rPr>
                    <w:t>动物医院项目，不属于餐饮业</w:t>
                  </w:r>
                </w:p>
              </w:tc>
              <w:tc>
                <w:tcPr>
                  <w:tcW w:w="525" w:type="pct"/>
                  <w:tcBorders>
                    <w:tl2br w:val="nil"/>
                    <w:tr2bl w:val="nil"/>
                  </w:tcBorders>
                  <w:noWrap w:val="0"/>
                  <w:vAlign w:val="center"/>
                </w:tcPr>
                <w:p w14:paraId="1D234621">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符合</w:t>
                  </w:r>
                </w:p>
              </w:tc>
            </w:tr>
            <w:tr w14:paraId="3295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06" w:type="pct"/>
                  <w:vMerge w:val="continue"/>
                  <w:tcBorders>
                    <w:tl2br w:val="nil"/>
                    <w:tr2bl w:val="nil"/>
                  </w:tcBorders>
                  <w:noWrap w:val="0"/>
                  <w:vAlign w:val="center"/>
                </w:tcPr>
                <w:p w14:paraId="7832FC28">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5A69D70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17868019">
                  <w:pPr>
                    <w:keepNext w:val="0"/>
                    <w:keepLines w:val="0"/>
                    <w:pageBreakBefore w:val="0"/>
                    <w:widowControl w:val="0"/>
                    <w:kinsoku/>
                    <w:wordWrap/>
                    <w:overflowPunct/>
                    <w:topLinePunct w:val="0"/>
                    <w:bidi w:val="0"/>
                    <w:snapToGrid/>
                    <w:spacing w:line="240" w:lineRule="exact"/>
                    <w:jc w:val="left"/>
                    <w:textAlignment w:val="auto"/>
                    <w:rPr>
                      <w:rFonts w:ascii="Times New Roman" w:hAnsi="Times New Roman"/>
                      <w:bCs/>
                      <w:color w:val="auto"/>
                      <w:sz w:val="15"/>
                      <w:szCs w:val="15"/>
                      <w:lang w:bidi="ar"/>
                    </w:rPr>
                  </w:pPr>
                  <w:r>
                    <w:rPr>
                      <w:rFonts w:ascii="Times New Roman" w:hAnsi="Times New Roman"/>
                      <w:bCs/>
                      <w:color w:val="auto"/>
                      <w:sz w:val="15"/>
                      <w:szCs w:val="15"/>
                      <w:lang w:bidi="ar"/>
                    </w:rP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 在线监控系统。</w:t>
                  </w:r>
                </w:p>
              </w:tc>
              <w:tc>
                <w:tcPr>
                  <w:tcW w:w="1279" w:type="pct"/>
                  <w:vMerge w:val="restart"/>
                  <w:tcBorders>
                    <w:tl2br w:val="nil"/>
                    <w:tr2bl w:val="nil"/>
                  </w:tcBorders>
                  <w:noWrap w:val="0"/>
                  <w:vAlign w:val="center"/>
                </w:tcPr>
                <w:p w14:paraId="6D565AF2">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kern w:val="0"/>
                      <w:sz w:val="15"/>
                      <w:szCs w:val="15"/>
                      <w:lang w:val="en-US" w:eastAsia="zh-CN"/>
                    </w:rPr>
                    <w:t>项目不属于以上行业</w:t>
                  </w:r>
                </w:p>
              </w:tc>
              <w:tc>
                <w:tcPr>
                  <w:tcW w:w="525" w:type="pct"/>
                  <w:vMerge w:val="restart"/>
                  <w:tcBorders>
                    <w:tl2br w:val="nil"/>
                    <w:tr2bl w:val="nil"/>
                  </w:tcBorders>
                  <w:noWrap w:val="0"/>
                  <w:vAlign w:val="center"/>
                </w:tcPr>
                <w:p w14:paraId="7B7E00DD">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kern w:val="0"/>
                      <w:sz w:val="15"/>
                      <w:szCs w:val="15"/>
                      <w:lang w:val="en-US" w:eastAsia="zh-CN"/>
                    </w:rPr>
                    <w:t>符合</w:t>
                  </w:r>
                </w:p>
              </w:tc>
            </w:tr>
            <w:tr w14:paraId="6831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06" w:type="pct"/>
                  <w:vMerge w:val="continue"/>
                  <w:tcBorders>
                    <w:tl2br w:val="nil"/>
                    <w:tr2bl w:val="nil"/>
                  </w:tcBorders>
                  <w:noWrap w:val="0"/>
                  <w:vAlign w:val="center"/>
                </w:tcPr>
                <w:p w14:paraId="5543583E">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023B26F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411D76B0">
                  <w:pPr>
                    <w:keepNext w:val="0"/>
                    <w:keepLines w:val="0"/>
                    <w:pageBreakBefore w:val="0"/>
                    <w:widowControl w:val="0"/>
                    <w:kinsoku/>
                    <w:wordWrap/>
                    <w:overflowPunct/>
                    <w:topLinePunct w:val="0"/>
                    <w:bidi w:val="0"/>
                    <w:snapToGrid/>
                    <w:spacing w:line="240" w:lineRule="exact"/>
                    <w:jc w:val="left"/>
                    <w:textAlignment w:val="auto"/>
                    <w:rPr>
                      <w:rFonts w:ascii="Times New Roman" w:hAnsi="Times New Roman"/>
                      <w:bCs/>
                      <w:color w:val="auto"/>
                      <w:sz w:val="15"/>
                      <w:szCs w:val="15"/>
                      <w:lang w:bidi="ar"/>
                    </w:rPr>
                  </w:pPr>
                  <w:r>
                    <w:rPr>
                      <w:rFonts w:ascii="Times New Roman" w:hAnsi="Times New Roman"/>
                      <w:bCs/>
                      <w:color w:val="auto"/>
                      <w:sz w:val="15"/>
                      <w:szCs w:val="15"/>
                      <w:lang w:bidi="ar"/>
                    </w:rPr>
                    <w:t>第七条 以</w:t>
                  </w:r>
                  <w:r>
                    <w:rPr>
                      <w:rFonts w:hint="eastAsia" w:ascii="Times New Roman" w:hAnsi="Times New Roman"/>
                      <w:bCs/>
                      <w:color w:val="auto"/>
                      <w:sz w:val="15"/>
                      <w:szCs w:val="15"/>
                      <w:lang w:eastAsia="zh-CN" w:bidi="ar"/>
                    </w:rPr>
                    <w:t>“</w:t>
                  </w:r>
                  <w:r>
                    <w:rPr>
                      <w:rFonts w:ascii="Times New Roman" w:hAnsi="Times New Roman"/>
                      <w:bCs/>
                      <w:color w:val="auto"/>
                      <w:sz w:val="15"/>
                      <w:szCs w:val="15"/>
                      <w:lang w:bidi="ar"/>
                    </w:rPr>
                    <w:t>三河六溪</w:t>
                  </w:r>
                  <w:r>
                    <w:rPr>
                      <w:rFonts w:hint="eastAsia" w:ascii="Times New Roman" w:hAnsi="Times New Roman"/>
                      <w:bCs/>
                      <w:color w:val="auto"/>
                      <w:sz w:val="15"/>
                      <w:szCs w:val="15"/>
                      <w:lang w:eastAsia="zh-CN" w:bidi="ar"/>
                    </w:rPr>
                    <w:t>”</w:t>
                  </w:r>
                  <w:r>
                    <w:rPr>
                      <w:rFonts w:ascii="Times New Roman" w:hAnsi="Times New Roman"/>
                      <w:bCs/>
                      <w:color w:val="auto"/>
                      <w:sz w:val="15"/>
                      <w:szCs w:val="15"/>
                      <w:lang w:bidi="ar"/>
                    </w:rPr>
                    <w:t>污染综合治理为核心，改善次级河流水质。 持续推进</w:t>
                  </w:r>
                  <w:r>
                    <w:rPr>
                      <w:rFonts w:hint="eastAsia" w:ascii="Times New Roman" w:hAnsi="Times New Roman"/>
                      <w:bCs/>
                      <w:color w:val="auto"/>
                      <w:sz w:val="15"/>
                      <w:szCs w:val="15"/>
                      <w:lang w:eastAsia="zh-CN" w:bidi="ar"/>
                    </w:rPr>
                    <w:t>“</w:t>
                  </w:r>
                  <w:r>
                    <w:rPr>
                      <w:rFonts w:ascii="Times New Roman" w:hAnsi="Times New Roman"/>
                      <w:bCs/>
                      <w:color w:val="auto"/>
                      <w:sz w:val="15"/>
                      <w:szCs w:val="15"/>
                      <w:lang w:bidi="ar"/>
                    </w:rPr>
                    <w:t>三河六溪</w:t>
                  </w:r>
                  <w:r>
                    <w:rPr>
                      <w:rFonts w:hint="eastAsia" w:ascii="Times New Roman" w:hAnsi="Times New Roman"/>
                      <w:bCs/>
                      <w:color w:val="auto"/>
                      <w:sz w:val="15"/>
                      <w:szCs w:val="15"/>
                      <w:lang w:eastAsia="zh-CN" w:bidi="ar"/>
                    </w:rPr>
                    <w:t>”</w:t>
                  </w:r>
                  <w:r>
                    <w:rPr>
                      <w:rFonts w:ascii="Times New Roman" w:hAnsi="Times New Roman"/>
                      <w:bCs/>
                      <w:color w:val="auto"/>
                      <w:sz w:val="15"/>
                      <w:szCs w:val="15"/>
                      <w:lang w:bidi="ar"/>
                    </w:rPr>
                    <w:t>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1279" w:type="pct"/>
                  <w:vMerge w:val="continue"/>
                  <w:tcBorders>
                    <w:tl2br w:val="nil"/>
                    <w:tr2bl w:val="nil"/>
                  </w:tcBorders>
                  <w:noWrap w:val="0"/>
                  <w:vAlign w:val="center"/>
                </w:tcPr>
                <w:p w14:paraId="5EA4E11F">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c>
                <w:tcPr>
                  <w:tcW w:w="525" w:type="pct"/>
                  <w:vMerge w:val="continue"/>
                  <w:tcBorders>
                    <w:tl2br w:val="nil"/>
                    <w:tr2bl w:val="nil"/>
                  </w:tcBorders>
                  <w:noWrap w:val="0"/>
                  <w:vAlign w:val="center"/>
                </w:tcPr>
                <w:p w14:paraId="0FCEB759">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r>
            <w:tr w14:paraId="7099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06" w:type="pct"/>
                  <w:vMerge w:val="continue"/>
                  <w:tcBorders>
                    <w:tl2br w:val="nil"/>
                    <w:tr2bl w:val="nil"/>
                  </w:tcBorders>
                  <w:noWrap w:val="0"/>
                  <w:vAlign w:val="center"/>
                </w:tcPr>
                <w:p w14:paraId="02C3ACE4">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0D03577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0F6BEEEA">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1279" w:type="pct"/>
                  <w:vMerge w:val="continue"/>
                  <w:tcBorders>
                    <w:tl2br w:val="nil"/>
                    <w:tr2bl w:val="nil"/>
                  </w:tcBorders>
                  <w:noWrap w:val="0"/>
                  <w:vAlign w:val="center"/>
                </w:tcPr>
                <w:p w14:paraId="70EEBEDB">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c>
                <w:tcPr>
                  <w:tcW w:w="525" w:type="pct"/>
                  <w:vMerge w:val="continue"/>
                  <w:tcBorders>
                    <w:tl2br w:val="nil"/>
                    <w:tr2bl w:val="nil"/>
                  </w:tcBorders>
                  <w:noWrap w:val="0"/>
                  <w:vAlign w:val="center"/>
                </w:tcPr>
                <w:p w14:paraId="5644A3DB">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r>
            <w:tr w14:paraId="0DA1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06D98796">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restart"/>
                  <w:tcBorders>
                    <w:tl2br w:val="nil"/>
                    <w:tr2bl w:val="nil"/>
                  </w:tcBorders>
                  <w:noWrap w:val="0"/>
                  <w:vAlign w:val="center"/>
                </w:tcPr>
                <w:p w14:paraId="0FF14B0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环境风险防控</w:t>
                  </w:r>
                </w:p>
              </w:tc>
              <w:tc>
                <w:tcPr>
                  <w:tcW w:w="2037" w:type="pct"/>
                  <w:tcBorders>
                    <w:tl2br w:val="nil"/>
                    <w:tr2bl w:val="nil"/>
                  </w:tcBorders>
                  <w:noWrap w:val="0"/>
                  <w:vAlign w:val="center"/>
                </w:tcPr>
                <w:p w14:paraId="3021C517">
                  <w:pPr>
                    <w:keepNext w:val="0"/>
                    <w:keepLines w:val="0"/>
                    <w:pageBreakBefore w:val="0"/>
                    <w:widowControl w:val="0"/>
                    <w:kinsoku/>
                    <w:wordWrap/>
                    <w:overflowPunct/>
                    <w:topLinePunct w:val="0"/>
                    <w:bidi w:val="0"/>
                    <w:snapToGrid/>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第九条 执行重点管控单元市级总体要求第十六条。</w:t>
                  </w:r>
                </w:p>
              </w:tc>
              <w:tc>
                <w:tcPr>
                  <w:tcW w:w="1279" w:type="pct"/>
                  <w:vMerge w:val="restart"/>
                  <w:tcBorders>
                    <w:tl2br w:val="nil"/>
                    <w:tr2bl w:val="nil"/>
                  </w:tcBorders>
                  <w:noWrap w:val="0"/>
                  <w:vAlign w:val="center"/>
                </w:tcPr>
                <w:p w14:paraId="58C6C1D8">
                  <w:pPr>
                    <w:keepNext w:val="0"/>
                    <w:keepLines w:val="0"/>
                    <w:pageBreakBefore w:val="0"/>
                    <w:kinsoku/>
                    <w:wordWrap/>
                    <w:overflowPunct/>
                    <w:topLinePunct w:val="0"/>
                    <w:bidi w:val="0"/>
                    <w:adjustRightInd w:val="0"/>
                    <w:snapToGrid w:val="0"/>
                    <w:spacing w:line="240" w:lineRule="exact"/>
                    <w:jc w:val="center"/>
                    <w:textAlignment w:val="auto"/>
                    <w:rPr>
                      <w:rFonts w:hint="eastAsia" w:ascii="Times New Roman" w:hAnsi="Times New Roman" w:eastAsia="宋体" w:cs="Times New Roman"/>
                      <w:color w:val="auto"/>
                      <w:kern w:val="0"/>
                      <w:sz w:val="15"/>
                      <w:szCs w:val="15"/>
                      <w:lang w:val="en-US" w:eastAsia="zh-CN"/>
                    </w:rPr>
                  </w:pPr>
                  <w:r>
                    <w:rPr>
                      <w:rFonts w:hint="eastAsia" w:ascii="Times New Roman" w:hAnsi="Times New Roman" w:cs="Times New Roman"/>
                      <w:color w:val="auto"/>
                      <w:kern w:val="0"/>
                      <w:sz w:val="15"/>
                      <w:szCs w:val="15"/>
                      <w:lang w:val="en-US" w:eastAsia="zh-CN"/>
                    </w:rPr>
                    <w:t>项目环评提出有环境风险防控措施</w:t>
                  </w:r>
                </w:p>
              </w:tc>
              <w:tc>
                <w:tcPr>
                  <w:tcW w:w="525" w:type="pct"/>
                  <w:vMerge w:val="restart"/>
                  <w:tcBorders>
                    <w:tl2br w:val="nil"/>
                    <w:tr2bl w:val="nil"/>
                  </w:tcBorders>
                  <w:noWrap w:val="0"/>
                  <w:vAlign w:val="center"/>
                </w:tcPr>
                <w:p w14:paraId="23482C65">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kern w:val="0"/>
                      <w:sz w:val="15"/>
                      <w:szCs w:val="15"/>
                      <w:lang w:val="en-US" w:eastAsia="zh-CN"/>
                    </w:rPr>
                    <w:t>符合</w:t>
                  </w:r>
                </w:p>
              </w:tc>
            </w:tr>
            <w:tr w14:paraId="1456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6CE837CC">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4FB16B7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176A3519">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第十条 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1279" w:type="pct"/>
                  <w:vMerge w:val="continue"/>
                  <w:tcBorders>
                    <w:tl2br w:val="nil"/>
                    <w:tr2bl w:val="nil"/>
                  </w:tcBorders>
                  <w:noWrap w:val="0"/>
                  <w:vAlign w:val="center"/>
                </w:tcPr>
                <w:p w14:paraId="4117D61F">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p>
              </w:tc>
              <w:tc>
                <w:tcPr>
                  <w:tcW w:w="525" w:type="pct"/>
                  <w:vMerge w:val="continue"/>
                  <w:tcBorders>
                    <w:tl2br w:val="nil"/>
                    <w:tr2bl w:val="nil"/>
                  </w:tcBorders>
                  <w:noWrap w:val="0"/>
                  <w:vAlign w:val="center"/>
                </w:tcPr>
                <w:p w14:paraId="4018A765">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r>
            <w:tr w14:paraId="72FA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02C37524">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4B5CF08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35CC31D7">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第十一条 以保障</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一住两公</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279" w:type="pct"/>
                  <w:vMerge w:val="continue"/>
                  <w:tcBorders>
                    <w:tl2br w:val="nil"/>
                    <w:tr2bl w:val="nil"/>
                  </w:tcBorders>
                  <w:noWrap w:val="0"/>
                  <w:vAlign w:val="center"/>
                </w:tcPr>
                <w:p w14:paraId="630C53F0">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p>
              </w:tc>
              <w:tc>
                <w:tcPr>
                  <w:tcW w:w="525" w:type="pct"/>
                  <w:vMerge w:val="continue"/>
                  <w:tcBorders>
                    <w:tl2br w:val="nil"/>
                    <w:tr2bl w:val="nil"/>
                  </w:tcBorders>
                  <w:noWrap w:val="0"/>
                  <w:vAlign w:val="center"/>
                </w:tcPr>
                <w:p w14:paraId="40D3C057">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r>
            <w:tr w14:paraId="304B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03B21D84">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restart"/>
                  <w:tcBorders>
                    <w:tl2br w:val="nil"/>
                    <w:tr2bl w:val="nil"/>
                  </w:tcBorders>
                  <w:noWrap w:val="0"/>
                  <w:vAlign w:val="center"/>
                </w:tcPr>
                <w:p w14:paraId="691D3C3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资源开发利用效率</w:t>
                  </w:r>
                </w:p>
              </w:tc>
              <w:tc>
                <w:tcPr>
                  <w:tcW w:w="2037" w:type="pct"/>
                  <w:tcBorders>
                    <w:tl2br w:val="nil"/>
                    <w:tr2bl w:val="nil"/>
                  </w:tcBorders>
                  <w:noWrap w:val="0"/>
                  <w:vAlign w:val="center"/>
                </w:tcPr>
                <w:p w14:paraId="6310E3B2">
                  <w:pPr>
                    <w:keepNext w:val="0"/>
                    <w:keepLines w:val="0"/>
                    <w:pageBreakBefore w:val="0"/>
                    <w:kinsoku/>
                    <w:wordWrap/>
                    <w:overflowPunct/>
                    <w:topLinePunct w:val="0"/>
                    <w:bidi w:val="0"/>
                    <w:spacing w:line="240" w:lineRule="exact"/>
                    <w:jc w:val="left"/>
                    <w:textAlignment w:val="auto"/>
                    <w:rPr>
                      <w:rFonts w:ascii="Times New Roman" w:hAnsi="Times New Roman"/>
                      <w:color w:val="auto"/>
                      <w:sz w:val="15"/>
                      <w:szCs w:val="15"/>
                    </w:rPr>
                  </w:pPr>
                  <w:r>
                    <w:rPr>
                      <w:rFonts w:ascii="Times New Roman" w:hAnsi="Times New Roman"/>
                      <w:color w:val="auto"/>
                      <w:sz w:val="15"/>
                      <w:szCs w:val="15"/>
                    </w:rPr>
                    <w:t>第十二条 执行重点管控单元市级总体要求第十八条、第十九条、第二十条、第二十一条。</w:t>
                  </w:r>
                </w:p>
              </w:tc>
              <w:tc>
                <w:tcPr>
                  <w:tcW w:w="1279" w:type="pct"/>
                  <w:vMerge w:val="restart"/>
                  <w:tcBorders>
                    <w:tl2br w:val="nil"/>
                    <w:tr2bl w:val="nil"/>
                  </w:tcBorders>
                  <w:noWrap w:val="0"/>
                  <w:vAlign w:val="center"/>
                </w:tcPr>
                <w:p w14:paraId="57BED62D">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sz w:val="15"/>
                      <w:szCs w:val="15"/>
                      <w:lang w:val="en-US" w:eastAsia="zh-CN"/>
                    </w:rPr>
                    <w:t>经上分析项目符合市级总体要求</w:t>
                  </w:r>
                  <w:r>
                    <w:rPr>
                      <w:rFonts w:hint="eastAsia" w:ascii="Times New Roman" w:hAnsi="Times New Roman" w:cs="Times New Roman"/>
                      <w:color w:val="auto"/>
                      <w:sz w:val="15"/>
                      <w:szCs w:val="15"/>
                      <w:lang w:val="en-US" w:eastAsia="zh-CN"/>
                    </w:rPr>
                    <w:t>，</w:t>
                  </w:r>
                  <w:r>
                    <w:rPr>
                      <w:rFonts w:hint="eastAsia" w:ascii="Times New Roman" w:hAnsi="Times New Roman" w:eastAsia="宋体" w:cs="Times New Roman"/>
                      <w:color w:val="auto"/>
                      <w:kern w:val="0"/>
                      <w:sz w:val="15"/>
                      <w:szCs w:val="15"/>
                      <w:lang w:val="en-US" w:eastAsia="zh-CN"/>
                    </w:rPr>
                    <w:t>项目使用清洁能源电能，用水量小，不属于高耗水项目</w:t>
                  </w:r>
                </w:p>
              </w:tc>
              <w:tc>
                <w:tcPr>
                  <w:tcW w:w="525" w:type="pct"/>
                  <w:vMerge w:val="restart"/>
                  <w:tcBorders>
                    <w:tl2br w:val="nil"/>
                    <w:tr2bl w:val="nil"/>
                  </w:tcBorders>
                  <w:noWrap w:val="0"/>
                  <w:vAlign w:val="center"/>
                </w:tcPr>
                <w:p w14:paraId="5B3B2D67">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eastAsia="宋体" w:cs="Times New Roman"/>
                      <w:color w:val="auto"/>
                      <w:kern w:val="0"/>
                      <w:sz w:val="15"/>
                      <w:szCs w:val="15"/>
                      <w:lang w:val="en-US" w:eastAsia="zh-CN"/>
                    </w:rPr>
                    <w:t>符合</w:t>
                  </w:r>
                </w:p>
              </w:tc>
            </w:tr>
            <w:tr w14:paraId="230C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6BDED2E7">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498F711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15"/>
                      <w:szCs w:val="15"/>
                      <w:lang w:val="en-US" w:eastAsia="zh-CN" w:bidi="ar"/>
                    </w:rPr>
                  </w:pPr>
                </w:p>
              </w:tc>
              <w:tc>
                <w:tcPr>
                  <w:tcW w:w="2037" w:type="pct"/>
                  <w:tcBorders>
                    <w:tl2br w:val="nil"/>
                    <w:tr2bl w:val="nil"/>
                  </w:tcBorders>
                  <w:noWrap w:val="0"/>
                  <w:vAlign w:val="center"/>
                </w:tcPr>
                <w:p w14:paraId="33BFAEE5">
                  <w:pPr>
                    <w:keepNext w:val="0"/>
                    <w:keepLines w:val="0"/>
                    <w:pageBreakBefore w:val="0"/>
                    <w:kinsoku/>
                    <w:wordWrap/>
                    <w:overflowPunct/>
                    <w:topLinePunct w:val="0"/>
                    <w:bidi w:val="0"/>
                    <w:spacing w:line="240" w:lineRule="exact"/>
                    <w:jc w:val="left"/>
                    <w:textAlignment w:val="auto"/>
                    <w:rPr>
                      <w:rFonts w:ascii="Times New Roman" w:hAnsi="Times New Roman"/>
                      <w:color w:val="auto"/>
                      <w:sz w:val="15"/>
                      <w:szCs w:val="15"/>
                    </w:rPr>
                  </w:pPr>
                  <w:r>
                    <w:rPr>
                      <w:rFonts w:hint="default" w:ascii="Times New Roman" w:hAnsi="Times New Roman" w:eastAsia="宋体" w:cs="Times New Roman"/>
                      <w:color w:val="auto"/>
                      <w:kern w:val="0"/>
                      <w:sz w:val="15"/>
                      <w:szCs w:val="15"/>
                      <w:lang w:val="en-US" w:eastAsia="zh-CN"/>
                    </w:rPr>
                    <w:t>第十三条 以促进产业绿色低碳循环发展为导向，推动减污降碳协同共治。 结合九龙新城园区西部片区（原西彭工业园区）近零碳园区建设，深化有色金属冶炼及压延加工业、化学原料及化学制品制造业和汽车制造业等行业减污降碳。</w:t>
                  </w:r>
                </w:p>
              </w:tc>
              <w:tc>
                <w:tcPr>
                  <w:tcW w:w="1279" w:type="pct"/>
                  <w:vMerge w:val="continue"/>
                  <w:tcBorders>
                    <w:tl2br w:val="nil"/>
                    <w:tr2bl w:val="nil"/>
                  </w:tcBorders>
                  <w:noWrap w:val="0"/>
                  <w:vAlign w:val="center"/>
                </w:tcPr>
                <w:p w14:paraId="14D1A939">
                  <w:pPr>
                    <w:keepNext w:val="0"/>
                    <w:keepLines w:val="0"/>
                    <w:pageBreakBefore w:val="0"/>
                    <w:kinsoku/>
                    <w:wordWrap/>
                    <w:overflowPunct/>
                    <w:topLinePunct w:val="0"/>
                    <w:bidi w:val="0"/>
                    <w:adjustRightInd w:val="0"/>
                    <w:snapToGrid w:val="0"/>
                    <w:spacing w:line="240" w:lineRule="exact"/>
                    <w:jc w:val="center"/>
                    <w:textAlignment w:val="auto"/>
                    <w:rPr>
                      <w:rFonts w:hint="eastAsia" w:ascii="Times New Roman" w:hAnsi="Times New Roman" w:eastAsia="宋体" w:cs="Times New Roman"/>
                      <w:color w:val="auto"/>
                      <w:sz w:val="15"/>
                      <w:szCs w:val="15"/>
                      <w:lang w:val="en-US" w:eastAsia="zh-CN"/>
                    </w:rPr>
                  </w:pPr>
                </w:p>
              </w:tc>
              <w:tc>
                <w:tcPr>
                  <w:tcW w:w="525" w:type="pct"/>
                  <w:vMerge w:val="continue"/>
                  <w:tcBorders>
                    <w:tl2br w:val="nil"/>
                    <w:tr2bl w:val="nil"/>
                  </w:tcBorders>
                  <w:noWrap w:val="0"/>
                  <w:vAlign w:val="center"/>
                </w:tcPr>
                <w:p w14:paraId="0C7366DD">
                  <w:pPr>
                    <w:keepNext w:val="0"/>
                    <w:keepLines w:val="0"/>
                    <w:pageBreakBefore w:val="0"/>
                    <w:kinsoku/>
                    <w:wordWrap/>
                    <w:overflowPunct/>
                    <w:topLinePunct w:val="0"/>
                    <w:bidi w:val="0"/>
                    <w:adjustRightInd w:val="0"/>
                    <w:snapToGrid w:val="0"/>
                    <w:spacing w:line="240" w:lineRule="exact"/>
                    <w:jc w:val="center"/>
                    <w:textAlignment w:val="auto"/>
                    <w:rPr>
                      <w:rFonts w:hint="eastAsia" w:ascii="Times New Roman" w:hAnsi="Times New Roman" w:eastAsia="宋体" w:cs="Times New Roman"/>
                      <w:color w:val="auto"/>
                      <w:kern w:val="0"/>
                      <w:sz w:val="15"/>
                      <w:szCs w:val="15"/>
                      <w:lang w:val="en-US" w:eastAsia="zh-CN"/>
                    </w:rPr>
                  </w:pPr>
                </w:p>
              </w:tc>
            </w:tr>
            <w:tr w14:paraId="5A4F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1D1C9A90">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vMerge w:val="continue"/>
                  <w:tcBorders>
                    <w:tl2br w:val="nil"/>
                    <w:tr2bl w:val="nil"/>
                  </w:tcBorders>
                  <w:noWrap w:val="0"/>
                  <w:vAlign w:val="center"/>
                </w:tcPr>
                <w:p w14:paraId="3B0EA96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p>
              </w:tc>
              <w:tc>
                <w:tcPr>
                  <w:tcW w:w="2037" w:type="pct"/>
                  <w:tcBorders>
                    <w:tl2br w:val="nil"/>
                    <w:tr2bl w:val="nil"/>
                  </w:tcBorders>
                  <w:noWrap w:val="0"/>
                  <w:vAlign w:val="center"/>
                </w:tcPr>
                <w:p w14:paraId="468E9FFF">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第十四条 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1279" w:type="pct"/>
                  <w:vMerge w:val="continue"/>
                  <w:tcBorders>
                    <w:tl2br w:val="nil"/>
                    <w:tr2bl w:val="nil"/>
                  </w:tcBorders>
                  <w:noWrap w:val="0"/>
                  <w:vAlign w:val="center"/>
                </w:tcPr>
                <w:p w14:paraId="40BFE40C">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c>
                <w:tcPr>
                  <w:tcW w:w="525" w:type="pct"/>
                  <w:vMerge w:val="continue"/>
                  <w:tcBorders>
                    <w:tl2br w:val="nil"/>
                    <w:tr2bl w:val="nil"/>
                  </w:tcBorders>
                  <w:noWrap w:val="0"/>
                  <w:vAlign w:val="center"/>
                </w:tcPr>
                <w:p w14:paraId="7019E7F4">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0"/>
                      <w:sz w:val="15"/>
                      <w:szCs w:val="15"/>
                      <w:lang w:val="en-US" w:eastAsia="zh-CN"/>
                    </w:rPr>
                  </w:pPr>
                </w:p>
              </w:tc>
            </w:tr>
            <w:tr w14:paraId="3271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restart"/>
                  <w:tcBorders>
                    <w:tl2br w:val="nil"/>
                    <w:tr2bl w:val="nil"/>
                  </w:tcBorders>
                  <w:noWrap w:val="0"/>
                  <w:vAlign w:val="center"/>
                </w:tcPr>
                <w:p w14:paraId="602525E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0"/>
                      <w:sz w:val="15"/>
                      <w:szCs w:val="15"/>
                      <w:lang w:val="en-US" w:eastAsia="zh-CN" w:bidi="ar"/>
                    </w:rPr>
                    <w:t>点管控单元-九龙东城片区，环境管控单元编码：ZH50010720001</w:t>
                  </w:r>
                </w:p>
              </w:tc>
              <w:tc>
                <w:tcPr>
                  <w:tcW w:w="549" w:type="pct"/>
                  <w:tcBorders>
                    <w:tl2br w:val="nil"/>
                    <w:tr2bl w:val="nil"/>
                  </w:tcBorders>
                  <w:noWrap w:val="0"/>
                  <w:vAlign w:val="center"/>
                </w:tcPr>
                <w:p w14:paraId="0DED410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空间布局约束</w:t>
                  </w:r>
                </w:p>
              </w:tc>
              <w:tc>
                <w:tcPr>
                  <w:tcW w:w="2037" w:type="pct"/>
                  <w:tcBorders>
                    <w:tl2br w:val="nil"/>
                    <w:tr2bl w:val="nil"/>
                  </w:tcBorders>
                  <w:noWrap w:val="0"/>
                  <w:vAlign w:val="center"/>
                </w:tcPr>
                <w:p w14:paraId="6BD0E729">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cs="Times New Roman"/>
                      <w:color w:val="auto"/>
                      <w:kern w:val="0"/>
                      <w:sz w:val="15"/>
                      <w:szCs w:val="15"/>
                      <w:lang w:val="en-US" w:eastAsia="zh-CN"/>
                    </w:rPr>
                    <w:t>1.</w:t>
                  </w:r>
                  <w:r>
                    <w:rPr>
                      <w:rFonts w:hint="default" w:ascii="Times New Roman" w:hAnsi="Times New Roman" w:eastAsia="宋体" w:cs="Times New Roman"/>
                      <w:color w:val="auto"/>
                      <w:kern w:val="0"/>
                      <w:sz w:val="15"/>
                      <w:szCs w:val="15"/>
                      <w:lang w:val="en-US" w:eastAsia="zh-CN"/>
                    </w:rPr>
                    <w:t>有序推动九龙工业园区</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东三街</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 xml:space="preserve">和九龙街道工业用地转型升级，重点发展制造服务业； </w:t>
                  </w:r>
                </w:p>
                <w:p w14:paraId="440D399B">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2.九龙工业园区B区为智能制造工业区，未来周边规划布局为居住区，应优化工业区内部布局，将污染较大的企业远离居住区一侧布设。</w:t>
                  </w:r>
                </w:p>
              </w:tc>
              <w:tc>
                <w:tcPr>
                  <w:tcW w:w="1279" w:type="pct"/>
                  <w:vMerge w:val="restart"/>
                  <w:tcBorders>
                    <w:tl2br w:val="nil"/>
                    <w:tr2bl w:val="nil"/>
                  </w:tcBorders>
                  <w:noWrap w:val="0"/>
                  <w:vAlign w:val="center"/>
                </w:tcPr>
                <w:p w14:paraId="4E08EBE1">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2"/>
                      <w:sz w:val="15"/>
                      <w:szCs w:val="15"/>
                      <w:vertAlign w:val="baseline"/>
                      <w:lang w:val="en-US" w:eastAsia="zh-CN" w:bidi="ar-SA"/>
                    </w:rPr>
                  </w:pPr>
                  <w:r>
                    <w:rPr>
                      <w:rFonts w:hint="eastAsia" w:ascii="Times New Roman" w:hAnsi="Times New Roman" w:cs="Times New Roman"/>
                      <w:color w:val="auto"/>
                      <w:sz w:val="15"/>
                      <w:szCs w:val="15"/>
                      <w:lang w:val="en-US" w:eastAsia="zh-CN"/>
                    </w:rPr>
                    <w:t>项目为</w:t>
                  </w:r>
                  <w:r>
                    <w:rPr>
                      <w:rFonts w:hint="eastAsia" w:ascii="Times New Roman" w:hAnsi="Times New Roman" w:cs="Times New Roman"/>
                      <w:color w:val="auto"/>
                      <w:kern w:val="0"/>
                      <w:sz w:val="15"/>
                      <w:szCs w:val="15"/>
                      <w:lang w:val="en-US" w:eastAsia="zh-CN"/>
                    </w:rPr>
                    <w:t>动物医院项目，不属于工业类项目，不涉及VOCs的排放，污水生化池处理达标后进入污水处理厂处理，不涉及餐饮油烟</w:t>
                  </w:r>
                </w:p>
              </w:tc>
              <w:tc>
                <w:tcPr>
                  <w:tcW w:w="525" w:type="pct"/>
                  <w:tcBorders>
                    <w:tl2br w:val="nil"/>
                    <w:tr2bl w:val="nil"/>
                  </w:tcBorders>
                  <w:noWrap w:val="0"/>
                  <w:vAlign w:val="center"/>
                </w:tcPr>
                <w:p w14:paraId="66B68C7B">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0"/>
                      <w:sz w:val="15"/>
                      <w:szCs w:val="15"/>
                    </w:rPr>
                    <w:t>符合</w:t>
                  </w:r>
                </w:p>
              </w:tc>
            </w:tr>
            <w:tr w14:paraId="4CB6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225DB9FF">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tcBorders>
                    <w:tl2br w:val="nil"/>
                    <w:tr2bl w:val="nil"/>
                  </w:tcBorders>
                  <w:noWrap w:val="0"/>
                  <w:vAlign w:val="center"/>
                </w:tcPr>
                <w:p w14:paraId="0AA9032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污染物排放管控</w:t>
                  </w:r>
                </w:p>
              </w:tc>
              <w:tc>
                <w:tcPr>
                  <w:tcW w:w="2037" w:type="pct"/>
                  <w:tcBorders>
                    <w:tl2br w:val="nil"/>
                    <w:tr2bl w:val="nil"/>
                  </w:tcBorders>
                  <w:noWrap w:val="0"/>
                  <w:vAlign w:val="center"/>
                </w:tcPr>
                <w:p w14:paraId="440FF86C">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1.九龙工业园区B区内新建、改建、扩建涉VOCs排放的项目，要加强源头控制，使用低（无）VOCs含量的原辅料，加强废气收集，安装高效治理设施</w:t>
                  </w:r>
                  <w:r>
                    <w:rPr>
                      <w:rFonts w:hint="eastAsia" w:ascii="Times New Roman" w:hAnsi="Times New Roman" w:cs="Times New Roman"/>
                      <w:color w:val="auto"/>
                      <w:kern w:val="0"/>
                      <w:sz w:val="15"/>
                      <w:szCs w:val="15"/>
                      <w:lang w:val="en-US" w:eastAsia="zh-CN"/>
                    </w:rPr>
                    <w:t>；</w:t>
                  </w:r>
                </w:p>
                <w:p w14:paraId="06E9E733">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2.有序推动九龙工业园区</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东三街</w:t>
                  </w:r>
                  <w:r>
                    <w:rPr>
                      <w:rFonts w:hint="eastAsia" w:ascii="Times New Roman" w:hAnsi="Times New Roman" w:cs="Times New Roman"/>
                      <w:color w:val="auto"/>
                      <w:kern w:val="0"/>
                      <w:sz w:val="15"/>
                      <w:szCs w:val="15"/>
                      <w:lang w:val="en-US" w:eastAsia="zh-CN"/>
                    </w:rPr>
                    <w:t>”</w:t>
                  </w:r>
                  <w:r>
                    <w:rPr>
                      <w:rFonts w:hint="default" w:ascii="Times New Roman" w:hAnsi="Times New Roman" w:eastAsia="宋体" w:cs="Times New Roman"/>
                      <w:color w:val="auto"/>
                      <w:kern w:val="0"/>
                      <w:sz w:val="15"/>
                      <w:szCs w:val="15"/>
                      <w:lang w:val="en-US" w:eastAsia="zh-CN"/>
                    </w:rPr>
                    <w:t>和九龙街道范围内现状工业制造类企业开展搬迁工作，搬迁前企业应深化污染治理，在减污、风险可控的前提下可进行改造升级。</w:t>
                  </w:r>
                </w:p>
                <w:p w14:paraId="26CA97EF">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3.推进桃花溪流域、跳蹬河流域雨污分流整治；推进扬声桥污水处理厂提标改造，出水水质达到准Ⅳ类标准；</w:t>
                  </w:r>
                </w:p>
                <w:p w14:paraId="1975095D">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p w14:paraId="5CE2B013">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2C9088DB">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6.以九龙半岛为重点，加强施工扬尘监管，逐步推进建筑面积2万平方米以上的工地安装在线监控系统。</w:t>
                  </w:r>
                </w:p>
              </w:tc>
              <w:tc>
                <w:tcPr>
                  <w:tcW w:w="1279" w:type="pct"/>
                  <w:vMerge w:val="continue"/>
                  <w:tcBorders>
                    <w:tl2br w:val="nil"/>
                    <w:tr2bl w:val="nil"/>
                  </w:tcBorders>
                  <w:noWrap w:val="0"/>
                  <w:vAlign w:val="center"/>
                </w:tcPr>
                <w:p w14:paraId="52DC30CE">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2"/>
                      <w:sz w:val="15"/>
                      <w:szCs w:val="15"/>
                      <w:vertAlign w:val="baseline"/>
                      <w:lang w:val="en-US" w:eastAsia="zh-CN" w:bidi="ar-SA"/>
                    </w:rPr>
                  </w:pPr>
                </w:p>
              </w:tc>
              <w:tc>
                <w:tcPr>
                  <w:tcW w:w="525" w:type="pct"/>
                  <w:tcBorders>
                    <w:tl2br w:val="nil"/>
                    <w:tr2bl w:val="nil"/>
                  </w:tcBorders>
                  <w:noWrap w:val="0"/>
                  <w:vAlign w:val="center"/>
                </w:tcPr>
                <w:p w14:paraId="6538C9A2">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0"/>
                      <w:sz w:val="15"/>
                      <w:szCs w:val="15"/>
                    </w:rPr>
                    <w:t>符合</w:t>
                  </w:r>
                </w:p>
              </w:tc>
            </w:tr>
            <w:tr w14:paraId="39AD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606" w:type="pct"/>
                  <w:vMerge w:val="continue"/>
                  <w:tcBorders>
                    <w:tl2br w:val="nil"/>
                    <w:tr2bl w:val="nil"/>
                  </w:tcBorders>
                  <w:noWrap w:val="0"/>
                  <w:vAlign w:val="center"/>
                </w:tcPr>
                <w:p w14:paraId="7AACD96A">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tcBorders>
                    <w:tl2br w:val="nil"/>
                    <w:tr2bl w:val="nil"/>
                  </w:tcBorders>
                  <w:noWrap w:val="0"/>
                  <w:vAlign w:val="center"/>
                </w:tcPr>
                <w:p w14:paraId="5D11F0A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环境风险防控</w:t>
                  </w:r>
                </w:p>
              </w:tc>
              <w:tc>
                <w:tcPr>
                  <w:tcW w:w="2037" w:type="pct"/>
                  <w:tcBorders>
                    <w:tl2br w:val="nil"/>
                    <w:tr2bl w:val="nil"/>
                  </w:tcBorders>
                  <w:noWrap w:val="0"/>
                  <w:vAlign w:val="center"/>
                </w:tcPr>
                <w:p w14:paraId="30474A9C">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 xml:space="preserve">1.九龙工业园区禁止新建、扩建排放重金属（铬、镉、汞、砷、铅等五类重金 </w:t>
                  </w:r>
                </w:p>
                <w:p w14:paraId="46419DE6">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属）、剧毒物质和持久性有机污染物的工业项目；</w:t>
                  </w:r>
                </w:p>
                <w:p w14:paraId="484BD26E">
                  <w:pPr>
                    <w:keepNext w:val="0"/>
                    <w:keepLines w:val="0"/>
                    <w:pageBreakBefore w:val="0"/>
                    <w:widowControl/>
                    <w:numPr>
                      <w:ilvl w:val="0"/>
                      <w:numId w:val="0"/>
                    </w:numPr>
                    <w:suppressLineNumbers w:val="0"/>
                    <w:kinsoku/>
                    <w:wordWrap/>
                    <w:overflowPunct/>
                    <w:topLinePunct w:val="0"/>
                    <w:bidi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2.未达到土壤污染风险评估报告确定的风险管控、修复目标的地块，禁止开工建设任何与风险管控、修复无关的项目。</w:t>
                  </w:r>
                </w:p>
              </w:tc>
              <w:tc>
                <w:tcPr>
                  <w:tcW w:w="1279" w:type="pct"/>
                  <w:tcBorders>
                    <w:tl2br w:val="nil"/>
                    <w:tr2bl w:val="nil"/>
                  </w:tcBorders>
                  <w:noWrap w:val="0"/>
                  <w:vAlign w:val="center"/>
                </w:tcPr>
                <w:p w14:paraId="2BF75776">
                  <w:pPr>
                    <w:keepNext w:val="0"/>
                    <w:keepLines w:val="0"/>
                    <w:pageBreakBefore w:val="0"/>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2"/>
                      <w:sz w:val="15"/>
                      <w:szCs w:val="15"/>
                      <w:vertAlign w:val="baseline"/>
                      <w:lang w:val="en-US" w:eastAsia="zh-CN" w:bidi="ar-SA"/>
                    </w:rPr>
                  </w:pPr>
                  <w:r>
                    <w:rPr>
                      <w:rFonts w:hint="eastAsia" w:ascii="Times New Roman" w:hAnsi="Times New Roman" w:eastAsia="宋体" w:cs="Times New Roman"/>
                      <w:color w:val="auto"/>
                      <w:kern w:val="0"/>
                      <w:sz w:val="15"/>
                      <w:szCs w:val="15"/>
                      <w:lang w:val="en-US" w:eastAsia="zh-CN"/>
                    </w:rPr>
                    <w:t>企业建成后严格执行</w:t>
                  </w:r>
                  <w:r>
                    <w:rPr>
                      <w:rFonts w:ascii="Times New Roman" w:hAnsi="Times New Roman"/>
                      <w:color w:val="auto"/>
                      <w:sz w:val="15"/>
                      <w:szCs w:val="15"/>
                    </w:rPr>
                    <w:t>企业突发环境事件风险评估制度</w:t>
                  </w:r>
                  <w:r>
                    <w:rPr>
                      <w:rFonts w:hint="eastAsia" w:ascii="Times New Roman" w:hAnsi="Times New Roman"/>
                      <w:color w:val="auto"/>
                      <w:sz w:val="15"/>
                      <w:szCs w:val="15"/>
                      <w:lang w:eastAsia="zh-CN"/>
                    </w:rPr>
                    <w:t>。</w:t>
                  </w:r>
                </w:p>
              </w:tc>
              <w:tc>
                <w:tcPr>
                  <w:tcW w:w="525" w:type="pct"/>
                  <w:tcBorders>
                    <w:tl2br w:val="nil"/>
                    <w:tr2bl w:val="nil"/>
                  </w:tcBorders>
                  <w:noWrap w:val="0"/>
                  <w:vAlign w:val="center"/>
                </w:tcPr>
                <w:p w14:paraId="7D8A2FEF">
                  <w:pPr>
                    <w:keepNext w:val="0"/>
                    <w:keepLines w:val="0"/>
                    <w:pageBreakBefore w:val="0"/>
                    <w:kinsoku/>
                    <w:wordWrap/>
                    <w:overflowPunct/>
                    <w:topLinePunct w:val="0"/>
                    <w:bidi w:val="0"/>
                    <w:adjustRightInd w:val="0"/>
                    <w:snapToGrid w:val="0"/>
                    <w:spacing w:line="240" w:lineRule="exac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0"/>
                      <w:sz w:val="15"/>
                      <w:szCs w:val="15"/>
                    </w:rPr>
                    <w:t>符合</w:t>
                  </w:r>
                </w:p>
              </w:tc>
            </w:tr>
            <w:tr w14:paraId="4F57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tcBorders>
                    <w:tl2br w:val="nil"/>
                    <w:tr2bl w:val="nil"/>
                  </w:tcBorders>
                  <w:noWrap w:val="0"/>
                  <w:vAlign w:val="center"/>
                </w:tcPr>
                <w:p w14:paraId="5B30A0B3">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color w:val="auto"/>
                      <w:kern w:val="2"/>
                      <w:sz w:val="15"/>
                      <w:szCs w:val="15"/>
                    </w:rPr>
                  </w:pPr>
                </w:p>
              </w:tc>
              <w:tc>
                <w:tcPr>
                  <w:tcW w:w="549" w:type="pct"/>
                  <w:tcBorders>
                    <w:tl2br w:val="nil"/>
                    <w:tr2bl w:val="nil"/>
                  </w:tcBorders>
                  <w:noWrap w:val="0"/>
                  <w:vAlign w:val="center"/>
                </w:tcPr>
                <w:p w14:paraId="55E49E4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2"/>
                      <w:sz w:val="15"/>
                      <w:szCs w:val="15"/>
                      <w:lang w:val="en-US" w:eastAsia="zh-CN" w:bidi="ar"/>
                    </w:rPr>
                    <w:t>资源开发利用效率</w:t>
                  </w:r>
                </w:p>
              </w:tc>
              <w:tc>
                <w:tcPr>
                  <w:tcW w:w="2037" w:type="pct"/>
                  <w:tcBorders>
                    <w:tl2br w:val="nil"/>
                    <w:tr2bl w:val="nil"/>
                  </w:tcBorders>
                  <w:noWrap w:val="0"/>
                  <w:vAlign w:val="center"/>
                </w:tcPr>
                <w:p w14:paraId="45596DCE">
                  <w:pPr>
                    <w:keepNext w:val="0"/>
                    <w:keepLines w:val="0"/>
                    <w:pageBreakBefore w:val="0"/>
                    <w:numPr>
                      <w:ilvl w:val="0"/>
                      <w:numId w:val="0"/>
                    </w:numPr>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eastAsia" w:ascii="Times New Roman" w:hAnsi="Times New Roman" w:cs="Times New Roman"/>
                      <w:color w:val="auto"/>
                      <w:kern w:val="0"/>
                      <w:sz w:val="15"/>
                      <w:szCs w:val="15"/>
                      <w:lang w:val="en-US" w:eastAsia="zh-CN"/>
                    </w:rPr>
                    <w:t>1.</w:t>
                  </w:r>
                  <w:r>
                    <w:rPr>
                      <w:rFonts w:hint="default" w:ascii="Times New Roman" w:hAnsi="Times New Roman" w:eastAsia="宋体" w:cs="Times New Roman"/>
                      <w:color w:val="auto"/>
                      <w:kern w:val="0"/>
                      <w:sz w:val="15"/>
                      <w:szCs w:val="15"/>
                      <w:lang w:val="en-US" w:eastAsia="zh-CN"/>
                    </w:rPr>
                    <w:t>新建和改、扩建的工业项目清洁生产水平应达到国内先进水平；</w:t>
                  </w:r>
                </w:p>
                <w:p w14:paraId="18AF9A45">
                  <w:pPr>
                    <w:keepNext w:val="0"/>
                    <w:keepLines w:val="0"/>
                    <w:pageBreakBefore w:val="0"/>
                    <w:numPr>
                      <w:ilvl w:val="0"/>
                      <w:numId w:val="0"/>
                    </w:numPr>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2.加强工业节水改造，限制高耗水行业发展，加强重点监控用水单位监管。</w:t>
                  </w:r>
                </w:p>
                <w:p w14:paraId="19946403">
                  <w:pPr>
                    <w:keepNext w:val="0"/>
                    <w:keepLines w:val="0"/>
                    <w:pageBreakBefore w:val="0"/>
                    <w:numPr>
                      <w:ilvl w:val="0"/>
                      <w:numId w:val="0"/>
                    </w:numPr>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3.推进桃花溪流域中水回用工程建设，加快扬声桥污水处理厂尾水再生利用设施和管网建设。</w:t>
                  </w:r>
                </w:p>
                <w:p w14:paraId="3E4F26C3">
                  <w:pPr>
                    <w:keepNext w:val="0"/>
                    <w:keepLines w:val="0"/>
                    <w:pageBreakBefore w:val="0"/>
                    <w:numPr>
                      <w:ilvl w:val="0"/>
                      <w:numId w:val="0"/>
                    </w:numPr>
                    <w:kinsoku/>
                    <w:wordWrap/>
                    <w:overflowPunct/>
                    <w:topLinePunct w:val="0"/>
                    <w:bidi w:val="0"/>
                    <w:adjustRightInd w:val="0"/>
                    <w:snapToGrid w:val="0"/>
                    <w:spacing w:line="240" w:lineRule="exact"/>
                    <w:jc w:val="left"/>
                    <w:textAlignment w:val="auto"/>
                    <w:rPr>
                      <w:rFonts w:hint="default" w:ascii="Times New Roman" w:hAnsi="Times New Roman" w:eastAsia="宋体" w:cs="Times New Roman"/>
                      <w:color w:val="auto"/>
                      <w:kern w:val="0"/>
                      <w:sz w:val="15"/>
                      <w:szCs w:val="15"/>
                      <w:lang w:val="en-US" w:eastAsia="zh-CN"/>
                    </w:rPr>
                  </w:pPr>
                  <w:r>
                    <w:rPr>
                      <w:rFonts w:hint="default" w:ascii="Times New Roman" w:hAnsi="Times New Roman" w:eastAsia="宋体" w:cs="Times New Roman"/>
                      <w:color w:val="auto"/>
                      <w:kern w:val="0"/>
                      <w:sz w:val="15"/>
                      <w:szCs w:val="15"/>
                      <w:lang w:val="en-US" w:eastAsia="zh-CN"/>
                    </w:rPr>
                    <w:t>4.加强城镇节水，开展公共建筑节水改造、城镇供水管网漏损治理工程。</w:t>
                  </w:r>
                </w:p>
              </w:tc>
              <w:tc>
                <w:tcPr>
                  <w:tcW w:w="1279" w:type="pct"/>
                  <w:tcBorders>
                    <w:tl2br w:val="nil"/>
                    <w:tr2bl w:val="nil"/>
                  </w:tcBorders>
                  <w:noWrap w:val="0"/>
                  <w:vAlign w:val="center"/>
                </w:tcPr>
                <w:p w14:paraId="57F15783">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eastAsia="宋体" w:cs="Times New Roman"/>
                      <w:color w:val="auto"/>
                      <w:kern w:val="2"/>
                      <w:sz w:val="15"/>
                      <w:szCs w:val="15"/>
                      <w:vertAlign w:val="baseline"/>
                      <w:lang w:val="en-US" w:eastAsia="zh-CN" w:bidi="ar-SA"/>
                    </w:rPr>
                  </w:pPr>
                  <w:r>
                    <w:rPr>
                      <w:rFonts w:hint="eastAsia" w:ascii="Times New Roman" w:hAnsi="Times New Roman" w:cs="Times New Roman"/>
                      <w:color w:val="auto"/>
                      <w:sz w:val="15"/>
                      <w:szCs w:val="15"/>
                      <w:lang w:val="en-US" w:eastAsia="zh-CN"/>
                    </w:rPr>
                    <w:t>项目为</w:t>
                  </w:r>
                  <w:r>
                    <w:rPr>
                      <w:rFonts w:hint="eastAsia" w:ascii="Times New Roman" w:hAnsi="Times New Roman" w:cs="Times New Roman"/>
                      <w:color w:val="auto"/>
                      <w:kern w:val="0"/>
                      <w:sz w:val="15"/>
                      <w:szCs w:val="15"/>
                      <w:lang w:val="en-US" w:eastAsia="zh-CN"/>
                    </w:rPr>
                    <w:t>动物医院项目，不属于工业类项目，用水量小，以电为能源</w:t>
                  </w:r>
                </w:p>
              </w:tc>
              <w:tc>
                <w:tcPr>
                  <w:tcW w:w="525" w:type="pct"/>
                  <w:tcBorders>
                    <w:tl2br w:val="nil"/>
                    <w:tr2bl w:val="nil"/>
                  </w:tcBorders>
                  <w:noWrap w:val="0"/>
                  <w:vAlign w:val="center"/>
                </w:tcPr>
                <w:p w14:paraId="7290A52E">
                  <w:pPr>
                    <w:keepNext w:val="0"/>
                    <w:keepLines w:val="0"/>
                    <w:pageBreakBefore w:val="0"/>
                    <w:kinsoku/>
                    <w:wordWrap/>
                    <w:overflowPunct/>
                    <w:topLinePunct w:val="0"/>
                    <w:bidi w:val="0"/>
                    <w:adjustRightInd w:val="0"/>
                    <w:snapToGrid w:val="0"/>
                    <w:spacing w:line="240" w:lineRule="exact"/>
                    <w:textAlignment w:val="auto"/>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kern w:val="0"/>
                      <w:sz w:val="15"/>
                      <w:szCs w:val="15"/>
                    </w:rPr>
                    <w:t>符合</w:t>
                  </w:r>
                </w:p>
              </w:tc>
            </w:tr>
          </w:tbl>
          <w:p w14:paraId="7190C921">
            <w:pPr>
              <w:keepNext w:val="0"/>
              <w:keepLines w:val="0"/>
              <w:pageBreakBefore w:val="0"/>
              <w:widowControl w:val="0"/>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2</w:t>
            </w:r>
            <w:r>
              <w:rPr>
                <w:rFonts w:hint="default" w:ascii="Times New Roman" w:hAnsi="Times New Roman" w:eastAsia="宋体" w:cs="Times New Roman"/>
                <w:b/>
                <w:bCs/>
                <w:color w:val="auto"/>
                <w:kern w:val="0"/>
                <w:szCs w:val="21"/>
                <w:lang w:val="en-US" w:eastAsia="zh-CN"/>
              </w:rPr>
              <w:t>其他符合性分析</w:t>
            </w:r>
          </w:p>
          <w:p w14:paraId="1D7B326E">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eastAsia" w:ascii="Times New Roman" w:hAnsi="Times New Roman"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1、</w:t>
            </w:r>
            <w:r>
              <w:rPr>
                <w:rFonts w:hint="eastAsia" w:ascii="Times New Roman" w:hAnsi="Times New Roman" w:cs="Times New Roman"/>
                <w:b/>
                <w:bCs/>
                <w:color w:val="auto"/>
                <w:kern w:val="0"/>
                <w:szCs w:val="21"/>
                <w:lang w:val="en-US" w:eastAsia="zh-CN"/>
              </w:rPr>
              <w:t>与《产业结构调整指导目录（2024年本）》符合性分析</w:t>
            </w:r>
          </w:p>
          <w:p w14:paraId="2CC463C3">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项目为动物医院扩建项目，不属于《产业结构调整指导目录（2024年本）》中鼓励类、淘汰类、限制类项目。根据国务院《促进产业结构调整暂行规定》（国发〔2005〕40号），第十三条“不属于鼓励类、限制类和淘汰类，且符合国家有关法律、法规和政策规定，为允许类”。</w:t>
            </w:r>
          </w:p>
          <w:p w14:paraId="1324B182">
            <w:pPr>
              <w:keepNext w:val="0"/>
              <w:keepLines w:val="0"/>
              <w:pageBreakBefore w:val="0"/>
              <w:widowControl w:val="0"/>
              <w:kinsoku/>
              <w:wordWrap/>
              <w:overflowPunct/>
              <w:topLinePunct w:val="0"/>
              <w:autoSpaceDE w:val="0"/>
              <w:autoSpaceDN w:val="0"/>
              <w:bidi w:val="0"/>
              <w:adjustRightInd/>
              <w:snapToGrid/>
              <w:spacing w:line="400" w:lineRule="exact"/>
              <w:ind w:firstLine="420" w:firstLineChars="200"/>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因此，本项目建设符合国家现行产业政策</w:t>
            </w:r>
            <w:r>
              <w:rPr>
                <w:rFonts w:hint="eastAsia" w:ascii="Times New Roman" w:hAnsi="Times New Roman" w:cs="Times New Roman"/>
                <w:b w:val="0"/>
                <w:bCs w:val="0"/>
                <w:color w:val="auto"/>
                <w:kern w:val="0"/>
                <w:szCs w:val="21"/>
                <w:lang w:val="en-US" w:eastAsia="zh-CN"/>
              </w:rPr>
              <w:t>。</w:t>
            </w:r>
          </w:p>
          <w:p w14:paraId="7686E34B">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2、与《重庆市产业投资准入工作手册》（渝发改投资〔2022〕1436号）符合性分析</w:t>
            </w:r>
          </w:p>
          <w:p w14:paraId="110B3765">
            <w:pPr>
              <w:keepNext w:val="0"/>
              <w:keepLines w:val="0"/>
              <w:pageBreakBefore w:val="0"/>
              <w:widowControl w:val="0"/>
              <w:kinsoku/>
              <w:wordWrap/>
              <w:overflowPunct/>
              <w:topLinePunct w:val="0"/>
              <w:bidi w:val="0"/>
              <w:adjustRightInd/>
              <w:snapToGrid/>
              <w:spacing w:line="400" w:lineRule="exact"/>
              <w:ind w:firstLine="420" w:firstLineChars="200"/>
              <w:jc w:val="left"/>
              <w:textAlignment w:val="auto"/>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经对照《重庆市产业投资准入工作手册》（渝发改投资〔2022〕1436号），项目符合其相关要求，详见表1-</w:t>
            </w:r>
            <w:r>
              <w:rPr>
                <w:rFonts w:hint="eastAsia" w:ascii="Times New Roman" w:hAnsi="Times New Roman" w:cs="Times New Roman"/>
                <w:b w:val="0"/>
                <w:bCs w:val="0"/>
                <w:color w:val="auto"/>
                <w:kern w:val="0"/>
                <w:szCs w:val="21"/>
                <w:lang w:val="en-US" w:eastAsia="zh-CN"/>
              </w:rPr>
              <w:t>3</w:t>
            </w:r>
            <w:r>
              <w:rPr>
                <w:rFonts w:hint="default" w:ascii="Times New Roman" w:hAnsi="Times New Roman" w:eastAsia="宋体" w:cs="Times New Roman"/>
                <w:b w:val="0"/>
                <w:bCs w:val="0"/>
                <w:color w:val="auto"/>
                <w:kern w:val="0"/>
                <w:szCs w:val="21"/>
                <w:lang w:val="en-US" w:eastAsia="zh-CN"/>
              </w:rPr>
              <w:t>。</w:t>
            </w:r>
          </w:p>
          <w:p w14:paraId="06493E1F">
            <w:pPr>
              <w:keepNext w:val="0"/>
              <w:keepLines w:val="0"/>
              <w:pageBreakBefore w:val="0"/>
              <w:widowControl w:val="0"/>
              <w:kinsoku/>
              <w:wordWrap/>
              <w:overflowPunct/>
              <w:topLinePunct w:val="0"/>
              <w:bidi w:val="0"/>
              <w:adjustRightInd/>
              <w:snapToGrid/>
              <w:spacing w:line="400" w:lineRule="exact"/>
              <w:ind w:firstLine="420" w:firstLineChars="200"/>
              <w:jc w:val="left"/>
              <w:textAlignment w:val="auto"/>
              <w:rPr>
                <w:rFonts w:hint="default" w:ascii="Times New Roman" w:hAnsi="Times New Roman" w:eastAsia="宋体" w:cs="Times New Roman"/>
                <w:b w:val="0"/>
                <w:bCs w:val="0"/>
                <w:color w:val="auto"/>
                <w:kern w:val="0"/>
                <w:szCs w:val="21"/>
                <w:lang w:val="en-US" w:eastAsia="zh-CN"/>
              </w:rPr>
            </w:pPr>
          </w:p>
          <w:p w14:paraId="77A31F00">
            <w:pPr>
              <w:keepNext w:val="0"/>
              <w:keepLines w:val="0"/>
              <w:pageBreakBefore w:val="0"/>
              <w:widowControl w:val="0"/>
              <w:kinsoku/>
              <w:wordWrap/>
              <w:overflowPunct/>
              <w:topLinePunct w:val="0"/>
              <w:bidi w:val="0"/>
              <w:adjustRightInd/>
              <w:snapToGrid/>
              <w:spacing w:line="400" w:lineRule="exact"/>
              <w:ind w:firstLine="420" w:firstLineChars="200"/>
              <w:jc w:val="left"/>
              <w:textAlignment w:val="auto"/>
              <w:rPr>
                <w:rFonts w:hint="default" w:ascii="Times New Roman" w:hAnsi="Times New Roman" w:eastAsia="宋体" w:cs="Times New Roman"/>
                <w:b w:val="0"/>
                <w:bCs w:val="0"/>
                <w:color w:val="auto"/>
                <w:kern w:val="0"/>
                <w:szCs w:val="21"/>
                <w:lang w:val="en-US" w:eastAsia="zh-CN"/>
              </w:rPr>
            </w:pPr>
          </w:p>
          <w:p w14:paraId="09429EFF">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表1-</w:t>
            </w:r>
            <w:r>
              <w:rPr>
                <w:rFonts w:hint="eastAsia" w:ascii="Times New Roman" w:hAnsi="Times New Roman" w:cs="Times New Roman"/>
                <w:b/>
                <w:bCs/>
                <w:color w:val="auto"/>
                <w:kern w:val="0"/>
                <w:szCs w:val="21"/>
                <w:lang w:val="en-US" w:eastAsia="zh-CN"/>
              </w:rPr>
              <w:t>3</w:t>
            </w:r>
            <w:r>
              <w:rPr>
                <w:rFonts w:hint="default" w:ascii="Times New Roman" w:hAnsi="Times New Roman" w:eastAsia="宋体" w:cs="Times New Roman"/>
                <w:b/>
                <w:bCs/>
                <w:color w:val="auto"/>
                <w:kern w:val="0"/>
                <w:szCs w:val="21"/>
                <w:lang w:val="en-US" w:eastAsia="zh-CN"/>
              </w:rPr>
              <w:t xml:space="preserve">  与（渝发改投资〔2022〕1436号）符合性分析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698"/>
              <w:gridCol w:w="1942"/>
              <w:gridCol w:w="614"/>
            </w:tblGrid>
            <w:tr w14:paraId="1864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3" w:type="pct"/>
                  <w:gridSpan w:val="2"/>
                  <w:tcBorders>
                    <w:tl2br w:val="nil"/>
                    <w:tr2bl w:val="nil"/>
                  </w:tcBorders>
                  <w:noWrap w:val="0"/>
                  <w:vAlign w:val="center"/>
                </w:tcPr>
                <w:p w14:paraId="09D05E0C">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产业准入要求</w:t>
                  </w:r>
                </w:p>
              </w:tc>
              <w:tc>
                <w:tcPr>
                  <w:tcW w:w="1433" w:type="pct"/>
                  <w:tcBorders>
                    <w:tl2br w:val="nil"/>
                    <w:tr2bl w:val="nil"/>
                  </w:tcBorders>
                  <w:noWrap w:val="0"/>
                  <w:vAlign w:val="center"/>
                </w:tcPr>
                <w:p w14:paraId="4D4CB88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项目情况</w:t>
                  </w:r>
                </w:p>
              </w:tc>
              <w:tc>
                <w:tcPr>
                  <w:tcW w:w="453" w:type="pct"/>
                  <w:tcBorders>
                    <w:tl2br w:val="nil"/>
                    <w:tr2bl w:val="nil"/>
                  </w:tcBorders>
                  <w:noWrap w:val="0"/>
                  <w:vAlign w:val="center"/>
                </w:tcPr>
                <w:p w14:paraId="190D1D54">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符合性</w:t>
                  </w:r>
                </w:p>
              </w:tc>
            </w:tr>
            <w:tr w14:paraId="1A80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noWrap w:val="0"/>
                  <w:vAlign w:val="center"/>
                </w:tcPr>
                <w:p w14:paraId="7073FE4F">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shd w:val="clear" w:color="auto" w:fill="FFFFFF"/>
                      <w:lang w:val="en-US" w:eastAsia="zh-CN"/>
                    </w:rPr>
                    <w:t>全市范围内不予准入的产业</w:t>
                  </w:r>
                </w:p>
              </w:tc>
              <w:tc>
                <w:tcPr>
                  <w:tcW w:w="2729" w:type="pct"/>
                  <w:tcBorders>
                    <w:tl2br w:val="nil"/>
                    <w:tr2bl w:val="nil"/>
                  </w:tcBorders>
                  <w:noWrap w:val="0"/>
                  <w:vAlign w:val="center"/>
                </w:tcPr>
                <w:p w14:paraId="48227B84">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shd w:val="clear" w:color="auto" w:fill="FFFFFF"/>
                      <w:lang w:val="en-US" w:eastAsia="zh-CN"/>
                    </w:rPr>
                    <w:t>1．国家产业结构调整指导目录中的淘汰类项目。</w:t>
                  </w:r>
                </w:p>
              </w:tc>
              <w:tc>
                <w:tcPr>
                  <w:tcW w:w="1433" w:type="pct"/>
                  <w:tcBorders>
                    <w:tl2br w:val="nil"/>
                    <w:tr2bl w:val="nil"/>
                  </w:tcBorders>
                  <w:noWrap w:val="0"/>
                  <w:vAlign w:val="center"/>
                </w:tcPr>
                <w:p w14:paraId="4111E778">
                  <w:pPr>
                    <w:pStyle w:val="66"/>
                    <w:adjustRightInd w:val="0"/>
                    <w:snapToGrid w:val="0"/>
                    <w:spacing w:line="240" w:lineRule="auto"/>
                    <w:ind w:firstLine="0" w:firstLineChars="0"/>
                    <w:jc w:val="left"/>
                    <w:rPr>
                      <w:rFonts w:hint="default" w:ascii="Times New Roman" w:hAnsi="Times New Roman" w:eastAsia="宋体" w:cs="Times New Roman"/>
                      <w:color w:val="auto"/>
                      <w:sz w:val="18"/>
                      <w:szCs w:val="18"/>
                      <w:lang w:val="en-US" w:eastAsia="zh-CN"/>
                    </w:rPr>
                  </w:pPr>
                  <w:r>
                    <w:rPr>
                      <w:color w:val="auto"/>
                      <w:sz w:val="18"/>
                      <w:szCs w:val="18"/>
                    </w:rPr>
                    <w:t>项目</w:t>
                  </w:r>
                  <w:r>
                    <w:rPr>
                      <w:rFonts w:hint="eastAsia"/>
                      <w:color w:val="auto"/>
                      <w:sz w:val="18"/>
                      <w:szCs w:val="18"/>
                    </w:rPr>
                    <w:t>已取得</w:t>
                  </w:r>
                  <w:r>
                    <w:rPr>
                      <w:rFonts w:hint="eastAsia"/>
                      <w:color w:val="auto"/>
                      <w:sz w:val="18"/>
                      <w:szCs w:val="18"/>
                      <w:lang w:eastAsia="zh-CN"/>
                    </w:rPr>
                    <w:t>《</w:t>
                  </w:r>
                  <w:r>
                    <w:rPr>
                      <w:rFonts w:hint="eastAsia"/>
                      <w:color w:val="auto"/>
                      <w:sz w:val="18"/>
                      <w:szCs w:val="18"/>
                      <w:lang w:val="en-US" w:eastAsia="zh-CN"/>
                    </w:rPr>
                    <w:t>重庆市企业投资项目备案证</w:t>
                  </w:r>
                  <w:r>
                    <w:rPr>
                      <w:rFonts w:hint="eastAsia"/>
                      <w:color w:val="auto"/>
                      <w:sz w:val="18"/>
                      <w:szCs w:val="18"/>
                      <w:lang w:eastAsia="zh-CN"/>
                    </w:rPr>
                    <w:t>》</w:t>
                  </w:r>
                  <w:r>
                    <w:rPr>
                      <w:rFonts w:hint="eastAsia"/>
                      <w:color w:val="auto"/>
                      <w:sz w:val="18"/>
                      <w:szCs w:val="18"/>
                    </w:rPr>
                    <w:t>，</w:t>
                  </w:r>
                  <w:r>
                    <w:rPr>
                      <w:rFonts w:hint="eastAsia"/>
                      <w:color w:val="auto"/>
                      <w:sz w:val="18"/>
                      <w:szCs w:val="18"/>
                      <w:lang w:val="en-US" w:eastAsia="zh-CN"/>
                    </w:rPr>
                    <w:t>项目符合本地区产业政策和准入标准。</w:t>
                  </w:r>
                </w:p>
              </w:tc>
              <w:tc>
                <w:tcPr>
                  <w:tcW w:w="453" w:type="pct"/>
                  <w:tcBorders>
                    <w:tl2br w:val="nil"/>
                    <w:tr2bl w:val="nil"/>
                  </w:tcBorders>
                  <w:noWrap w:val="0"/>
                  <w:vAlign w:val="center"/>
                </w:tcPr>
                <w:p w14:paraId="4FEF34E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6F6A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54BD7F6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55943EEE">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shd w:val="clear" w:color="auto" w:fill="FFFFFF"/>
                      <w:lang w:val="en-US" w:eastAsia="zh-CN"/>
                    </w:rPr>
                    <w:t>2．天然林商业性采伐。</w:t>
                  </w:r>
                </w:p>
              </w:tc>
              <w:tc>
                <w:tcPr>
                  <w:tcW w:w="1433" w:type="pct"/>
                  <w:tcBorders>
                    <w:tl2br w:val="nil"/>
                    <w:tr2bl w:val="nil"/>
                  </w:tcBorders>
                  <w:noWrap w:val="0"/>
                  <w:vAlign w:val="center"/>
                </w:tcPr>
                <w:p w14:paraId="294D123F">
                  <w:pPr>
                    <w:pStyle w:val="66"/>
                    <w:adjustRightInd w:val="0"/>
                    <w:snapToGrid w:val="0"/>
                    <w:spacing w:line="240" w:lineRule="auto"/>
                    <w:ind w:firstLine="0" w:firstLineChars="0"/>
                    <w:jc w:val="left"/>
                    <w:rPr>
                      <w:rFonts w:hint="default" w:ascii="Times New Roman" w:hAnsi="Times New Roman" w:eastAsia="宋体" w:cs="Times New Roman"/>
                      <w:color w:val="auto"/>
                      <w:sz w:val="18"/>
                      <w:szCs w:val="18"/>
                      <w:lang w:val="en-US" w:eastAsia="zh-CN"/>
                    </w:rPr>
                  </w:pPr>
                  <w:r>
                    <w:rPr>
                      <w:rFonts w:hint="eastAsia"/>
                      <w:color w:val="auto"/>
                      <w:sz w:val="18"/>
                      <w:szCs w:val="18"/>
                    </w:rPr>
                    <w:t>项目不属于采伐类</w:t>
                  </w:r>
                  <w:r>
                    <w:rPr>
                      <w:rFonts w:hint="eastAsia"/>
                      <w:color w:val="auto"/>
                      <w:sz w:val="18"/>
                      <w:szCs w:val="18"/>
                      <w:lang w:eastAsia="zh-CN"/>
                    </w:rPr>
                    <w:t>。</w:t>
                  </w:r>
                </w:p>
              </w:tc>
              <w:tc>
                <w:tcPr>
                  <w:tcW w:w="453" w:type="pct"/>
                  <w:tcBorders>
                    <w:tl2br w:val="nil"/>
                    <w:tr2bl w:val="nil"/>
                  </w:tcBorders>
                  <w:noWrap w:val="0"/>
                  <w:vAlign w:val="center"/>
                </w:tcPr>
                <w:p w14:paraId="481AE994">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77C7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00C296D1">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622257CD">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shd w:val="clear" w:color="auto" w:fill="FFFFFF"/>
                      <w:lang w:val="en-US" w:eastAsia="zh-CN"/>
                    </w:rPr>
                    <w:t>3．法律法规和相关政策明令不予准入的其他项目。</w:t>
                  </w:r>
                </w:p>
              </w:tc>
              <w:tc>
                <w:tcPr>
                  <w:tcW w:w="1433" w:type="pct"/>
                  <w:tcBorders>
                    <w:tl2br w:val="nil"/>
                    <w:tr2bl w:val="nil"/>
                  </w:tcBorders>
                  <w:noWrap w:val="0"/>
                  <w:vAlign w:val="center"/>
                </w:tcPr>
                <w:p w14:paraId="5CE1B4FA">
                  <w:pPr>
                    <w:pStyle w:val="66"/>
                    <w:adjustRightInd w:val="0"/>
                    <w:snapToGrid w:val="0"/>
                    <w:spacing w:line="240" w:lineRule="auto"/>
                    <w:ind w:firstLine="0" w:firstLineChars="0"/>
                    <w:jc w:val="left"/>
                    <w:rPr>
                      <w:rFonts w:hint="default" w:ascii="Times New Roman" w:hAnsi="Times New Roman" w:eastAsia="宋体" w:cs="Times New Roman"/>
                      <w:color w:val="auto"/>
                      <w:sz w:val="18"/>
                      <w:szCs w:val="18"/>
                      <w:lang w:val="en-US" w:eastAsia="zh-CN"/>
                    </w:rPr>
                  </w:pPr>
                  <w:r>
                    <w:rPr>
                      <w:color w:val="auto"/>
                      <w:sz w:val="18"/>
                      <w:szCs w:val="18"/>
                    </w:rPr>
                    <w:t>项目</w:t>
                  </w:r>
                  <w:r>
                    <w:rPr>
                      <w:rFonts w:hint="eastAsia"/>
                      <w:color w:val="auto"/>
                      <w:sz w:val="18"/>
                      <w:szCs w:val="18"/>
                    </w:rPr>
                    <w:t>已取得</w:t>
                  </w:r>
                  <w:r>
                    <w:rPr>
                      <w:rFonts w:hint="eastAsia"/>
                      <w:color w:val="auto"/>
                      <w:sz w:val="18"/>
                      <w:szCs w:val="18"/>
                      <w:lang w:eastAsia="zh-CN"/>
                    </w:rPr>
                    <w:t>《</w:t>
                  </w:r>
                  <w:r>
                    <w:rPr>
                      <w:rFonts w:hint="eastAsia"/>
                      <w:color w:val="auto"/>
                      <w:sz w:val="18"/>
                      <w:szCs w:val="18"/>
                      <w:lang w:val="en-US" w:eastAsia="zh-CN"/>
                    </w:rPr>
                    <w:t>重庆市企业投资项目备案证</w:t>
                  </w:r>
                  <w:r>
                    <w:rPr>
                      <w:rFonts w:hint="eastAsia"/>
                      <w:color w:val="auto"/>
                      <w:sz w:val="18"/>
                      <w:szCs w:val="18"/>
                      <w:lang w:eastAsia="zh-CN"/>
                    </w:rPr>
                    <w:t>》</w:t>
                  </w:r>
                  <w:r>
                    <w:rPr>
                      <w:rFonts w:hint="eastAsia"/>
                      <w:color w:val="auto"/>
                      <w:sz w:val="18"/>
                      <w:szCs w:val="18"/>
                    </w:rPr>
                    <w:t>，</w:t>
                  </w:r>
                  <w:r>
                    <w:rPr>
                      <w:rFonts w:hint="eastAsia"/>
                      <w:color w:val="auto"/>
                      <w:sz w:val="18"/>
                      <w:szCs w:val="18"/>
                      <w:lang w:val="en-US" w:eastAsia="zh-CN"/>
                    </w:rPr>
                    <w:t>项目符合本地区产业政策和准入标准。</w:t>
                  </w:r>
                </w:p>
              </w:tc>
              <w:tc>
                <w:tcPr>
                  <w:tcW w:w="453" w:type="pct"/>
                  <w:tcBorders>
                    <w:tl2br w:val="nil"/>
                    <w:tr2bl w:val="nil"/>
                  </w:tcBorders>
                  <w:noWrap w:val="0"/>
                  <w:vAlign w:val="center"/>
                </w:tcPr>
                <w:p w14:paraId="2AD4F9C1">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0899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noWrap w:val="0"/>
                  <w:vAlign w:val="center"/>
                </w:tcPr>
                <w:p w14:paraId="2CFFBFC3">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shd w:val="clear" w:color="auto" w:fill="FFFFFF"/>
                      <w:lang w:val="en-US" w:eastAsia="zh-CN"/>
                    </w:rPr>
                    <w:t>重点区域范围内不予准入的产业</w:t>
                  </w:r>
                </w:p>
              </w:tc>
              <w:tc>
                <w:tcPr>
                  <w:tcW w:w="2729" w:type="pct"/>
                  <w:tcBorders>
                    <w:tl2br w:val="nil"/>
                    <w:tr2bl w:val="nil"/>
                  </w:tcBorders>
                  <w:noWrap w:val="0"/>
                  <w:vAlign w:val="center"/>
                </w:tcPr>
                <w:p w14:paraId="0D5188E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1．外环绕城高速公路以内长江、嘉陵江水域采砂。</w:t>
                  </w:r>
                </w:p>
              </w:tc>
              <w:tc>
                <w:tcPr>
                  <w:tcW w:w="1433" w:type="pct"/>
                  <w:vMerge w:val="restart"/>
                  <w:tcBorders>
                    <w:tl2br w:val="nil"/>
                    <w:tr2bl w:val="nil"/>
                  </w:tcBorders>
                  <w:noWrap w:val="0"/>
                  <w:vAlign w:val="center"/>
                </w:tcPr>
                <w:p w14:paraId="1C8442AD">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lang w:val="en-US" w:eastAsia="zh-CN"/>
                    </w:rPr>
                    <w:t>项目位于重庆市九龙坡区，</w:t>
                  </w:r>
                  <w:r>
                    <w:rPr>
                      <w:rFonts w:hint="default" w:ascii="Times New Roman" w:hAnsi="Times New Roman" w:eastAsia="宋体" w:cs="Times New Roman"/>
                      <w:color w:val="auto"/>
                      <w:sz w:val="18"/>
                      <w:szCs w:val="18"/>
                      <w:lang w:eastAsia="zh-CN"/>
                    </w:rPr>
                    <w:t>行业类别为</w:t>
                  </w:r>
                  <w:r>
                    <w:rPr>
                      <w:rFonts w:hint="default" w:ascii="Times New Roman" w:hAnsi="Times New Roman" w:eastAsia="宋体" w:cs="Times New Roman"/>
                      <w:color w:val="auto"/>
                      <w:sz w:val="18"/>
                      <w:szCs w:val="18"/>
                      <w:lang w:val="en-US" w:eastAsia="zh-CN"/>
                    </w:rPr>
                    <w:t>O8222宠物医院服务</w:t>
                  </w:r>
                  <w:r>
                    <w:rPr>
                      <w:rFonts w:hint="eastAsia" w:ascii="Times New Roman" w:hAnsi="Times New Roman" w:eastAsia="宋体" w:cs="Times New Roman"/>
                      <w:color w:val="auto"/>
                      <w:kern w:val="0"/>
                      <w:sz w:val="18"/>
                      <w:szCs w:val="18"/>
                      <w:lang w:val="en-US" w:eastAsia="zh-CN"/>
                    </w:rPr>
                    <w:t>，</w:t>
                  </w:r>
                  <w:r>
                    <w:rPr>
                      <w:rFonts w:hint="eastAsia"/>
                      <w:color w:val="auto"/>
                      <w:sz w:val="18"/>
                      <w:szCs w:val="18"/>
                      <w:lang w:val="en-US" w:eastAsia="zh-CN"/>
                    </w:rPr>
                    <w:t>不属于以上不予准入的产业</w:t>
                  </w:r>
                </w:p>
              </w:tc>
              <w:tc>
                <w:tcPr>
                  <w:tcW w:w="453" w:type="pct"/>
                  <w:vMerge w:val="restart"/>
                  <w:tcBorders>
                    <w:tl2br w:val="nil"/>
                    <w:tr2bl w:val="nil"/>
                  </w:tcBorders>
                  <w:noWrap w:val="0"/>
                  <w:vAlign w:val="center"/>
                </w:tcPr>
                <w:p w14:paraId="4431F19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40BC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191CA75E">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2267E5D0">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shd w:val="clear" w:color="auto" w:fill="FFFFFF"/>
                      <w:lang w:val="en-US" w:eastAsia="zh-CN"/>
                    </w:rPr>
                  </w:pPr>
                  <w:r>
                    <w:rPr>
                      <w:rFonts w:hint="default" w:ascii="Times New Roman" w:hAnsi="Times New Roman" w:eastAsia="宋体" w:cs="Times New Roman"/>
                      <w:color w:val="auto"/>
                      <w:sz w:val="18"/>
                      <w:szCs w:val="18"/>
                      <w:lang w:val="en-US" w:eastAsia="zh-CN"/>
                    </w:rPr>
                    <w:t>2．二十五度以上陡坡地开垦种植农作物。</w:t>
                  </w:r>
                </w:p>
              </w:tc>
              <w:tc>
                <w:tcPr>
                  <w:tcW w:w="1433" w:type="pct"/>
                  <w:vMerge w:val="continue"/>
                  <w:tcBorders>
                    <w:tl2br w:val="nil"/>
                    <w:tr2bl w:val="nil"/>
                  </w:tcBorders>
                  <w:noWrap w:val="0"/>
                  <w:vAlign w:val="center"/>
                </w:tcPr>
                <w:p w14:paraId="6ECE8071">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56248E11">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20E5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5369E2D2">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0155FD25">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3．在自然保护区核心区、缓冲区的岸线和河段范围内投资建设旅游和生产经营项目。</w:t>
                  </w:r>
                </w:p>
              </w:tc>
              <w:tc>
                <w:tcPr>
                  <w:tcW w:w="1433" w:type="pct"/>
                  <w:vMerge w:val="continue"/>
                  <w:tcBorders>
                    <w:tl2br w:val="nil"/>
                    <w:tr2bl w:val="nil"/>
                  </w:tcBorders>
                  <w:noWrap w:val="0"/>
                  <w:vAlign w:val="center"/>
                </w:tcPr>
                <w:p w14:paraId="3B9A5BA1">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122442BF">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652D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565209E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331A6B2C">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433" w:type="pct"/>
                  <w:vMerge w:val="continue"/>
                  <w:tcBorders>
                    <w:tl2br w:val="nil"/>
                    <w:tr2bl w:val="nil"/>
                  </w:tcBorders>
                  <w:noWrap w:val="0"/>
                  <w:vAlign w:val="center"/>
                </w:tcPr>
                <w:p w14:paraId="5636F55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17B0C19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409F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1D5297D4">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32690E89">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shd w:val="clear" w:color="auto" w:fill="FFFFFF"/>
                      <w:lang w:val="en-US" w:eastAsia="zh-CN"/>
                    </w:rPr>
                  </w:pPr>
                  <w:r>
                    <w:rPr>
                      <w:rFonts w:hint="default" w:ascii="Times New Roman" w:hAnsi="Times New Roman" w:eastAsia="宋体" w:cs="Times New Roman"/>
                      <w:color w:val="auto"/>
                      <w:sz w:val="18"/>
                      <w:szCs w:val="18"/>
                      <w:lang w:val="en-US" w:eastAsia="zh-CN"/>
                    </w:rPr>
                    <w:t>5．长江干流岸线3公里范围内和重要支流岸线1公里范围内新建、改建、扩建尾矿库、冶炼渣库和磷石膏库（以提升安全、生态环境保护水平为目的的改建除外）。</w:t>
                  </w:r>
                </w:p>
              </w:tc>
              <w:tc>
                <w:tcPr>
                  <w:tcW w:w="1433" w:type="pct"/>
                  <w:vMerge w:val="continue"/>
                  <w:tcBorders>
                    <w:tl2br w:val="nil"/>
                    <w:tr2bl w:val="nil"/>
                  </w:tcBorders>
                  <w:noWrap w:val="0"/>
                  <w:vAlign w:val="center"/>
                </w:tcPr>
                <w:p w14:paraId="1075977D">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4B3446A3">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2DC5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3D14ADB5">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6AF26AC9">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pacing w:val="-4"/>
                      <w:sz w:val="18"/>
                      <w:szCs w:val="18"/>
                      <w:shd w:val="clear" w:color="auto" w:fill="FFFFFF"/>
                      <w:lang w:val="en-US" w:eastAsia="zh-CN"/>
                    </w:rPr>
                  </w:pPr>
                  <w:r>
                    <w:rPr>
                      <w:rFonts w:hint="default" w:ascii="Times New Roman" w:hAnsi="Times New Roman" w:eastAsia="宋体" w:cs="Times New Roman"/>
                      <w:color w:val="auto"/>
                      <w:sz w:val="18"/>
                      <w:szCs w:val="18"/>
                      <w:lang w:val="en-US" w:eastAsia="zh-CN"/>
                    </w:rPr>
                    <w:t>6．在风景名胜区核心景区的岸线和河段范围内投资建设与风景名胜资源保护无关的项目。</w:t>
                  </w:r>
                </w:p>
              </w:tc>
              <w:tc>
                <w:tcPr>
                  <w:tcW w:w="1433" w:type="pct"/>
                  <w:vMerge w:val="continue"/>
                  <w:tcBorders>
                    <w:tl2br w:val="nil"/>
                    <w:tr2bl w:val="nil"/>
                  </w:tcBorders>
                  <w:noWrap w:val="0"/>
                  <w:vAlign w:val="center"/>
                </w:tcPr>
                <w:p w14:paraId="4742E8A2">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73029A4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5211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43CD28C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35C47A8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pacing w:val="-4"/>
                      <w:sz w:val="18"/>
                      <w:szCs w:val="18"/>
                      <w:shd w:val="clear" w:color="auto" w:fill="FFFFFF"/>
                      <w:lang w:val="en-US" w:eastAsia="zh-CN"/>
                    </w:rPr>
                  </w:pPr>
                  <w:r>
                    <w:rPr>
                      <w:rFonts w:hint="default" w:ascii="Times New Roman" w:hAnsi="Times New Roman" w:eastAsia="宋体" w:cs="Times New Roman"/>
                      <w:color w:val="auto"/>
                      <w:sz w:val="18"/>
                      <w:szCs w:val="18"/>
                      <w:lang w:val="en-US" w:eastAsia="zh-CN"/>
                    </w:rPr>
                    <w:t>7．在国家湿地公园的岸线和河段范围内挖沙、采矿，以及任何不符合主体功能定位的投资建设项目。</w:t>
                  </w:r>
                </w:p>
              </w:tc>
              <w:tc>
                <w:tcPr>
                  <w:tcW w:w="1433" w:type="pct"/>
                  <w:vMerge w:val="continue"/>
                  <w:tcBorders>
                    <w:tl2br w:val="nil"/>
                    <w:tr2bl w:val="nil"/>
                  </w:tcBorders>
                  <w:noWrap w:val="0"/>
                  <w:vAlign w:val="center"/>
                </w:tcPr>
                <w:p w14:paraId="6DF223AA">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20FF43DD">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39D4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433B6931">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738E279C">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pacing w:val="-4"/>
                      <w:sz w:val="18"/>
                      <w:szCs w:val="18"/>
                      <w:shd w:val="clear" w:color="auto" w:fill="FFFFFF"/>
                      <w:lang w:val="en-US" w:eastAsia="zh-CN"/>
                    </w:rPr>
                  </w:pPr>
                  <w:r>
                    <w:rPr>
                      <w:rFonts w:hint="default" w:ascii="Times New Roman" w:hAnsi="Times New Roman" w:eastAsia="宋体" w:cs="Times New Roman"/>
                      <w:color w:val="auto"/>
                      <w:sz w:val="18"/>
                      <w:szCs w:val="18"/>
                      <w:lang w:val="en-US" w:eastAsia="zh-CN"/>
                    </w:rPr>
                    <w:t>8．在《长江岸线保护和开发利用总体规划》划定的岸线保护区和保留区内投资建设除事关公共安全及公众利益的防洪护岸、河道治理、供水、生态环境保护、航道整治、国家重要基础设施以外的项目。</w:t>
                  </w:r>
                </w:p>
              </w:tc>
              <w:tc>
                <w:tcPr>
                  <w:tcW w:w="1433" w:type="pct"/>
                  <w:vMerge w:val="continue"/>
                  <w:tcBorders>
                    <w:tl2br w:val="nil"/>
                    <w:tr2bl w:val="nil"/>
                  </w:tcBorders>
                  <w:noWrap w:val="0"/>
                  <w:vAlign w:val="center"/>
                </w:tcPr>
                <w:p w14:paraId="1292EDD3">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5A7F909A">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1ABB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192EDA06">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604C6AC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pacing w:val="-4"/>
                      <w:sz w:val="18"/>
                      <w:szCs w:val="18"/>
                      <w:shd w:val="clear" w:color="auto" w:fill="FFFFFF"/>
                      <w:lang w:val="en-US" w:eastAsia="zh-CN"/>
                    </w:rPr>
                  </w:pPr>
                  <w:r>
                    <w:rPr>
                      <w:rFonts w:hint="default" w:ascii="Times New Roman" w:hAnsi="Times New Roman" w:eastAsia="宋体" w:cs="Times New Roman"/>
                      <w:color w:val="auto"/>
                      <w:sz w:val="18"/>
                      <w:szCs w:val="18"/>
                      <w:lang w:val="en-US" w:eastAsia="zh-CN"/>
                    </w:rPr>
                    <w:t>9．在《全国重要江河湖泊水功能区划》划定的河段及湖泊保护区、保留区内投资建设不利于水资源及自然生态保护的项目。</w:t>
                  </w:r>
                </w:p>
              </w:tc>
              <w:tc>
                <w:tcPr>
                  <w:tcW w:w="1433" w:type="pct"/>
                  <w:vMerge w:val="continue"/>
                  <w:tcBorders>
                    <w:tl2br w:val="nil"/>
                    <w:tr2bl w:val="nil"/>
                  </w:tcBorders>
                  <w:noWrap w:val="0"/>
                  <w:vAlign w:val="center"/>
                </w:tcPr>
                <w:p w14:paraId="5B1B52C4">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0F5AA53D">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1F38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384" w:type="pct"/>
                  <w:vMerge w:val="restart"/>
                  <w:tcBorders>
                    <w:tl2br w:val="nil"/>
                    <w:tr2bl w:val="nil"/>
                  </w:tcBorders>
                  <w:noWrap w:val="0"/>
                  <w:vAlign w:val="center"/>
                </w:tcPr>
                <w:p w14:paraId="36E14CA1">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全市范围内限制准入的产业</w:t>
                  </w:r>
                </w:p>
              </w:tc>
              <w:tc>
                <w:tcPr>
                  <w:tcW w:w="2729" w:type="pct"/>
                  <w:tcBorders>
                    <w:tl2br w:val="nil"/>
                    <w:tr2bl w:val="nil"/>
                  </w:tcBorders>
                  <w:noWrap w:val="0"/>
                  <w:vAlign w:val="center"/>
                </w:tcPr>
                <w:p w14:paraId="265B1C05">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1．新建、扩建不符合国家产能置换要求的严重过剩产能行业的项目。新建、扩建不符合要求的高耗能高排放项目。</w:t>
                  </w:r>
                </w:p>
              </w:tc>
              <w:tc>
                <w:tcPr>
                  <w:tcW w:w="1433" w:type="pct"/>
                  <w:vMerge w:val="restart"/>
                  <w:tcBorders>
                    <w:tl2br w:val="nil"/>
                    <w:tr2bl w:val="nil"/>
                  </w:tcBorders>
                  <w:noWrap w:val="0"/>
                  <w:vAlign w:val="center"/>
                </w:tcPr>
                <w:p w14:paraId="66300BBE">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lang w:val="en-US" w:eastAsia="zh-CN"/>
                    </w:rPr>
                    <w:t>项目位于重庆市九龙坡区，</w:t>
                  </w:r>
                  <w:r>
                    <w:rPr>
                      <w:rFonts w:hint="default" w:ascii="Times New Roman" w:hAnsi="Times New Roman" w:eastAsia="宋体" w:cs="Times New Roman"/>
                      <w:color w:val="auto"/>
                      <w:sz w:val="18"/>
                      <w:szCs w:val="18"/>
                      <w:lang w:eastAsia="zh-CN"/>
                    </w:rPr>
                    <w:t>行业类别为</w:t>
                  </w:r>
                  <w:r>
                    <w:rPr>
                      <w:rFonts w:hint="default" w:ascii="Times New Roman" w:hAnsi="Times New Roman" w:eastAsia="宋体" w:cs="Times New Roman"/>
                      <w:color w:val="auto"/>
                      <w:sz w:val="18"/>
                      <w:szCs w:val="18"/>
                      <w:lang w:val="en-US" w:eastAsia="zh-CN"/>
                    </w:rPr>
                    <w:t>O8222宠物医院服务</w:t>
                  </w:r>
                  <w:r>
                    <w:rPr>
                      <w:rFonts w:hint="eastAsia" w:ascii="Times New Roman" w:hAnsi="Times New Roman" w:eastAsia="宋体" w:cs="Times New Roman"/>
                      <w:color w:val="auto"/>
                      <w:kern w:val="0"/>
                      <w:sz w:val="18"/>
                      <w:szCs w:val="18"/>
                      <w:lang w:val="en-US" w:eastAsia="zh-CN"/>
                    </w:rPr>
                    <w:t>，</w:t>
                  </w:r>
                  <w:r>
                    <w:rPr>
                      <w:rFonts w:hint="eastAsia"/>
                      <w:color w:val="auto"/>
                      <w:sz w:val="18"/>
                      <w:szCs w:val="18"/>
                      <w:lang w:val="en-US" w:eastAsia="zh-CN"/>
                    </w:rPr>
                    <w:t>不属于以上不予准入的产业</w:t>
                  </w:r>
                </w:p>
              </w:tc>
              <w:tc>
                <w:tcPr>
                  <w:tcW w:w="453" w:type="pct"/>
                  <w:vMerge w:val="restart"/>
                  <w:tcBorders>
                    <w:tl2br w:val="nil"/>
                    <w:tr2bl w:val="nil"/>
                  </w:tcBorders>
                  <w:noWrap w:val="0"/>
                  <w:vAlign w:val="center"/>
                </w:tcPr>
                <w:p w14:paraId="4ED5B163">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0EB4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68E2E72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7592866D">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2．新建、扩建不符合国家石化、现代煤化工等产业布局规划的项目。</w:t>
                  </w:r>
                </w:p>
              </w:tc>
              <w:tc>
                <w:tcPr>
                  <w:tcW w:w="1433" w:type="pct"/>
                  <w:vMerge w:val="continue"/>
                  <w:tcBorders>
                    <w:tl2br w:val="nil"/>
                    <w:tr2bl w:val="nil"/>
                  </w:tcBorders>
                  <w:noWrap w:val="0"/>
                  <w:vAlign w:val="center"/>
                </w:tcPr>
                <w:p w14:paraId="3C7D4E14">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440AF7AF">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5E64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32EAC3BE">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600BC0B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3．在合规园区外新建、扩建钢铁、石化、化工、焦化、建材、有色、制浆造纸等高污染项目。</w:t>
                  </w:r>
                </w:p>
              </w:tc>
              <w:tc>
                <w:tcPr>
                  <w:tcW w:w="1433" w:type="pct"/>
                  <w:vMerge w:val="continue"/>
                  <w:tcBorders>
                    <w:tl2br w:val="nil"/>
                    <w:tr2bl w:val="nil"/>
                  </w:tcBorders>
                  <w:noWrap w:val="0"/>
                  <w:vAlign w:val="center"/>
                </w:tcPr>
                <w:p w14:paraId="1D093DD7">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44098BD5">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590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7E22AA2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c>
                <w:tcPr>
                  <w:tcW w:w="2729" w:type="pct"/>
                  <w:tcBorders>
                    <w:tl2br w:val="nil"/>
                    <w:tr2bl w:val="nil"/>
                  </w:tcBorders>
                  <w:noWrap w:val="0"/>
                  <w:vAlign w:val="center"/>
                </w:tcPr>
                <w:p w14:paraId="3117CCDD">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4．《汽车产业投资管理规定》（国家发展和改革委员会令第22号）明确禁止建设的汽车投资项目。</w:t>
                  </w:r>
                </w:p>
              </w:tc>
              <w:tc>
                <w:tcPr>
                  <w:tcW w:w="1433" w:type="pct"/>
                  <w:vMerge w:val="continue"/>
                  <w:tcBorders>
                    <w:tl2br w:val="nil"/>
                    <w:tr2bl w:val="nil"/>
                  </w:tcBorders>
                  <w:noWrap w:val="0"/>
                  <w:vAlign w:val="center"/>
                </w:tcPr>
                <w:p w14:paraId="0B078005">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1C3A6299">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r w14:paraId="4F0D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noWrap w:val="0"/>
                  <w:vAlign w:val="center"/>
                </w:tcPr>
                <w:p w14:paraId="00B69F43">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i w:val="0"/>
                      <w:iCs w:val="0"/>
                      <w:caps w:val="0"/>
                      <w:color w:val="auto"/>
                      <w:spacing w:val="0"/>
                      <w:sz w:val="18"/>
                      <w:szCs w:val="18"/>
                      <w:shd w:val="clear" w:color="auto" w:fill="FFFFFF"/>
                    </w:rPr>
                    <w:t>重点区域范围内限制准入的产业</w:t>
                  </w:r>
                </w:p>
              </w:tc>
              <w:tc>
                <w:tcPr>
                  <w:tcW w:w="2729" w:type="pct"/>
                  <w:tcBorders>
                    <w:tl2br w:val="nil"/>
                    <w:tr2bl w:val="nil"/>
                  </w:tcBorders>
                  <w:noWrap w:val="0"/>
                  <w:vAlign w:val="center"/>
                </w:tcPr>
                <w:p w14:paraId="77281DE2">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1．长江干支流、重要湖泊岸线1公里范围内新建、扩建化工园区和化工项目，长江、嘉陵江、乌江岸线1公里范围内布局新建纸浆制造、印染等存在环境风险的项目。</w:t>
                  </w:r>
                </w:p>
              </w:tc>
              <w:tc>
                <w:tcPr>
                  <w:tcW w:w="1433" w:type="pct"/>
                  <w:vMerge w:val="restart"/>
                  <w:tcBorders>
                    <w:tl2br w:val="nil"/>
                    <w:tr2bl w:val="nil"/>
                  </w:tcBorders>
                  <w:noWrap w:val="0"/>
                  <w:vAlign w:val="center"/>
                </w:tcPr>
                <w:p w14:paraId="64AC3059">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lang w:val="en-US" w:eastAsia="zh-CN"/>
                    </w:rPr>
                    <w:t>项目位于重庆市九龙坡区，</w:t>
                  </w:r>
                  <w:r>
                    <w:rPr>
                      <w:rFonts w:hint="default" w:ascii="Times New Roman" w:hAnsi="Times New Roman" w:eastAsia="宋体" w:cs="Times New Roman"/>
                      <w:color w:val="auto"/>
                      <w:sz w:val="18"/>
                      <w:szCs w:val="18"/>
                      <w:lang w:eastAsia="zh-CN"/>
                    </w:rPr>
                    <w:t>行业类别为</w:t>
                  </w:r>
                  <w:r>
                    <w:rPr>
                      <w:rFonts w:hint="default" w:ascii="Times New Roman" w:hAnsi="Times New Roman" w:eastAsia="宋体" w:cs="Times New Roman"/>
                      <w:color w:val="auto"/>
                      <w:sz w:val="18"/>
                      <w:szCs w:val="18"/>
                      <w:lang w:val="en-US" w:eastAsia="zh-CN"/>
                    </w:rPr>
                    <w:t>O8222宠物医院服务</w:t>
                  </w:r>
                  <w:r>
                    <w:rPr>
                      <w:rFonts w:hint="eastAsia" w:ascii="Times New Roman" w:hAnsi="Times New Roman" w:eastAsia="宋体" w:cs="Times New Roman"/>
                      <w:color w:val="auto"/>
                      <w:kern w:val="0"/>
                      <w:sz w:val="18"/>
                      <w:szCs w:val="18"/>
                      <w:lang w:val="en-US" w:eastAsia="zh-CN"/>
                    </w:rPr>
                    <w:t>，</w:t>
                  </w:r>
                  <w:r>
                    <w:rPr>
                      <w:rFonts w:hint="eastAsia"/>
                      <w:color w:val="auto"/>
                      <w:sz w:val="18"/>
                      <w:szCs w:val="18"/>
                      <w:lang w:val="en-US" w:eastAsia="zh-CN"/>
                    </w:rPr>
                    <w:t>不属于以上不予准入的产业</w:t>
                  </w:r>
                </w:p>
              </w:tc>
              <w:tc>
                <w:tcPr>
                  <w:tcW w:w="453" w:type="pct"/>
                  <w:vMerge w:val="restart"/>
                  <w:tcBorders>
                    <w:tl2br w:val="nil"/>
                    <w:tr2bl w:val="nil"/>
                  </w:tcBorders>
                  <w:noWrap w:val="0"/>
                  <w:vAlign w:val="center"/>
                </w:tcPr>
                <w:p w14:paraId="0359CBF2">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35FE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1F104DC5">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b w:val="0"/>
                      <w:bCs w:val="0"/>
                      <w:i w:val="0"/>
                      <w:iCs w:val="0"/>
                      <w:caps w:val="0"/>
                      <w:color w:val="auto"/>
                      <w:spacing w:val="0"/>
                      <w:sz w:val="18"/>
                      <w:szCs w:val="18"/>
                      <w:shd w:val="clear" w:color="auto" w:fill="FFFFFF"/>
                    </w:rPr>
                  </w:pPr>
                </w:p>
              </w:tc>
              <w:tc>
                <w:tcPr>
                  <w:tcW w:w="2729" w:type="pct"/>
                  <w:tcBorders>
                    <w:tl2br w:val="nil"/>
                    <w:tr2bl w:val="nil"/>
                  </w:tcBorders>
                  <w:noWrap w:val="0"/>
                  <w:vAlign w:val="center"/>
                </w:tcPr>
                <w:p w14:paraId="5FFA83D9">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2．在水产种质资源保护区的岸线和河段范围内新建围湖造田等投资建设项目。</w:t>
                  </w:r>
                </w:p>
              </w:tc>
              <w:tc>
                <w:tcPr>
                  <w:tcW w:w="1433" w:type="pct"/>
                  <w:vMerge w:val="continue"/>
                  <w:tcBorders>
                    <w:tl2br w:val="nil"/>
                    <w:tr2bl w:val="nil"/>
                  </w:tcBorders>
                  <w:noWrap w:val="0"/>
                  <w:vAlign w:val="center"/>
                </w:tcPr>
                <w:p w14:paraId="21BB8D6B">
                  <w:pPr>
                    <w:pStyle w:val="66"/>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left"/>
                    <w:textAlignment w:val="auto"/>
                    <w:rPr>
                      <w:rFonts w:hint="default" w:ascii="Times New Roman" w:hAnsi="Times New Roman" w:eastAsia="宋体" w:cs="Times New Roman"/>
                      <w:color w:val="auto"/>
                      <w:sz w:val="18"/>
                      <w:szCs w:val="18"/>
                      <w:lang w:val="en-US" w:eastAsia="zh-CN"/>
                    </w:rPr>
                  </w:pPr>
                </w:p>
              </w:tc>
              <w:tc>
                <w:tcPr>
                  <w:tcW w:w="453" w:type="pct"/>
                  <w:vMerge w:val="continue"/>
                  <w:tcBorders>
                    <w:tl2br w:val="nil"/>
                    <w:tr2bl w:val="nil"/>
                  </w:tcBorders>
                  <w:noWrap w:val="0"/>
                  <w:vAlign w:val="center"/>
                </w:tcPr>
                <w:p w14:paraId="7146078A">
                  <w:pPr>
                    <w:keepNext w:val="0"/>
                    <w:keepLines w:val="0"/>
                    <w:pageBreakBefore w:val="0"/>
                    <w:kinsoku/>
                    <w:wordWrap/>
                    <w:overflowPunct/>
                    <w:topLinePunct w:val="0"/>
                    <w:autoSpaceDE/>
                    <w:autoSpaceDN/>
                    <w:bidi w:val="0"/>
                    <w:adjustRightInd w:val="0"/>
                    <w:snapToGrid w:val="0"/>
                    <w:spacing w:line="240" w:lineRule="atLeast"/>
                    <w:ind w:left="-57" w:right="-57" w:firstLine="0" w:firstLineChars="0"/>
                    <w:jc w:val="center"/>
                    <w:textAlignment w:val="auto"/>
                    <w:rPr>
                      <w:rFonts w:hint="default" w:ascii="Times New Roman" w:hAnsi="Times New Roman" w:eastAsia="宋体" w:cs="Times New Roman"/>
                      <w:color w:val="auto"/>
                      <w:sz w:val="18"/>
                      <w:szCs w:val="18"/>
                      <w:lang w:val="en-US" w:eastAsia="zh-CN"/>
                    </w:rPr>
                  </w:pPr>
                </w:p>
              </w:tc>
            </w:tr>
          </w:tbl>
          <w:p w14:paraId="15F1CBB6">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3</w:t>
            </w:r>
            <w:r>
              <w:rPr>
                <w:rFonts w:hint="default" w:ascii="Times New Roman" w:hAnsi="Times New Roman" w:eastAsia="宋体" w:cs="Times New Roman"/>
                <w:b/>
                <w:bCs/>
                <w:color w:val="auto"/>
                <w:kern w:val="0"/>
                <w:szCs w:val="21"/>
                <w:lang w:val="en-US" w:eastAsia="zh-CN"/>
              </w:rPr>
              <w:t>、与《中华人民共和国长江保护法》符合性分析</w:t>
            </w:r>
          </w:p>
          <w:p w14:paraId="6877D366">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经对照《中华人民共和国长江保护法》，项目符合其相关要求，详见表1-</w:t>
            </w:r>
            <w:r>
              <w:rPr>
                <w:rFonts w:hint="eastAsia" w:ascii="Times New Roman" w:hAnsi="Times New Roman" w:cs="Times New Roman"/>
                <w:b w:val="0"/>
                <w:bCs w:val="0"/>
                <w:color w:val="auto"/>
                <w:kern w:val="0"/>
                <w:szCs w:val="21"/>
                <w:lang w:val="en-US" w:eastAsia="zh-CN"/>
              </w:rPr>
              <w:t>4</w:t>
            </w:r>
            <w:r>
              <w:rPr>
                <w:rFonts w:hint="default" w:ascii="Times New Roman" w:hAnsi="Times New Roman" w:eastAsia="宋体" w:cs="Times New Roman"/>
                <w:b w:val="0"/>
                <w:bCs w:val="0"/>
                <w:color w:val="auto"/>
                <w:kern w:val="0"/>
                <w:szCs w:val="21"/>
                <w:lang w:val="en-US" w:eastAsia="zh-CN"/>
              </w:rPr>
              <w:t>。</w:t>
            </w:r>
          </w:p>
          <w:p w14:paraId="25261565">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表1-</w:t>
            </w:r>
            <w:r>
              <w:rPr>
                <w:rFonts w:hint="eastAsia" w:ascii="Times New Roman" w:hAnsi="Times New Roman" w:cs="Times New Roman"/>
                <w:b/>
                <w:bCs/>
                <w:color w:val="auto"/>
                <w:kern w:val="0"/>
                <w:szCs w:val="21"/>
                <w:lang w:val="en-US" w:eastAsia="zh-CN"/>
              </w:rPr>
              <w:t>4</w:t>
            </w:r>
            <w:r>
              <w:rPr>
                <w:rFonts w:hint="default" w:ascii="Times New Roman" w:hAnsi="Times New Roman" w:eastAsia="宋体" w:cs="Times New Roman"/>
                <w:b/>
                <w:bCs/>
                <w:color w:val="auto"/>
                <w:kern w:val="0"/>
                <w:szCs w:val="21"/>
                <w:lang w:val="en-US" w:eastAsia="zh-CN"/>
              </w:rPr>
              <w:t xml:space="preserve">   项目与《中华人民共和国长江保护法》符合性分析</w:t>
            </w:r>
          </w:p>
          <w:tbl>
            <w:tblPr>
              <w:tblStyle w:val="22"/>
              <w:tblW w:w="68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2"/>
              <w:gridCol w:w="3501"/>
              <w:gridCol w:w="2304"/>
              <w:gridCol w:w="586"/>
            </w:tblGrid>
            <w:tr w14:paraId="24CA6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2FFC5A14">
                  <w:pPr>
                    <w:autoSpaceDE w:val="0"/>
                    <w:autoSpaceDN w:val="0"/>
                    <w:adjustRightInd w:val="0"/>
                    <w:snapToGrid w:val="0"/>
                    <w:jc w:val="center"/>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kern w:val="0"/>
                      <w:sz w:val="18"/>
                      <w:szCs w:val="18"/>
                    </w:rPr>
                    <w:t>序号</w:t>
                  </w:r>
                </w:p>
              </w:tc>
              <w:tc>
                <w:tcPr>
                  <w:tcW w:w="3501" w:type="dxa"/>
                  <w:tcBorders>
                    <w:tl2br w:val="nil"/>
                    <w:tr2bl w:val="nil"/>
                  </w:tcBorders>
                  <w:noWrap w:val="0"/>
                  <w:vAlign w:val="center"/>
                </w:tcPr>
                <w:p w14:paraId="740F9C02">
                  <w:pPr>
                    <w:autoSpaceDE w:val="0"/>
                    <w:autoSpaceDN w:val="0"/>
                    <w:adjustRightInd w:val="0"/>
                    <w:snapToGrid w:val="0"/>
                    <w:jc w:val="center"/>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sz w:val="18"/>
                      <w:szCs w:val="18"/>
                    </w:rPr>
                    <w:t>相关</w:t>
                  </w:r>
                  <w:r>
                    <w:rPr>
                      <w:rFonts w:hint="default" w:ascii="Times New Roman" w:hAnsi="Times New Roman" w:eastAsia="宋体" w:cs="Times New Roman"/>
                      <w:b w:val="0"/>
                      <w:bCs/>
                      <w:color w:val="auto"/>
                      <w:kern w:val="0"/>
                      <w:sz w:val="18"/>
                      <w:szCs w:val="18"/>
                    </w:rPr>
                    <w:t>要求</w:t>
                  </w:r>
                </w:p>
              </w:tc>
              <w:tc>
                <w:tcPr>
                  <w:tcW w:w="2304" w:type="dxa"/>
                  <w:tcBorders>
                    <w:tl2br w:val="nil"/>
                    <w:tr2bl w:val="nil"/>
                  </w:tcBorders>
                  <w:noWrap w:val="0"/>
                  <w:vAlign w:val="center"/>
                </w:tcPr>
                <w:p w14:paraId="04370CD7">
                  <w:pPr>
                    <w:autoSpaceDE w:val="0"/>
                    <w:autoSpaceDN w:val="0"/>
                    <w:adjustRightInd w:val="0"/>
                    <w:snapToGrid w:val="0"/>
                    <w:jc w:val="center"/>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kern w:val="0"/>
                      <w:sz w:val="18"/>
                      <w:szCs w:val="18"/>
                    </w:rPr>
                    <w:t>本项目</w:t>
                  </w:r>
                </w:p>
              </w:tc>
              <w:tc>
                <w:tcPr>
                  <w:tcW w:w="586" w:type="dxa"/>
                  <w:tcBorders>
                    <w:tl2br w:val="nil"/>
                    <w:tr2bl w:val="nil"/>
                  </w:tcBorders>
                  <w:noWrap w:val="0"/>
                  <w:vAlign w:val="center"/>
                </w:tcPr>
                <w:p w14:paraId="2A70F552">
                  <w:pPr>
                    <w:autoSpaceDE w:val="0"/>
                    <w:autoSpaceDN w:val="0"/>
                    <w:adjustRightInd w:val="0"/>
                    <w:snapToGrid w:val="0"/>
                    <w:jc w:val="center"/>
                    <w:rPr>
                      <w:rFonts w:hint="default" w:ascii="Times New Roman" w:hAnsi="Times New Roman" w:eastAsia="宋体" w:cs="Times New Roman"/>
                      <w:b w:val="0"/>
                      <w:bCs/>
                      <w:color w:val="auto"/>
                      <w:kern w:val="0"/>
                      <w:sz w:val="18"/>
                      <w:szCs w:val="18"/>
                    </w:rPr>
                  </w:pPr>
                  <w:r>
                    <w:rPr>
                      <w:rFonts w:hint="default" w:ascii="Times New Roman" w:hAnsi="Times New Roman" w:eastAsia="宋体" w:cs="Times New Roman"/>
                      <w:b w:val="0"/>
                      <w:bCs/>
                      <w:color w:val="auto"/>
                      <w:kern w:val="0"/>
                      <w:sz w:val="18"/>
                      <w:szCs w:val="18"/>
                    </w:rPr>
                    <w:t>符合性</w:t>
                  </w:r>
                </w:p>
              </w:tc>
            </w:tr>
            <w:tr w14:paraId="2747C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49BEC485">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1</w:t>
                  </w:r>
                </w:p>
              </w:tc>
              <w:tc>
                <w:tcPr>
                  <w:tcW w:w="3501" w:type="dxa"/>
                  <w:tcBorders>
                    <w:tl2br w:val="nil"/>
                    <w:tr2bl w:val="nil"/>
                  </w:tcBorders>
                  <w:noWrap w:val="0"/>
                  <w:vAlign w:val="center"/>
                </w:tcPr>
                <w:p w14:paraId="7A79B35A">
                  <w:pPr>
                    <w:autoSpaceDE w:val="0"/>
                    <w:autoSpaceDN w:val="0"/>
                    <w:adjustRightInd w:val="0"/>
                    <w:snapToGrid w:val="0"/>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长江流域国土空间开发利用活动应当符合国土空间用途管制要求，并依法取得规划许可</w:t>
                  </w:r>
                </w:p>
              </w:tc>
              <w:tc>
                <w:tcPr>
                  <w:tcW w:w="2304" w:type="dxa"/>
                  <w:tcBorders>
                    <w:tl2br w:val="nil"/>
                    <w:tr2bl w:val="nil"/>
                  </w:tcBorders>
                  <w:noWrap w:val="0"/>
                  <w:vAlign w:val="center"/>
                </w:tcPr>
                <w:p w14:paraId="684E1827">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w:t>
                  </w:r>
                  <w:r>
                    <w:rPr>
                      <w:rFonts w:hint="default" w:ascii="Times New Roman" w:hAnsi="Times New Roman" w:eastAsia="宋体" w:cs="Times New Roman"/>
                      <w:bCs/>
                      <w:color w:val="auto"/>
                      <w:kern w:val="0"/>
                      <w:sz w:val="18"/>
                      <w:szCs w:val="18"/>
                      <w:lang w:eastAsia="zh-CN"/>
                    </w:rPr>
                    <w:t>位于</w:t>
                  </w:r>
                  <w:r>
                    <w:rPr>
                      <w:rFonts w:hint="default" w:ascii="Times New Roman" w:hAnsi="Times New Roman" w:eastAsia="宋体" w:cs="Times New Roman"/>
                      <w:bCs/>
                      <w:color w:val="auto"/>
                      <w:kern w:val="0"/>
                      <w:sz w:val="18"/>
                      <w:szCs w:val="18"/>
                      <w:lang w:val="en-US" w:eastAsia="zh-CN"/>
                    </w:rPr>
                    <w:t>重庆市九龙坡区经纬大道1305号远洋城二期19幢吊2-3商业</w:t>
                  </w:r>
                  <w:r>
                    <w:rPr>
                      <w:bCs/>
                      <w:color w:val="auto"/>
                      <w:kern w:val="0"/>
                      <w:sz w:val="18"/>
                      <w:szCs w:val="18"/>
                    </w:rPr>
                    <w:t>，不新增用地</w:t>
                  </w:r>
                  <w:r>
                    <w:rPr>
                      <w:rFonts w:hint="eastAsia"/>
                      <w:bCs/>
                      <w:color w:val="auto"/>
                      <w:kern w:val="0"/>
                      <w:sz w:val="18"/>
                      <w:szCs w:val="18"/>
                      <w:lang w:eastAsia="zh-CN"/>
                    </w:rPr>
                    <w:t>。</w:t>
                  </w:r>
                </w:p>
              </w:tc>
              <w:tc>
                <w:tcPr>
                  <w:tcW w:w="586" w:type="dxa"/>
                  <w:tcBorders>
                    <w:tl2br w:val="nil"/>
                    <w:tr2bl w:val="nil"/>
                  </w:tcBorders>
                  <w:noWrap w:val="0"/>
                  <w:vAlign w:val="center"/>
                </w:tcPr>
                <w:p w14:paraId="5B17588B">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符合</w:t>
                  </w:r>
                </w:p>
              </w:tc>
            </w:tr>
            <w:tr w14:paraId="3EF0F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412" w:type="dxa"/>
                  <w:tcBorders>
                    <w:tl2br w:val="nil"/>
                    <w:tr2bl w:val="nil"/>
                  </w:tcBorders>
                  <w:noWrap w:val="0"/>
                  <w:vAlign w:val="center"/>
                </w:tcPr>
                <w:p w14:paraId="6C1B6CBF">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2</w:t>
                  </w:r>
                </w:p>
              </w:tc>
              <w:tc>
                <w:tcPr>
                  <w:tcW w:w="3501" w:type="dxa"/>
                  <w:tcBorders>
                    <w:tl2br w:val="nil"/>
                    <w:tr2bl w:val="nil"/>
                  </w:tcBorders>
                  <w:noWrap w:val="0"/>
                  <w:vAlign w:val="center"/>
                </w:tcPr>
                <w:p w14:paraId="35CAFA22">
                  <w:pPr>
                    <w:autoSpaceDE w:val="0"/>
                    <w:autoSpaceDN w:val="0"/>
                    <w:adjustRightInd w:val="0"/>
                    <w:snapToGrid w:val="0"/>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lang w:eastAsia="zh-CN"/>
                    </w:rPr>
                    <w:t>禁止</w:t>
                  </w:r>
                  <w:r>
                    <w:rPr>
                      <w:rFonts w:hint="default" w:ascii="Times New Roman" w:hAnsi="Times New Roman" w:eastAsia="宋体" w:cs="Times New Roman"/>
                      <w:bCs/>
                      <w:color w:val="auto"/>
                      <w:kern w:val="0"/>
                      <w:sz w:val="18"/>
                      <w:szCs w:val="18"/>
                    </w:rPr>
                    <w:t>在长江流域重点生态功能区布局对生态系统有严重影响的产业</w:t>
                  </w:r>
                </w:p>
              </w:tc>
              <w:tc>
                <w:tcPr>
                  <w:tcW w:w="2304" w:type="dxa"/>
                  <w:vMerge w:val="restart"/>
                  <w:tcBorders>
                    <w:tl2br w:val="nil"/>
                    <w:tr2bl w:val="nil"/>
                  </w:tcBorders>
                  <w:noWrap w:val="0"/>
                  <w:vAlign w:val="center"/>
                </w:tcPr>
                <w:p w14:paraId="2356EEE0">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项目不属于重污染企业，不会对生态系统有严重影响</w:t>
                  </w:r>
                </w:p>
              </w:tc>
              <w:tc>
                <w:tcPr>
                  <w:tcW w:w="586" w:type="dxa"/>
                  <w:vMerge w:val="restart"/>
                  <w:tcBorders>
                    <w:tl2br w:val="nil"/>
                    <w:tr2bl w:val="nil"/>
                  </w:tcBorders>
                  <w:noWrap w:val="0"/>
                  <w:vAlign w:val="center"/>
                </w:tcPr>
                <w:p w14:paraId="2303488B">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符合</w:t>
                  </w:r>
                </w:p>
              </w:tc>
            </w:tr>
            <w:tr w14:paraId="39062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026C5CE4">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3</w:t>
                  </w:r>
                </w:p>
              </w:tc>
              <w:tc>
                <w:tcPr>
                  <w:tcW w:w="3501" w:type="dxa"/>
                  <w:tcBorders>
                    <w:tl2br w:val="nil"/>
                    <w:tr2bl w:val="nil"/>
                  </w:tcBorders>
                  <w:noWrap w:val="0"/>
                  <w:vAlign w:val="center"/>
                </w:tcPr>
                <w:p w14:paraId="0A10D484">
                  <w:pPr>
                    <w:autoSpaceDE w:val="0"/>
                    <w:autoSpaceDN w:val="0"/>
                    <w:adjustRightInd w:val="0"/>
                    <w:snapToGrid w:val="0"/>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禁止重污染企业和项目向长江中上游转移</w:t>
                  </w:r>
                </w:p>
              </w:tc>
              <w:tc>
                <w:tcPr>
                  <w:tcW w:w="2304" w:type="dxa"/>
                  <w:vMerge w:val="continue"/>
                  <w:tcBorders>
                    <w:tl2br w:val="nil"/>
                    <w:tr2bl w:val="nil"/>
                  </w:tcBorders>
                  <w:noWrap w:val="0"/>
                  <w:vAlign w:val="center"/>
                </w:tcPr>
                <w:p w14:paraId="04EA3D64">
                  <w:pPr>
                    <w:autoSpaceDE w:val="0"/>
                    <w:autoSpaceDN w:val="0"/>
                    <w:adjustRightInd w:val="0"/>
                    <w:snapToGrid w:val="0"/>
                    <w:jc w:val="center"/>
                    <w:rPr>
                      <w:rFonts w:hint="default" w:ascii="Times New Roman" w:hAnsi="Times New Roman" w:eastAsia="宋体" w:cs="Times New Roman"/>
                      <w:bCs/>
                      <w:color w:val="auto"/>
                      <w:kern w:val="0"/>
                      <w:sz w:val="18"/>
                      <w:szCs w:val="18"/>
                    </w:rPr>
                  </w:pPr>
                </w:p>
              </w:tc>
              <w:tc>
                <w:tcPr>
                  <w:tcW w:w="586" w:type="dxa"/>
                  <w:vMerge w:val="continue"/>
                  <w:tcBorders>
                    <w:tl2br w:val="nil"/>
                    <w:tr2bl w:val="nil"/>
                  </w:tcBorders>
                  <w:noWrap w:val="0"/>
                  <w:vAlign w:val="center"/>
                </w:tcPr>
                <w:p w14:paraId="073296C3">
                  <w:pPr>
                    <w:autoSpaceDE w:val="0"/>
                    <w:autoSpaceDN w:val="0"/>
                    <w:adjustRightInd w:val="0"/>
                    <w:snapToGrid w:val="0"/>
                    <w:jc w:val="center"/>
                    <w:rPr>
                      <w:rFonts w:hint="default" w:ascii="Times New Roman" w:hAnsi="Times New Roman" w:eastAsia="宋体" w:cs="Times New Roman"/>
                      <w:bCs/>
                      <w:color w:val="auto"/>
                      <w:kern w:val="0"/>
                      <w:sz w:val="18"/>
                      <w:szCs w:val="18"/>
                    </w:rPr>
                  </w:pPr>
                </w:p>
              </w:tc>
            </w:tr>
            <w:tr w14:paraId="17402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089EC108">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4</w:t>
                  </w:r>
                </w:p>
              </w:tc>
              <w:tc>
                <w:tcPr>
                  <w:tcW w:w="3501" w:type="dxa"/>
                  <w:tcBorders>
                    <w:tl2br w:val="nil"/>
                    <w:tr2bl w:val="nil"/>
                  </w:tcBorders>
                  <w:noWrap w:val="0"/>
                  <w:vAlign w:val="center"/>
                </w:tcPr>
                <w:p w14:paraId="03A98BA9">
                  <w:pPr>
                    <w:autoSpaceDE w:val="0"/>
                    <w:autoSpaceDN w:val="0"/>
                    <w:adjustRightInd w:val="0"/>
                    <w:snapToGrid w:val="0"/>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禁止在长江干流岸线三公里范围内和重要支流岸线一公里范围内新建、改建、扩建尾矿库；但是以提升安全、生态环境保护水平为目的的改建除外</w:t>
                  </w:r>
                </w:p>
              </w:tc>
              <w:tc>
                <w:tcPr>
                  <w:tcW w:w="2304" w:type="dxa"/>
                  <w:tcBorders>
                    <w:tl2br w:val="nil"/>
                    <w:tr2bl w:val="nil"/>
                  </w:tcBorders>
                  <w:noWrap w:val="0"/>
                  <w:vAlign w:val="center"/>
                </w:tcPr>
                <w:p w14:paraId="2990105B">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项目不属于尾矿库项目</w:t>
                  </w:r>
                </w:p>
              </w:tc>
              <w:tc>
                <w:tcPr>
                  <w:tcW w:w="586" w:type="dxa"/>
                  <w:tcBorders>
                    <w:tl2br w:val="nil"/>
                    <w:tr2bl w:val="nil"/>
                  </w:tcBorders>
                  <w:noWrap w:val="0"/>
                  <w:vAlign w:val="center"/>
                </w:tcPr>
                <w:p w14:paraId="7319A9F5">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符合</w:t>
                  </w:r>
                </w:p>
              </w:tc>
            </w:tr>
            <w:tr w14:paraId="50B62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0D709117">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5</w:t>
                  </w:r>
                </w:p>
              </w:tc>
              <w:tc>
                <w:tcPr>
                  <w:tcW w:w="3501" w:type="dxa"/>
                  <w:tcBorders>
                    <w:tl2br w:val="nil"/>
                    <w:tr2bl w:val="nil"/>
                  </w:tcBorders>
                  <w:noWrap w:val="0"/>
                  <w:vAlign w:val="center"/>
                </w:tcPr>
                <w:p w14:paraId="5B3636A9">
                  <w:pPr>
                    <w:autoSpaceDE w:val="0"/>
                    <w:autoSpaceDN w:val="0"/>
                    <w:adjustRightInd w:val="0"/>
                    <w:snapToGrid w:val="0"/>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对长江流域已建小水电工程，不符合生态保护要求的，县级以上地方人民政府应当组织分类整改或者采取措施逐步退出</w:t>
                  </w:r>
                </w:p>
              </w:tc>
              <w:tc>
                <w:tcPr>
                  <w:tcW w:w="2304" w:type="dxa"/>
                  <w:tcBorders>
                    <w:tl2br w:val="nil"/>
                    <w:tr2bl w:val="nil"/>
                  </w:tcBorders>
                  <w:noWrap w:val="0"/>
                  <w:vAlign w:val="center"/>
                </w:tcPr>
                <w:p w14:paraId="455F8C59">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项目不属于小水电工程项目</w:t>
                  </w:r>
                </w:p>
              </w:tc>
              <w:tc>
                <w:tcPr>
                  <w:tcW w:w="586" w:type="dxa"/>
                  <w:tcBorders>
                    <w:tl2br w:val="nil"/>
                    <w:tr2bl w:val="nil"/>
                  </w:tcBorders>
                  <w:noWrap w:val="0"/>
                  <w:vAlign w:val="center"/>
                </w:tcPr>
                <w:p w14:paraId="0A933698">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符合</w:t>
                  </w:r>
                </w:p>
              </w:tc>
            </w:tr>
            <w:tr w14:paraId="54F7F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74FBF5DB">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6</w:t>
                  </w:r>
                </w:p>
              </w:tc>
              <w:tc>
                <w:tcPr>
                  <w:tcW w:w="3501" w:type="dxa"/>
                  <w:tcBorders>
                    <w:tl2br w:val="nil"/>
                    <w:tr2bl w:val="nil"/>
                  </w:tcBorders>
                  <w:noWrap w:val="0"/>
                  <w:vAlign w:val="center"/>
                </w:tcPr>
                <w:p w14:paraId="00610E4C">
                  <w:pPr>
                    <w:autoSpaceDE w:val="0"/>
                    <w:autoSpaceDN w:val="0"/>
                    <w:adjustRightInd w:val="0"/>
                    <w:snapToGrid w:val="0"/>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禁止在长江流域水土流失严重、生态脆弱的区域开展可能造成水土流失的生产建设活动</w:t>
                  </w:r>
                </w:p>
              </w:tc>
              <w:tc>
                <w:tcPr>
                  <w:tcW w:w="2304" w:type="dxa"/>
                  <w:tcBorders>
                    <w:tl2br w:val="nil"/>
                    <w:tr2bl w:val="nil"/>
                  </w:tcBorders>
                  <w:noWrap w:val="0"/>
                  <w:vAlign w:val="center"/>
                </w:tcPr>
                <w:p w14:paraId="37EAE858">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eastAsia" w:ascii="Times New Roman" w:hAnsi="Times New Roman" w:eastAsia="宋体" w:cs="Times New Roman"/>
                      <w:color w:val="auto"/>
                      <w:kern w:val="0"/>
                      <w:sz w:val="18"/>
                      <w:szCs w:val="18"/>
                      <w:lang w:val="en-US" w:eastAsia="zh-CN"/>
                    </w:rPr>
                    <w:t>项目位于</w:t>
                  </w:r>
                  <w:r>
                    <w:rPr>
                      <w:rFonts w:hint="default" w:ascii="Times New Roman" w:hAnsi="Times New Roman" w:eastAsia="宋体" w:cs="Times New Roman"/>
                      <w:bCs/>
                      <w:color w:val="auto"/>
                      <w:kern w:val="0"/>
                      <w:sz w:val="18"/>
                      <w:szCs w:val="18"/>
                      <w:lang w:val="en-US" w:eastAsia="zh-CN"/>
                    </w:rPr>
                    <w:t>重庆市九龙坡区</w:t>
                  </w:r>
                  <w:r>
                    <w:rPr>
                      <w:rFonts w:hint="eastAsia" w:ascii="Times New Roman" w:hAnsi="Times New Roman" w:eastAsia="宋体" w:cs="Times New Roman"/>
                      <w:color w:val="auto"/>
                      <w:kern w:val="0"/>
                      <w:sz w:val="18"/>
                      <w:szCs w:val="18"/>
                      <w:lang w:val="en-US" w:eastAsia="zh-CN"/>
                    </w:rPr>
                    <w:t>，</w:t>
                  </w:r>
                  <w:r>
                    <w:rPr>
                      <w:rFonts w:hint="eastAsia" w:ascii="Times New Roman" w:hAnsi="Times New Roman" w:cs="Times New Roman"/>
                      <w:color w:val="auto"/>
                      <w:kern w:val="0"/>
                      <w:sz w:val="18"/>
                      <w:szCs w:val="18"/>
                      <w:lang w:val="en-US" w:eastAsia="zh-CN"/>
                    </w:rPr>
                    <w:t>项目不会造成水土流失</w:t>
                  </w:r>
                  <w:r>
                    <w:rPr>
                      <w:rFonts w:hint="eastAsia"/>
                      <w:bCs/>
                      <w:color w:val="auto"/>
                      <w:kern w:val="0"/>
                      <w:sz w:val="18"/>
                      <w:szCs w:val="18"/>
                      <w:lang w:eastAsia="zh-CN"/>
                    </w:rPr>
                    <w:t>。</w:t>
                  </w:r>
                </w:p>
              </w:tc>
              <w:tc>
                <w:tcPr>
                  <w:tcW w:w="586" w:type="dxa"/>
                  <w:tcBorders>
                    <w:tl2br w:val="nil"/>
                    <w:tr2bl w:val="nil"/>
                  </w:tcBorders>
                  <w:noWrap w:val="0"/>
                  <w:vAlign w:val="center"/>
                </w:tcPr>
                <w:p w14:paraId="1BF24EBD">
                  <w:pPr>
                    <w:autoSpaceDE w:val="0"/>
                    <w:autoSpaceDN w:val="0"/>
                    <w:adjustRightInd w:val="0"/>
                    <w:snapToGrid w:val="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Cs/>
                      <w:color w:val="auto"/>
                      <w:kern w:val="0"/>
                      <w:sz w:val="18"/>
                      <w:szCs w:val="18"/>
                    </w:rPr>
                    <w:t>符合</w:t>
                  </w:r>
                </w:p>
              </w:tc>
            </w:tr>
            <w:tr w14:paraId="688E4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2" w:type="dxa"/>
                  <w:tcBorders>
                    <w:tl2br w:val="nil"/>
                    <w:tr2bl w:val="nil"/>
                  </w:tcBorders>
                  <w:noWrap w:val="0"/>
                  <w:vAlign w:val="center"/>
                </w:tcPr>
                <w:p w14:paraId="7A1A5A7D">
                  <w:pPr>
                    <w:autoSpaceDE w:val="0"/>
                    <w:autoSpaceDN w:val="0"/>
                    <w:adjustRightInd w:val="0"/>
                    <w:snapToGrid w:val="0"/>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7</w:t>
                  </w:r>
                </w:p>
              </w:tc>
              <w:tc>
                <w:tcPr>
                  <w:tcW w:w="3501" w:type="dxa"/>
                  <w:tcBorders>
                    <w:tl2br w:val="nil"/>
                    <w:tr2bl w:val="nil"/>
                  </w:tcBorders>
                  <w:noWrap w:val="0"/>
                  <w:vAlign w:val="center"/>
                </w:tcPr>
                <w:p w14:paraId="18CBC386">
                  <w:pPr>
                    <w:pStyle w:val="19"/>
                    <w:spacing w:before="0" w:beforeAutospacing="0" w:after="0" w:afterAutospacing="0"/>
                    <w:jc w:val="both"/>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color w:val="auto"/>
                      <w:sz w:val="18"/>
                      <w:szCs w:val="18"/>
                      <w:shd w:val="clear" w:color="auto" w:fill="FFFFFF"/>
                      <w:lang w:val="en-US" w:eastAsia="zh-CN"/>
                    </w:rPr>
                    <w:t>严格限制在长江流域生态保护红线、自然保护地、水生生物重要栖息地水域实施航道整治工程；确需整治的，应当经科学论证，并依法办理相关手续</w:t>
                  </w:r>
                </w:p>
              </w:tc>
              <w:tc>
                <w:tcPr>
                  <w:tcW w:w="2304" w:type="dxa"/>
                  <w:tcBorders>
                    <w:tl2br w:val="nil"/>
                    <w:tr2bl w:val="nil"/>
                  </w:tcBorders>
                  <w:noWrap w:val="0"/>
                  <w:vAlign w:val="center"/>
                </w:tcPr>
                <w:p w14:paraId="11A776EA">
                  <w:pPr>
                    <w:autoSpaceDE w:val="0"/>
                    <w:autoSpaceDN w:val="0"/>
                    <w:adjustRightInd w:val="0"/>
                    <w:snapToGrid w:val="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Cs/>
                      <w:color w:val="auto"/>
                      <w:kern w:val="0"/>
                      <w:sz w:val="18"/>
                      <w:szCs w:val="18"/>
                    </w:rPr>
                    <w:t>项目不属于航道整治工程</w:t>
                  </w:r>
                </w:p>
              </w:tc>
              <w:tc>
                <w:tcPr>
                  <w:tcW w:w="586" w:type="dxa"/>
                  <w:tcBorders>
                    <w:tl2br w:val="nil"/>
                    <w:tr2bl w:val="nil"/>
                  </w:tcBorders>
                  <w:noWrap w:val="0"/>
                  <w:vAlign w:val="center"/>
                </w:tcPr>
                <w:p w14:paraId="657353F3">
                  <w:pPr>
                    <w:autoSpaceDE w:val="0"/>
                    <w:autoSpaceDN w:val="0"/>
                    <w:adjustRightInd w:val="0"/>
                    <w:snapToGrid w:val="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Cs/>
                      <w:color w:val="auto"/>
                      <w:kern w:val="0"/>
                      <w:sz w:val="18"/>
                      <w:szCs w:val="18"/>
                    </w:rPr>
                    <w:t>符合</w:t>
                  </w:r>
                </w:p>
              </w:tc>
            </w:tr>
          </w:tbl>
          <w:p w14:paraId="67B767D2">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ascii="Times New Roman" w:hAnsi="Times New Roman" w:eastAsia="宋体" w:cs="Times New Roman"/>
                <w:b w:val="0"/>
                <w:bCs w:val="0"/>
                <w:color w:val="auto"/>
                <w:kern w:val="0"/>
                <w:szCs w:val="21"/>
                <w:lang w:val="en-US" w:eastAsia="zh-CN"/>
              </w:rPr>
            </w:pPr>
            <w:r>
              <w:rPr>
                <w:rFonts w:hint="eastAsia" w:ascii="Times New Roman" w:hAnsi="Times New Roman" w:cs="Times New Roman"/>
                <w:b/>
                <w:bCs/>
                <w:color w:val="auto"/>
                <w:kern w:val="0"/>
                <w:szCs w:val="21"/>
                <w:lang w:val="en-US" w:eastAsia="zh-CN"/>
              </w:rPr>
              <w:t>4</w:t>
            </w:r>
            <w:r>
              <w:rPr>
                <w:rFonts w:hint="default" w:ascii="Times New Roman" w:hAnsi="Times New Roman" w:eastAsia="宋体" w:cs="Times New Roman"/>
                <w:b/>
                <w:bCs/>
                <w:color w:val="auto"/>
                <w:kern w:val="0"/>
                <w:szCs w:val="21"/>
                <w:lang w:val="en-US" w:eastAsia="zh-CN"/>
              </w:rPr>
              <w:t>、与《四川省、重庆市长江经济带发展负面清单实施细则（试行2022年版）》符合性分析</w:t>
            </w:r>
          </w:p>
          <w:p w14:paraId="5098AE76">
            <w:pPr>
              <w:keepNext w:val="0"/>
              <w:keepLines w:val="0"/>
              <w:pageBreakBefore w:val="0"/>
              <w:widowControl w:val="0"/>
              <w:kinsoku/>
              <w:wordWrap/>
              <w:overflowPunct/>
              <w:topLinePunct w:val="0"/>
              <w:bidi w:val="0"/>
              <w:adjustRightInd/>
              <w:snapToGrid/>
              <w:spacing w:line="400" w:lineRule="exact"/>
              <w:ind w:firstLine="420" w:firstLineChars="200"/>
              <w:jc w:val="left"/>
              <w:textAlignment w:val="auto"/>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经对照</w:t>
            </w:r>
            <w:r>
              <w:rPr>
                <w:rFonts w:hint="default" w:ascii="Times New Roman" w:hAnsi="Times New Roman" w:eastAsia="宋体" w:cs="Times New Roman"/>
                <w:b w:val="0"/>
                <w:bCs w:val="0"/>
                <w:color w:val="auto"/>
                <w:sz w:val="21"/>
                <w:szCs w:val="21"/>
                <w:lang w:val="en-US" w:eastAsia="zh-CN"/>
              </w:rPr>
              <w:t>《四川省、重庆市长江经济带发展负面清单实施细则（试行2022年版）》</w:t>
            </w:r>
            <w:r>
              <w:rPr>
                <w:rFonts w:hint="default" w:ascii="Times New Roman" w:hAnsi="Times New Roman" w:eastAsia="宋体" w:cs="Times New Roman"/>
                <w:b w:val="0"/>
                <w:bCs w:val="0"/>
                <w:color w:val="auto"/>
                <w:kern w:val="0"/>
                <w:szCs w:val="21"/>
                <w:lang w:val="en-US" w:eastAsia="zh-CN"/>
              </w:rPr>
              <w:t>，项目符合其相关要求，详见表1-</w:t>
            </w:r>
            <w:r>
              <w:rPr>
                <w:rFonts w:hint="eastAsia" w:ascii="Times New Roman" w:hAnsi="Times New Roman" w:cs="Times New Roman"/>
                <w:b w:val="0"/>
                <w:bCs w:val="0"/>
                <w:color w:val="auto"/>
                <w:kern w:val="0"/>
                <w:szCs w:val="21"/>
                <w:lang w:val="en-US" w:eastAsia="zh-CN"/>
              </w:rPr>
              <w:t>5</w:t>
            </w:r>
            <w:r>
              <w:rPr>
                <w:rFonts w:hint="default" w:ascii="Times New Roman" w:hAnsi="Times New Roman" w:eastAsia="宋体" w:cs="Times New Roman"/>
                <w:b w:val="0"/>
                <w:bCs w:val="0"/>
                <w:color w:val="auto"/>
                <w:kern w:val="0"/>
                <w:szCs w:val="21"/>
                <w:lang w:val="en-US" w:eastAsia="zh-CN"/>
              </w:rPr>
              <w:t>。</w:t>
            </w:r>
          </w:p>
          <w:p w14:paraId="14C3D999">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表1-</w:t>
            </w:r>
            <w:r>
              <w:rPr>
                <w:rFonts w:hint="eastAsia" w:ascii="Times New Roman" w:hAnsi="Times New Roman" w:eastAsia="宋体" w:cs="Times New Roman"/>
                <w:b/>
                <w:bCs/>
                <w:color w:val="auto"/>
                <w:kern w:val="0"/>
                <w:sz w:val="21"/>
                <w:szCs w:val="21"/>
                <w:lang w:val="en-US" w:eastAsia="zh-CN" w:bidi="ar-SA"/>
              </w:rPr>
              <w:t>5</w:t>
            </w:r>
            <w:r>
              <w:rPr>
                <w:rFonts w:hint="default" w:ascii="Times New Roman" w:hAnsi="Times New Roman" w:eastAsia="宋体" w:cs="Times New Roman"/>
                <w:b/>
                <w:bCs/>
                <w:color w:val="auto"/>
                <w:kern w:val="0"/>
                <w:sz w:val="21"/>
                <w:szCs w:val="21"/>
                <w:lang w:val="en-US" w:eastAsia="zh-CN" w:bidi="ar-SA"/>
              </w:rPr>
              <w:t xml:space="preserve"> 与《四川省、重庆市长江经济带发展负面清单实施细则（试行2022年版）》符合性一览表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4462"/>
              <w:gridCol w:w="1184"/>
              <w:gridCol w:w="652"/>
            </w:tblGrid>
            <w:tr w14:paraId="4C55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51" w:type="pct"/>
                  <w:tcBorders>
                    <w:tl2br w:val="nil"/>
                    <w:tr2bl w:val="nil"/>
                  </w:tcBorders>
                  <w:noWrap w:val="0"/>
                  <w:vAlign w:val="center"/>
                </w:tcPr>
                <w:p w14:paraId="5AEAB48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序号</w:t>
                  </w:r>
                </w:p>
              </w:tc>
              <w:tc>
                <w:tcPr>
                  <w:tcW w:w="3293" w:type="pct"/>
                  <w:tcBorders>
                    <w:tl2br w:val="nil"/>
                    <w:tr2bl w:val="nil"/>
                  </w:tcBorders>
                  <w:noWrap w:val="0"/>
                  <w:vAlign w:val="center"/>
                </w:tcPr>
                <w:p w14:paraId="3F5E93A6">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管控内容</w:t>
                  </w:r>
                </w:p>
              </w:tc>
              <w:tc>
                <w:tcPr>
                  <w:tcW w:w="873" w:type="pct"/>
                  <w:tcBorders>
                    <w:tl2br w:val="nil"/>
                    <w:tr2bl w:val="nil"/>
                  </w:tcBorders>
                  <w:noWrap w:val="0"/>
                  <w:vAlign w:val="center"/>
                </w:tcPr>
                <w:p w14:paraId="43D9BD1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本项目</w:t>
                  </w:r>
                </w:p>
              </w:tc>
              <w:tc>
                <w:tcPr>
                  <w:tcW w:w="481" w:type="pct"/>
                  <w:tcBorders>
                    <w:tl2br w:val="nil"/>
                    <w:tr2bl w:val="nil"/>
                  </w:tcBorders>
                  <w:noWrap w:val="0"/>
                  <w:vAlign w:val="center"/>
                </w:tcPr>
                <w:p w14:paraId="5F1EA09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符合性</w:t>
                  </w:r>
                </w:p>
              </w:tc>
            </w:tr>
            <w:tr w14:paraId="1CD6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351" w:type="pct"/>
                  <w:tcBorders>
                    <w:tl2br w:val="nil"/>
                    <w:tr2bl w:val="nil"/>
                  </w:tcBorders>
                  <w:noWrap w:val="0"/>
                  <w:vAlign w:val="center"/>
                </w:tcPr>
                <w:p w14:paraId="598A14D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1</w:t>
                  </w:r>
                </w:p>
              </w:tc>
              <w:tc>
                <w:tcPr>
                  <w:tcW w:w="3293" w:type="pct"/>
                  <w:tcBorders>
                    <w:tl2br w:val="nil"/>
                    <w:tr2bl w:val="nil"/>
                  </w:tcBorders>
                  <w:noWrap w:val="0"/>
                  <w:vAlign w:val="center"/>
                </w:tcPr>
                <w:p w14:paraId="5881C23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禁止新建、改建和扩建不符合全国港口布局规划，以及《四川省内河水运发展规划》《泸州一宜宾一乐山港口群布局规划》《重庆港总体规划（2035年）》等省级港口布局规划及市级港口总体规划的码头项目。</w:t>
                  </w:r>
                </w:p>
              </w:tc>
              <w:tc>
                <w:tcPr>
                  <w:tcW w:w="873" w:type="pct"/>
                  <w:tcBorders>
                    <w:tl2br w:val="nil"/>
                    <w:tr2bl w:val="nil"/>
                  </w:tcBorders>
                  <w:noWrap w:val="0"/>
                  <w:vAlign w:val="center"/>
                </w:tcPr>
                <w:p w14:paraId="120F3EEB">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w:t>
                  </w:r>
                  <w:r>
                    <w:rPr>
                      <w:rFonts w:hint="default" w:ascii="Times New Roman" w:hAnsi="Times New Roman" w:eastAsia="宋体" w:cs="Times New Roman"/>
                      <w:color w:val="auto"/>
                      <w:kern w:val="2"/>
                      <w:sz w:val="18"/>
                      <w:szCs w:val="18"/>
                    </w:rPr>
                    <w:t>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0D1C7714">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符合</w:t>
                  </w:r>
                </w:p>
              </w:tc>
            </w:tr>
            <w:tr w14:paraId="2376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tl2br w:val="nil"/>
                    <w:tr2bl w:val="nil"/>
                  </w:tcBorders>
                  <w:noWrap w:val="0"/>
                  <w:vAlign w:val="center"/>
                </w:tcPr>
                <w:p w14:paraId="0FA38EF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2</w:t>
                  </w:r>
                </w:p>
              </w:tc>
              <w:tc>
                <w:tcPr>
                  <w:tcW w:w="3293" w:type="pct"/>
                  <w:tcBorders>
                    <w:tl2br w:val="nil"/>
                    <w:tr2bl w:val="nil"/>
                  </w:tcBorders>
                  <w:noWrap w:val="0"/>
                  <w:vAlign w:val="center"/>
                </w:tcPr>
                <w:p w14:paraId="468897B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禁止新建、改建和扩建不符合《长江干线过江通道布局规划（2020</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2035年）》的过长江通道项目（含桥梁、隧道），国家发展改革委同意过长江通道线位调整的除外。</w:t>
                  </w:r>
                </w:p>
              </w:tc>
              <w:tc>
                <w:tcPr>
                  <w:tcW w:w="873" w:type="pct"/>
                  <w:tcBorders>
                    <w:tl2br w:val="nil"/>
                    <w:tr2bl w:val="nil"/>
                  </w:tcBorders>
                  <w:noWrap w:val="0"/>
                  <w:vAlign w:val="center"/>
                </w:tcPr>
                <w:p w14:paraId="72DB4BB4">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val="0"/>
                      <w:bCs w:val="0"/>
                      <w:color w:val="auto"/>
                      <w:kern w:val="2"/>
                      <w:sz w:val="18"/>
                      <w:szCs w:val="18"/>
                      <w:lang w:eastAsia="zh-CN"/>
                    </w:rPr>
                    <w:t>本项目</w:t>
                  </w:r>
                  <w:r>
                    <w:rPr>
                      <w:rFonts w:hint="default" w:ascii="Times New Roman" w:hAnsi="Times New Roman" w:eastAsia="宋体" w:cs="Times New Roman"/>
                      <w:color w:val="auto"/>
                      <w:kern w:val="2"/>
                      <w:sz w:val="18"/>
                      <w:szCs w:val="18"/>
                    </w:rPr>
                    <w:t>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309FAE2E">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4324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405F54E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3</w:t>
                  </w:r>
                </w:p>
              </w:tc>
              <w:tc>
                <w:tcPr>
                  <w:tcW w:w="3293" w:type="pct"/>
                  <w:tcBorders>
                    <w:tl2br w:val="nil"/>
                    <w:tr2bl w:val="nil"/>
                  </w:tcBorders>
                  <w:noWrap w:val="0"/>
                  <w:vAlign w:val="center"/>
                </w:tcPr>
                <w:p w14:paraId="59949DA1">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禁止在自然保护区核心区、缓冲区的岸线和河段范围内投资建设旅游和生产经营项目。自然保护区的内部未分区的，依照核心区和缓冲区的规定管控。</w:t>
                  </w:r>
                </w:p>
              </w:tc>
              <w:tc>
                <w:tcPr>
                  <w:tcW w:w="873" w:type="pct"/>
                  <w:tcBorders>
                    <w:tl2br w:val="nil"/>
                    <w:tr2bl w:val="nil"/>
                  </w:tcBorders>
                  <w:noWrap w:val="0"/>
                  <w:vAlign w:val="center"/>
                </w:tcPr>
                <w:p w14:paraId="026421A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本项目不涉及上述区域。</w:t>
                  </w:r>
                </w:p>
              </w:tc>
              <w:tc>
                <w:tcPr>
                  <w:tcW w:w="481" w:type="pct"/>
                  <w:tcBorders>
                    <w:tl2br w:val="nil"/>
                    <w:tr2bl w:val="nil"/>
                  </w:tcBorders>
                  <w:noWrap w:val="0"/>
                  <w:vAlign w:val="center"/>
                </w:tcPr>
                <w:p w14:paraId="060ED713">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3434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tl2br w:val="nil"/>
                    <w:tr2bl w:val="nil"/>
                  </w:tcBorders>
                  <w:noWrap w:val="0"/>
                  <w:vAlign w:val="center"/>
                </w:tcPr>
                <w:p w14:paraId="2C9672C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4</w:t>
                  </w:r>
                </w:p>
              </w:tc>
              <w:tc>
                <w:tcPr>
                  <w:tcW w:w="3293" w:type="pct"/>
                  <w:tcBorders>
                    <w:tl2br w:val="nil"/>
                    <w:tr2bl w:val="nil"/>
                  </w:tcBorders>
                  <w:noWrap w:val="0"/>
                  <w:vAlign w:val="center"/>
                </w:tcPr>
                <w:p w14:paraId="220BCB9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禁止违反风景名胜区规划，在风景名胜区内设立各类开发区。禁止在风景名胜区核心景区的岸线和河段范围内建设宾馆、招待所、培训中心、疗养院以及与风景名胜资源保护无关的项目。</w:t>
                  </w:r>
                </w:p>
              </w:tc>
              <w:tc>
                <w:tcPr>
                  <w:tcW w:w="873" w:type="pct"/>
                  <w:tcBorders>
                    <w:tl2br w:val="nil"/>
                    <w:tr2bl w:val="nil"/>
                  </w:tcBorders>
                  <w:noWrap w:val="0"/>
                  <w:vAlign w:val="center"/>
                </w:tcPr>
                <w:p w14:paraId="1A20479B">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lang w:eastAsia="zh-CN"/>
                    </w:rPr>
                    <w:t>本项目不涉及上述区域。</w:t>
                  </w:r>
                </w:p>
              </w:tc>
              <w:tc>
                <w:tcPr>
                  <w:tcW w:w="481" w:type="pct"/>
                  <w:tcBorders>
                    <w:tl2br w:val="nil"/>
                    <w:tr2bl w:val="nil"/>
                  </w:tcBorders>
                  <w:noWrap w:val="0"/>
                  <w:vAlign w:val="center"/>
                </w:tcPr>
                <w:p w14:paraId="53F41B1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5852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51" w:type="pct"/>
                  <w:tcBorders>
                    <w:tl2br w:val="nil"/>
                    <w:tr2bl w:val="nil"/>
                  </w:tcBorders>
                  <w:noWrap w:val="0"/>
                  <w:vAlign w:val="center"/>
                </w:tcPr>
                <w:p w14:paraId="687B3EE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5</w:t>
                  </w:r>
                </w:p>
              </w:tc>
              <w:tc>
                <w:tcPr>
                  <w:tcW w:w="3293" w:type="pct"/>
                  <w:tcBorders>
                    <w:tl2br w:val="nil"/>
                    <w:tr2bl w:val="nil"/>
                  </w:tcBorders>
                  <w:noWrap w:val="0"/>
                  <w:vAlign w:val="center"/>
                </w:tcPr>
                <w:p w14:paraId="250761D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禁止在饮用水水源准保护区的岸线和河段范围内新建、扩建对水体污染严重的建设项目，禁止改建增加排污量的建设项目。</w:t>
                  </w:r>
                </w:p>
              </w:tc>
              <w:tc>
                <w:tcPr>
                  <w:tcW w:w="873" w:type="pct"/>
                  <w:tcBorders>
                    <w:tl2br w:val="nil"/>
                    <w:tr2bl w:val="nil"/>
                  </w:tcBorders>
                  <w:noWrap w:val="0"/>
                  <w:vAlign w:val="center"/>
                </w:tcPr>
                <w:p w14:paraId="0ED0E0F4">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6E5A6C9E">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63D7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46FEA385">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6</w:t>
                  </w:r>
                </w:p>
              </w:tc>
              <w:tc>
                <w:tcPr>
                  <w:tcW w:w="3293" w:type="pct"/>
                  <w:tcBorders>
                    <w:tl2br w:val="nil"/>
                    <w:tr2bl w:val="nil"/>
                  </w:tcBorders>
                  <w:noWrap w:val="0"/>
                  <w:vAlign w:val="center"/>
                </w:tcPr>
                <w:p w14:paraId="37A1C77E">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饮用水水源二级保护区的岸线和河段范围内，除遵守准保护区规定外，禁止新建、改建、扩建排放污染物的投资建设项目；禁止从事对水体有污染的水产养殖等活动。</w:t>
                  </w:r>
                </w:p>
              </w:tc>
              <w:tc>
                <w:tcPr>
                  <w:tcW w:w="873" w:type="pct"/>
                  <w:tcBorders>
                    <w:tl2br w:val="nil"/>
                    <w:tr2bl w:val="nil"/>
                  </w:tcBorders>
                  <w:noWrap w:val="0"/>
                  <w:vAlign w:val="center"/>
                </w:tcPr>
                <w:p w14:paraId="0206D3C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07873CB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7E9B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5498BCF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7</w:t>
                  </w:r>
                </w:p>
              </w:tc>
              <w:tc>
                <w:tcPr>
                  <w:tcW w:w="3293" w:type="pct"/>
                  <w:tcBorders>
                    <w:tl2br w:val="nil"/>
                    <w:tr2bl w:val="nil"/>
                  </w:tcBorders>
                  <w:noWrap w:val="0"/>
                  <w:vAlign w:val="center"/>
                </w:tcPr>
                <w:p w14:paraId="5EB7E122">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873" w:type="pct"/>
                  <w:tcBorders>
                    <w:tl2br w:val="nil"/>
                    <w:tr2bl w:val="nil"/>
                  </w:tcBorders>
                  <w:noWrap w:val="0"/>
                  <w:vAlign w:val="center"/>
                </w:tcPr>
                <w:p w14:paraId="1F87E426">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val="0"/>
                      <w:bCs w:val="0"/>
                      <w:color w:val="auto"/>
                      <w:kern w:val="2"/>
                      <w:sz w:val="18"/>
                      <w:szCs w:val="18"/>
                      <w:lang w:eastAsia="zh-CN"/>
                    </w:rPr>
                    <w:t>本项目不属于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4D8A0D91">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5BF8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tl2br w:val="nil"/>
                    <w:tr2bl w:val="nil"/>
                  </w:tcBorders>
                  <w:noWrap w:val="0"/>
                  <w:vAlign w:val="center"/>
                </w:tcPr>
                <w:p w14:paraId="377785D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8</w:t>
                  </w:r>
                </w:p>
              </w:tc>
              <w:tc>
                <w:tcPr>
                  <w:tcW w:w="3293" w:type="pct"/>
                  <w:tcBorders>
                    <w:tl2br w:val="nil"/>
                    <w:tr2bl w:val="nil"/>
                  </w:tcBorders>
                  <w:noWrap w:val="0"/>
                  <w:vAlign w:val="center"/>
                </w:tcPr>
                <w:p w14:paraId="2D67C64B">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禁止在水产种质资源保护区岸线和河段范围内新建围湖造田、围湖造地或挖沙采石等投资建设项目。</w:t>
                  </w:r>
                </w:p>
              </w:tc>
              <w:tc>
                <w:tcPr>
                  <w:tcW w:w="873" w:type="pct"/>
                  <w:tcBorders>
                    <w:tl2br w:val="nil"/>
                    <w:tr2bl w:val="nil"/>
                  </w:tcBorders>
                  <w:noWrap w:val="0"/>
                  <w:vAlign w:val="center"/>
                </w:tcPr>
                <w:p w14:paraId="66D8323B">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val="0"/>
                      <w:bCs w:val="0"/>
                      <w:color w:val="auto"/>
                      <w:kern w:val="2"/>
                      <w:sz w:val="18"/>
                      <w:szCs w:val="18"/>
                      <w:lang w:eastAsia="zh-CN"/>
                    </w:rPr>
                    <w:t>本项目</w:t>
                  </w:r>
                  <w:r>
                    <w:rPr>
                      <w:rFonts w:hint="default" w:ascii="Times New Roman" w:hAnsi="Times New Roman" w:eastAsia="宋体" w:cs="Times New Roman"/>
                      <w:color w:val="auto"/>
                      <w:kern w:val="2"/>
                      <w:sz w:val="18"/>
                      <w:szCs w:val="18"/>
                    </w:rPr>
                    <w:t>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7BD7FB8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1E2B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512DDE51">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9</w:t>
                  </w:r>
                </w:p>
              </w:tc>
              <w:tc>
                <w:tcPr>
                  <w:tcW w:w="3293" w:type="pct"/>
                  <w:tcBorders>
                    <w:tl2br w:val="nil"/>
                    <w:tr2bl w:val="nil"/>
                  </w:tcBorders>
                  <w:noWrap w:val="0"/>
                  <w:vAlign w:val="center"/>
                </w:tcPr>
                <w:p w14:paraId="58044863">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禁止在国家湿地公园的岸线和河段范围内开</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围</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873" w:type="pct"/>
                  <w:tcBorders>
                    <w:tl2br w:val="nil"/>
                    <w:tr2bl w:val="nil"/>
                  </w:tcBorders>
                  <w:noWrap w:val="0"/>
                  <w:vAlign w:val="center"/>
                </w:tcPr>
                <w:p w14:paraId="27953A43">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val="0"/>
                      <w:bCs w:val="0"/>
                      <w:color w:val="auto"/>
                      <w:kern w:val="2"/>
                      <w:sz w:val="18"/>
                      <w:szCs w:val="18"/>
                      <w:lang w:eastAsia="zh-CN"/>
                    </w:rPr>
                    <w:t>本项目不属于</w:t>
                  </w:r>
                  <w:r>
                    <w:rPr>
                      <w:rFonts w:hint="default" w:ascii="Times New Roman" w:hAnsi="Times New Roman" w:eastAsia="宋体" w:cs="Times New Roman"/>
                      <w:color w:val="auto"/>
                      <w:kern w:val="2"/>
                      <w:sz w:val="18"/>
                      <w:szCs w:val="18"/>
                      <w:lang w:eastAsia="zh-CN"/>
                    </w:rPr>
                    <w:t>上述项目。</w:t>
                  </w:r>
                </w:p>
              </w:tc>
              <w:tc>
                <w:tcPr>
                  <w:tcW w:w="481" w:type="pct"/>
                  <w:tcBorders>
                    <w:tl2br w:val="nil"/>
                    <w:tr2bl w:val="nil"/>
                  </w:tcBorders>
                  <w:noWrap w:val="0"/>
                  <w:vAlign w:val="center"/>
                </w:tcPr>
                <w:p w14:paraId="4941C0E4">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1C0E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5B53949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10</w:t>
                  </w:r>
                </w:p>
              </w:tc>
              <w:tc>
                <w:tcPr>
                  <w:tcW w:w="3293" w:type="pct"/>
                  <w:tcBorders>
                    <w:tl2br w:val="nil"/>
                    <w:tr2bl w:val="nil"/>
                  </w:tcBorders>
                  <w:noWrap w:val="0"/>
                  <w:vAlign w:val="center"/>
                </w:tcPr>
                <w:p w14:paraId="2B0117AA">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873" w:type="pct"/>
                  <w:tcBorders>
                    <w:tl2br w:val="nil"/>
                    <w:tr2bl w:val="nil"/>
                  </w:tcBorders>
                  <w:noWrap w:val="0"/>
                  <w:vAlign w:val="center"/>
                </w:tcPr>
                <w:p w14:paraId="2403F50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val="0"/>
                      <w:bCs w:val="0"/>
                      <w:color w:val="auto"/>
                      <w:kern w:val="2"/>
                      <w:sz w:val="18"/>
                      <w:szCs w:val="18"/>
                      <w:lang w:eastAsia="zh-CN"/>
                    </w:rPr>
                    <w:t>本项目不涉及上述区域。</w:t>
                  </w:r>
                </w:p>
              </w:tc>
              <w:tc>
                <w:tcPr>
                  <w:tcW w:w="481" w:type="pct"/>
                  <w:tcBorders>
                    <w:tl2br w:val="nil"/>
                    <w:tr2bl w:val="nil"/>
                  </w:tcBorders>
                  <w:noWrap w:val="0"/>
                  <w:vAlign w:val="center"/>
                </w:tcPr>
                <w:p w14:paraId="5B0F1FF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050E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52808108">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rPr>
                    <w:t>11</w:t>
                  </w:r>
                </w:p>
              </w:tc>
              <w:tc>
                <w:tcPr>
                  <w:tcW w:w="3293" w:type="pct"/>
                  <w:tcBorders>
                    <w:tl2br w:val="nil"/>
                    <w:tr2bl w:val="nil"/>
                  </w:tcBorders>
                  <w:noWrap w:val="0"/>
                  <w:vAlign w:val="center"/>
                </w:tcPr>
                <w:p w14:paraId="40F1563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禁止在《全国重要江河湖泊水功能区划》划定的河段及湖泊保护区、保留区内投资建设不利于水资源及自然生态保护的项目。</w:t>
                  </w:r>
                </w:p>
              </w:tc>
              <w:tc>
                <w:tcPr>
                  <w:tcW w:w="873" w:type="pct"/>
                  <w:tcBorders>
                    <w:tl2br w:val="nil"/>
                    <w:tr2bl w:val="nil"/>
                  </w:tcBorders>
                  <w:noWrap w:val="0"/>
                  <w:vAlign w:val="center"/>
                </w:tcPr>
                <w:p w14:paraId="76C96B65">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val="0"/>
                      <w:bCs w:val="0"/>
                      <w:color w:val="auto"/>
                      <w:kern w:val="2"/>
                      <w:sz w:val="18"/>
                      <w:szCs w:val="18"/>
                      <w:lang w:eastAsia="zh-CN"/>
                    </w:rPr>
                    <w:t>本项目不涉及上述区域。</w:t>
                  </w:r>
                </w:p>
              </w:tc>
              <w:tc>
                <w:tcPr>
                  <w:tcW w:w="481" w:type="pct"/>
                  <w:tcBorders>
                    <w:tl2br w:val="nil"/>
                    <w:tr2bl w:val="nil"/>
                  </w:tcBorders>
                  <w:noWrap w:val="0"/>
                  <w:vAlign w:val="center"/>
                </w:tcPr>
                <w:p w14:paraId="0108EE31">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2305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0A65AEEB">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12</w:t>
                  </w:r>
                </w:p>
              </w:tc>
              <w:tc>
                <w:tcPr>
                  <w:tcW w:w="3293" w:type="pct"/>
                  <w:tcBorders>
                    <w:tl2br w:val="nil"/>
                    <w:tr2bl w:val="nil"/>
                  </w:tcBorders>
                  <w:noWrap w:val="0"/>
                  <w:vAlign w:val="center"/>
                </w:tcPr>
                <w:p w14:paraId="01E7A8B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rPr>
                    <w:t>禁止在长江流域江河、湖泊新设、改设或者扩大排污口，经有管辖权的生态环境主管部门或者长江流域生态环境监督管理机构同意的除外</w:t>
                  </w:r>
                  <w:r>
                    <w:rPr>
                      <w:rFonts w:hint="default" w:ascii="Times New Roman" w:hAnsi="Times New Roman" w:eastAsia="宋体" w:cs="Times New Roman"/>
                      <w:color w:val="auto"/>
                      <w:kern w:val="2"/>
                      <w:sz w:val="18"/>
                      <w:szCs w:val="18"/>
                      <w:lang w:eastAsia="zh-CN"/>
                    </w:rPr>
                    <w:t>。</w:t>
                  </w:r>
                </w:p>
              </w:tc>
              <w:tc>
                <w:tcPr>
                  <w:tcW w:w="873" w:type="pct"/>
                  <w:tcBorders>
                    <w:tl2br w:val="nil"/>
                    <w:tr2bl w:val="nil"/>
                  </w:tcBorders>
                  <w:noWrap w:val="0"/>
                  <w:vAlign w:val="center"/>
                </w:tcPr>
                <w:p w14:paraId="5112249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项目不涉及新增排污口。</w:t>
                  </w:r>
                </w:p>
              </w:tc>
              <w:tc>
                <w:tcPr>
                  <w:tcW w:w="481" w:type="pct"/>
                  <w:tcBorders>
                    <w:tl2br w:val="nil"/>
                    <w:tr2bl w:val="nil"/>
                  </w:tcBorders>
                  <w:noWrap w:val="0"/>
                  <w:vAlign w:val="center"/>
                </w:tcPr>
                <w:p w14:paraId="5A2A60E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1767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476B9E8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13</w:t>
                  </w:r>
                </w:p>
              </w:tc>
              <w:tc>
                <w:tcPr>
                  <w:tcW w:w="3293" w:type="pct"/>
                  <w:tcBorders>
                    <w:tl2br w:val="nil"/>
                    <w:tr2bl w:val="nil"/>
                  </w:tcBorders>
                  <w:noWrap w:val="0"/>
                  <w:vAlign w:val="center"/>
                </w:tcPr>
                <w:p w14:paraId="5713BD6B">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禁止在长江</w:t>
                  </w:r>
                  <w:r>
                    <w:rPr>
                      <w:rFonts w:hint="default" w:ascii="Times New Roman" w:hAnsi="Times New Roman" w:eastAsia="宋体" w:cs="Times New Roman"/>
                      <w:color w:val="auto"/>
                      <w:kern w:val="2"/>
                      <w:sz w:val="18"/>
                      <w:szCs w:val="18"/>
                      <w:lang w:eastAsia="zh-CN"/>
                    </w:rPr>
                    <w:t>干流</w:t>
                  </w:r>
                  <w:r>
                    <w:rPr>
                      <w:rFonts w:hint="default" w:ascii="Times New Roman" w:hAnsi="Times New Roman" w:eastAsia="宋体" w:cs="Times New Roman"/>
                      <w:color w:val="auto"/>
                      <w:kern w:val="2"/>
                      <w:sz w:val="18"/>
                      <w:szCs w:val="18"/>
                    </w:rPr>
                    <w:t>、大渡河、岷江、赤水河、沱江、嘉陵江、乌江、汉江和51个</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四川省45个、重庆市6个</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水生生物保护区开展生产性捕捞。</w:t>
                  </w:r>
                </w:p>
              </w:tc>
              <w:tc>
                <w:tcPr>
                  <w:tcW w:w="873" w:type="pct"/>
                  <w:tcBorders>
                    <w:tl2br w:val="nil"/>
                    <w:tr2bl w:val="nil"/>
                  </w:tcBorders>
                  <w:noWrap w:val="0"/>
                  <w:vAlign w:val="center"/>
                </w:tcPr>
                <w:p w14:paraId="020F1B04">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本项目不涉及</w:t>
                  </w:r>
                  <w:r>
                    <w:rPr>
                      <w:rFonts w:hint="default" w:ascii="Times New Roman" w:hAnsi="Times New Roman" w:eastAsia="宋体" w:cs="Times New Roman"/>
                      <w:b w:val="0"/>
                      <w:bCs w:val="0"/>
                      <w:color w:val="auto"/>
                      <w:kern w:val="2"/>
                      <w:sz w:val="18"/>
                      <w:szCs w:val="18"/>
                    </w:rPr>
                    <w:t>生产性捕捞</w:t>
                  </w:r>
                  <w:r>
                    <w:rPr>
                      <w:rFonts w:hint="default" w:ascii="Times New Roman" w:hAnsi="Times New Roman" w:eastAsia="宋体" w:cs="Times New Roman"/>
                      <w:b w:val="0"/>
                      <w:bCs w:val="0"/>
                      <w:color w:val="auto"/>
                      <w:kern w:val="2"/>
                      <w:sz w:val="18"/>
                      <w:szCs w:val="18"/>
                      <w:lang w:eastAsia="zh-CN"/>
                    </w:rPr>
                    <w:t>。</w:t>
                  </w:r>
                </w:p>
              </w:tc>
              <w:tc>
                <w:tcPr>
                  <w:tcW w:w="481" w:type="pct"/>
                  <w:tcBorders>
                    <w:tl2br w:val="nil"/>
                    <w:tr2bl w:val="nil"/>
                  </w:tcBorders>
                  <w:noWrap w:val="0"/>
                  <w:vAlign w:val="center"/>
                </w:tcPr>
                <w:p w14:paraId="6F108CD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7BCD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63B92451">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14</w:t>
                  </w:r>
                </w:p>
              </w:tc>
              <w:tc>
                <w:tcPr>
                  <w:tcW w:w="3293" w:type="pct"/>
                  <w:tcBorders>
                    <w:tl2br w:val="nil"/>
                    <w:tr2bl w:val="nil"/>
                  </w:tcBorders>
                  <w:noWrap w:val="0"/>
                  <w:vAlign w:val="center"/>
                </w:tcPr>
                <w:p w14:paraId="457C071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rPr>
                    <w:t>禁止在长江干支流、重要湖泊岸线一公里范围内新建、扩建化工园区和化工</w:t>
                  </w:r>
                  <w:r>
                    <w:rPr>
                      <w:rFonts w:hint="default" w:ascii="Times New Roman" w:hAnsi="Times New Roman" w:eastAsia="宋体" w:cs="Times New Roman"/>
                      <w:color w:val="auto"/>
                      <w:kern w:val="2"/>
                      <w:sz w:val="18"/>
                      <w:szCs w:val="18"/>
                      <w:lang w:eastAsia="zh-CN"/>
                    </w:rPr>
                    <w:t>项目。</w:t>
                  </w:r>
                </w:p>
              </w:tc>
              <w:tc>
                <w:tcPr>
                  <w:tcW w:w="873" w:type="pct"/>
                  <w:vMerge w:val="restart"/>
                  <w:tcBorders>
                    <w:tl2br w:val="nil"/>
                    <w:tr2bl w:val="nil"/>
                  </w:tcBorders>
                  <w:noWrap w:val="0"/>
                  <w:vAlign w:val="center"/>
                </w:tcPr>
                <w:p w14:paraId="276198F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val="en-US" w:eastAsia="zh-CN"/>
                    </w:rPr>
                  </w:pPr>
                  <w:r>
                    <w:rPr>
                      <w:rFonts w:hint="default" w:ascii="Times New Roman" w:hAnsi="Times New Roman" w:eastAsia="宋体" w:cs="Times New Roman"/>
                      <w:bCs/>
                      <w:color w:val="auto"/>
                      <w:sz w:val="18"/>
                      <w:szCs w:val="18"/>
                    </w:rPr>
                    <w:t>本项目</w:t>
                  </w:r>
                  <w:r>
                    <w:rPr>
                      <w:rFonts w:hint="default" w:ascii="Times New Roman" w:hAnsi="Times New Roman" w:eastAsia="宋体" w:cs="Times New Roman"/>
                      <w:color w:val="auto"/>
                      <w:sz w:val="18"/>
                      <w:szCs w:val="18"/>
                      <w:lang w:eastAsia="zh-CN"/>
                    </w:rPr>
                    <w:t>不属于上述</w:t>
                  </w:r>
                  <w:r>
                    <w:rPr>
                      <w:rFonts w:hint="default" w:ascii="Times New Roman" w:hAnsi="Times New Roman" w:eastAsia="宋体" w:cs="Times New Roman"/>
                      <w:color w:val="auto"/>
                      <w:kern w:val="2"/>
                      <w:sz w:val="18"/>
                      <w:szCs w:val="18"/>
                      <w:lang w:eastAsia="zh-CN"/>
                    </w:rPr>
                    <w:t>项目。</w:t>
                  </w:r>
                </w:p>
              </w:tc>
              <w:tc>
                <w:tcPr>
                  <w:tcW w:w="481" w:type="pct"/>
                  <w:tcBorders>
                    <w:tl2br w:val="nil"/>
                    <w:tr2bl w:val="nil"/>
                  </w:tcBorders>
                  <w:noWrap w:val="0"/>
                  <w:vAlign w:val="center"/>
                </w:tcPr>
                <w:p w14:paraId="03BD8CDA">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6C6E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3BE2E246">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15</w:t>
                  </w:r>
                </w:p>
              </w:tc>
              <w:tc>
                <w:tcPr>
                  <w:tcW w:w="3293" w:type="pct"/>
                  <w:tcBorders>
                    <w:tl2br w:val="nil"/>
                    <w:tr2bl w:val="nil"/>
                  </w:tcBorders>
                  <w:noWrap w:val="0"/>
                  <w:vAlign w:val="center"/>
                </w:tcPr>
                <w:p w14:paraId="04037CF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禁止在长江干流岸线三公里范围内和重要支流岸线一公里范围内新建、改建、扩建尾矿库、冶炼渣库、磷石膏库，以提升安全、生态环境保护水平为目的的改建除外。</w:t>
                  </w:r>
                </w:p>
              </w:tc>
              <w:tc>
                <w:tcPr>
                  <w:tcW w:w="873" w:type="pct"/>
                  <w:vMerge w:val="continue"/>
                  <w:tcBorders>
                    <w:tl2br w:val="nil"/>
                    <w:tr2bl w:val="nil"/>
                  </w:tcBorders>
                  <w:noWrap w:val="0"/>
                  <w:vAlign w:val="center"/>
                </w:tcPr>
                <w:p w14:paraId="2557704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rPr>
                  </w:pPr>
                </w:p>
              </w:tc>
              <w:tc>
                <w:tcPr>
                  <w:tcW w:w="481" w:type="pct"/>
                  <w:tcBorders>
                    <w:tl2br w:val="nil"/>
                    <w:tr2bl w:val="nil"/>
                  </w:tcBorders>
                  <w:noWrap w:val="0"/>
                  <w:vAlign w:val="center"/>
                </w:tcPr>
                <w:p w14:paraId="448989A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0D28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1C581BE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16</w:t>
                  </w:r>
                </w:p>
              </w:tc>
              <w:tc>
                <w:tcPr>
                  <w:tcW w:w="3293" w:type="pct"/>
                  <w:tcBorders>
                    <w:tl2br w:val="nil"/>
                    <w:tr2bl w:val="nil"/>
                  </w:tcBorders>
                  <w:noWrap w:val="0"/>
                  <w:vAlign w:val="center"/>
                </w:tcPr>
                <w:p w14:paraId="5434E36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禁止在生态保护红线区域、永久基本农田集中区域和其他需要特别保护的区域内选址建设尾矿库、冶炼渣库、磷石膏库。</w:t>
                  </w:r>
                </w:p>
              </w:tc>
              <w:tc>
                <w:tcPr>
                  <w:tcW w:w="873" w:type="pct"/>
                  <w:tcBorders>
                    <w:tl2br w:val="nil"/>
                    <w:tr2bl w:val="nil"/>
                  </w:tcBorders>
                  <w:noWrap w:val="0"/>
                  <w:vAlign w:val="center"/>
                </w:tcPr>
                <w:p w14:paraId="215D3A8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rPr>
                  </w:pPr>
                  <w:r>
                    <w:rPr>
                      <w:rFonts w:hint="default" w:ascii="Times New Roman" w:hAnsi="Times New Roman" w:eastAsia="宋体" w:cs="Times New Roman"/>
                      <w:b w:val="0"/>
                      <w:bCs w:val="0"/>
                      <w:color w:val="auto"/>
                      <w:kern w:val="2"/>
                      <w:sz w:val="18"/>
                      <w:szCs w:val="18"/>
                      <w:lang w:eastAsia="zh-CN"/>
                    </w:rPr>
                    <w:t>本项目不涉及上述区域，且不属于上述项目。</w:t>
                  </w:r>
                </w:p>
              </w:tc>
              <w:tc>
                <w:tcPr>
                  <w:tcW w:w="481" w:type="pct"/>
                  <w:tcBorders>
                    <w:tl2br w:val="nil"/>
                    <w:tr2bl w:val="nil"/>
                  </w:tcBorders>
                  <w:noWrap w:val="0"/>
                  <w:vAlign w:val="center"/>
                </w:tcPr>
                <w:p w14:paraId="74CC907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6753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2F26A484">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17</w:t>
                  </w:r>
                </w:p>
              </w:tc>
              <w:tc>
                <w:tcPr>
                  <w:tcW w:w="3293" w:type="pct"/>
                  <w:tcBorders>
                    <w:tl2br w:val="nil"/>
                    <w:tr2bl w:val="nil"/>
                  </w:tcBorders>
                  <w:noWrap w:val="0"/>
                  <w:vAlign w:val="center"/>
                </w:tcPr>
                <w:p w14:paraId="1DDDAF7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禁止在合规园区外新建、扩建钢铁、石化、化工、焦化、建材、有色、制浆造纸等高污染项目。</w:t>
                  </w:r>
                </w:p>
              </w:tc>
              <w:tc>
                <w:tcPr>
                  <w:tcW w:w="873" w:type="pct"/>
                  <w:tcBorders>
                    <w:tl2br w:val="nil"/>
                    <w:tr2bl w:val="nil"/>
                  </w:tcBorders>
                  <w:noWrap w:val="0"/>
                  <w:vAlign w:val="center"/>
                </w:tcPr>
                <w:p w14:paraId="3ED28579">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本项目不属于上述项目。</w:t>
                  </w:r>
                </w:p>
              </w:tc>
              <w:tc>
                <w:tcPr>
                  <w:tcW w:w="481" w:type="pct"/>
                  <w:tcBorders>
                    <w:tl2br w:val="nil"/>
                    <w:tr2bl w:val="nil"/>
                  </w:tcBorders>
                  <w:noWrap w:val="0"/>
                  <w:vAlign w:val="center"/>
                </w:tcPr>
                <w:p w14:paraId="1229D096">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08DD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tl2br w:val="nil"/>
                    <w:tr2bl w:val="nil"/>
                  </w:tcBorders>
                  <w:noWrap w:val="0"/>
                  <w:vAlign w:val="center"/>
                </w:tcPr>
                <w:p w14:paraId="5CC2B6CA">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18</w:t>
                  </w:r>
                </w:p>
              </w:tc>
              <w:tc>
                <w:tcPr>
                  <w:tcW w:w="3293" w:type="pct"/>
                  <w:tcBorders>
                    <w:tl2br w:val="nil"/>
                    <w:tr2bl w:val="nil"/>
                  </w:tcBorders>
                  <w:noWrap w:val="0"/>
                  <w:vAlign w:val="center"/>
                </w:tcPr>
                <w:p w14:paraId="6398973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禁止新建、扩建不符合国家石化、现代煤化工等产业布局规划的项目。</w:t>
                  </w:r>
                </w:p>
                <w:p w14:paraId="06DEB43A">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（一）</w:t>
                  </w:r>
                  <w:r>
                    <w:rPr>
                      <w:rFonts w:hint="default" w:ascii="Times New Roman" w:hAnsi="Times New Roman" w:eastAsia="宋体" w:cs="Times New Roman"/>
                      <w:color w:val="auto"/>
                      <w:kern w:val="2"/>
                      <w:sz w:val="18"/>
                      <w:szCs w:val="18"/>
                    </w:rPr>
                    <w:t>严格控制新增炼油产能，未列入《石化产业规划布局方案</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修订版</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》的新增炼油产能一律不得建设。</w:t>
                  </w:r>
                </w:p>
                <w:p w14:paraId="340C20B0">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二</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新建煤制烯烃、煤制芳烃项目必须列入《现代煤化工产业创新发展布局方案》，必须符合《现代煤化工建设项目环境准入条件</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试行</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》要求。</w:t>
                  </w:r>
                </w:p>
              </w:tc>
              <w:tc>
                <w:tcPr>
                  <w:tcW w:w="873" w:type="pct"/>
                  <w:tcBorders>
                    <w:tl2br w:val="nil"/>
                    <w:tr2bl w:val="nil"/>
                  </w:tcBorders>
                  <w:noWrap w:val="0"/>
                  <w:vAlign w:val="center"/>
                </w:tcPr>
                <w:p w14:paraId="7033689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本项目不属于石化、现代煤化工项目。</w:t>
                  </w:r>
                </w:p>
              </w:tc>
              <w:tc>
                <w:tcPr>
                  <w:tcW w:w="481" w:type="pct"/>
                  <w:tcBorders>
                    <w:tl2br w:val="nil"/>
                    <w:tr2bl w:val="nil"/>
                  </w:tcBorders>
                  <w:noWrap w:val="0"/>
                  <w:vAlign w:val="center"/>
                </w:tcPr>
                <w:p w14:paraId="2F9AAAF2">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2A5D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191392A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19</w:t>
                  </w:r>
                </w:p>
              </w:tc>
              <w:tc>
                <w:tcPr>
                  <w:tcW w:w="3293" w:type="pct"/>
                  <w:tcBorders>
                    <w:tl2br w:val="nil"/>
                    <w:tr2bl w:val="nil"/>
                  </w:tcBorders>
                  <w:noWrap w:val="0"/>
                  <w:vAlign w:val="center"/>
                </w:tcPr>
                <w:p w14:paraId="38B60EC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873" w:type="pct"/>
                  <w:tcBorders>
                    <w:tl2br w:val="nil"/>
                    <w:tr2bl w:val="nil"/>
                  </w:tcBorders>
                  <w:noWrap w:val="0"/>
                  <w:vAlign w:val="center"/>
                </w:tcPr>
                <w:p w14:paraId="7E0B9508">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本项目属于允许类项目。</w:t>
                  </w:r>
                </w:p>
              </w:tc>
              <w:tc>
                <w:tcPr>
                  <w:tcW w:w="481" w:type="pct"/>
                  <w:tcBorders>
                    <w:tl2br w:val="nil"/>
                    <w:tr2bl w:val="nil"/>
                  </w:tcBorders>
                  <w:noWrap w:val="0"/>
                  <w:vAlign w:val="center"/>
                </w:tcPr>
                <w:p w14:paraId="0997AE31">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79B7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1A4DE4C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20</w:t>
                  </w:r>
                </w:p>
              </w:tc>
              <w:tc>
                <w:tcPr>
                  <w:tcW w:w="3293" w:type="pct"/>
                  <w:tcBorders>
                    <w:tl2br w:val="nil"/>
                    <w:tr2bl w:val="nil"/>
                  </w:tcBorders>
                  <w:noWrap w:val="0"/>
                  <w:vAlign w:val="center"/>
                </w:tcPr>
                <w:p w14:paraId="28D021BE">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禁止新建、扩建不符合国家产能置换要求的严重过剩产能行业的项目。对于不符合国家产能置换要求的严重过剩产能行业，不得以其他任何名义、任何方式备案新增产能项目。</w:t>
                  </w:r>
                </w:p>
              </w:tc>
              <w:tc>
                <w:tcPr>
                  <w:tcW w:w="873" w:type="pct"/>
                  <w:tcBorders>
                    <w:tl2br w:val="nil"/>
                    <w:tr2bl w:val="nil"/>
                  </w:tcBorders>
                  <w:noWrap w:val="0"/>
                  <w:vAlign w:val="center"/>
                </w:tcPr>
                <w:p w14:paraId="4B2487D5">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val="0"/>
                      <w:bCs w:val="0"/>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本项目不属于产能过剩项目。</w:t>
                  </w:r>
                </w:p>
              </w:tc>
              <w:tc>
                <w:tcPr>
                  <w:tcW w:w="481" w:type="pct"/>
                  <w:tcBorders>
                    <w:tl2br w:val="nil"/>
                    <w:tr2bl w:val="nil"/>
                  </w:tcBorders>
                  <w:noWrap w:val="0"/>
                  <w:vAlign w:val="center"/>
                </w:tcPr>
                <w:p w14:paraId="63F871E8">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37F3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tl2br w:val="nil"/>
                    <w:tr2bl w:val="nil"/>
                  </w:tcBorders>
                  <w:noWrap w:val="0"/>
                  <w:vAlign w:val="center"/>
                </w:tcPr>
                <w:p w14:paraId="39C3036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21</w:t>
                  </w:r>
                </w:p>
              </w:tc>
              <w:tc>
                <w:tcPr>
                  <w:tcW w:w="3293" w:type="pct"/>
                  <w:tcBorders>
                    <w:tl2br w:val="nil"/>
                    <w:tr2bl w:val="nil"/>
                  </w:tcBorders>
                  <w:noWrap w:val="0"/>
                  <w:vAlign w:val="center"/>
                </w:tcPr>
                <w:p w14:paraId="5DFF296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禁止建设以下燃油汽车投资项目</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不在中国境内销售产品的投资项目除外</w:t>
                  </w:r>
                  <w:r>
                    <w:rPr>
                      <w:rFonts w:hint="default" w:ascii="Times New Roman" w:hAnsi="Times New Roman" w:eastAsia="宋体" w:cs="Times New Roman"/>
                      <w:color w:val="auto"/>
                      <w:kern w:val="2"/>
                      <w:sz w:val="18"/>
                      <w:szCs w:val="18"/>
                      <w:lang w:eastAsia="zh-CN"/>
                    </w:rPr>
                    <w:t>）</w:t>
                  </w:r>
                  <w:r>
                    <w:rPr>
                      <w:rFonts w:hint="eastAsia" w:ascii="Times New Roman" w:hAnsi="Times New Roman" w:cs="Times New Roman"/>
                      <w:color w:val="auto"/>
                      <w:kern w:val="2"/>
                      <w:sz w:val="18"/>
                      <w:szCs w:val="18"/>
                      <w:lang w:eastAsia="zh-CN"/>
                    </w:rPr>
                    <w:t>：</w:t>
                  </w:r>
                </w:p>
                <w:p w14:paraId="79FF2857">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一</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新建独立燃油汽车企业</w:t>
                  </w:r>
                  <w:r>
                    <w:rPr>
                      <w:rFonts w:hint="default" w:ascii="Times New Roman" w:hAnsi="Times New Roman" w:eastAsia="宋体" w:cs="Times New Roman"/>
                      <w:color w:val="auto"/>
                      <w:kern w:val="2"/>
                      <w:sz w:val="18"/>
                      <w:szCs w:val="18"/>
                      <w:lang w:eastAsia="zh-CN"/>
                    </w:rPr>
                    <w:t>；</w:t>
                  </w:r>
                </w:p>
                <w:p w14:paraId="0F842C93">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二</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现有汽车企业跨乘用车、商用车类别建设燃油汽车生产能力</w:t>
                  </w:r>
                  <w:r>
                    <w:rPr>
                      <w:rFonts w:hint="default" w:ascii="Times New Roman" w:hAnsi="Times New Roman" w:eastAsia="宋体" w:cs="Times New Roman"/>
                      <w:color w:val="auto"/>
                      <w:kern w:val="2"/>
                      <w:sz w:val="18"/>
                      <w:szCs w:val="18"/>
                      <w:lang w:eastAsia="zh-CN"/>
                    </w:rPr>
                    <w:t>；</w:t>
                  </w:r>
                </w:p>
                <w:p w14:paraId="0A907B5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三</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外省现有燃油汽车企业整体搬迁至本省</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列入国家级区域发展规划或不改变企业股权结构的项目除外</w:t>
                  </w:r>
                  <w:r>
                    <w:rPr>
                      <w:rFonts w:hint="default" w:ascii="Times New Roman" w:hAnsi="Times New Roman" w:eastAsia="宋体" w:cs="Times New Roman"/>
                      <w:color w:val="auto"/>
                      <w:kern w:val="2"/>
                      <w:sz w:val="18"/>
                      <w:szCs w:val="18"/>
                      <w:lang w:eastAsia="zh-CN"/>
                    </w:rPr>
                    <w:t>）；</w:t>
                  </w:r>
                </w:p>
                <w:p w14:paraId="76CB5895">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四</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对行业管理部门特别公示的燃油汽车企业进行投资</w:t>
                  </w:r>
                  <w:r>
                    <w:rPr>
                      <w:rFonts w:hint="default"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企业原有股东投资或将该企业转为非独立法人的投资项目除</w:t>
                  </w:r>
                  <w:r>
                    <w:rPr>
                      <w:rFonts w:hint="default" w:ascii="Times New Roman" w:hAnsi="Times New Roman" w:eastAsia="宋体" w:cs="Times New Roman"/>
                      <w:color w:val="auto"/>
                      <w:kern w:val="2"/>
                      <w:sz w:val="18"/>
                      <w:szCs w:val="18"/>
                      <w:lang w:eastAsia="zh-CN"/>
                    </w:rPr>
                    <w:t>外）。</w:t>
                  </w:r>
                </w:p>
              </w:tc>
              <w:tc>
                <w:tcPr>
                  <w:tcW w:w="873" w:type="pct"/>
                  <w:tcBorders>
                    <w:tl2br w:val="nil"/>
                    <w:tr2bl w:val="nil"/>
                  </w:tcBorders>
                  <w:noWrap w:val="0"/>
                  <w:vAlign w:val="center"/>
                </w:tcPr>
                <w:p w14:paraId="578A78ED">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b/>
                      <w:bCs/>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w:t>
                  </w:r>
                  <w:r>
                    <w:rPr>
                      <w:rFonts w:hint="default" w:ascii="Times New Roman" w:hAnsi="Times New Roman" w:eastAsia="宋体" w:cs="Times New Roman"/>
                      <w:color w:val="auto"/>
                      <w:kern w:val="2"/>
                      <w:sz w:val="18"/>
                      <w:szCs w:val="18"/>
                      <w:lang w:eastAsia="zh-CN"/>
                    </w:rPr>
                    <w:t>不属于</w:t>
                  </w:r>
                  <w:r>
                    <w:rPr>
                      <w:rFonts w:hint="default" w:ascii="Times New Roman" w:hAnsi="Times New Roman" w:eastAsia="宋体" w:cs="Times New Roman"/>
                      <w:color w:val="auto"/>
                      <w:kern w:val="2"/>
                      <w:sz w:val="18"/>
                      <w:szCs w:val="18"/>
                    </w:rPr>
                    <w:t>燃油汽车</w:t>
                  </w:r>
                  <w:r>
                    <w:rPr>
                      <w:rFonts w:hint="default" w:ascii="Times New Roman" w:hAnsi="Times New Roman" w:eastAsia="宋体" w:cs="Times New Roman"/>
                      <w:color w:val="auto"/>
                      <w:kern w:val="2"/>
                      <w:sz w:val="18"/>
                      <w:szCs w:val="18"/>
                      <w:lang w:eastAsia="zh-CN"/>
                    </w:rPr>
                    <w:t>生产项目。</w:t>
                  </w:r>
                </w:p>
              </w:tc>
              <w:tc>
                <w:tcPr>
                  <w:tcW w:w="481" w:type="pct"/>
                  <w:tcBorders>
                    <w:tl2br w:val="nil"/>
                    <w:tr2bl w:val="nil"/>
                  </w:tcBorders>
                  <w:noWrap w:val="0"/>
                  <w:vAlign w:val="center"/>
                </w:tcPr>
                <w:p w14:paraId="07DB291A">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eastAsia="zh-CN"/>
                    </w:rPr>
                    <w:t>符合</w:t>
                  </w:r>
                </w:p>
              </w:tc>
            </w:tr>
            <w:tr w14:paraId="4D86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51" w:type="pct"/>
                  <w:tcBorders>
                    <w:tl2br w:val="nil"/>
                    <w:tr2bl w:val="nil"/>
                  </w:tcBorders>
                  <w:noWrap w:val="0"/>
                  <w:vAlign w:val="center"/>
                </w:tcPr>
                <w:p w14:paraId="1589B465">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22</w:t>
                  </w:r>
                </w:p>
              </w:tc>
              <w:tc>
                <w:tcPr>
                  <w:tcW w:w="3293" w:type="pct"/>
                  <w:tcBorders>
                    <w:tl2br w:val="nil"/>
                    <w:tr2bl w:val="nil"/>
                  </w:tcBorders>
                  <w:noWrap w:val="0"/>
                  <w:vAlign w:val="center"/>
                </w:tcPr>
                <w:p w14:paraId="70251F1E">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left"/>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禁止新建、扩建不符合要求的高耗能、高排放、低水平项目。</w:t>
                  </w:r>
                </w:p>
              </w:tc>
              <w:tc>
                <w:tcPr>
                  <w:tcW w:w="873" w:type="pct"/>
                  <w:tcBorders>
                    <w:tl2br w:val="nil"/>
                    <w:tr2bl w:val="nil"/>
                  </w:tcBorders>
                  <w:noWrap w:val="0"/>
                  <w:vAlign w:val="center"/>
                </w:tcPr>
                <w:p w14:paraId="0BFCD22C">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b w:val="0"/>
                      <w:bCs w:val="0"/>
                      <w:color w:val="auto"/>
                      <w:kern w:val="2"/>
                      <w:sz w:val="18"/>
                      <w:szCs w:val="18"/>
                      <w:lang w:eastAsia="zh-CN"/>
                    </w:rPr>
                    <w:t>本项目以上</w:t>
                  </w:r>
                  <w:r>
                    <w:rPr>
                      <w:rFonts w:hint="default" w:ascii="Times New Roman" w:hAnsi="Times New Roman" w:eastAsia="宋体" w:cs="Times New Roman"/>
                      <w:color w:val="auto"/>
                      <w:kern w:val="2"/>
                      <w:sz w:val="18"/>
                      <w:szCs w:val="18"/>
                      <w:lang w:eastAsia="zh-CN"/>
                    </w:rPr>
                    <w:t>不属于。</w:t>
                  </w:r>
                </w:p>
              </w:tc>
              <w:tc>
                <w:tcPr>
                  <w:tcW w:w="481" w:type="pct"/>
                  <w:tcBorders>
                    <w:tl2br w:val="nil"/>
                    <w:tr2bl w:val="nil"/>
                  </w:tcBorders>
                  <w:noWrap w:val="0"/>
                  <w:vAlign w:val="center"/>
                </w:tcPr>
                <w:p w14:paraId="6CF9259F">
                  <w:pPr>
                    <w:keepNext w:val="0"/>
                    <w:keepLines w:val="0"/>
                    <w:pageBreakBefore w:val="0"/>
                    <w:widowControl w:val="0"/>
                    <w:kinsoku/>
                    <w:wordWrap/>
                    <w:overflowPunct/>
                    <w:topLinePunct w:val="0"/>
                    <w:autoSpaceDE/>
                    <w:autoSpaceDN/>
                    <w:bidi w:val="0"/>
                    <w:adjustRightInd w:val="0"/>
                    <w:snapToGrid w:val="0"/>
                    <w:spacing w:after="0" w:line="240" w:lineRule="auto"/>
                    <w:ind w:left="-57" w:right="-57"/>
                    <w:jc w:val="center"/>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符合</w:t>
                  </w:r>
                </w:p>
              </w:tc>
            </w:tr>
          </w:tbl>
          <w:p w14:paraId="059C3DB4">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5、与《动物诊疗机构管理办法》（农业农村部令</w:t>
            </w:r>
            <w:r>
              <w:rPr>
                <w:rFonts w:hint="default" w:ascii="Times New Roman" w:hAnsi="Times New Roman" w:eastAsia="宋体" w:cs="Times New Roman"/>
                <w:b/>
                <w:bCs/>
                <w:color w:val="auto"/>
                <w:kern w:val="0"/>
                <w:szCs w:val="21"/>
                <w:lang w:val="en-US" w:eastAsia="zh-CN"/>
              </w:rPr>
              <w:t>2022</w:t>
            </w:r>
            <w:r>
              <w:rPr>
                <w:rFonts w:hint="eastAsia" w:ascii="Times New Roman" w:hAnsi="Times New Roman" w:eastAsia="宋体" w:cs="Times New Roman"/>
                <w:b/>
                <w:bCs/>
                <w:color w:val="auto"/>
                <w:kern w:val="0"/>
                <w:szCs w:val="21"/>
                <w:lang w:val="en-US" w:eastAsia="zh-CN"/>
              </w:rPr>
              <w:t>年第</w:t>
            </w:r>
            <w:r>
              <w:rPr>
                <w:rFonts w:hint="default" w:ascii="Times New Roman" w:hAnsi="Times New Roman" w:eastAsia="宋体" w:cs="Times New Roman"/>
                <w:b/>
                <w:bCs/>
                <w:color w:val="auto"/>
                <w:kern w:val="0"/>
                <w:szCs w:val="21"/>
                <w:lang w:val="en-US" w:eastAsia="zh-CN"/>
              </w:rPr>
              <w:t>5</w:t>
            </w:r>
            <w:r>
              <w:rPr>
                <w:rFonts w:hint="eastAsia" w:ascii="Times New Roman" w:hAnsi="Times New Roman" w:eastAsia="宋体" w:cs="Times New Roman"/>
                <w:b/>
                <w:bCs/>
                <w:color w:val="auto"/>
                <w:kern w:val="0"/>
                <w:szCs w:val="21"/>
                <w:lang w:val="en-US" w:eastAsia="zh-CN"/>
              </w:rPr>
              <w:t>号）符合性分析</w:t>
            </w:r>
          </w:p>
          <w:p w14:paraId="7A426E68">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对照《动物诊疗机构管理办法》（农业农村部令2022年第5号）中选址等相关要求进行分析，见表1-6，根据分析情况来看，项目符合《动物诊疗机构管理办法》的管理要求。</w:t>
            </w:r>
          </w:p>
          <w:p w14:paraId="5A241887">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表1-</w:t>
            </w:r>
            <w:r>
              <w:rPr>
                <w:rFonts w:hint="eastAsia" w:ascii="Times New Roman" w:hAnsi="Times New Roman" w:eastAsia="宋体" w:cs="Times New Roman"/>
                <w:b/>
                <w:bCs/>
                <w:color w:val="auto"/>
                <w:kern w:val="0"/>
                <w:sz w:val="21"/>
                <w:szCs w:val="21"/>
                <w:lang w:val="en-US" w:eastAsia="zh-CN" w:bidi="ar-SA"/>
              </w:rPr>
              <w:t>6</w:t>
            </w:r>
            <w:r>
              <w:rPr>
                <w:rFonts w:hint="default" w:ascii="Times New Roman" w:hAnsi="Times New Roman" w:eastAsia="宋体" w:cs="Times New Roman"/>
                <w:b/>
                <w:bCs/>
                <w:color w:val="auto"/>
                <w:kern w:val="0"/>
                <w:sz w:val="21"/>
                <w:szCs w:val="21"/>
                <w:lang w:val="en-US" w:eastAsia="zh-CN" w:bidi="ar-SA"/>
              </w:rPr>
              <w:t xml:space="preserve">  与</w:t>
            </w:r>
            <w:r>
              <w:rPr>
                <w:rFonts w:hint="eastAsia" w:ascii="Times New Roman" w:hAnsi="Times New Roman" w:eastAsia="宋体" w:cs="Times New Roman"/>
                <w:b/>
                <w:bCs/>
                <w:color w:val="auto"/>
                <w:kern w:val="0"/>
                <w:sz w:val="21"/>
                <w:szCs w:val="21"/>
                <w:lang w:val="en-US" w:eastAsia="zh-CN" w:bidi="ar-SA"/>
              </w:rPr>
              <w:t>《动物诊疗机构管理办法》</w:t>
            </w:r>
            <w:r>
              <w:rPr>
                <w:rFonts w:hint="default" w:ascii="Times New Roman" w:hAnsi="Times New Roman" w:eastAsia="宋体" w:cs="Times New Roman"/>
                <w:b/>
                <w:bCs/>
                <w:color w:val="auto"/>
                <w:kern w:val="0"/>
                <w:sz w:val="21"/>
                <w:szCs w:val="21"/>
                <w:lang w:val="en-US" w:eastAsia="zh-CN" w:bidi="ar-SA"/>
              </w:rPr>
              <w:t>的符合性分析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976"/>
              <w:gridCol w:w="2499"/>
              <w:gridCol w:w="727"/>
            </w:tblGrid>
            <w:tr w14:paraId="0D4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3010CC9E">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序号</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9283694">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动物诊疗结构管理办法相关条例</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68E9496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本项目情况</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055F6260">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符合性</w:t>
                  </w:r>
                </w:p>
              </w:tc>
            </w:tr>
            <w:tr w14:paraId="0AE6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39AEAC95">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1</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71767934">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有固定的动物诊疗场所，且动物诊疗场所使用面积符合省、自治区、直辖市人民政府</w:t>
                  </w:r>
                  <w:r>
                    <w:rPr>
                      <w:rFonts w:hint="eastAsia" w:ascii="Times New Roman" w:hAnsi="Times New Roman" w:eastAsia="宋体" w:cs="Times New Roman"/>
                      <w:color w:val="auto"/>
                      <w:kern w:val="2"/>
                      <w:sz w:val="18"/>
                      <w:szCs w:val="18"/>
                    </w:rPr>
                    <w:t>农业农村主管部门的规定</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4318F60D">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项目具有固定诊疗场所，设施及配套较为完善</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123AECE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0C0A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40B673ED">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2</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02DC5C60">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动物诊疗场所选址距离动物饲养场、动物屠宰加工场所、经营动物的集贸市场不少于二百米</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122565F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项目周边200m范围内无动物饲养场、动物屠宰加工场所、经营动物的集贸市场</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23C92CAC">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符合</w:t>
                  </w:r>
                </w:p>
              </w:tc>
            </w:tr>
            <w:tr w14:paraId="34A4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7BF24F4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3</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552499E4">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动物诊疗场所设有独立的出入口，出入口不得设</w:t>
                  </w:r>
                  <w:r>
                    <w:rPr>
                      <w:rFonts w:hint="eastAsia" w:ascii="Times New Roman" w:hAnsi="Times New Roman" w:eastAsia="宋体" w:cs="Times New Roman"/>
                      <w:color w:val="auto"/>
                      <w:kern w:val="2"/>
                      <w:sz w:val="18"/>
                      <w:szCs w:val="18"/>
                      <w:lang w:val="en-US" w:eastAsia="zh-CN"/>
                    </w:rPr>
                    <w:t>在</w:t>
                  </w:r>
                  <w:r>
                    <w:rPr>
                      <w:rFonts w:hint="default" w:ascii="Times New Roman" w:hAnsi="Times New Roman" w:eastAsia="宋体" w:cs="Times New Roman"/>
                      <w:color w:val="auto"/>
                      <w:kern w:val="2"/>
                      <w:sz w:val="18"/>
                      <w:szCs w:val="18"/>
                    </w:rPr>
                    <w:t>居民住宅楼内或者院内，不得与同一建筑物的其他用户共用通道</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25F4E820">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项目位于</w:t>
                  </w:r>
                  <w:r>
                    <w:rPr>
                      <w:rFonts w:hint="eastAsia" w:ascii="Times New Roman" w:hAnsi="Times New Roman" w:eastAsia="宋体" w:cs="Times New Roman"/>
                      <w:color w:val="auto"/>
                      <w:kern w:val="2"/>
                      <w:sz w:val="18"/>
                      <w:szCs w:val="18"/>
                      <w:lang w:val="en-US" w:eastAsia="zh-CN"/>
                    </w:rPr>
                    <w:t>远洋城二期19栋吊2-3商业，</w:t>
                  </w:r>
                  <w:r>
                    <w:rPr>
                      <w:rFonts w:hint="default" w:ascii="Times New Roman" w:hAnsi="Times New Roman" w:eastAsia="宋体" w:cs="Times New Roman"/>
                      <w:color w:val="auto"/>
                      <w:kern w:val="2"/>
                      <w:sz w:val="18"/>
                      <w:szCs w:val="18"/>
                    </w:rPr>
                    <w:t>设有独立的出入口</w:t>
                  </w:r>
                  <w:r>
                    <w:rPr>
                      <w:rFonts w:hint="eastAsia" w:ascii="Times New Roman" w:hAnsi="Times New Roman" w:eastAsia="宋体" w:cs="Times New Roman"/>
                      <w:color w:val="auto"/>
                      <w:kern w:val="2"/>
                      <w:sz w:val="18"/>
                      <w:szCs w:val="18"/>
                      <w:lang w:eastAsia="zh-CN"/>
                    </w:rPr>
                    <w:t>，</w:t>
                  </w:r>
                  <w:r>
                    <w:rPr>
                      <w:rFonts w:hint="eastAsia" w:ascii="Times New Roman" w:hAnsi="Times New Roman" w:eastAsia="宋体" w:cs="Times New Roman"/>
                      <w:color w:val="auto"/>
                      <w:kern w:val="2"/>
                      <w:sz w:val="18"/>
                      <w:szCs w:val="18"/>
                      <w:lang w:val="en-US" w:eastAsia="zh-CN"/>
                    </w:rPr>
                    <w:t>出入口</w:t>
                  </w:r>
                  <w:r>
                    <w:rPr>
                      <w:rFonts w:hint="default" w:ascii="Times New Roman" w:hAnsi="Times New Roman" w:eastAsia="宋体" w:cs="Times New Roman"/>
                      <w:color w:val="auto"/>
                      <w:kern w:val="2"/>
                      <w:sz w:val="18"/>
                      <w:szCs w:val="18"/>
                    </w:rPr>
                    <w:t>不在住宅</w:t>
                  </w:r>
                  <w:r>
                    <w:rPr>
                      <w:rFonts w:hint="eastAsia" w:ascii="Times New Roman" w:hAnsi="Times New Roman" w:eastAsia="宋体" w:cs="Times New Roman"/>
                      <w:color w:val="auto"/>
                      <w:kern w:val="2"/>
                      <w:sz w:val="18"/>
                      <w:szCs w:val="18"/>
                      <w:lang w:val="en-US" w:eastAsia="zh-CN"/>
                    </w:rPr>
                    <w:t>小区和住宅楼内</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63474DE1">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161E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3DD1C714">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4</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4C28790">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rPr>
                    <w:t>具有布局合理的诊疗室、</w:t>
                  </w:r>
                  <w:r>
                    <w:rPr>
                      <w:rFonts w:hint="eastAsia" w:ascii="Times New Roman" w:hAnsi="Times New Roman" w:eastAsia="宋体" w:cs="Times New Roman"/>
                      <w:color w:val="auto"/>
                      <w:kern w:val="2"/>
                      <w:sz w:val="18"/>
                      <w:szCs w:val="18"/>
                      <w:lang w:val="en-US" w:eastAsia="zh-CN"/>
                    </w:rPr>
                    <w:t>隔离室</w:t>
                  </w:r>
                  <w:r>
                    <w:rPr>
                      <w:rFonts w:hint="default" w:ascii="Times New Roman" w:hAnsi="Times New Roman" w:eastAsia="宋体" w:cs="Times New Roman"/>
                      <w:color w:val="auto"/>
                      <w:kern w:val="2"/>
                      <w:sz w:val="18"/>
                      <w:szCs w:val="18"/>
                    </w:rPr>
                    <w:t>、药房等</w:t>
                  </w:r>
                  <w:r>
                    <w:rPr>
                      <w:rFonts w:hint="eastAsia" w:ascii="Times New Roman" w:hAnsi="Times New Roman" w:eastAsia="宋体" w:cs="Times New Roman"/>
                      <w:color w:val="auto"/>
                      <w:kern w:val="2"/>
                      <w:sz w:val="18"/>
                      <w:szCs w:val="18"/>
                      <w:lang w:val="en-US" w:eastAsia="zh-CN"/>
                    </w:rPr>
                    <w:t>功能区</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1927B8FC">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项目合理布局有</w:t>
                  </w:r>
                  <w:r>
                    <w:rPr>
                      <w:rFonts w:hint="default" w:ascii="Times New Roman" w:hAnsi="Times New Roman" w:eastAsia="宋体" w:cs="Times New Roman"/>
                      <w:color w:val="auto"/>
                      <w:kern w:val="2"/>
                      <w:sz w:val="18"/>
                      <w:szCs w:val="18"/>
                    </w:rPr>
                    <w:t>诊疗室</w:t>
                  </w:r>
                  <w:r>
                    <w:rPr>
                      <w:rFonts w:hint="eastAsia" w:ascii="Times New Roman" w:hAnsi="Times New Roman" w:eastAsia="宋体" w:cs="Times New Roman"/>
                      <w:color w:val="auto"/>
                      <w:kern w:val="2"/>
                      <w:sz w:val="18"/>
                      <w:szCs w:val="18"/>
                      <w:lang w:val="en-US" w:eastAsia="zh-CN"/>
                    </w:rPr>
                    <w:t>、隔离室、药房等功能区</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3CA98AB8">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7A19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634EA459">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5</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841078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具有诊断、消毒、冷藏、常规化验</w:t>
                  </w:r>
                  <w:r>
                    <w:rPr>
                      <w:rFonts w:hint="eastAsia" w:ascii="Times New Roman" w:hAnsi="Times New Roman" w:eastAsia="宋体" w:cs="Times New Roman"/>
                      <w:color w:val="auto"/>
                      <w:kern w:val="2"/>
                      <w:sz w:val="18"/>
                      <w:szCs w:val="18"/>
                      <w:lang w:eastAsia="zh-CN"/>
                    </w:rPr>
                    <w:t>、</w:t>
                  </w:r>
                  <w:r>
                    <w:rPr>
                      <w:rFonts w:hint="default" w:ascii="Times New Roman" w:hAnsi="Times New Roman" w:eastAsia="宋体" w:cs="Times New Roman"/>
                      <w:color w:val="auto"/>
                      <w:kern w:val="2"/>
                      <w:sz w:val="18"/>
                      <w:szCs w:val="18"/>
                    </w:rPr>
                    <w:t>污水处理等器械设备</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7BF609D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项目设置有</w:t>
                  </w:r>
                  <w:r>
                    <w:rPr>
                      <w:rFonts w:hint="default" w:ascii="Times New Roman" w:hAnsi="Times New Roman" w:eastAsia="宋体" w:cs="Times New Roman"/>
                      <w:color w:val="auto"/>
                      <w:kern w:val="2"/>
                      <w:sz w:val="18"/>
                      <w:szCs w:val="18"/>
                    </w:rPr>
                    <w:t>诊断、消毒、冷藏、常规化验等</w:t>
                  </w:r>
                  <w:r>
                    <w:rPr>
                      <w:rFonts w:hint="eastAsia" w:ascii="Times New Roman" w:hAnsi="Times New Roman" w:eastAsia="宋体" w:cs="Times New Roman"/>
                      <w:color w:val="auto"/>
                      <w:kern w:val="2"/>
                      <w:sz w:val="18"/>
                      <w:szCs w:val="18"/>
                      <w:lang w:val="en-US" w:eastAsia="zh-CN"/>
                    </w:rPr>
                    <w:t>设施</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14369E7E">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0CC0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3FC8032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6</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7394B4F4">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具有诊疗废弃物暂存处理设施，并委托专业处理机构处理</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30D89515">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项目设置有医疗废物贮存点，并委托专业处理机构处理</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4D45720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7AB4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6270D215">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3EE4667D">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具有染疫或者疑似染疫动物的隔离控制措施及设施设备</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4E80732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项目具有染疫或者疑似染疫动物的隔离控制措施及设施设备</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272968B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0CBE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5BFBBF41">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8</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48134CA">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具有与动物诊疗活动相适应的执业兽医</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4AAD0611">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项目具有与动物诊疗活动相适应的执业兽医</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17B05169">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6784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125A5C81">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9</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5CD6DBB0">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具有完善的诊疗服务、疫情报告、卫生安全防护、消毒、隔离、诊疗废弃物暂存、兽医器械、兽医处方、药物和无害化处理等管理制度</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2047437D">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项目具有完善的诊疗服务、疫情报告、卫生安全防护、消毒、隔离、诊疗废弃物暂存、兽医器械、兽医处方、药物和无害化处理等管理制度</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47917F9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6396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09E54EAE">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10</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121AF1E9">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具有三名以上执业兽医师</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0F00E74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项目具有三名以上执业兽医师</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535D18CF">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7E22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03D6BEFE">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11</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535BAA7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具有X光机或者B超等器械设备</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5832D2B6">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项目具有B超、DR等器械设备</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4C975BF6">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r w14:paraId="40F7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14:paraId="52A7A8EE">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12</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088BAA39">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具有布局合理的手术室和手术设备</w:t>
                  </w:r>
                </w:p>
              </w:tc>
              <w:tc>
                <w:tcPr>
                  <w:tcW w:w="2499" w:type="dxa"/>
                  <w:tcBorders>
                    <w:top w:val="single" w:color="auto" w:sz="4" w:space="0"/>
                    <w:left w:val="single" w:color="auto" w:sz="4" w:space="0"/>
                    <w:bottom w:val="single" w:color="auto" w:sz="4" w:space="0"/>
                    <w:right w:val="single" w:color="auto" w:sz="4" w:space="0"/>
                  </w:tcBorders>
                  <w:noWrap w:val="0"/>
                  <w:vAlign w:val="center"/>
                </w:tcPr>
                <w:p w14:paraId="05DB391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项目具有布局合理的手术室和手术设备</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01F05BA7">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符合</w:t>
                  </w:r>
                </w:p>
              </w:tc>
            </w:tr>
          </w:tbl>
          <w:p w14:paraId="0D03082B">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根据表1-6分析可知，本项目符合《动物诊疗机构管理办法》（农业农村部令2022年第5号）的相关要求。</w:t>
            </w:r>
          </w:p>
          <w:p w14:paraId="49E7DA0D">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6、与《中华人民共和国动物防疫法》（2021年修订）符合性分析</w:t>
            </w:r>
          </w:p>
          <w:p w14:paraId="49A20F97">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项目与《中华人民共和国动物防疫法》（2021年修订）的符合性分析见表1-7。</w:t>
            </w:r>
          </w:p>
          <w:p w14:paraId="685E26F7">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表1-7  与《中华人民共和国动物防疫法》（2021年修订）的符合性分析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718"/>
              <w:gridCol w:w="2652"/>
              <w:gridCol w:w="727"/>
            </w:tblGrid>
            <w:tr w14:paraId="66EB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57A9A0D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b/>
                      <w:bCs/>
                      <w:color w:val="auto"/>
                      <w:kern w:val="2"/>
                      <w:sz w:val="18"/>
                      <w:szCs w:val="18"/>
                      <w:lang w:val="en-US" w:eastAsia="zh-CN"/>
                    </w:rPr>
                  </w:pPr>
                  <w:r>
                    <w:rPr>
                      <w:rFonts w:hint="eastAsia" w:ascii="Times New Roman" w:hAnsi="Times New Roman" w:eastAsia="宋体" w:cs="Times New Roman"/>
                      <w:b/>
                      <w:bCs/>
                      <w:color w:val="auto"/>
                      <w:kern w:val="2"/>
                      <w:sz w:val="18"/>
                      <w:szCs w:val="18"/>
                      <w:lang w:val="en-US" w:eastAsia="zh-CN"/>
                    </w:rPr>
                    <w:t>序号</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20586671">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b/>
                      <w:bCs/>
                      <w:color w:val="auto"/>
                      <w:kern w:val="2"/>
                      <w:sz w:val="18"/>
                      <w:szCs w:val="18"/>
                      <w:lang w:val="en-US" w:eastAsia="zh-CN"/>
                    </w:rPr>
                  </w:pPr>
                  <w:r>
                    <w:rPr>
                      <w:rFonts w:hint="eastAsia" w:ascii="Times New Roman" w:hAnsi="Times New Roman" w:eastAsia="宋体" w:cs="Times New Roman"/>
                      <w:b/>
                      <w:bCs/>
                      <w:color w:val="auto"/>
                      <w:kern w:val="2"/>
                      <w:sz w:val="18"/>
                      <w:szCs w:val="18"/>
                      <w:lang w:val="en-US" w:eastAsia="zh-CN"/>
                    </w:rPr>
                    <w:t>动物防疫法相关条例</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0083265D">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b/>
                      <w:bCs/>
                      <w:color w:val="auto"/>
                      <w:kern w:val="2"/>
                      <w:sz w:val="18"/>
                      <w:szCs w:val="18"/>
                      <w:lang w:val="en-US" w:eastAsia="zh-CN"/>
                    </w:rPr>
                  </w:pPr>
                  <w:r>
                    <w:rPr>
                      <w:rFonts w:hint="eastAsia" w:ascii="Times New Roman" w:hAnsi="Times New Roman" w:eastAsia="宋体" w:cs="Times New Roman"/>
                      <w:b/>
                      <w:bCs/>
                      <w:color w:val="auto"/>
                      <w:kern w:val="2"/>
                      <w:sz w:val="18"/>
                      <w:szCs w:val="18"/>
                      <w:lang w:val="en-US" w:eastAsia="zh-CN"/>
                    </w:rPr>
                    <w:t>本项目情况</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0D6B2F1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b/>
                      <w:bCs/>
                      <w:color w:val="auto"/>
                      <w:kern w:val="2"/>
                      <w:sz w:val="18"/>
                      <w:szCs w:val="18"/>
                      <w:lang w:val="en-US" w:eastAsia="zh-CN"/>
                    </w:rPr>
                  </w:pPr>
                  <w:r>
                    <w:rPr>
                      <w:rFonts w:hint="eastAsia" w:ascii="Times New Roman" w:hAnsi="Times New Roman" w:eastAsia="宋体" w:cs="Times New Roman"/>
                      <w:b/>
                      <w:bCs/>
                      <w:color w:val="auto"/>
                      <w:kern w:val="2"/>
                      <w:sz w:val="18"/>
                      <w:szCs w:val="18"/>
                      <w:lang w:val="en-US" w:eastAsia="zh-CN"/>
                    </w:rPr>
                    <w:t>符合性</w:t>
                  </w:r>
                </w:p>
              </w:tc>
            </w:tr>
            <w:tr w14:paraId="1711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08E18F6">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6B13437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有与动物诊疗活动相适应并符合动物防疫条件的场所</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3DFD2BC7">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项目具有固定诊疗场所，设施及配套较为完善，符合相应防疫条件</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B7D276C">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符合</w:t>
                  </w:r>
                </w:p>
              </w:tc>
            </w:tr>
            <w:tr w14:paraId="70E8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0487CB6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087DA66E">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有与动物诊疗活动相适应的执业兽医</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0D98F562">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项目配备有执业兽医，符合要求</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D02E401">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符合</w:t>
                  </w:r>
                </w:p>
              </w:tc>
            </w:tr>
            <w:tr w14:paraId="355E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E101AB8">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3</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134134E0">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有与动物诊疗活动相适应的兽医器械和设备</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2ED54F1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项目设置有诊断、手术、消毒、冷藏、常规化验和消毒池等设备，符合要求</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92C6B8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符合</w:t>
                  </w:r>
                </w:p>
              </w:tc>
            </w:tr>
            <w:tr w14:paraId="62D7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2740551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4</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508421D6">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有完善的管理制度</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0CC91068">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项目制定有完善的管理制度，符合要求</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420841D">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符合</w:t>
                  </w:r>
                </w:p>
              </w:tc>
            </w:tr>
            <w:tr w14:paraId="79A9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A722AF4">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5</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55FB5839">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动物诊疗机构应当按照国务院农业农村主管部门的规定，做好诊疗活动中的卫生安全防护、消毒、隔离和诊疗废弃物处置等工作</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7B0C465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项目诊疗过程中设置了相应的安全防护措施、日常进行医院消毒、设置了隔离病房，诊疗废弃物交有资质单位处理，项目符合要求</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12F8593">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符合</w:t>
                  </w:r>
                </w:p>
              </w:tc>
            </w:tr>
            <w:tr w14:paraId="3123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4B26275A">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6</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0DADE189">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从事动物诊疗活动，应当遵守有关动物诊疗的操作技术规范，使用符合规定的兽药和兽医器械</w:t>
                  </w:r>
                </w:p>
              </w:tc>
              <w:tc>
                <w:tcPr>
                  <w:tcW w:w="2854" w:type="dxa"/>
                  <w:tcBorders>
                    <w:top w:val="single" w:color="auto" w:sz="4" w:space="0"/>
                    <w:left w:val="single" w:color="auto" w:sz="4" w:space="0"/>
                    <w:bottom w:val="single" w:color="auto" w:sz="4" w:space="0"/>
                    <w:right w:val="single" w:color="auto" w:sz="4" w:space="0"/>
                  </w:tcBorders>
                  <w:noWrap w:val="0"/>
                  <w:vAlign w:val="center"/>
                </w:tcPr>
                <w:p w14:paraId="2CA8E3A7">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项目使用符合相关规定的手术台、B超、DR机等器械设备及药品等，符合要求</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92F277B">
                  <w:pPr>
                    <w:keepNext w:val="0"/>
                    <w:keepLines w:val="0"/>
                    <w:pageBreakBefore w:val="0"/>
                    <w:widowControl w:val="0"/>
                    <w:kinsoku/>
                    <w:wordWrap/>
                    <w:overflowPunct/>
                    <w:topLinePunct w:val="0"/>
                    <w:autoSpaceDE/>
                    <w:autoSpaceDN/>
                    <w:bidi w:val="0"/>
                    <w:adjustRightInd w:val="0"/>
                    <w:snapToGrid w:val="0"/>
                    <w:spacing w:after="0" w:line="260" w:lineRule="exact"/>
                    <w:ind w:left="-57" w:right="-57"/>
                    <w:jc w:val="center"/>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符合</w:t>
                  </w:r>
                </w:p>
              </w:tc>
            </w:tr>
          </w:tbl>
          <w:p w14:paraId="502D54D1">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根据表1-7分析可知，本项目符合《中华人民共和国动物防疫法》（2021年修订）的相关要求。</w:t>
            </w:r>
          </w:p>
          <w:p w14:paraId="028EF7E1">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7、与《重庆市生态环境局 重庆市农业农村委员会 关于规范动物诊疗机构医疗废物集中无害化处置的通知》（渝环〔2019〕185号）符合性分析</w:t>
            </w:r>
          </w:p>
          <w:p w14:paraId="46FADBB0">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项目与《重庆市生态环境局 重庆市农业农村委员会 关于规范动物诊疗机构医疗废物集中无害化处置的通知》（渝环〔2019〕185号）的符合性分析见表1-8。</w:t>
            </w:r>
          </w:p>
          <w:p w14:paraId="643923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6"/>
                <w:szCs w:val="26"/>
              </w:rPr>
            </w:pPr>
          </w:p>
          <w:p w14:paraId="3C1FFB68">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表1-8  与渝环〔2019〕185号文的符合性分析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6"/>
              <w:gridCol w:w="1713"/>
              <w:gridCol w:w="925"/>
            </w:tblGrid>
            <w:tr w14:paraId="5A1A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36" w:type="dxa"/>
                  <w:noWrap w:val="0"/>
                  <w:vAlign w:val="center"/>
                </w:tcPr>
                <w:p w14:paraId="1122E9F5">
                  <w:pPr>
                    <w:keepNext w:val="0"/>
                    <w:keepLines w:val="0"/>
                    <w:pageBreakBefore w:val="0"/>
                    <w:widowControl w:val="0"/>
                    <w:kinsoku/>
                    <w:wordWrap/>
                    <w:overflowPunct/>
                    <w:topLinePunct w:val="0"/>
                    <w:bidi w:val="0"/>
                    <w:adjustRightInd w:val="0"/>
                    <w:snapToGrid w:val="0"/>
                    <w:spacing w:line="300" w:lineRule="exact"/>
                    <w:jc w:val="center"/>
                    <w:textAlignment w:val="auto"/>
                    <w:rPr>
                      <w:rFonts w:hint="default" w:eastAsia="宋体"/>
                      <w:b/>
                      <w:color w:val="auto"/>
                      <w:spacing w:val="0"/>
                      <w:sz w:val="18"/>
                      <w:szCs w:val="18"/>
                      <w:vertAlign w:val="baseline"/>
                      <w:lang w:val="en-US" w:eastAsia="zh-CN"/>
                    </w:rPr>
                  </w:pPr>
                  <w:r>
                    <w:rPr>
                      <w:rFonts w:hint="eastAsia" w:ascii="Times New Roman" w:hAnsi="Times New Roman" w:eastAsia="宋体" w:cs="Times New Roman"/>
                      <w:color w:val="auto"/>
                      <w:spacing w:val="0"/>
                      <w:sz w:val="18"/>
                      <w:szCs w:val="18"/>
                      <w:lang w:val="en-US" w:eastAsia="zh-CN"/>
                    </w:rPr>
                    <w:t>通知内容</w:t>
                  </w:r>
                </w:p>
              </w:tc>
              <w:tc>
                <w:tcPr>
                  <w:tcW w:w="1713" w:type="dxa"/>
                  <w:noWrap w:val="0"/>
                  <w:vAlign w:val="center"/>
                </w:tcPr>
                <w:p w14:paraId="1FE275C8">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color w:val="auto"/>
                      <w:spacing w:val="0"/>
                      <w:kern w:val="2"/>
                      <w:sz w:val="18"/>
                      <w:szCs w:val="18"/>
                      <w:lang w:val="en-US" w:eastAsia="zh-CN" w:bidi="ar-SA"/>
                    </w:rPr>
                  </w:pPr>
                  <w:r>
                    <w:rPr>
                      <w:color w:val="auto"/>
                      <w:spacing w:val="0"/>
                      <w:sz w:val="18"/>
                      <w:szCs w:val="18"/>
                    </w:rPr>
                    <w:t>本项目情况</w:t>
                  </w:r>
                </w:p>
              </w:tc>
              <w:tc>
                <w:tcPr>
                  <w:tcW w:w="925" w:type="dxa"/>
                  <w:noWrap w:val="0"/>
                  <w:vAlign w:val="center"/>
                </w:tcPr>
                <w:p w14:paraId="12A8049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color w:val="auto"/>
                      <w:spacing w:val="0"/>
                      <w:kern w:val="2"/>
                      <w:sz w:val="18"/>
                      <w:szCs w:val="18"/>
                      <w:lang w:val="en-US" w:eastAsia="zh-CN" w:bidi="ar-SA"/>
                    </w:rPr>
                  </w:pPr>
                  <w:r>
                    <w:rPr>
                      <w:color w:val="auto"/>
                      <w:spacing w:val="0"/>
                      <w:sz w:val="18"/>
                      <w:szCs w:val="18"/>
                    </w:rPr>
                    <w:t>符合性</w:t>
                  </w:r>
                </w:p>
              </w:tc>
            </w:tr>
            <w:tr w14:paraId="091E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6" w:type="dxa"/>
                  <w:noWrap w:val="0"/>
                  <w:vAlign w:val="center"/>
                </w:tcPr>
                <w:p w14:paraId="098F7007">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rPr>
                  </w:pPr>
                  <w:r>
                    <w:rPr>
                      <w:rFonts w:hint="eastAsia" w:ascii="Times New Roman" w:hAnsi="Times New Roman" w:eastAsia="宋体" w:cs="Times New Roman"/>
                      <w:color w:val="auto"/>
                      <w:spacing w:val="0"/>
                      <w:sz w:val="18"/>
                      <w:szCs w:val="18"/>
                      <w:lang w:val="en-US" w:eastAsia="zh-CN"/>
                    </w:rPr>
                    <w:t>根据《国家危险废物名录》和《动物诊疗机构管理办法》，动物诊疗机构为动物诊治产生的废物（不含病死动物和动物病理组织）属于 HW01 医疗废物（废物代码：900-001-01），应当参照《医疗废物管理条例》的有关规定交具有相应资质的医疗废物处置单位进行集中处置，不得非法转移、倾倒及处置。</w:t>
                  </w:r>
                </w:p>
              </w:tc>
              <w:tc>
                <w:tcPr>
                  <w:tcW w:w="1713" w:type="dxa"/>
                  <w:noWrap w:val="0"/>
                  <w:vAlign w:val="center"/>
                </w:tcPr>
                <w:p w14:paraId="558B17D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rPr>
                  </w:pPr>
                  <w:r>
                    <w:rPr>
                      <w:rFonts w:hint="eastAsia" w:ascii="Times New Roman" w:hAnsi="Times New Roman" w:eastAsia="宋体" w:cs="Times New Roman"/>
                      <w:color w:val="auto"/>
                      <w:spacing w:val="0"/>
                      <w:sz w:val="18"/>
                      <w:szCs w:val="18"/>
                      <w:lang w:val="en-US" w:eastAsia="zh-CN"/>
                    </w:rPr>
                    <w:t>项目医疗废物均收集于医废贮存点后交资质单位收运处置，无非法转移、倾倒及处置情况</w:t>
                  </w:r>
                </w:p>
              </w:tc>
              <w:tc>
                <w:tcPr>
                  <w:tcW w:w="925" w:type="dxa"/>
                  <w:noWrap w:val="0"/>
                  <w:vAlign w:val="center"/>
                </w:tcPr>
                <w:p w14:paraId="7D119723">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符合</w:t>
                  </w:r>
                </w:p>
              </w:tc>
            </w:tr>
            <w:tr w14:paraId="024D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6" w:type="dxa"/>
                  <w:noWrap w:val="0"/>
                  <w:vAlign w:val="center"/>
                </w:tcPr>
                <w:p w14:paraId="5312020D">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医疗废物应交由医疗废物处置单位进行集中处置，并做好有关交接、登记和统计等工作，转移医疗废物应执行危险废物转移联单制度，保证医疗废物的可追溯性。</w:t>
                  </w:r>
                </w:p>
              </w:tc>
              <w:tc>
                <w:tcPr>
                  <w:tcW w:w="1713" w:type="dxa"/>
                  <w:noWrap w:val="0"/>
                  <w:vAlign w:val="center"/>
                </w:tcPr>
                <w:p w14:paraId="24253BE3">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项目医疗废物收集于医废贮存点</w:t>
                  </w:r>
                  <w:r>
                    <w:rPr>
                      <w:rFonts w:hint="eastAsia" w:ascii="Times New Roman" w:hAnsi="Times New Roman" w:eastAsia="宋体" w:cs="Times New Roman"/>
                      <w:color w:val="auto"/>
                      <w:spacing w:val="0"/>
                      <w:sz w:val="18"/>
                      <w:szCs w:val="18"/>
                      <w:highlight w:val="none"/>
                      <w:lang w:val="en-US" w:eastAsia="zh-CN"/>
                    </w:rPr>
                    <w:t>后</w:t>
                  </w:r>
                  <w:r>
                    <w:rPr>
                      <w:rFonts w:hint="eastAsia" w:ascii="Times New Roman" w:hAnsi="Times New Roman" w:eastAsia="宋体" w:cs="Times New Roman"/>
                      <w:color w:val="auto"/>
                      <w:spacing w:val="0"/>
                      <w:sz w:val="18"/>
                      <w:szCs w:val="18"/>
                      <w:lang w:val="en-US" w:eastAsia="zh-CN"/>
                    </w:rPr>
                    <w:t>交资质单位收运处置，做好有关交接、登记和统计等工作并建立医疗废物转运联单，保证医疗废物的可追溯性</w:t>
                  </w:r>
                </w:p>
              </w:tc>
              <w:tc>
                <w:tcPr>
                  <w:tcW w:w="925" w:type="dxa"/>
                  <w:noWrap w:val="0"/>
                  <w:vAlign w:val="center"/>
                </w:tcPr>
                <w:p w14:paraId="3E2C7F4A">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符合</w:t>
                  </w:r>
                </w:p>
              </w:tc>
            </w:tr>
            <w:tr w14:paraId="2845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6" w:type="dxa"/>
                  <w:noWrap w:val="0"/>
                  <w:vAlign w:val="center"/>
                </w:tcPr>
                <w:p w14:paraId="65C6946F">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各医疗废物处置单位应严格按照医疗废物处置的有关技术规范开展对动物诊疗机构医疗废物收集、运输、贮存及处置的工作，其中动物诊疗机构医疗废物和医疗卫生机构医疗废物应分类收运、贮存及处置；处置单位要加强对动物诊疗机构医疗废物处置过程的管控，制定并严格执行操作规程，做好处置人员的培训和职业卫生防护；建立危险废物经营情况记录簿，如实记录动物诊疗机构医疗废物的转移、贮存及处置情况，并定期向生态环境部门报告。</w:t>
                  </w:r>
                </w:p>
              </w:tc>
              <w:tc>
                <w:tcPr>
                  <w:tcW w:w="1713" w:type="dxa"/>
                  <w:noWrap w:val="0"/>
                  <w:vAlign w:val="center"/>
                </w:tcPr>
                <w:p w14:paraId="34093449">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项目医疗废物分类收运、贮存及处置，建立医疗废物转运联单</w:t>
                  </w:r>
                </w:p>
              </w:tc>
              <w:tc>
                <w:tcPr>
                  <w:tcW w:w="925" w:type="dxa"/>
                  <w:noWrap w:val="0"/>
                  <w:vAlign w:val="center"/>
                </w:tcPr>
                <w:p w14:paraId="54B4A07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符合</w:t>
                  </w:r>
                </w:p>
              </w:tc>
            </w:tr>
          </w:tbl>
          <w:p w14:paraId="41BBFBE3">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根据表1-8分析可知，本项目符合《重庆市生态环境局 重庆市农业农村委员会 关于规范动物诊疗机构医疗废物集中无害化处置的通知》（渝环〔2019〕185号）的相关要求。</w:t>
            </w:r>
          </w:p>
          <w:p w14:paraId="019B0A04">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8、与《重庆市动物防疫条例》（2023年9月27日重庆市第六届人民代表大会常务委员会第四次会议修订）符合性分析</w:t>
            </w:r>
          </w:p>
          <w:p w14:paraId="37991B55">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项目与《重庆市动物防疫条例》的符合性分析见表1-9。</w:t>
            </w:r>
          </w:p>
          <w:p w14:paraId="29771755">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表1-9  与《重庆市动物防疫条例》的符合性分析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7"/>
              <w:gridCol w:w="2082"/>
              <w:gridCol w:w="925"/>
            </w:tblGrid>
            <w:tr w14:paraId="0F92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072" w:type="dxa"/>
                  <w:noWrap w:val="0"/>
                  <w:vAlign w:val="center"/>
                </w:tcPr>
                <w:p w14:paraId="71CCB1C1">
                  <w:pPr>
                    <w:keepNext w:val="0"/>
                    <w:keepLines w:val="0"/>
                    <w:pageBreakBefore w:val="0"/>
                    <w:widowControl w:val="0"/>
                    <w:kinsoku/>
                    <w:wordWrap/>
                    <w:overflowPunct/>
                    <w:topLinePunct w:val="0"/>
                    <w:bidi w:val="0"/>
                    <w:adjustRightInd w:val="0"/>
                    <w:snapToGrid w:val="0"/>
                    <w:spacing w:line="300" w:lineRule="exact"/>
                    <w:jc w:val="center"/>
                    <w:textAlignment w:val="auto"/>
                    <w:rPr>
                      <w:rFonts w:hint="default" w:eastAsia="宋体"/>
                      <w:b/>
                      <w:color w:val="auto"/>
                      <w:spacing w:val="0"/>
                      <w:sz w:val="18"/>
                      <w:szCs w:val="18"/>
                      <w:vertAlign w:val="baseline"/>
                      <w:lang w:val="en-US" w:eastAsia="zh-CN"/>
                    </w:rPr>
                  </w:pPr>
                  <w:r>
                    <w:rPr>
                      <w:rFonts w:hint="eastAsia" w:ascii="Times New Roman" w:hAnsi="Times New Roman" w:eastAsia="宋体" w:cs="Times New Roman"/>
                      <w:color w:val="auto"/>
                      <w:spacing w:val="0"/>
                      <w:sz w:val="18"/>
                      <w:szCs w:val="18"/>
                      <w:lang w:val="en-US" w:eastAsia="zh-CN"/>
                    </w:rPr>
                    <w:t>条例内容</w:t>
                  </w:r>
                </w:p>
              </w:tc>
              <w:tc>
                <w:tcPr>
                  <w:tcW w:w="2242" w:type="dxa"/>
                  <w:noWrap w:val="0"/>
                  <w:vAlign w:val="center"/>
                </w:tcPr>
                <w:p w14:paraId="766C7E6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color w:val="auto"/>
                      <w:spacing w:val="0"/>
                      <w:kern w:val="2"/>
                      <w:sz w:val="18"/>
                      <w:szCs w:val="18"/>
                      <w:lang w:val="en-US" w:eastAsia="zh-CN" w:bidi="ar-SA"/>
                    </w:rPr>
                  </w:pPr>
                  <w:r>
                    <w:rPr>
                      <w:color w:val="auto"/>
                      <w:spacing w:val="0"/>
                      <w:sz w:val="18"/>
                      <w:szCs w:val="18"/>
                    </w:rPr>
                    <w:t>本项目情况</w:t>
                  </w:r>
                </w:p>
              </w:tc>
              <w:tc>
                <w:tcPr>
                  <w:tcW w:w="986" w:type="dxa"/>
                  <w:noWrap w:val="0"/>
                  <w:vAlign w:val="center"/>
                </w:tcPr>
                <w:p w14:paraId="3B3808D1">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color w:val="auto"/>
                      <w:spacing w:val="0"/>
                      <w:kern w:val="2"/>
                      <w:sz w:val="18"/>
                      <w:szCs w:val="18"/>
                      <w:lang w:val="en-US" w:eastAsia="zh-CN" w:bidi="ar-SA"/>
                    </w:rPr>
                  </w:pPr>
                  <w:r>
                    <w:rPr>
                      <w:color w:val="auto"/>
                      <w:spacing w:val="0"/>
                      <w:sz w:val="18"/>
                      <w:szCs w:val="18"/>
                    </w:rPr>
                    <w:t>符合性</w:t>
                  </w:r>
                </w:p>
              </w:tc>
            </w:tr>
            <w:tr w14:paraId="0975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2" w:type="dxa"/>
                  <w:noWrap w:val="0"/>
                  <w:vAlign w:val="center"/>
                </w:tcPr>
                <w:p w14:paraId="1CE02575">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eastAsia="zh-CN"/>
                    </w:rPr>
                  </w:pPr>
                  <w:r>
                    <w:rPr>
                      <w:rFonts w:hint="eastAsia" w:ascii="Times New Roman" w:hAnsi="Times New Roman" w:eastAsia="宋体" w:cs="Times New Roman"/>
                      <w:color w:val="auto"/>
                      <w:spacing w:val="0"/>
                      <w:sz w:val="18"/>
                      <w:szCs w:val="18"/>
                    </w:rPr>
                    <w:t>第六条 从事动物饲养、屠宰、经营、隔离、运输、诊疗以及动物产品生产、经营、加工、贮藏等活动的单位和个人，应当依法做好免疫、消毒、检测、隔离、净化、消灭、无害化处理等动物防疫工作，承担动物防疫相关责任</w:t>
                  </w:r>
                  <w:r>
                    <w:rPr>
                      <w:rFonts w:hint="eastAsia" w:ascii="Times New Roman" w:hAnsi="Times New Roman" w:eastAsia="宋体" w:cs="Times New Roman"/>
                      <w:color w:val="auto"/>
                      <w:spacing w:val="0"/>
                      <w:sz w:val="18"/>
                      <w:szCs w:val="18"/>
                      <w:lang w:eastAsia="zh-CN"/>
                    </w:rPr>
                    <w:t>。</w:t>
                  </w:r>
                </w:p>
              </w:tc>
              <w:tc>
                <w:tcPr>
                  <w:tcW w:w="2242" w:type="dxa"/>
                  <w:noWrap w:val="0"/>
                  <w:vAlign w:val="center"/>
                </w:tcPr>
                <w:p w14:paraId="6B6D4340">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highlight w:val="none"/>
                    </w:rPr>
                  </w:pPr>
                  <w:r>
                    <w:rPr>
                      <w:rFonts w:hint="eastAsia" w:ascii="Times New Roman" w:hAnsi="Times New Roman" w:eastAsia="宋体" w:cs="Times New Roman"/>
                      <w:color w:val="auto"/>
                      <w:spacing w:val="0"/>
                      <w:sz w:val="18"/>
                      <w:szCs w:val="18"/>
                      <w:highlight w:val="none"/>
                      <w:lang w:val="en-US" w:eastAsia="zh-CN"/>
                    </w:rPr>
                    <w:t>项目设置有隔离</w:t>
                  </w:r>
                  <w:r>
                    <w:rPr>
                      <w:rFonts w:hint="eastAsia" w:ascii="Times New Roman" w:hAnsi="Times New Roman" w:cs="Times New Roman"/>
                      <w:color w:val="auto"/>
                      <w:spacing w:val="0"/>
                      <w:sz w:val="18"/>
                      <w:szCs w:val="18"/>
                      <w:highlight w:val="none"/>
                      <w:lang w:val="en-US" w:eastAsia="zh-CN"/>
                    </w:rPr>
                    <w:t>病房</w:t>
                  </w:r>
                  <w:r>
                    <w:rPr>
                      <w:rFonts w:hint="eastAsia" w:ascii="Times New Roman" w:hAnsi="Times New Roman" w:eastAsia="宋体" w:cs="Times New Roman"/>
                      <w:color w:val="auto"/>
                      <w:spacing w:val="0"/>
                      <w:sz w:val="18"/>
                      <w:szCs w:val="18"/>
                      <w:highlight w:val="none"/>
                      <w:lang w:val="en-US" w:eastAsia="zh-CN"/>
                    </w:rPr>
                    <w:t>，设置有消毒等设备，项目病死宠物由客户自行委托第三方处置单位进行无害化处理</w:t>
                  </w:r>
                </w:p>
              </w:tc>
              <w:tc>
                <w:tcPr>
                  <w:tcW w:w="986" w:type="dxa"/>
                  <w:noWrap w:val="0"/>
                  <w:vAlign w:val="center"/>
                </w:tcPr>
                <w:p w14:paraId="01BDE946">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符合</w:t>
                  </w:r>
                </w:p>
              </w:tc>
            </w:tr>
            <w:tr w14:paraId="04A8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2" w:type="dxa"/>
                  <w:noWrap w:val="0"/>
                  <w:vAlign w:val="center"/>
                </w:tcPr>
                <w:p w14:paraId="542EFED7">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第十一条 饲养动物的单位和个人应当履行动物疫病强制免疫义务，按照强制免疫计划和实施方案以及技术规范，对动物实施免疫接种，并按照国家有关规定建立免疫档案、加施畜标识，保证免疫信息完整准确、可追溯。</w:t>
                  </w:r>
                </w:p>
              </w:tc>
              <w:tc>
                <w:tcPr>
                  <w:tcW w:w="2242" w:type="dxa"/>
                  <w:noWrap w:val="0"/>
                  <w:vAlign w:val="center"/>
                </w:tcPr>
                <w:p w14:paraId="01AFAAA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项目提供了疫苗接种服务，对就诊宠物实施免疫接种，并按照相关规定建立了免疫档案</w:t>
                  </w:r>
                </w:p>
              </w:tc>
              <w:tc>
                <w:tcPr>
                  <w:tcW w:w="986" w:type="dxa"/>
                  <w:noWrap w:val="0"/>
                  <w:vAlign w:val="center"/>
                </w:tcPr>
                <w:p w14:paraId="78FDA4A3">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符合</w:t>
                  </w:r>
                </w:p>
              </w:tc>
            </w:tr>
            <w:tr w14:paraId="001A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2" w:type="dxa"/>
                  <w:noWrap w:val="0"/>
                  <w:vAlign w:val="center"/>
                </w:tcPr>
                <w:p w14:paraId="565E11E5">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第十六条 动物饲养场和隔离场所、动物屠宰加工场所、动物诊疗机构、动物和动物产品集中无害化处理场所以及其他饲养动物的单位和个人，应当按照规定将动物防疫相关信息录入动物防疫数字化系统。</w:t>
                  </w:r>
                </w:p>
              </w:tc>
              <w:tc>
                <w:tcPr>
                  <w:tcW w:w="2242" w:type="dxa"/>
                  <w:noWrap w:val="0"/>
                  <w:vAlign w:val="center"/>
                </w:tcPr>
                <w:p w14:paraId="3C037E42">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项目对就诊宠物按照规定将动物防疫相关信息录入了动物防疫数字化系统</w:t>
                  </w:r>
                </w:p>
              </w:tc>
              <w:tc>
                <w:tcPr>
                  <w:tcW w:w="986" w:type="dxa"/>
                  <w:noWrap w:val="0"/>
                  <w:vAlign w:val="center"/>
                </w:tcPr>
                <w:p w14:paraId="57B7E98F">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符合</w:t>
                  </w:r>
                </w:p>
              </w:tc>
            </w:tr>
            <w:tr w14:paraId="3137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2" w:type="dxa"/>
                  <w:noWrap w:val="0"/>
                  <w:vAlign w:val="center"/>
                </w:tcPr>
                <w:p w14:paraId="26C34141">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第十九条 从事动物饲养、屠宰、经营、隔离、运输以及动物疫病监测、检测、检验检疫、研究、诊疗等活动的单位和个人，发现动物染疫或者疑似染疫的，应当立即向所在地人民政府农业农村主管部门或者动物疫病预防控制机构报告，并迅速采取隔离等控制措施，防止动物疫情扩散。其他单位和个人发现动物染疫或者疑似染疫的，应当及时报告。</w:t>
                  </w:r>
                </w:p>
              </w:tc>
              <w:tc>
                <w:tcPr>
                  <w:tcW w:w="2242" w:type="dxa"/>
                  <w:noWrap w:val="0"/>
                  <w:vAlign w:val="center"/>
                </w:tcPr>
                <w:p w14:paraId="19A661C3">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项目设置有隔离</w:t>
                  </w:r>
                  <w:r>
                    <w:rPr>
                      <w:rFonts w:hint="eastAsia" w:ascii="Times New Roman" w:hAnsi="Times New Roman" w:cs="Times New Roman"/>
                      <w:color w:val="auto"/>
                      <w:spacing w:val="0"/>
                      <w:sz w:val="18"/>
                      <w:szCs w:val="18"/>
                      <w:highlight w:val="none"/>
                      <w:lang w:val="en-US" w:eastAsia="zh-CN"/>
                    </w:rPr>
                    <w:t>病房</w:t>
                  </w:r>
                  <w:r>
                    <w:rPr>
                      <w:rFonts w:hint="eastAsia" w:ascii="Times New Roman" w:hAnsi="Times New Roman" w:eastAsia="宋体" w:cs="Times New Roman"/>
                      <w:color w:val="auto"/>
                      <w:spacing w:val="0"/>
                      <w:sz w:val="18"/>
                      <w:szCs w:val="18"/>
                      <w:highlight w:val="none"/>
                      <w:lang w:val="en-US" w:eastAsia="zh-CN"/>
                    </w:rPr>
                    <w:t>，如发现患病动物染疫或疑似染疫，则在隔离室进行隔离，并及时向有关部门报备</w:t>
                  </w:r>
                </w:p>
              </w:tc>
              <w:tc>
                <w:tcPr>
                  <w:tcW w:w="986" w:type="dxa"/>
                  <w:noWrap w:val="0"/>
                  <w:vAlign w:val="center"/>
                </w:tcPr>
                <w:p w14:paraId="6B356988">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符合</w:t>
                  </w:r>
                </w:p>
              </w:tc>
            </w:tr>
            <w:tr w14:paraId="7783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2" w:type="dxa"/>
                  <w:noWrap w:val="0"/>
                  <w:vAlign w:val="center"/>
                </w:tcPr>
                <w:p w14:paraId="463ECB96">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第二十二条 从事动物饲养、屠宰、经营、隔离以及动物产品生产、经营、加工、贮藏等活动的单位和个人，应当按照国家有关规定做好病死动物和病害动物产品的无害化处理，或者委托动物和动物产品集中无害化处理场所处理。</w:t>
                  </w:r>
                </w:p>
              </w:tc>
              <w:tc>
                <w:tcPr>
                  <w:tcW w:w="2242" w:type="dxa"/>
                  <w:noWrap w:val="0"/>
                  <w:vAlign w:val="center"/>
                </w:tcPr>
                <w:p w14:paraId="619370CC">
                  <w:pPr>
                    <w:keepNext w:val="0"/>
                    <w:keepLines w:val="0"/>
                    <w:pageBreakBefore w:val="0"/>
                    <w:widowControl/>
                    <w:suppressLineNumbers w:val="0"/>
                    <w:kinsoku/>
                    <w:wordWrap/>
                    <w:overflowPunct/>
                    <w:topLinePunct w:val="0"/>
                    <w:bidi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宋体" w:hAnsi="宋体" w:eastAsia="宋体" w:cs="宋体"/>
                      <w:color w:val="auto"/>
                      <w:spacing w:val="0"/>
                      <w:kern w:val="0"/>
                      <w:sz w:val="18"/>
                      <w:szCs w:val="18"/>
                      <w:highlight w:val="none"/>
                      <w:lang w:val="en-US" w:eastAsia="zh-CN" w:bidi="ar"/>
                    </w:rPr>
                    <w:t>项目病死宠物由客户自行委托第三方处置单位进行无害化处理</w:t>
                  </w:r>
                </w:p>
              </w:tc>
              <w:tc>
                <w:tcPr>
                  <w:tcW w:w="986" w:type="dxa"/>
                  <w:noWrap w:val="0"/>
                  <w:vAlign w:val="center"/>
                </w:tcPr>
                <w:p w14:paraId="775D5A3E">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符合</w:t>
                  </w:r>
                </w:p>
              </w:tc>
            </w:tr>
            <w:tr w14:paraId="0C72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0" w:type="dxa"/>
                  <w:gridSpan w:val="3"/>
                  <w:noWrap w:val="0"/>
                  <w:vAlign w:val="center"/>
                </w:tcPr>
                <w:p w14:paraId="7FC22D25">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eastAsia" w:ascii="Times New Roman" w:hAnsi="Times New Roman" w:eastAsia="宋体" w:cs="Times New Roman"/>
                      <w:color w:val="auto"/>
                      <w:spacing w:val="-12"/>
                      <w:sz w:val="18"/>
                      <w:szCs w:val="18"/>
                      <w:lang w:val="en-US" w:eastAsia="zh-CN"/>
                    </w:rPr>
                  </w:pPr>
                  <w:r>
                    <w:rPr>
                      <w:rFonts w:hint="eastAsia" w:ascii="Times New Roman" w:hAnsi="Times New Roman" w:eastAsia="宋体" w:cs="Times New Roman"/>
                      <w:color w:val="auto"/>
                      <w:spacing w:val="-12"/>
                      <w:sz w:val="18"/>
                      <w:szCs w:val="18"/>
                      <w:lang w:val="en-US" w:eastAsia="zh-CN"/>
                    </w:rPr>
                    <w:t>注：仅摘录与本项目相关的内容进行符合性分析。</w:t>
                  </w:r>
                </w:p>
              </w:tc>
            </w:tr>
          </w:tbl>
          <w:p w14:paraId="688E3B12">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eastAsia="宋体" w:cs="Times New Roman"/>
                <w:b w:val="0"/>
                <w:bCs w:val="0"/>
                <w:color w:val="auto"/>
                <w:kern w:val="0"/>
                <w:szCs w:val="21"/>
                <w:lang w:val="en-US" w:eastAsia="zh-CN"/>
              </w:rPr>
              <w:t>根据表1-9分析可知，本项目符合《重庆市动物防疫条例》（2023年9月27日重庆市第六届人民代表大会常务委员会第四次会议修订）的相关要求。</w:t>
            </w:r>
          </w:p>
          <w:p w14:paraId="4EF9BE5B">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9</w:t>
            </w:r>
            <w:r>
              <w:rPr>
                <w:rFonts w:hint="default" w:ascii="Times New Roman" w:hAnsi="Times New Roman" w:eastAsia="宋体" w:cs="Times New Roman"/>
                <w:b/>
                <w:bCs/>
                <w:color w:val="auto"/>
                <w:kern w:val="0"/>
                <w:szCs w:val="21"/>
                <w:lang w:val="en-US" w:eastAsia="zh-CN"/>
              </w:rPr>
              <w:t>、选址合理性分析</w:t>
            </w:r>
          </w:p>
          <w:p w14:paraId="12741920">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lang w:val="en-US" w:eastAsia="zh-CN" w:bidi="ar-SA"/>
              </w:rPr>
            </w:pPr>
            <w:r>
              <w:rPr>
                <w:rFonts w:hint="default" w:ascii="Times New Roman" w:hAnsi="Times New Roman" w:eastAsia="宋体" w:cs="Times New Roman"/>
                <w:b w:val="0"/>
                <w:bCs w:val="0"/>
                <w:color w:val="auto"/>
                <w:spacing w:val="-6"/>
                <w:kern w:val="2"/>
                <w:sz w:val="21"/>
                <w:szCs w:val="21"/>
                <w:lang w:val="en-US" w:eastAsia="zh-CN" w:bidi="ar-SA"/>
              </w:rPr>
              <w:t>安兴动物医院位于重庆市九龙坡区经纬大道1305号远洋城二期19栋底商吊2-3商业用房，拟在已</w:t>
            </w:r>
            <w:r>
              <w:rPr>
                <w:rFonts w:hint="eastAsia" w:ascii="Times New Roman" w:hAnsi="Times New Roman" w:eastAsia="宋体" w:cs="Times New Roman"/>
                <w:b w:val="0"/>
                <w:bCs w:val="0"/>
                <w:color w:val="auto"/>
                <w:spacing w:val="-6"/>
                <w:kern w:val="2"/>
                <w:sz w:val="21"/>
                <w:szCs w:val="21"/>
                <w:lang w:val="en-US" w:eastAsia="zh-CN" w:bidi="ar-SA"/>
              </w:rPr>
              <w:t>购</w:t>
            </w:r>
            <w:r>
              <w:rPr>
                <w:rFonts w:hint="default" w:ascii="Times New Roman" w:hAnsi="Times New Roman" w:eastAsia="宋体" w:cs="Times New Roman"/>
                <w:b w:val="0"/>
                <w:bCs w:val="0"/>
                <w:color w:val="auto"/>
                <w:spacing w:val="-6"/>
                <w:kern w:val="2"/>
                <w:sz w:val="21"/>
                <w:szCs w:val="21"/>
                <w:lang w:val="en-US" w:eastAsia="zh-CN" w:bidi="ar-SA"/>
              </w:rPr>
              <w:t>商业门面进行改建，该</w:t>
            </w:r>
            <w:r>
              <w:rPr>
                <w:rFonts w:hint="eastAsia" w:ascii="Times New Roman" w:hAnsi="Times New Roman" w:eastAsia="宋体" w:cs="Times New Roman"/>
                <w:b w:val="0"/>
                <w:bCs w:val="0"/>
                <w:color w:val="auto"/>
                <w:spacing w:val="-6"/>
                <w:kern w:val="2"/>
                <w:sz w:val="21"/>
                <w:szCs w:val="21"/>
                <w:lang w:val="en-US" w:eastAsia="zh-CN" w:bidi="ar-SA"/>
              </w:rPr>
              <w:t>建筑</w:t>
            </w:r>
            <w:r>
              <w:rPr>
                <w:rFonts w:hint="default" w:ascii="Times New Roman" w:hAnsi="Times New Roman" w:eastAsia="宋体" w:cs="Times New Roman"/>
                <w:b w:val="0"/>
                <w:bCs w:val="0"/>
                <w:color w:val="auto"/>
                <w:spacing w:val="-6"/>
                <w:kern w:val="2"/>
                <w:sz w:val="21"/>
                <w:szCs w:val="21"/>
                <w:lang w:val="en-US" w:eastAsia="zh-CN" w:bidi="ar-SA"/>
              </w:rPr>
              <w:t>为远洋城二期</w:t>
            </w:r>
            <w:r>
              <w:rPr>
                <w:rFonts w:hint="eastAsia" w:ascii="Times New Roman" w:hAnsi="Times New Roman" w:eastAsia="宋体" w:cs="Times New Roman"/>
                <w:b w:val="0"/>
                <w:bCs w:val="0"/>
                <w:color w:val="auto"/>
                <w:spacing w:val="-6"/>
                <w:kern w:val="2"/>
                <w:sz w:val="21"/>
                <w:szCs w:val="21"/>
                <w:lang w:val="en-US" w:eastAsia="zh-CN" w:bidi="ar-SA"/>
              </w:rPr>
              <w:t>配套商业</w:t>
            </w:r>
            <w:r>
              <w:rPr>
                <w:rFonts w:hint="default" w:ascii="Times New Roman" w:hAnsi="Times New Roman" w:eastAsia="宋体" w:cs="Times New Roman"/>
                <w:b w:val="0"/>
                <w:bCs w:val="0"/>
                <w:color w:val="auto"/>
                <w:spacing w:val="-6"/>
                <w:kern w:val="2"/>
                <w:sz w:val="21"/>
                <w:szCs w:val="21"/>
                <w:lang w:val="en-US" w:eastAsia="zh-CN" w:bidi="ar-SA"/>
              </w:rPr>
              <w:t>，</w:t>
            </w:r>
            <w:r>
              <w:rPr>
                <w:rFonts w:hint="eastAsia" w:ascii="Times New Roman" w:hAnsi="Times New Roman" w:eastAsia="宋体" w:cs="Times New Roman"/>
                <w:b w:val="0"/>
                <w:bCs w:val="0"/>
                <w:color w:val="auto"/>
                <w:spacing w:val="-6"/>
                <w:kern w:val="2"/>
                <w:sz w:val="21"/>
                <w:szCs w:val="21"/>
                <w:lang w:val="en-US" w:eastAsia="zh-CN" w:bidi="ar-SA"/>
              </w:rPr>
              <w:t>位于19栋吊2层。本项目周边主要为其他商业门面，北侧和东</w:t>
            </w:r>
            <w:r>
              <w:rPr>
                <w:rFonts w:hint="default" w:ascii="Times New Roman" w:hAnsi="Times New Roman" w:eastAsia="宋体" w:cs="Times New Roman"/>
                <w:b w:val="0"/>
                <w:bCs w:val="0"/>
                <w:color w:val="auto"/>
                <w:spacing w:val="-6"/>
                <w:kern w:val="2"/>
                <w:sz w:val="21"/>
                <w:szCs w:val="21"/>
                <w:lang w:val="en-US" w:eastAsia="zh-CN" w:bidi="ar-SA"/>
              </w:rPr>
              <w:t>侧</w:t>
            </w:r>
            <w:r>
              <w:rPr>
                <w:rFonts w:hint="eastAsia" w:ascii="Times New Roman" w:hAnsi="Times New Roman" w:eastAsia="宋体" w:cs="Times New Roman"/>
                <w:b w:val="0"/>
                <w:bCs w:val="0"/>
                <w:color w:val="auto"/>
                <w:spacing w:val="-6"/>
                <w:kern w:val="2"/>
                <w:sz w:val="21"/>
                <w:szCs w:val="21"/>
                <w:lang w:val="en-US" w:eastAsia="zh-CN" w:bidi="ar-SA"/>
              </w:rPr>
              <w:t>为城市道路，西侧和南侧为</w:t>
            </w:r>
            <w:r>
              <w:rPr>
                <w:rFonts w:hint="default" w:ascii="Times New Roman" w:hAnsi="Times New Roman" w:eastAsia="宋体" w:cs="Times New Roman"/>
                <w:b w:val="0"/>
                <w:bCs w:val="0"/>
                <w:color w:val="auto"/>
                <w:spacing w:val="-6"/>
                <w:kern w:val="2"/>
                <w:sz w:val="21"/>
                <w:szCs w:val="21"/>
                <w:lang w:val="en-US" w:eastAsia="zh-CN" w:bidi="ar-SA"/>
              </w:rPr>
              <w:t>远洋城二期</w:t>
            </w:r>
            <w:r>
              <w:rPr>
                <w:rFonts w:hint="eastAsia" w:ascii="Times New Roman" w:hAnsi="Times New Roman" w:eastAsia="宋体" w:cs="Times New Roman"/>
                <w:b w:val="0"/>
                <w:bCs w:val="0"/>
                <w:color w:val="auto"/>
                <w:spacing w:val="-6"/>
                <w:kern w:val="2"/>
                <w:sz w:val="21"/>
                <w:szCs w:val="21"/>
                <w:lang w:val="en-US" w:eastAsia="zh-CN" w:bidi="ar-SA"/>
              </w:rPr>
              <w:t>小区</w:t>
            </w:r>
            <w:r>
              <w:rPr>
                <w:rFonts w:hint="default" w:ascii="Times New Roman" w:hAnsi="Times New Roman" w:eastAsia="宋体" w:cs="Times New Roman"/>
                <w:b w:val="0"/>
                <w:bCs w:val="0"/>
                <w:color w:val="auto"/>
                <w:spacing w:val="-6"/>
                <w:kern w:val="2"/>
                <w:sz w:val="21"/>
                <w:szCs w:val="21"/>
                <w:lang w:val="en-US" w:eastAsia="zh-CN" w:bidi="ar-SA"/>
              </w:rPr>
              <w:t>。</w:t>
            </w:r>
          </w:p>
          <w:p w14:paraId="13273937">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highlight w:val="none"/>
                <w:lang w:val="en-US" w:eastAsia="zh-CN" w:bidi="ar-SA"/>
              </w:rPr>
            </w:pPr>
            <w:r>
              <w:rPr>
                <w:rFonts w:hint="default" w:ascii="Times New Roman" w:hAnsi="Times New Roman" w:eastAsia="宋体" w:cs="Times New Roman"/>
                <w:b w:val="0"/>
                <w:bCs w:val="0"/>
                <w:color w:val="auto"/>
                <w:spacing w:val="-6"/>
                <w:kern w:val="2"/>
                <w:sz w:val="21"/>
                <w:szCs w:val="21"/>
                <w:highlight w:val="none"/>
                <w:lang w:val="en-US" w:eastAsia="zh-CN" w:bidi="ar-SA"/>
              </w:rPr>
              <w:t>医院成立于20</w:t>
            </w:r>
            <w:r>
              <w:rPr>
                <w:rFonts w:hint="eastAsia" w:ascii="Times New Roman" w:hAnsi="Times New Roman" w:eastAsia="宋体" w:cs="Times New Roman"/>
                <w:b w:val="0"/>
                <w:bCs w:val="0"/>
                <w:color w:val="auto"/>
                <w:spacing w:val="-6"/>
                <w:kern w:val="2"/>
                <w:sz w:val="21"/>
                <w:szCs w:val="21"/>
                <w:highlight w:val="none"/>
                <w:lang w:val="en-US" w:eastAsia="zh-CN" w:bidi="ar-SA"/>
              </w:rPr>
              <w:t>19</w:t>
            </w:r>
            <w:r>
              <w:rPr>
                <w:rFonts w:hint="default" w:ascii="Times New Roman" w:hAnsi="Times New Roman" w:eastAsia="宋体" w:cs="Times New Roman"/>
                <w:b w:val="0"/>
                <w:bCs w:val="0"/>
                <w:color w:val="auto"/>
                <w:spacing w:val="-6"/>
                <w:kern w:val="2"/>
                <w:sz w:val="21"/>
                <w:szCs w:val="21"/>
                <w:highlight w:val="none"/>
                <w:lang w:val="en-US" w:eastAsia="zh-CN" w:bidi="ar-SA"/>
              </w:rPr>
              <w:t>年</w:t>
            </w:r>
            <w:r>
              <w:rPr>
                <w:rFonts w:hint="eastAsia" w:ascii="Times New Roman" w:hAnsi="Times New Roman" w:eastAsia="宋体" w:cs="Times New Roman"/>
                <w:b w:val="0"/>
                <w:bCs w:val="0"/>
                <w:color w:val="auto"/>
                <w:spacing w:val="-6"/>
                <w:kern w:val="2"/>
                <w:sz w:val="21"/>
                <w:szCs w:val="21"/>
                <w:highlight w:val="none"/>
                <w:lang w:val="en-US" w:eastAsia="zh-CN" w:bidi="ar-SA"/>
              </w:rPr>
              <w:t>6</w:t>
            </w:r>
            <w:r>
              <w:rPr>
                <w:rFonts w:hint="default" w:ascii="Times New Roman" w:hAnsi="Times New Roman" w:eastAsia="宋体" w:cs="Times New Roman"/>
                <w:b w:val="0"/>
                <w:bCs w:val="0"/>
                <w:color w:val="auto"/>
                <w:spacing w:val="-6"/>
                <w:kern w:val="2"/>
                <w:sz w:val="21"/>
                <w:szCs w:val="21"/>
                <w:highlight w:val="none"/>
                <w:lang w:val="en-US" w:eastAsia="zh-CN" w:bidi="ar-SA"/>
              </w:rPr>
              <w:t>月，营业至今</w:t>
            </w:r>
            <w:r>
              <w:rPr>
                <w:rFonts w:hint="eastAsia" w:ascii="Times New Roman" w:hAnsi="Times New Roman" w:eastAsia="宋体" w:cs="Times New Roman"/>
                <w:b w:val="0"/>
                <w:bCs w:val="0"/>
                <w:color w:val="auto"/>
                <w:spacing w:val="-6"/>
                <w:kern w:val="2"/>
                <w:sz w:val="21"/>
                <w:szCs w:val="21"/>
                <w:highlight w:val="none"/>
                <w:lang w:val="en-US" w:eastAsia="zh-CN" w:bidi="ar-SA"/>
              </w:rPr>
              <w:t>已6</w:t>
            </w:r>
            <w:r>
              <w:rPr>
                <w:rFonts w:hint="default" w:ascii="Times New Roman" w:hAnsi="Times New Roman" w:eastAsia="宋体" w:cs="Times New Roman"/>
                <w:b w:val="0"/>
                <w:bCs w:val="0"/>
                <w:color w:val="auto"/>
                <w:spacing w:val="-6"/>
                <w:kern w:val="2"/>
                <w:sz w:val="21"/>
                <w:szCs w:val="21"/>
                <w:highlight w:val="none"/>
                <w:lang w:val="en-US" w:eastAsia="zh-CN" w:bidi="ar-SA"/>
              </w:rPr>
              <w:t>年</w:t>
            </w:r>
            <w:r>
              <w:rPr>
                <w:rFonts w:hint="eastAsia" w:ascii="Times New Roman" w:hAnsi="Times New Roman" w:eastAsia="宋体" w:cs="Times New Roman"/>
                <w:b w:val="0"/>
                <w:bCs w:val="0"/>
                <w:color w:val="auto"/>
                <w:spacing w:val="-6"/>
                <w:kern w:val="2"/>
                <w:sz w:val="21"/>
                <w:szCs w:val="21"/>
                <w:highlight w:val="none"/>
                <w:lang w:val="en-US" w:eastAsia="zh-CN" w:bidi="ar-SA"/>
              </w:rPr>
              <w:t>左右</w:t>
            </w:r>
            <w:r>
              <w:rPr>
                <w:rFonts w:hint="eastAsia" w:eastAsia="宋体" w:cs="Times New Roman"/>
                <w:b w:val="0"/>
                <w:bCs w:val="0"/>
                <w:color w:val="auto"/>
                <w:spacing w:val="-6"/>
                <w:kern w:val="2"/>
                <w:sz w:val="21"/>
                <w:szCs w:val="21"/>
                <w:highlight w:val="none"/>
                <w:lang w:val="en-US" w:eastAsia="zh-CN" w:bidi="ar-SA"/>
              </w:rPr>
              <w:t>。据调查，本项目运行至今未发生环境污染和环保投诉问题</w:t>
            </w:r>
            <w:r>
              <w:rPr>
                <w:rFonts w:hint="default" w:ascii="Times New Roman" w:hAnsi="Times New Roman" w:eastAsia="宋体" w:cs="Times New Roman"/>
                <w:b w:val="0"/>
                <w:bCs w:val="0"/>
                <w:color w:val="auto"/>
                <w:spacing w:val="-6"/>
                <w:kern w:val="2"/>
                <w:sz w:val="21"/>
                <w:szCs w:val="21"/>
                <w:highlight w:val="none"/>
                <w:lang w:val="en-US" w:eastAsia="zh-CN" w:bidi="ar-SA"/>
              </w:rPr>
              <w:t>。本项目是对现有手术室进行改建，新增动物颅腔、胸腔和腹腔手术服务。</w:t>
            </w:r>
          </w:p>
          <w:p w14:paraId="7931463C">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lang w:val="en-US" w:eastAsia="zh-CN" w:bidi="ar-SA"/>
              </w:rPr>
            </w:pPr>
            <w:r>
              <w:rPr>
                <w:rFonts w:hint="default" w:ascii="Times New Roman" w:hAnsi="Times New Roman" w:eastAsia="宋体" w:cs="Times New Roman"/>
                <w:b w:val="0"/>
                <w:bCs w:val="0"/>
                <w:color w:val="auto"/>
                <w:spacing w:val="-6"/>
                <w:kern w:val="2"/>
                <w:sz w:val="21"/>
                <w:szCs w:val="21"/>
                <w:lang w:val="en-US" w:eastAsia="zh-CN" w:bidi="ar-SA"/>
              </w:rPr>
              <w:t>远洋城二期已建设有生化池，主要收纳商业和住宅楼废水，项目所在区域敷设有完善的雨污管网，该污水管网接入</w:t>
            </w:r>
            <w:bookmarkStart w:id="2" w:name="OLE_LINK8"/>
            <w:r>
              <w:rPr>
                <w:rFonts w:hint="eastAsia" w:ascii="Times New Roman" w:hAnsi="Times New Roman" w:eastAsia="宋体" w:cs="Times New Roman"/>
                <w:b w:val="0"/>
                <w:bCs w:val="0"/>
                <w:color w:val="auto"/>
                <w:spacing w:val="-6"/>
                <w:kern w:val="2"/>
                <w:sz w:val="21"/>
                <w:szCs w:val="21"/>
                <w:lang w:val="en-US" w:eastAsia="zh-CN" w:bidi="ar-SA"/>
              </w:rPr>
              <w:t>鸡冠石</w:t>
            </w:r>
            <w:r>
              <w:rPr>
                <w:rFonts w:hint="default" w:ascii="Times New Roman" w:hAnsi="Times New Roman" w:eastAsia="宋体" w:cs="Times New Roman"/>
                <w:b w:val="0"/>
                <w:bCs w:val="0"/>
                <w:color w:val="auto"/>
                <w:spacing w:val="-6"/>
                <w:kern w:val="2"/>
                <w:sz w:val="21"/>
                <w:szCs w:val="21"/>
                <w:lang w:val="en-US" w:eastAsia="zh-CN" w:bidi="ar-SA"/>
              </w:rPr>
              <w:t>污水处理厂</w:t>
            </w:r>
            <w:bookmarkEnd w:id="2"/>
            <w:r>
              <w:rPr>
                <w:rFonts w:hint="default" w:ascii="Times New Roman" w:hAnsi="Times New Roman" w:eastAsia="宋体" w:cs="Times New Roman"/>
                <w:b w:val="0"/>
                <w:bCs w:val="0"/>
                <w:color w:val="auto"/>
                <w:spacing w:val="-6"/>
                <w:kern w:val="2"/>
                <w:sz w:val="21"/>
                <w:szCs w:val="21"/>
                <w:lang w:val="en-US" w:eastAsia="zh-CN" w:bidi="ar-SA"/>
              </w:rPr>
              <w:t>，项目废水能得到有效处理。项目地理位置优越，交通便捷。项目所在区域城市建设成熟，供电、供水等设施完善，可以满足项目运营需要。因此，项目所在区域市政设施完善，有利于本项目建设。</w:t>
            </w:r>
          </w:p>
          <w:p w14:paraId="5D2D2301">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lang w:val="en-US" w:eastAsia="zh-CN" w:bidi="ar-SA"/>
              </w:rPr>
            </w:pPr>
            <w:r>
              <w:rPr>
                <w:rFonts w:hint="default" w:ascii="Times New Roman" w:hAnsi="Times New Roman" w:eastAsia="宋体" w:cs="Times New Roman"/>
                <w:b w:val="0"/>
                <w:bCs w:val="0"/>
                <w:color w:val="auto"/>
                <w:spacing w:val="-6"/>
                <w:kern w:val="2"/>
                <w:sz w:val="21"/>
                <w:szCs w:val="21"/>
                <w:lang w:val="en-US" w:eastAsia="zh-CN" w:bidi="ar-SA"/>
              </w:rPr>
              <w:t>根据环境质量现状评价，项目所在区域</w:t>
            </w:r>
            <w:r>
              <w:rPr>
                <w:rFonts w:hint="eastAsia" w:ascii="Times New Roman" w:hAnsi="Times New Roman" w:eastAsia="宋体" w:cs="Times New Roman"/>
                <w:b w:val="0"/>
                <w:bCs w:val="0"/>
                <w:color w:val="auto"/>
                <w:spacing w:val="-6"/>
                <w:kern w:val="2"/>
                <w:sz w:val="21"/>
                <w:szCs w:val="21"/>
                <w:lang w:val="en-US" w:eastAsia="zh-CN" w:bidi="ar-SA"/>
              </w:rPr>
              <w:t>九龙坡</w:t>
            </w:r>
            <w:r>
              <w:rPr>
                <w:rFonts w:hint="default" w:ascii="Times New Roman" w:hAnsi="Times New Roman" w:eastAsia="宋体" w:cs="Times New Roman"/>
                <w:b w:val="0"/>
                <w:bCs w:val="0"/>
                <w:color w:val="auto"/>
                <w:spacing w:val="-6"/>
                <w:kern w:val="2"/>
                <w:sz w:val="21"/>
                <w:szCs w:val="21"/>
                <w:lang w:val="en-US" w:eastAsia="zh-CN" w:bidi="ar-SA"/>
              </w:rPr>
              <w:t>区属于大气环境质量达标区，项目营运期不涉及总量控制的大气污染物排放。项目最终受纳水体为长江，长江水质满足《地表水环境质量标准》（GB3838-2002）Ⅲ类水域标准要求。项目所在地声环境质量满足《声环境质量标准》（GB3096-2008）2类标准要求，声环境质量较好。因此，项目选址区域环境质量总体较好，有利于项目的建设。</w:t>
            </w:r>
          </w:p>
          <w:p w14:paraId="5CA3BE22">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lang w:val="en-US" w:eastAsia="zh-CN" w:bidi="ar-SA"/>
              </w:rPr>
            </w:pPr>
            <w:r>
              <w:rPr>
                <w:rFonts w:hint="default" w:ascii="Times New Roman" w:hAnsi="Times New Roman" w:eastAsia="宋体" w:cs="Times New Roman"/>
                <w:b w:val="0"/>
                <w:bCs w:val="0"/>
                <w:color w:val="auto"/>
                <w:spacing w:val="-6"/>
                <w:kern w:val="2"/>
                <w:sz w:val="21"/>
                <w:szCs w:val="21"/>
                <w:lang w:val="en-US" w:eastAsia="zh-CN" w:bidi="ar-SA"/>
              </w:rPr>
              <w:t>本项目是在现有医院场址内部进行改建，周边环境保护目标主要以远洋城二期</w:t>
            </w:r>
            <w:r>
              <w:rPr>
                <w:rFonts w:hint="eastAsia" w:ascii="Times New Roman" w:hAnsi="Times New Roman" w:eastAsia="宋体" w:cs="Times New Roman"/>
                <w:b w:val="0"/>
                <w:bCs w:val="0"/>
                <w:color w:val="auto"/>
                <w:spacing w:val="-6"/>
                <w:kern w:val="2"/>
                <w:sz w:val="21"/>
                <w:szCs w:val="21"/>
                <w:lang w:val="en-US" w:eastAsia="zh-CN" w:bidi="ar-SA"/>
              </w:rPr>
              <w:t>小区</w:t>
            </w:r>
            <w:r>
              <w:rPr>
                <w:rFonts w:hint="default" w:ascii="Times New Roman" w:hAnsi="Times New Roman" w:eastAsia="宋体" w:cs="Times New Roman"/>
                <w:b w:val="0"/>
                <w:bCs w:val="0"/>
                <w:color w:val="auto"/>
                <w:spacing w:val="-6"/>
                <w:kern w:val="2"/>
                <w:sz w:val="21"/>
                <w:szCs w:val="21"/>
                <w:lang w:val="en-US" w:eastAsia="zh-CN" w:bidi="ar-SA"/>
              </w:rPr>
              <w:t>住宅楼为主，通过合理布局，将猫/犬病房布置在</w:t>
            </w:r>
            <w:r>
              <w:rPr>
                <w:rFonts w:hint="eastAsia" w:ascii="Times New Roman" w:hAnsi="Times New Roman" w:eastAsia="宋体" w:cs="Times New Roman"/>
                <w:b w:val="0"/>
                <w:bCs w:val="0"/>
                <w:color w:val="auto"/>
                <w:spacing w:val="-6"/>
                <w:kern w:val="2"/>
                <w:sz w:val="21"/>
                <w:szCs w:val="21"/>
                <w:lang w:val="en-US" w:eastAsia="zh-CN" w:bidi="ar-SA"/>
              </w:rPr>
              <w:t>内</w:t>
            </w:r>
            <w:r>
              <w:rPr>
                <w:rFonts w:hint="default" w:ascii="Times New Roman" w:hAnsi="Times New Roman" w:eastAsia="宋体" w:cs="Times New Roman"/>
                <w:b w:val="0"/>
                <w:bCs w:val="0"/>
                <w:color w:val="auto"/>
                <w:spacing w:val="-6"/>
                <w:kern w:val="2"/>
                <w:sz w:val="21"/>
                <w:szCs w:val="21"/>
                <w:lang w:val="en-US" w:eastAsia="zh-CN" w:bidi="ar-SA"/>
              </w:rPr>
              <w:t>侧，</w:t>
            </w:r>
            <w:r>
              <w:rPr>
                <w:rFonts w:hint="eastAsia" w:ascii="Times New Roman" w:hAnsi="Times New Roman" w:eastAsia="宋体" w:cs="Times New Roman"/>
                <w:b w:val="0"/>
                <w:bCs w:val="0"/>
                <w:color w:val="auto"/>
                <w:spacing w:val="-6"/>
                <w:kern w:val="2"/>
                <w:sz w:val="21"/>
                <w:szCs w:val="21"/>
                <w:lang w:val="en-US" w:eastAsia="zh-CN" w:bidi="ar-SA"/>
              </w:rPr>
              <w:t>远离小区住宅楼</w:t>
            </w:r>
            <w:r>
              <w:rPr>
                <w:rFonts w:hint="default" w:ascii="Times New Roman" w:hAnsi="Times New Roman" w:eastAsia="宋体" w:cs="Times New Roman"/>
                <w:b w:val="0"/>
                <w:bCs w:val="0"/>
                <w:color w:val="auto"/>
                <w:spacing w:val="-6"/>
                <w:kern w:val="2"/>
                <w:sz w:val="21"/>
                <w:szCs w:val="21"/>
                <w:lang w:val="en-US" w:eastAsia="zh-CN" w:bidi="ar-SA"/>
              </w:rPr>
              <w:t>，同时加强管理，避免动物处于饥饿状态发出叫声等措施减小噪声影响。院区主要通过加强自然通风和单体空调换风等措施减少臭气影响。</w:t>
            </w:r>
          </w:p>
          <w:p w14:paraId="754FA133">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lang w:val="en-US" w:eastAsia="zh-CN" w:bidi="ar-SA"/>
              </w:rPr>
            </w:pPr>
            <w:r>
              <w:rPr>
                <w:rFonts w:hint="default" w:ascii="Times New Roman" w:hAnsi="Times New Roman" w:eastAsia="宋体" w:cs="Times New Roman"/>
                <w:b w:val="0"/>
                <w:bCs w:val="0"/>
                <w:color w:val="auto"/>
                <w:spacing w:val="-6"/>
                <w:kern w:val="2"/>
                <w:sz w:val="21"/>
                <w:szCs w:val="21"/>
                <w:lang w:val="en-US" w:eastAsia="zh-CN" w:bidi="ar-SA"/>
              </w:rPr>
              <w:t>项目选址为远洋城二期19栋底商吊2-3商业用房，地处城市建成区，周边无畜禽养殖场、屠宰加工厂、动物交易场所，设置独立的出入口，不与远洋城二期小区住宅楼共用出入口。且经分析项目符合根据《动物诊疗机构管理办法》（农业农村部令19号）、《重庆市动物防疫条例》 等文件要求。</w:t>
            </w:r>
          </w:p>
          <w:p w14:paraId="5E5B84A3">
            <w:pPr>
              <w:pStyle w:val="2"/>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396" w:firstLineChars="200"/>
              <w:textAlignment w:val="auto"/>
              <w:rPr>
                <w:rFonts w:hint="default" w:ascii="Times New Roman" w:hAnsi="Times New Roman" w:eastAsia="宋体" w:cs="Times New Roman"/>
                <w:b w:val="0"/>
                <w:bCs w:val="0"/>
                <w:color w:val="auto"/>
                <w:spacing w:val="-6"/>
                <w:kern w:val="2"/>
                <w:sz w:val="21"/>
                <w:szCs w:val="21"/>
                <w:lang w:val="en-US" w:eastAsia="zh-CN" w:bidi="ar-SA"/>
              </w:rPr>
            </w:pPr>
            <w:r>
              <w:rPr>
                <w:rFonts w:hint="default" w:ascii="Times New Roman" w:hAnsi="Times New Roman" w:eastAsia="宋体" w:cs="Times New Roman"/>
                <w:b w:val="0"/>
                <w:bCs w:val="0"/>
                <w:color w:val="auto"/>
                <w:spacing w:val="-6"/>
                <w:kern w:val="2"/>
                <w:sz w:val="21"/>
                <w:szCs w:val="21"/>
                <w:lang w:val="en-US" w:eastAsia="zh-CN" w:bidi="ar-SA"/>
              </w:rPr>
              <w:t>综上所述，项目选址合理。</w:t>
            </w:r>
          </w:p>
          <w:p w14:paraId="167FA755">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eastAsia" w:ascii="Times New Roman" w:hAnsi="Times New Roman" w:eastAsia="宋体" w:cs="Times New Roman"/>
                <w:b/>
                <w:bCs/>
                <w:color w:val="auto"/>
                <w:kern w:val="0"/>
                <w:szCs w:val="21"/>
                <w:lang w:val="en-US" w:eastAsia="zh-CN"/>
              </w:rPr>
            </w:pPr>
          </w:p>
          <w:p w14:paraId="0AF8F49D">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jc w:val="left"/>
              <w:textAlignment w:val="auto"/>
              <w:rPr>
                <w:rFonts w:hint="eastAsia" w:ascii="Times New Roman" w:hAnsi="Times New Roman" w:eastAsia="宋体" w:cs="Times New Roman"/>
                <w:b/>
                <w:bCs/>
                <w:color w:val="auto"/>
                <w:kern w:val="0"/>
                <w:szCs w:val="21"/>
                <w:lang w:val="en-US" w:eastAsia="zh-CN"/>
              </w:rPr>
            </w:pPr>
          </w:p>
          <w:p w14:paraId="285D9CB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Times New Roman" w:hAnsi="Times New Roman" w:cs="Times New Roman"/>
                <w:b w:val="0"/>
                <w:bCs w:val="0"/>
                <w:color w:val="auto"/>
                <w:kern w:val="0"/>
                <w:szCs w:val="21"/>
                <w:lang w:val="en-US" w:eastAsia="zh-CN"/>
              </w:rPr>
            </w:pPr>
          </w:p>
          <w:p w14:paraId="066C7B5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Times New Roman" w:hAnsi="Times New Roman" w:cs="Times New Roman"/>
                <w:b w:val="0"/>
                <w:bCs w:val="0"/>
                <w:color w:val="auto"/>
                <w:kern w:val="0"/>
                <w:szCs w:val="21"/>
                <w:lang w:val="en-US" w:eastAsia="zh-CN"/>
              </w:rPr>
            </w:pPr>
          </w:p>
          <w:p w14:paraId="118D3F6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Times New Roman" w:hAnsi="Times New Roman" w:cs="Times New Roman"/>
                <w:b w:val="0"/>
                <w:bCs w:val="0"/>
                <w:color w:val="auto"/>
                <w:kern w:val="0"/>
                <w:szCs w:val="21"/>
                <w:lang w:val="en-US" w:eastAsia="zh-CN"/>
              </w:rPr>
            </w:pPr>
          </w:p>
          <w:p w14:paraId="05EE1497">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kern w:val="0"/>
                <w:szCs w:val="21"/>
                <w:lang w:val="en-US" w:eastAsia="zh-CN"/>
              </w:rPr>
            </w:pPr>
          </w:p>
        </w:tc>
      </w:tr>
    </w:tbl>
    <w:p w14:paraId="63381CB2">
      <w:pPr>
        <w:spacing w:line="360" w:lineRule="auto"/>
        <w:outlineLvl w:val="0"/>
        <w:rPr>
          <w:rFonts w:hint="default" w:ascii="Times New Roman" w:hAnsi="Times New Roman" w:eastAsia="宋体" w:cs="Times New Roman"/>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0B97056">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234"/>
      </w:tblGrid>
      <w:tr w14:paraId="7AD3A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noWrap w:val="0"/>
            <w:vAlign w:val="center"/>
          </w:tcPr>
          <w:p w14:paraId="3D66BA55">
            <w:pPr>
              <w:pStyle w:val="19"/>
              <w:adjustRightInd w:val="0"/>
              <w:snapToGrid w:val="0"/>
              <w:spacing w:before="0" w:beforeAutospacing="0" w:after="0" w:afterAutospacing="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建设内容</w:t>
            </w:r>
          </w:p>
        </w:tc>
        <w:tc>
          <w:tcPr>
            <w:tcW w:w="8234" w:type="dxa"/>
            <w:noWrap w:val="0"/>
            <w:vAlign w:val="top"/>
          </w:tcPr>
          <w:p w14:paraId="10E9B6B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r>
              <w:rPr>
                <w:rFonts w:hint="default" w:ascii="Times New Roman" w:hAnsi="Times New Roman" w:cs="Times New Roman" w:eastAsiaTheme="majorEastAsia"/>
                <w:b/>
                <w:bCs w:val="0"/>
                <w:color w:val="auto"/>
                <w:szCs w:val="21"/>
                <w:lang w:val="en-US" w:eastAsia="zh-CN"/>
              </w:rPr>
              <w:t>2.1项目由来</w:t>
            </w:r>
          </w:p>
          <w:p w14:paraId="6049475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t>高新技术产业开发区安兴动物医院成立于2019年6月，购买九龙坡区经纬大道1305号远洋城二期19栋底商吊2-3商业用房，建筑面积129.14m</w:t>
            </w:r>
            <w:r>
              <w:rPr>
                <w:rFonts w:hint="eastAsia" w:ascii="Times New Roman" w:hAnsi="Times New Roman" w:cs="Times New Roman" w:eastAsiaTheme="majorEastAsia"/>
                <w:b w:val="0"/>
                <w:bCs/>
                <w:color w:val="auto"/>
                <w:szCs w:val="21"/>
                <w:vertAlign w:val="superscript"/>
                <w:lang w:val="en-US" w:eastAsia="zh-CN"/>
              </w:rPr>
              <w:t>2</w:t>
            </w:r>
            <w:r>
              <w:rPr>
                <w:rFonts w:hint="eastAsia" w:ascii="Times New Roman" w:hAnsi="Times New Roman" w:cs="Times New Roman" w:eastAsiaTheme="majorEastAsia"/>
                <w:b w:val="0"/>
                <w:bCs/>
                <w:color w:val="auto"/>
                <w:szCs w:val="21"/>
                <w:lang w:val="en-US" w:eastAsia="zh-CN"/>
              </w:rPr>
              <w:t>，从事猫犬的疾病预防、诊疗、治疗和手术，兼营宠物用品、宠物食品和宠物美容等项目。</w:t>
            </w:r>
          </w:p>
          <w:p w14:paraId="3F7D7A6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color w:val="auto"/>
                <w:szCs w:val="21"/>
                <w:lang w:val="en-US" w:eastAsia="zh-CN"/>
              </w:rPr>
            </w:pPr>
            <w:r>
              <w:rPr>
                <w:rFonts w:hint="default" w:ascii="Times New Roman" w:hAnsi="Times New Roman" w:cs="Times New Roman" w:eastAsiaTheme="majorEastAsia"/>
                <w:b w:val="0"/>
                <w:bCs/>
                <w:color w:val="auto"/>
                <w:szCs w:val="21"/>
                <w:lang w:val="en-US" w:eastAsia="zh-CN"/>
              </w:rPr>
              <w:t>现有医院手术室主要进行仅涉及节育、伤口处理等</w:t>
            </w:r>
            <w:r>
              <w:rPr>
                <w:rFonts w:hint="eastAsia" w:ascii="Times New Roman" w:hAnsi="Times New Roman" w:cs="Times New Roman" w:eastAsiaTheme="majorEastAsia"/>
                <w:b w:val="0"/>
                <w:bCs/>
                <w:color w:val="auto"/>
                <w:szCs w:val="21"/>
                <w:lang w:val="en-US" w:eastAsia="zh-CN"/>
              </w:rPr>
              <w:t>简单</w:t>
            </w:r>
            <w:r>
              <w:rPr>
                <w:rFonts w:hint="default" w:ascii="Times New Roman" w:hAnsi="Times New Roman" w:cs="Times New Roman" w:eastAsiaTheme="majorEastAsia"/>
                <w:b w:val="0"/>
                <w:bCs/>
                <w:color w:val="auto"/>
                <w:szCs w:val="21"/>
                <w:lang w:val="en-US" w:eastAsia="zh-CN"/>
              </w:rPr>
              <w:t>手术，不包含颅腔、胸腔或腹腔手术。根据《关于宠物医院服务项目环境影响评价类有关问题的复函》（环办环评函〔2019〕168 号）：</w:t>
            </w:r>
            <w:r>
              <w:rPr>
                <w:rFonts w:hint="eastAsia" w:ascii="Times New Roman" w:hAnsi="Times New Roman" w:cs="Times New Roman" w:eastAsiaTheme="majorEastAsia"/>
                <w:b w:val="0"/>
                <w:bCs/>
                <w:color w:val="auto"/>
                <w:szCs w:val="21"/>
                <w:lang w:val="en-US" w:eastAsia="zh-CN"/>
              </w:rPr>
              <w:t>“</w:t>
            </w:r>
            <w:r>
              <w:rPr>
                <w:rFonts w:hint="default" w:ascii="Times New Roman" w:hAnsi="Times New Roman" w:cs="Times New Roman" w:eastAsiaTheme="majorEastAsia"/>
                <w:b w:val="0"/>
                <w:bCs/>
                <w:color w:val="auto"/>
                <w:szCs w:val="21"/>
                <w:lang w:val="en-US" w:eastAsia="zh-CN"/>
              </w:rPr>
              <w:t>不具备从事动物颅腔、胸腔和腹腔手术能力的动物诊疗机构建设项目，不纳入建设项目环境影响评价管理</w:t>
            </w:r>
            <w:r>
              <w:rPr>
                <w:rFonts w:hint="eastAsia" w:ascii="Times New Roman" w:hAnsi="Times New Roman" w:cs="Times New Roman" w:eastAsiaTheme="majorEastAsia"/>
                <w:b w:val="0"/>
                <w:bCs/>
                <w:color w:val="auto"/>
                <w:szCs w:val="21"/>
                <w:lang w:val="en-US" w:eastAsia="zh-CN"/>
              </w:rPr>
              <w:t>”</w:t>
            </w:r>
            <w:r>
              <w:rPr>
                <w:rFonts w:hint="default" w:ascii="Times New Roman" w:hAnsi="Times New Roman" w:cs="Times New Roman" w:eastAsiaTheme="majorEastAsia"/>
                <w:b w:val="0"/>
                <w:bCs/>
                <w:color w:val="auto"/>
                <w:szCs w:val="21"/>
                <w:lang w:val="en-US" w:eastAsia="zh-CN"/>
              </w:rPr>
              <w:t>，</w:t>
            </w:r>
            <w:r>
              <w:rPr>
                <w:rFonts w:hint="eastAsia" w:ascii="Times New Roman" w:hAnsi="Times New Roman" w:cs="Times New Roman" w:eastAsiaTheme="majorEastAsia"/>
                <w:b w:val="0"/>
                <w:bCs/>
                <w:color w:val="auto"/>
                <w:szCs w:val="21"/>
                <w:lang w:val="en-US" w:eastAsia="zh-CN"/>
              </w:rPr>
              <w:t>因此，</w:t>
            </w:r>
            <w:r>
              <w:rPr>
                <w:rFonts w:hint="default" w:ascii="Times New Roman" w:hAnsi="Times New Roman" w:cs="Times New Roman" w:eastAsiaTheme="majorEastAsia"/>
                <w:b w:val="0"/>
                <w:bCs/>
                <w:color w:val="auto"/>
                <w:szCs w:val="21"/>
                <w:lang w:val="en-US" w:eastAsia="zh-CN"/>
              </w:rPr>
              <w:t>医院根据要求未开展环评手续。</w:t>
            </w:r>
          </w:p>
          <w:p w14:paraId="6A18F8A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t>现随着周边片区宠物饲养量日益增加，为配套提高该动物医院诊疗的服务水平，高新技术产业开发区安兴动物医院拟在已有手术类型基础上扩充手术能力，新增颅腔、胸腔和腹腔手术。根据《中华人民共和国环境保护法》、《中华人民共和国环境影响评价法》、《建设项目环境保护管理条例》（国务院令第682号）及《建设项目环境影响评价分类管理名录（2021年版）》（部令第16号），医院进行手术室改造后需开展环境影响评价，改建项目属于“五十、社会事业与服务业—123.动物医院”，设有动物颅腔、胸腔或腹腔手术设施的，应编制环境影响报告表。</w:t>
            </w:r>
            <w:r>
              <w:rPr>
                <w:rFonts w:hint="default" w:ascii="Times New Roman" w:hAnsi="Times New Roman" w:eastAsia="宋体" w:cs="Times New Roman"/>
                <w:color w:val="auto"/>
                <w:sz w:val="21"/>
                <w:szCs w:val="21"/>
                <w:highlight w:val="none"/>
                <w:lang w:val="en-US" w:eastAsia="zh-CN"/>
              </w:rPr>
              <w:t>同时，对照重庆市生态环境局关于印发《重庆市不纳入环境影响评价管理的建设项目名录（2023年版）》的通知，项目未纳入该《名录》</w:t>
            </w:r>
            <w:r>
              <w:rPr>
                <w:rFonts w:hint="eastAsia" w:ascii="Times New Roman" w:hAnsi="Times New Roman" w:eastAsia="宋体" w:cs="Times New Roman"/>
                <w:color w:val="auto"/>
                <w:sz w:val="21"/>
                <w:szCs w:val="21"/>
                <w:highlight w:val="none"/>
                <w:lang w:val="en-US" w:eastAsia="zh-CN"/>
              </w:rPr>
              <w:t>。</w:t>
            </w:r>
          </w:p>
          <w:p w14:paraId="088C6C7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本次改建，对现有医院手术室进行改造并增设部分医疗设备，以满足增设</w:t>
            </w:r>
            <w:r>
              <w:rPr>
                <w:rFonts w:hint="eastAsia"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手术服务。医疗设备购买入场后即可完成安装调试，无其他施工内容，</w:t>
            </w:r>
            <w:r>
              <w:rPr>
                <w:rFonts w:hint="eastAsia" w:cs="Times New Roman"/>
                <w:color w:val="auto"/>
                <w:sz w:val="21"/>
                <w:szCs w:val="21"/>
                <w:highlight w:val="none"/>
                <w:lang w:val="en-US" w:eastAsia="zh-CN"/>
              </w:rPr>
              <w:t>不涉及管网改造，</w:t>
            </w:r>
            <w:r>
              <w:rPr>
                <w:rFonts w:hint="default" w:ascii="Times New Roman" w:hAnsi="Times New Roman" w:eastAsia="宋体" w:cs="Times New Roman"/>
                <w:color w:val="auto"/>
                <w:sz w:val="21"/>
                <w:szCs w:val="21"/>
                <w:highlight w:val="none"/>
                <w:lang w:val="en-US" w:eastAsia="zh-CN"/>
              </w:rPr>
              <w:t>故本次环评不对施工期环境影响进行评价。</w:t>
            </w:r>
            <w:r>
              <w:rPr>
                <w:rFonts w:hint="eastAsia" w:ascii="Times New Roman" w:hAnsi="Times New Roman" w:cs="Times New Roman" w:eastAsiaTheme="majorEastAsia"/>
                <w:b w:val="0"/>
                <w:bCs/>
                <w:color w:val="auto"/>
                <w:szCs w:val="21"/>
                <w:lang w:val="en-US" w:eastAsia="zh-CN"/>
              </w:rPr>
              <w:t>为便于环境管理及后续验</w:t>
            </w:r>
            <w:r>
              <w:rPr>
                <w:rFonts w:hint="eastAsia" w:ascii="Times New Roman" w:hAnsi="Times New Roman" w:cs="Times New Roman" w:eastAsiaTheme="majorEastAsia"/>
                <w:b w:val="0"/>
                <w:bCs/>
                <w:color w:val="auto"/>
                <w:szCs w:val="21"/>
                <w:highlight w:val="none"/>
                <w:lang w:val="en-US" w:eastAsia="zh-CN"/>
              </w:rPr>
              <w:t>收，本次评价针对改建后整个项目进行评价，建设性质为改建，项目按照整体规模进行产排污分析、提出相应的环保措施要求。</w:t>
            </w:r>
          </w:p>
          <w:p w14:paraId="22800A4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highlight w:val="none"/>
                <w:lang w:val="en-US" w:eastAsia="zh-CN"/>
              </w:rPr>
            </w:pPr>
            <w:r>
              <w:rPr>
                <w:rFonts w:hint="eastAsia" w:ascii="Times New Roman" w:hAnsi="Times New Roman" w:cs="Times New Roman" w:eastAsiaTheme="majorEastAsia"/>
                <w:b w:val="0"/>
                <w:bCs/>
                <w:color w:val="auto"/>
                <w:szCs w:val="21"/>
                <w:highlight w:val="none"/>
                <w:lang w:val="en-US" w:eastAsia="zh-CN"/>
              </w:rPr>
              <w:t>医院DR室现配备一台DR机，属于III类射线装置，业主已取得辐射安全许可证，证书编号：渝环辐证</w:t>
            </w:r>
            <w:r>
              <w:rPr>
                <w:rFonts w:hint="eastAsia" w:ascii="宋体" w:hAnsi="宋体" w:eastAsia="宋体" w:cs="宋体"/>
                <w:b w:val="0"/>
                <w:bCs/>
                <w:color w:val="auto"/>
                <w:szCs w:val="21"/>
                <w:highlight w:val="none"/>
                <w:lang w:val="en-US" w:eastAsia="zh-CN"/>
              </w:rPr>
              <w:t>〔</w:t>
            </w:r>
            <w:r>
              <w:rPr>
                <w:rFonts w:hint="eastAsia" w:ascii="Times New Roman" w:hAnsi="Times New Roman" w:cs="Times New Roman" w:eastAsiaTheme="majorEastAsia"/>
                <w:b w:val="0"/>
                <w:bCs/>
                <w:color w:val="auto"/>
                <w:szCs w:val="21"/>
                <w:highlight w:val="none"/>
                <w:lang w:val="en-US" w:eastAsia="zh-CN"/>
              </w:rPr>
              <w:t>15145</w:t>
            </w:r>
            <w:r>
              <w:rPr>
                <w:rFonts w:hint="eastAsia" w:ascii="宋体" w:hAnsi="宋体" w:eastAsia="宋体" w:cs="宋体"/>
                <w:b w:val="0"/>
                <w:bCs/>
                <w:color w:val="auto"/>
                <w:szCs w:val="21"/>
                <w:highlight w:val="none"/>
                <w:lang w:val="en-US" w:eastAsia="zh-CN"/>
              </w:rPr>
              <w:t>〕</w:t>
            </w:r>
            <w:r>
              <w:rPr>
                <w:rFonts w:hint="eastAsia" w:ascii="Times New Roman" w:hAnsi="Times New Roman" w:cs="Times New Roman" w:eastAsiaTheme="majorEastAsia"/>
                <w:b w:val="0"/>
                <w:bCs/>
                <w:color w:val="auto"/>
                <w:szCs w:val="21"/>
                <w:highlight w:val="none"/>
                <w:lang w:val="en-US" w:eastAsia="zh-CN"/>
              </w:rPr>
              <w:t>。本次改建不涉及辐射设备的变化，</w:t>
            </w:r>
            <w:r>
              <w:rPr>
                <w:rFonts w:hint="eastAsia" w:ascii="Times New Roman" w:hAnsi="Times New Roman" w:eastAsia="宋体" w:cs="Times New Roman"/>
                <w:color w:val="auto"/>
                <w:sz w:val="21"/>
                <w:szCs w:val="21"/>
                <w:highlight w:val="none"/>
                <w:lang w:val="en-US" w:eastAsia="zh-CN"/>
              </w:rPr>
              <w:t>因此，本次评价不再对</w:t>
            </w:r>
            <w:r>
              <w:rPr>
                <w:rFonts w:hint="default" w:ascii="Times New Roman" w:hAnsi="Times New Roman" w:eastAsia="宋体" w:cs="Times New Roman"/>
                <w:color w:val="auto"/>
                <w:sz w:val="21"/>
                <w:szCs w:val="21"/>
                <w:highlight w:val="none"/>
                <w:lang w:val="en-US" w:eastAsia="zh-CN"/>
              </w:rPr>
              <w:t>DR</w:t>
            </w:r>
            <w:r>
              <w:rPr>
                <w:rFonts w:hint="eastAsia" w:ascii="Times New Roman" w:hAnsi="Times New Roman" w:eastAsia="宋体" w:cs="Times New Roman"/>
                <w:color w:val="auto"/>
                <w:sz w:val="21"/>
                <w:szCs w:val="21"/>
                <w:highlight w:val="none"/>
                <w:lang w:val="en-US" w:eastAsia="zh-CN"/>
              </w:rPr>
              <w:t>机相关内容进行评价</w:t>
            </w:r>
            <w:r>
              <w:rPr>
                <w:rFonts w:hint="default" w:ascii="Times New Roman" w:hAnsi="Times New Roman" w:eastAsia="宋体" w:cs="Times New Roman"/>
                <w:color w:val="auto"/>
                <w:sz w:val="21"/>
                <w:szCs w:val="21"/>
                <w:highlight w:val="none"/>
                <w:lang w:val="en-US" w:eastAsia="zh-CN"/>
              </w:rPr>
              <w:t>。</w:t>
            </w:r>
          </w:p>
          <w:p w14:paraId="636E80F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r>
              <w:rPr>
                <w:rFonts w:hint="default" w:ascii="Times New Roman" w:hAnsi="Times New Roman" w:cs="Times New Roman" w:eastAsiaTheme="majorEastAsia"/>
                <w:b/>
                <w:bCs w:val="0"/>
                <w:color w:val="auto"/>
                <w:szCs w:val="21"/>
                <w:lang w:val="en-US" w:eastAsia="zh-CN"/>
              </w:rPr>
              <w:t>2.2建设内容</w:t>
            </w:r>
          </w:p>
          <w:p w14:paraId="44BECF4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
                <w:bCs w:val="0"/>
                <w:color w:val="auto"/>
                <w:szCs w:val="21"/>
                <w:lang w:val="en-US" w:eastAsia="zh-CN"/>
              </w:rPr>
              <w:t>2.2.1项目概况</w:t>
            </w:r>
          </w:p>
          <w:p w14:paraId="6C8B87E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项目名称：</w:t>
            </w:r>
            <w:bookmarkStart w:id="3" w:name="_Toc34491701"/>
            <w:bookmarkStart w:id="4" w:name="_Toc34494946"/>
            <w:bookmarkStart w:id="5" w:name="_Toc34493753"/>
            <w:bookmarkStart w:id="6" w:name="_Toc34490616"/>
            <w:r>
              <w:rPr>
                <w:rFonts w:hint="eastAsia" w:ascii="Times New Roman" w:hAnsi="Times New Roman" w:cs="Times New Roman" w:eastAsiaTheme="majorEastAsia"/>
                <w:b w:val="0"/>
                <w:bCs/>
                <w:color w:val="auto"/>
                <w:szCs w:val="21"/>
                <w:lang w:val="en-US" w:eastAsia="zh-CN"/>
              </w:rPr>
              <w:t>安兴动物医院</w:t>
            </w:r>
          </w:p>
          <w:p w14:paraId="6664BD6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建设单位：</w:t>
            </w:r>
            <w:bookmarkEnd w:id="3"/>
            <w:bookmarkEnd w:id="4"/>
            <w:bookmarkEnd w:id="5"/>
            <w:bookmarkEnd w:id="6"/>
            <w:r>
              <w:rPr>
                <w:rFonts w:hint="eastAsia" w:ascii="Times New Roman" w:hAnsi="Times New Roman" w:cs="Times New Roman" w:eastAsiaTheme="majorEastAsia"/>
                <w:b w:val="0"/>
                <w:bCs/>
                <w:color w:val="auto"/>
                <w:szCs w:val="21"/>
                <w:lang w:val="en-US" w:eastAsia="zh-CN"/>
              </w:rPr>
              <w:t>高新技术产业开发区安兴动物医院</w:t>
            </w:r>
          </w:p>
          <w:p w14:paraId="53603D5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bookmarkStart w:id="7" w:name="_Toc34490617"/>
            <w:bookmarkStart w:id="8" w:name="_Toc34491702"/>
            <w:bookmarkStart w:id="9" w:name="_Toc34494947"/>
            <w:bookmarkStart w:id="10" w:name="_Toc34493754"/>
            <w:r>
              <w:rPr>
                <w:rFonts w:hint="default" w:ascii="Times New Roman" w:hAnsi="Times New Roman" w:cs="Times New Roman" w:eastAsiaTheme="majorEastAsia"/>
                <w:bCs/>
                <w:color w:val="auto"/>
                <w:szCs w:val="21"/>
                <w:lang w:val="en-US" w:eastAsia="zh-CN"/>
              </w:rPr>
              <w:t>建设性质：</w:t>
            </w:r>
            <w:r>
              <w:rPr>
                <w:rFonts w:hint="eastAsia" w:ascii="Times New Roman" w:hAnsi="Times New Roman" w:cs="Times New Roman" w:eastAsiaTheme="majorEastAsia"/>
                <w:bCs/>
                <w:color w:val="auto"/>
                <w:szCs w:val="21"/>
                <w:lang w:val="en-US" w:eastAsia="zh-CN"/>
              </w:rPr>
              <w:t>改</w:t>
            </w:r>
            <w:r>
              <w:rPr>
                <w:rFonts w:hint="default" w:ascii="Times New Roman" w:hAnsi="Times New Roman" w:cs="Times New Roman" w:eastAsiaTheme="majorEastAsia"/>
                <w:bCs/>
                <w:color w:val="auto"/>
                <w:szCs w:val="21"/>
                <w:lang w:val="en-US" w:eastAsia="zh-CN"/>
              </w:rPr>
              <w:t>建</w:t>
            </w:r>
            <w:bookmarkEnd w:id="7"/>
            <w:bookmarkEnd w:id="8"/>
            <w:bookmarkEnd w:id="9"/>
            <w:bookmarkEnd w:id="10"/>
          </w:p>
          <w:p w14:paraId="408B277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i w:val="0"/>
                <w:iCs w:val="0"/>
                <w:caps w:val="0"/>
                <w:color w:val="auto"/>
                <w:spacing w:val="0"/>
                <w:sz w:val="22"/>
                <w:szCs w:val="22"/>
                <w:shd w:val="clear" w:fill="FFFFFF"/>
                <w:lang w:val="en-US" w:eastAsia="zh-CN"/>
              </w:rPr>
            </w:pPr>
            <w:bookmarkStart w:id="11" w:name="_Toc34490618"/>
            <w:bookmarkStart w:id="12" w:name="_Toc34493755"/>
            <w:bookmarkStart w:id="13" w:name="_Toc34491703"/>
            <w:bookmarkStart w:id="14" w:name="_Toc34494948"/>
            <w:r>
              <w:rPr>
                <w:rFonts w:hint="default" w:ascii="Times New Roman" w:hAnsi="Times New Roman" w:cs="Times New Roman" w:eastAsiaTheme="majorEastAsia"/>
                <w:bCs/>
                <w:color w:val="auto"/>
                <w:szCs w:val="21"/>
                <w:lang w:val="en-US" w:eastAsia="zh-CN"/>
              </w:rPr>
              <w:t>建设地点：</w:t>
            </w:r>
            <w:bookmarkEnd w:id="11"/>
            <w:bookmarkEnd w:id="12"/>
            <w:bookmarkEnd w:id="13"/>
            <w:bookmarkEnd w:id="14"/>
            <w:bookmarkStart w:id="15" w:name="_Toc34491705"/>
            <w:bookmarkStart w:id="16" w:name="_Toc34490620"/>
            <w:bookmarkStart w:id="17" w:name="_Toc34494950"/>
            <w:bookmarkStart w:id="18" w:name="_Toc34493757"/>
            <w:r>
              <w:rPr>
                <w:rFonts w:hint="default" w:ascii="Times New Roman" w:hAnsi="Times New Roman" w:cs="Times New Roman" w:eastAsiaTheme="majorEastAsia"/>
                <w:bCs/>
                <w:color w:val="auto"/>
                <w:szCs w:val="21"/>
                <w:lang w:val="en-US" w:eastAsia="zh-CN"/>
              </w:rPr>
              <w:t>重庆市九</w:t>
            </w:r>
            <w:r>
              <w:rPr>
                <w:rFonts w:hint="default" w:ascii="Times New Roman" w:hAnsi="Times New Roman" w:cs="Times New Roman" w:eastAsiaTheme="majorEastAsia"/>
                <w:bCs/>
                <w:color w:val="auto"/>
                <w:sz w:val="22"/>
                <w:szCs w:val="22"/>
                <w:lang w:val="en-US" w:eastAsia="zh-CN"/>
              </w:rPr>
              <w:t>龙坡区经纬大道1305号19幢吊2-3商业（</w:t>
            </w:r>
            <w:r>
              <w:rPr>
                <w:rFonts w:hint="eastAsia" w:ascii="Times New Roman" w:hAnsi="Times New Roman" w:cs="Times New Roman" w:eastAsiaTheme="majorEastAsia"/>
                <w:b w:val="0"/>
                <w:bCs/>
                <w:color w:val="auto"/>
                <w:sz w:val="22"/>
                <w:szCs w:val="22"/>
                <w:lang w:val="en-US" w:eastAsia="zh-CN"/>
              </w:rPr>
              <w:t>远洋城二期19栋底商吊2-3商业用房</w:t>
            </w:r>
            <w:r>
              <w:rPr>
                <w:rFonts w:hint="default" w:ascii="Times New Roman" w:hAnsi="Times New Roman" w:cs="Times New Roman" w:eastAsiaTheme="majorEastAsia"/>
                <w:bCs/>
                <w:color w:val="auto"/>
                <w:sz w:val="22"/>
                <w:szCs w:val="22"/>
                <w:lang w:val="en-US" w:eastAsia="zh-CN"/>
              </w:rPr>
              <w:t>）</w:t>
            </w:r>
          </w:p>
          <w:p w14:paraId="45413DF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诊疗对象：主要为犬类、猫类</w:t>
            </w:r>
          </w:p>
          <w:p w14:paraId="5903DAA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eastAsia" w:ascii="Times New Roman" w:hAnsi="Times New Roman" w:cs="Times New Roman" w:eastAsiaTheme="majorEastAsia"/>
                <w:bCs/>
                <w:color w:val="auto"/>
                <w:szCs w:val="21"/>
                <w:lang w:val="en-US" w:eastAsia="zh-CN"/>
              </w:rPr>
              <w:t>建设规模：</w:t>
            </w:r>
            <w:bookmarkEnd w:id="15"/>
            <w:bookmarkEnd w:id="16"/>
            <w:bookmarkEnd w:id="17"/>
            <w:bookmarkEnd w:id="18"/>
            <w:r>
              <w:rPr>
                <w:rFonts w:hint="eastAsia" w:ascii="Times New Roman" w:hAnsi="Times New Roman" w:cs="Times New Roman" w:eastAsiaTheme="majorEastAsia"/>
                <w:bCs/>
                <w:color w:val="auto"/>
                <w:szCs w:val="21"/>
                <w:lang w:val="en-US" w:eastAsia="zh-CN"/>
              </w:rPr>
              <w:t>年服务时间为350天，预计</w:t>
            </w:r>
            <w:r>
              <w:rPr>
                <w:rFonts w:hint="default" w:ascii="Times New Roman" w:hAnsi="Times New Roman" w:cs="Times New Roman" w:eastAsiaTheme="majorEastAsia"/>
                <w:bCs/>
                <w:color w:val="auto"/>
                <w:szCs w:val="21"/>
                <w:lang w:val="en-US" w:eastAsia="zh-CN"/>
              </w:rPr>
              <w:t>门诊</w:t>
            </w:r>
            <w:r>
              <w:rPr>
                <w:rFonts w:hint="eastAsia" w:ascii="Times New Roman" w:hAnsi="Times New Roman" w:cs="Times New Roman" w:eastAsiaTheme="majorEastAsia"/>
                <w:bCs/>
                <w:color w:val="auto"/>
                <w:szCs w:val="21"/>
                <w:lang w:val="en-US" w:eastAsia="zh-CN"/>
              </w:rPr>
              <w:t>日</w:t>
            </w:r>
            <w:r>
              <w:rPr>
                <w:rFonts w:hint="default" w:ascii="Times New Roman" w:hAnsi="Times New Roman" w:cs="Times New Roman" w:eastAsiaTheme="majorEastAsia"/>
                <w:bCs/>
                <w:color w:val="auto"/>
                <w:szCs w:val="21"/>
                <w:lang w:val="en-US" w:eastAsia="zh-CN"/>
              </w:rPr>
              <w:t>最大接诊量约10只</w:t>
            </w:r>
            <w:r>
              <w:rPr>
                <w:rFonts w:hint="eastAsia" w:ascii="Times New Roman" w:hAnsi="Times New Roman" w:cs="Times New Roman" w:eastAsiaTheme="majorEastAsia"/>
                <w:bCs/>
                <w:color w:val="auto"/>
                <w:szCs w:val="21"/>
                <w:lang w:val="en-US" w:eastAsia="zh-CN"/>
              </w:rPr>
              <w:t>/d</w:t>
            </w:r>
            <w:r>
              <w:rPr>
                <w:rFonts w:hint="default" w:ascii="Times New Roman" w:hAnsi="Times New Roman" w:cs="Times New Roman" w:eastAsiaTheme="majorEastAsia"/>
                <w:bCs/>
                <w:color w:val="auto"/>
                <w:szCs w:val="21"/>
                <w:lang w:val="en-US" w:eastAsia="zh-CN"/>
              </w:rPr>
              <w:t>（</w:t>
            </w:r>
            <w:r>
              <w:rPr>
                <w:rFonts w:hint="eastAsia" w:ascii="Times New Roman" w:hAnsi="Times New Roman" w:cs="Times New Roman" w:eastAsiaTheme="majorEastAsia"/>
                <w:bCs/>
                <w:color w:val="auto"/>
                <w:szCs w:val="21"/>
                <w:lang w:val="en-US" w:eastAsia="zh-CN"/>
              </w:rPr>
              <w:t>猫5只/d、狗10只/d</w:t>
            </w:r>
            <w:r>
              <w:rPr>
                <w:rFonts w:hint="default" w:ascii="Times New Roman" w:hAnsi="Times New Roman" w:cs="Times New Roman" w:eastAsiaTheme="majorEastAsia"/>
                <w:bCs/>
                <w:color w:val="auto"/>
                <w:szCs w:val="21"/>
                <w:lang w:val="en-US" w:eastAsia="zh-CN"/>
              </w:rPr>
              <w:t>），美容室日最大宠物接待量为5只/d</w:t>
            </w:r>
            <w:r>
              <w:rPr>
                <w:rFonts w:hint="eastAsia" w:ascii="Times New Roman" w:hAnsi="Times New Roman" w:cs="Times New Roman" w:eastAsiaTheme="majorEastAsia"/>
                <w:bCs/>
                <w:color w:val="auto"/>
                <w:szCs w:val="21"/>
                <w:lang w:val="en-US" w:eastAsia="zh-CN"/>
              </w:rPr>
              <w:t>，</w:t>
            </w:r>
            <w:r>
              <w:rPr>
                <w:rFonts w:hint="default" w:ascii="Times New Roman" w:hAnsi="Times New Roman" w:cs="Times New Roman" w:eastAsiaTheme="majorEastAsia"/>
                <w:bCs/>
                <w:color w:val="auto"/>
                <w:szCs w:val="21"/>
                <w:lang w:val="en-US" w:eastAsia="zh-CN"/>
              </w:rPr>
              <w:t>医院最大宠物住院量为1</w:t>
            </w:r>
            <w:r>
              <w:rPr>
                <w:rFonts w:hint="eastAsia" w:ascii="Times New Roman" w:hAnsi="Times New Roman" w:cs="Times New Roman" w:eastAsiaTheme="majorEastAsia"/>
                <w:bCs/>
                <w:color w:val="auto"/>
                <w:szCs w:val="21"/>
                <w:lang w:val="en-US" w:eastAsia="zh-CN"/>
              </w:rPr>
              <w:t>2</w:t>
            </w:r>
            <w:r>
              <w:rPr>
                <w:rFonts w:hint="default" w:ascii="Times New Roman" w:hAnsi="Times New Roman" w:cs="Times New Roman" w:eastAsiaTheme="majorEastAsia"/>
                <w:bCs/>
                <w:color w:val="auto"/>
                <w:szCs w:val="21"/>
                <w:lang w:val="en-US" w:eastAsia="zh-CN"/>
              </w:rPr>
              <w:t>只（猫6只、犬</w:t>
            </w:r>
            <w:r>
              <w:rPr>
                <w:rFonts w:hint="eastAsia" w:ascii="Times New Roman" w:hAnsi="Times New Roman" w:cs="Times New Roman" w:eastAsiaTheme="majorEastAsia"/>
                <w:bCs/>
                <w:color w:val="auto"/>
                <w:szCs w:val="21"/>
                <w:lang w:val="en-US" w:eastAsia="zh-CN"/>
              </w:rPr>
              <w:t>6</w:t>
            </w:r>
            <w:r>
              <w:rPr>
                <w:rFonts w:hint="default" w:ascii="Times New Roman" w:hAnsi="Times New Roman" w:cs="Times New Roman" w:eastAsiaTheme="majorEastAsia"/>
                <w:bCs/>
                <w:color w:val="auto"/>
                <w:szCs w:val="21"/>
                <w:lang w:val="en-US" w:eastAsia="zh-CN"/>
              </w:rPr>
              <w:t>只）</w:t>
            </w:r>
            <w:r>
              <w:rPr>
                <w:rFonts w:hint="eastAsia" w:ascii="Times New Roman" w:hAnsi="Times New Roman" w:cs="Times New Roman" w:eastAsiaTheme="majorEastAsia"/>
                <w:bCs/>
                <w:color w:val="auto"/>
                <w:szCs w:val="21"/>
                <w:lang w:val="en-US" w:eastAsia="zh-CN"/>
              </w:rPr>
              <w:t>，手术室每年最大手术量约为350台。</w:t>
            </w:r>
            <w:r>
              <w:rPr>
                <w:rFonts w:hint="default" w:ascii="Times New Roman" w:hAnsi="Times New Roman" w:cs="Times New Roman" w:eastAsiaTheme="majorEastAsia"/>
                <w:bCs/>
                <w:color w:val="auto"/>
                <w:szCs w:val="21"/>
                <w:lang w:val="en-US" w:eastAsia="zh-CN"/>
              </w:rPr>
              <w:t>本次对手术室进行改建，在现有手术室内新增</w:t>
            </w:r>
            <w:r>
              <w:rPr>
                <w:rFonts w:hint="eastAsia" w:ascii="Times New Roman" w:hAnsi="Times New Roman" w:cs="Times New Roman" w:eastAsiaTheme="majorEastAsia"/>
                <w:bCs/>
                <w:color w:val="auto"/>
                <w:szCs w:val="21"/>
                <w:lang w:val="en-US" w:eastAsia="zh-CN"/>
              </w:rPr>
              <w:t>内窥镜、简易ICU等设备，</w:t>
            </w:r>
            <w:r>
              <w:rPr>
                <w:rFonts w:hint="default" w:ascii="Times New Roman" w:hAnsi="Times New Roman" w:cs="Times New Roman" w:eastAsiaTheme="majorEastAsia"/>
                <w:bCs/>
                <w:color w:val="auto"/>
                <w:szCs w:val="21"/>
                <w:lang w:val="en-US" w:eastAsia="zh-CN"/>
              </w:rPr>
              <w:t>用于开展胸腔、腹腔</w:t>
            </w:r>
            <w:r>
              <w:rPr>
                <w:rFonts w:hint="eastAsia" w:ascii="Times New Roman" w:hAnsi="Times New Roman" w:cs="Times New Roman" w:eastAsiaTheme="majorEastAsia"/>
                <w:bCs/>
                <w:color w:val="auto"/>
                <w:szCs w:val="21"/>
                <w:lang w:val="en-US" w:eastAsia="zh-CN"/>
              </w:rPr>
              <w:t>和颅腔</w:t>
            </w:r>
            <w:r>
              <w:rPr>
                <w:rFonts w:hint="default" w:ascii="Times New Roman" w:hAnsi="Times New Roman" w:cs="Times New Roman" w:eastAsiaTheme="majorEastAsia"/>
                <w:bCs/>
                <w:color w:val="auto"/>
                <w:szCs w:val="21"/>
                <w:lang w:val="en-US" w:eastAsia="zh-CN"/>
              </w:rPr>
              <w:t>手术</w:t>
            </w:r>
            <w:r>
              <w:rPr>
                <w:rFonts w:hint="eastAsia" w:ascii="Times New Roman" w:hAnsi="Times New Roman" w:cs="Times New Roman" w:eastAsiaTheme="majorEastAsia"/>
                <w:bCs/>
                <w:color w:val="auto"/>
                <w:szCs w:val="21"/>
                <w:lang w:val="en-US" w:eastAsia="zh-CN"/>
              </w:rPr>
              <w:t>。改建前后美容量接待量、</w:t>
            </w:r>
            <w:r>
              <w:rPr>
                <w:rFonts w:hint="default" w:ascii="Times New Roman" w:hAnsi="Times New Roman" w:cs="Times New Roman" w:eastAsiaTheme="majorEastAsia"/>
                <w:bCs/>
                <w:color w:val="auto"/>
                <w:szCs w:val="21"/>
                <w:lang w:val="en-US" w:eastAsia="zh-CN"/>
              </w:rPr>
              <w:t>住院量、手术量的规模均保持不变。</w:t>
            </w:r>
          </w:p>
          <w:p w14:paraId="57C508C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bookmarkStart w:id="19" w:name="_Toc34490621"/>
            <w:bookmarkStart w:id="20" w:name="_Toc34491706"/>
            <w:bookmarkStart w:id="21" w:name="_Toc34493758"/>
            <w:bookmarkStart w:id="22" w:name="_Toc34494951"/>
            <w:r>
              <w:rPr>
                <w:rFonts w:hint="default" w:ascii="Times New Roman" w:hAnsi="Times New Roman" w:cs="Times New Roman" w:eastAsiaTheme="majorEastAsia"/>
                <w:bCs/>
                <w:color w:val="auto"/>
                <w:szCs w:val="21"/>
                <w:lang w:val="en-US" w:eastAsia="zh-CN"/>
              </w:rPr>
              <w:t>营业范围：</w:t>
            </w:r>
            <w:r>
              <w:rPr>
                <w:rFonts w:hint="eastAsia" w:ascii="Times New Roman" w:hAnsi="Times New Roman" w:cs="Times New Roman" w:eastAsiaTheme="majorEastAsia"/>
                <w:bCs/>
                <w:color w:val="auto"/>
                <w:szCs w:val="21"/>
                <w:lang w:val="en-US" w:eastAsia="zh-CN"/>
              </w:rPr>
              <w:t>宠物服务，宠物食品及用品销售，动物疾病预防、诊疗和治疗、绝育手术等其他手术</w:t>
            </w:r>
            <w:r>
              <w:rPr>
                <w:rFonts w:hint="default" w:ascii="Times New Roman" w:hAnsi="Times New Roman" w:cs="Times New Roman" w:eastAsiaTheme="majorEastAsia"/>
                <w:bCs/>
                <w:color w:val="auto"/>
                <w:szCs w:val="21"/>
                <w:lang w:val="en-US" w:eastAsia="zh-CN"/>
              </w:rPr>
              <w:t>。</w:t>
            </w:r>
            <w:r>
              <w:rPr>
                <w:rFonts w:hint="eastAsia" w:ascii="Times New Roman" w:hAnsi="Times New Roman" w:cs="Times New Roman" w:eastAsiaTheme="majorEastAsia"/>
                <w:bCs/>
                <w:color w:val="auto"/>
                <w:szCs w:val="21"/>
                <w:lang w:val="en-US" w:eastAsia="zh-CN"/>
              </w:rPr>
              <w:t>提供</w:t>
            </w:r>
            <w:r>
              <w:rPr>
                <w:rFonts w:hint="default" w:ascii="Times New Roman" w:hAnsi="Times New Roman" w:cs="Times New Roman" w:eastAsiaTheme="majorEastAsia"/>
                <w:bCs/>
                <w:color w:val="auto"/>
                <w:szCs w:val="21"/>
                <w:lang w:val="en-US" w:eastAsia="zh-CN"/>
              </w:rPr>
              <w:t>宠物住院、寄养、剪发和洗浴美容服务（不涉及染发、药物洗浴</w:t>
            </w:r>
            <w:r>
              <w:rPr>
                <w:rFonts w:hint="eastAsia" w:ascii="Times New Roman" w:hAnsi="Times New Roman" w:cs="Times New Roman" w:eastAsiaTheme="majorEastAsia"/>
                <w:bCs/>
                <w:color w:val="auto"/>
                <w:szCs w:val="21"/>
                <w:lang w:val="en-US" w:eastAsia="zh-CN"/>
              </w:rPr>
              <w:t>，美容洗浴服务</w:t>
            </w:r>
            <w:r>
              <w:rPr>
                <w:rFonts w:hint="eastAsia" w:cs="Times New Roman"/>
                <w:color w:val="auto"/>
                <w:szCs w:val="21"/>
                <w:lang w:val="en-US" w:eastAsia="zh-CN"/>
              </w:rPr>
              <w:t>不接待疫症宠物，仅为健康宠物进行美容洗浴</w:t>
            </w:r>
            <w:r>
              <w:rPr>
                <w:rFonts w:hint="default" w:ascii="Times New Roman" w:hAnsi="Times New Roman" w:cs="Times New Roman" w:eastAsiaTheme="majorEastAsia"/>
                <w:bCs/>
                <w:color w:val="auto"/>
                <w:szCs w:val="21"/>
                <w:lang w:val="en-US" w:eastAsia="zh-CN"/>
              </w:rPr>
              <w:t>），以及宠物食品、用品销售</w:t>
            </w:r>
            <w:r>
              <w:rPr>
                <w:rFonts w:hint="eastAsia" w:ascii="Times New Roman" w:hAnsi="Times New Roman" w:cs="Times New Roman" w:eastAsiaTheme="majorEastAsia"/>
                <w:bCs/>
                <w:color w:val="auto"/>
                <w:szCs w:val="21"/>
                <w:lang w:val="en-US" w:eastAsia="zh-CN"/>
              </w:rPr>
              <w:t>。</w:t>
            </w:r>
            <w:r>
              <w:rPr>
                <w:rFonts w:hint="default" w:ascii="Times New Roman" w:hAnsi="Times New Roman" w:cs="Times New Roman" w:eastAsiaTheme="majorEastAsia"/>
                <w:bCs/>
                <w:color w:val="auto"/>
                <w:szCs w:val="21"/>
                <w:lang w:val="en-US" w:eastAsia="zh-CN"/>
              </w:rPr>
              <w:t>严格按照《重庆市动物防疫条例》、《重庆市无规定动物疫病区管理办法》的相关规定进行管理。</w:t>
            </w:r>
          </w:p>
          <w:p w14:paraId="305B36A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项目投资：总投资</w:t>
            </w:r>
            <w:r>
              <w:rPr>
                <w:rFonts w:hint="eastAsia" w:ascii="Times New Roman" w:hAnsi="Times New Roman" w:cs="Times New Roman" w:eastAsiaTheme="majorEastAsia"/>
                <w:bCs/>
                <w:color w:val="auto"/>
                <w:szCs w:val="21"/>
                <w:lang w:val="en-US" w:eastAsia="zh-CN"/>
              </w:rPr>
              <w:t>30</w:t>
            </w:r>
            <w:r>
              <w:rPr>
                <w:rFonts w:hint="default" w:ascii="Times New Roman" w:hAnsi="Times New Roman" w:cs="Times New Roman" w:eastAsiaTheme="majorEastAsia"/>
                <w:bCs/>
                <w:color w:val="auto"/>
                <w:szCs w:val="21"/>
                <w:lang w:val="en-US" w:eastAsia="zh-CN"/>
              </w:rPr>
              <w:t>万元，其中环保投资</w:t>
            </w:r>
            <w:r>
              <w:rPr>
                <w:rFonts w:hint="eastAsia" w:ascii="Times New Roman" w:hAnsi="Times New Roman" w:cs="Times New Roman" w:eastAsiaTheme="majorEastAsia"/>
                <w:bCs/>
                <w:color w:val="auto"/>
                <w:szCs w:val="21"/>
                <w:lang w:val="en-US" w:eastAsia="zh-CN"/>
              </w:rPr>
              <w:t>5</w:t>
            </w:r>
            <w:r>
              <w:rPr>
                <w:rFonts w:hint="default" w:ascii="Times New Roman" w:hAnsi="Times New Roman" w:cs="Times New Roman" w:eastAsiaTheme="majorEastAsia"/>
                <w:bCs/>
                <w:color w:val="auto"/>
                <w:szCs w:val="21"/>
                <w:lang w:val="en-US" w:eastAsia="zh-CN"/>
              </w:rPr>
              <w:t>万元，占总投资的</w:t>
            </w:r>
            <w:r>
              <w:rPr>
                <w:rFonts w:hint="eastAsia" w:ascii="Times New Roman" w:hAnsi="Times New Roman" w:cs="Times New Roman" w:eastAsiaTheme="majorEastAsia"/>
                <w:bCs/>
                <w:color w:val="auto"/>
                <w:szCs w:val="21"/>
                <w:lang w:val="en-US" w:eastAsia="zh-CN"/>
              </w:rPr>
              <w:t>16.7</w:t>
            </w:r>
            <w:r>
              <w:rPr>
                <w:rFonts w:hint="default" w:ascii="Times New Roman" w:hAnsi="Times New Roman" w:cs="Times New Roman" w:eastAsiaTheme="majorEastAsia"/>
                <w:bCs/>
                <w:color w:val="auto"/>
                <w:szCs w:val="21"/>
                <w:lang w:val="en-US" w:eastAsia="zh-CN"/>
              </w:rPr>
              <w:t>%。</w:t>
            </w:r>
            <w:bookmarkEnd w:id="19"/>
            <w:bookmarkEnd w:id="20"/>
            <w:bookmarkEnd w:id="21"/>
            <w:bookmarkEnd w:id="22"/>
          </w:p>
          <w:p w14:paraId="3E7357B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bookmarkStart w:id="23" w:name="_Toc34490624"/>
            <w:bookmarkStart w:id="24" w:name="_Toc34493761"/>
            <w:bookmarkStart w:id="25" w:name="_Toc34491709"/>
            <w:bookmarkStart w:id="26" w:name="_Toc34494954"/>
            <w:r>
              <w:rPr>
                <w:rFonts w:hint="default" w:ascii="Times New Roman" w:hAnsi="Times New Roman" w:cs="Times New Roman" w:eastAsiaTheme="majorEastAsia"/>
                <w:bCs/>
                <w:color w:val="auto"/>
                <w:szCs w:val="21"/>
                <w:lang w:val="en-US" w:eastAsia="zh-CN"/>
              </w:rPr>
              <w:t>建设工期：2个月。</w:t>
            </w:r>
            <w:bookmarkEnd w:id="23"/>
            <w:bookmarkEnd w:id="24"/>
            <w:bookmarkEnd w:id="25"/>
            <w:bookmarkEnd w:id="26"/>
          </w:p>
          <w:p w14:paraId="067F97A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color w:val="auto"/>
                <w:szCs w:val="21"/>
                <w:lang w:eastAsia="zh-CN"/>
              </w:rPr>
            </w:pPr>
            <w:bookmarkStart w:id="27" w:name="_Toc34493759"/>
            <w:bookmarkStart w:id="28" w:name="_Toc34491707"/>
            <w:bookmarkStart w:id="29" w:name="_Toc34494952"/>
            <w:bookmarkStart w:id="30" w:name="_Toc34490622"/>
            <w:r>
              <w:rPr>
                <w:rFonts w:hint="default" w:ascii="Times New Roman" w:hAnsi="Times New Roman" w:cs="Times New Roman" w:eastAsiaTheme="majorEastAsia"/>
                <w:b w:val="0"/>
                <w:bCs/>
                <w:color w:val="auto"/>
                <w:szCs w:val="21"/>
                <w:lang w:eastAsia="zh-CN"/>
              </w:rPr>
              <w:t>劳动定员：</w:t>
            </w:r>
            <w:r>
              <w:rPr>
                <w:rFonts w:hint="default" w:ascii="Times New Roman" w:hAnsi="Times New Roman" w:cs="Times New Roman" w:eastAsiaTheme="majorEastAsia"/>
                <w:b w:val="0"/>
                <w:bCs/>
                <w:color w:val="auto"/>
                <w:szCs w:val="21"/>
                <w:lang w:val="en-US" w:eastAsia="zh-CN"/>
              </w:rPr>
              <w:t>共</w:t>
            </w:r>
            <w:r>
              <w:rPr>
                <w:rFonts w:hint="eastAsia" w:ascii="Times New Roman" w:hAnsi="Times New Roman" w:cs="Times New Roman" w:eastAsiaTheme="majorEastAsia"/>
                <w:b w:val="0"/>
                <w:bCs/>
                <w:color w:val="auto"/>
                <w:szCs w:val="21"/>
                <w:lang w:val="en-US" w:eastAsia="zh-CN"/>
              </w:rPr>
              <w:t>4</w:t>
            </w:r>
            <w:r>
              <w:rPr>
                <w:rFonts w:hint="default" w:ascii="Times New Roman" w:hAnsi="Times New Roman" w:cs="Times New Roman" w:eastAsiaTheme="majorEastAsia"/>
                <w:b w:val="0"/>
                <w:bCs/>
                <w:color w:val="auto"/>
                <w:szCs w:val="21"/>
                <w:lang w:eastAsia="zh-CN"/>
              </w:rPr>
              <w:t>人，不设食堂、住宿</w:t>
            </w:r>
            <w:bookmarkEnd w:id="27"/>
            <w:bookmarkEnd w:id="28"/>
            <w:bookmarkEnd w:id="29"/>
            <w:bookmarkEnd w:id="30"/>
            <w:r>
              <w:rPr>
                <w:rFonts w:hint="default" w:ascii="Times New Roman" w:hAnsi="Times New Roman" w:cs="Times New Roman" w:eastAsiaTheme="majorEastAsia"/>
                <w:b w:val="0"/>
                <w:bCs/>
                <w:color w:val="auto"/>
                <w:szCs w:val="21"/>
                <w:lang w:eastAsia="zh-CN"/>
              </w:rPr>
              <w:t>。</w:t>
            </w:r>
          </w:p>
          <w:p w14:paraId="7D88AF2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color w:val="auto"/>
                <w:szCs w:val="21"/>
                <w:lang w:val="en-US" w:eastAsia="zh-CN"/>
              </w:rPr>
            </w:pPr>
            <w:bookmarkStart w:id="31" w:name="_Toc34491708"/>
            <w:bookmarkStart w:id="32" w:name="_Toc34490623"/>
            <w:bookmarkStart w:id="33" w:name="_Toc34494953"/>
            <w:bookmarkStart w:id="34" w:name="_Toc34493760"/>
            <w:r>
              <w:rPr>
                <w:rFonts w:hint="default" w:ascii="Times New Roman" w:hAnsi="Times New Roman" w:cs="Times New Roman" w:eastAsiaTheme="majorEastAsia"/>
                <w:b w:val="0"/>
                <w:bCs/>
                <w:color w:val="auto"/>
                <w:szCs w:val="21"/>
                <w:lang w:eastAsia="zh-CN"/>
              </w:rPr>
              <w:t>工作制度：年工作</w:t>
            </w:r>
            <w:r>
              <w:rPr>
                <w:rFonts w:hint="eastAsia" w:ascii="Times New Roman" w:hAnsi="Times New Roman" w:cs="Times New Roman" w:eastAsiaTheme="majorEastAsia"/>
                <w:b w:val="0"/>
                <w:bCs/>
                <w:color w:val="auto"/>
                <w:szCs w:val="21"/>
                <w:lang w:val="en-US" w:eastAsia="zh-CN"/>
              </w:rPr>
              <w:t>350</w:t>
            </w:r>
            <w:r>
              <w:rPr>
                <w:rFonts w:hint="default" w:ascii="Times New Roman" w:hAnsi="Times New Roman" w:cs="Times New Roman" w:eastAsiaTheme="majorEastAsia"/>
                <w:b w:val="0"/>
                <w:bCs/>
                <w:color w:val="auto"/>
                <w:szCs w:val="21"/>
                <w:lang w:eastAsia="zh-CN"/>
              </w:rPr>
              <w:t>天，</w:t>
            </w:r>
            <w:r>
              <w:rPr>
                <w:rFonts w:hint="eastAsia" w:ascii="Times New Roman" w:hAnsi="Times New Roman" w:cs="Times New Roman" w:eastAsiaTheme="majorEastAsia"/>
                <w:b w:val="0"/>
                <w:bCs/>
                <w:color w:val="auto"/>
                <w:szCs w:val="21"/>
                <w:lang w:val="en-US" w:eastAsia="zh-CN"/>
              </w:rPr>
              <w:t>采用</w:t>
            </w:r>
            <w:r>
              <w:rPr>
                <w:rFonts w:hint="default" w:ascii="Times New Roman" w:hAnsi="Times New Roman" w:cs="Times New Roman" w:eastAsiaTheme="majorEastAsia"/>
                <w:b w:val="0"/>
                <w:bCs/>
                <w:color w:val="auto"/>
                <w:szCs w:val="21"/>
                <w:lang w:val="en-US" w:eastAsia="zh-CN"/>
              </w:rPr>
              <w:t>1</w:t>
            </w:r>
            <w:r>
              <w:rPr>
                <w:rFonts w:hint="default" w:ascii="Times New Roman" w:hAnsi="Times New Roman" w:cs="Times New Roman" w:eastAsiaTheme="majorEastAsia"/>
                <w:b w:val="0"/>
                <w:bCs/>
                <w:color w:val="auto"/>
                <w:szCs w:val="21"/>
                <w:lang w:eastAsia="zh-CN"/>
              </w:rPr>
              <w:t>班8h</w:t>
            </w:r>
            <w:bookmarkEnd w:id="31"/>
            <w:bookmarkEnd w:id="32"/>
            <w:bookmarkEnd w:id="33"/>
            <w:bookmarkEnd w:id="34"/>
            <w:r>
              <w:rPr>
                <w:rFonts w:hint="default" w:ascii="Times New Roman" w:hAnsi="Times New Roman" w:cs="Times New Roman" w:eastAsiaTheme="majorEastAsia"/>
                <w:b w:val="0"/>
                <w:bCs/>
                <w:color w:val="auto"/>
                <w:szCs w:val="21"/>
                <w:lang w:val="en-US" w:eastAsia="zh-CN"/>
              </w:rPr>
              <w:t>制</w:t>
            </w:r>
            <w:r>
              <w:rPr>
                <w:rFonts w:hint="default" w:ascii="Times New Roman" w:hAnsi="Times New Roman" w:cs="Times New Roman" w:eastAsiaTheme="majorEastAsia"/>
                <w:b w:val="0"/>
                <w:bCs/>
                <w:color w:val="auto"/>
                <w:szCs w:val="21"/>
                <w:lang w:eastAsia="zh-CN"/>
              </w:rPr>
              <w:t>。</w:t>
            </w:r>
            <w:r>
              <w:rPr>
                <w:rFonts w:hint="default" w:ascii="Times New Roman" w:hAnsi="Times New Roman" w:eastAsia="宋体" w:cs="Times New Roman"/>
                <w:bCs/>
                <w:color w:val="auto"/>
                <w:szCs w:val="21"/>
                <w:lang w:val="en-US" w:eastAsia="zh-CN"/>
              </w:rPr>
              <w:t>夜间不工作。</w:t>
            </w:r>
            <w:r>
              <w:rPr>
                <w:rFonts w:hint="default" w:ascii="Times New Roman" w:hAnsi="Times New Roman" w:eastAsia="宋体" w:cs="Times New Roman"/>
                <w:bCs/>
                <w:color w:val="auto"/>
                <w:szCs w:val="21"/>
              </w:rPr>
              <w:t>宠物住院提供24h服务，安排1人轮值。</w:t>
            </w:r>
          </w:p>
          <w:p w14:paraId="0D67685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eastAsia="zh-CN"/>
              </w:rPr>
            </w:pPr>
            <w:r>
              <w:rPr>
                <w:rFonts w:hint="default" w:ascii="Times New Roman" w:hAnsi="Times New Roman" w:cs="Times New Roman" w:eastAsiaTheme="majorEastAsia"/>
                <w:b/>
                <w:bCs w:val="0"/>
                <w:color w:val="auto"/>
                <w:szCs w:val="21"/>
                <w:lang w:val="en-US" w:eastAsia="zh-CN"/>
              </w:rPr>
              <w:t>2.2.2</w:t>
            </w:r>
            <w:r>
              <w:rPr>
                <w:rFonts w:hint="default" w:ascii="Times New Roman" w:hAnsi="Times New Roman" w:cs="Times New Roman" w:eastAsiaTheme="majorEastAsia"/>
                <w:b/>
                <w:bCs w:val="0"/>
                <w:color w:val="auto"/>
                <w:szCs w:val="21"/>
                <w:lang w:eastAsia="zh-CN"/>
              </w:rPr>
              <w:t>项目组成及内容</w:t>
            </w:r>
          </w:p>
          <w:p w14:paraId="5D5E548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本项目位于重庆市九龙坡区经纬大道1305号</w:t>
            </w:r>
            <w:r>
              <w:rPr>
                <w:rFonts w:hint="eastAsia" w:ascii="Times New Roman" w:hAnsi="Times New Roman" w:cs="Times New Roman" w:eastAsiaTheme="majorEastAsia"/>
                <w:bCs/>
                <w:color w:val="auto"/>
                <w:szCs w:val="21"/>
                <w:lang w:val="en-US" w:eastAsia="zh-CN"/>
              </w:rPr>
              <w:t>，购买</w:t>
            </w:r>
            <w:r>
              <w:rPr>
                <w:rFonts w:hint="eastAsia" w:ascii="Times New Roman" w:hAnsi="Times New Roman" w:cs="Times New Roman" w:eastAsiaTheme="majorEastAsia"/>
                <w:b w:val="0"/>
                <w:bCs/>
                <w:color w:val="auto"/>
                <w:szCs w:val="21"/>
                <w:lang w:val="en-US" w:eastAsia="zh-CN"/>
              </w:rPr>
              <w:t>远洋城二期19栋底商吊2-3商业用房</w:t>
            </w:r>
            <w:r>
              <w:rPr>
                <w:rFonts w:hint="default" w:ascii="Times New Roman" w:hAnsi="Times New Roman" w:cs="Times New Roman" w:eastAsiaTheme="majorEastAsia"/>
                <w:bCs/>
                <w:color w:val="auto"/>
                <w:szCs w:val="21"/>
                <w:lang w:val="en-US" w:eastAsia="zh-CN"/>
              </w:rPr>
              <w:t>，建筑面积</w:t>
            </w:r>
            <w:r>
              <w:rPr>
                <w:rFonts w:hint="eastAsia" w:ascii="Times New Roman" w:hAnsi="Times New Roman" w:eastAsia="宋体" w:cs="Times New Roman"/>
                <w:color w:val="auto"/>
                <w:sz w:val="21"/>
                <w:szCs w:val="21"/>
                <w:lang w:val="en-US" w:eastAsia="zh-CN"/>
              </w:rPr>
              <w:t>129.14</w:t>
            </w:r>
            <w:r>
              <w:rPr>
                <w:rFonts w:hint="default" w:ascii="Times New Roman" w:hAnsi="Times New Roman" w:cs="Times New Roman" w:eastAsiaTheme="majorEastAsia"/>
                <w:bCs/>
                <w:color w:val="auto"/>
                <w:szCs w:val="21"/>
                <w:lang w:val="en-US" w:eastAsia="zh-CN"/>
              </w:rPr>
              <w:t>m</w:t>
            </w:r>
            <w:r>
              <w:rPr>
                <w:rFonts w:hint="default" w:ascii="Times New Roman" w:hAnsi="Times New Roman" w:cs="Times New Roman" w:eastAsiaTheme="majorEastAsia"/>
                <w:bCs/>
                <w:color w:val="auto"/>
                <w:szCs w:val="21"/>
                <w:vertAlign w:val="superscript"/>
                <w:lang w:val="en-US" w:eastAsia="zh-CN"/>
              </w:rPr>
              <w:t>2</w:t>
            </w:r>
            <w:r>
              <w:rPr>
                <w:rFonts w:hint="default" w:ascii="Times New Roman" w:hAnsi="Times New Roman" w:cs="Times New Roman" w:eastAsiaTheme="majorEastAsia"/>
                <w:bCs/>
                <w:color w:val="auto"/>
                <w:szCs w:val="21"/>
                <w:lang w:val="en-US" w:eastAsia="zh-CN"/>
              </w:rPr>
              <w:t>，项目设置有手术室、住院区等，就诊区域设置1</w:t>
            </w:r>
            <w:r>
              <w:rPr>
                <w:rFonts w:hint="eastAsia" w:ascii="Times New Roman" w:hAnsi="Times New Roman" w:cs="Times New Roman" w:eastAsiaTheme="majorEastAsia"/>
                <w:bCs/>
                <w:color w:val="auto"/>
                <w:szCs w:val="21"/>
                <w:lang w:val="en-US" w:eastAsia="zh-CN"/>
              </w:rPr>
              <w:t>间</w:t>
            </w:r>
            <w:r>
              <w:rPr>
                <w:rFonts w:hint="default" w:ascii="Times New Roman" w:hAnsi="Times New Roman" w:cs="Times New Roman" w:eastAsiaTheme="majorEastAsia"/>
                <w:bCs/>
                <w:color w:val="auto"/>
                <w:szCs w:val="21"/>
                <w:lang w:val="en-US" w:eastAsia="zh-CN"/>
              </w:rPr>
              <w:t>化验室，该动物医院化验室采用</w:t>
            </w:r>
            <w:r>
              <w:rPr>
                <w:rFonts w:hint="eastAsia" w:ascii="Times New Roman" w:hAnsi="Times New Roman" w:cs="Times New Roman" w:eastAsiaTheme="majorEastAsia"/>
                <w:bCs/>
                <w:color w:val="auto"/>
                <w:szCs w:val="21"/>
                <w:lang w:val="en-US" w:eastAsia="zh-CN"/>
              </w:rPr>
              <w:t>成品试剂盒</w:t>
            </w:r>
            <w:r>
              <w:rPr>
                <w:rFonts w:hint="default" w:ascii="Times New Roman" w:hAnsi="Times New Roman" w:cs="Times New Roman" w:eastAsiaTheme="majorEastAsia"/>
                <w:bCs/>
                <w:color w:val="auto"/>
                <w:szCs w:val="21"/>
                <w:lang w:val="en-US" w:eastAsia="zh-CN"/>
              </w:rPr>
              <w:t>进行化验，不进行化验药剂的配制</w:t>
            </w:r>
            <w:r>
              <w:rPr>
                <w:rFonts w:hint="eastAsia" w:ascii="Times New Roman" w:hAnsi="Times New Roman" w:cs="Times New Roman" w:eastAsiaTheme="majorEastAsia"/>
                <w:bCs/>
                <w:color w:val="auto"/>
                <w:szCs w:val="21"/>
                <w:lang w:val="en-US" w:eastAsia="zh-CN"/>
              </w:rPr>
              <w:t>。</w:t>
            </w:r>
            <w:r>
              <w:rPr>
                <w:rFonts w:hint="default" w:ascii="Times New Roman" w:hAnsi="Times New Roman" w:cs="Times New Roman" w:eastAsiaTheme="majorEastAsia"/>
                <w:bCs/>
                <w:color w:val="auto"/>
                <w:szCs w:val="21"/>
                <w:lang w:val="en-US" w:eastAsia="zh-CN"/>
              </w:rPr>
              <w:t>项目组成主要包括主体工程、辅助工程、公用工程和环保工程等。</w:t>
            </w:r>
          </w:p>
          <w:p w14:paraId="34382F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项目建设内容及项目组成详见表 2-2。</w:t>
            </w:r>
          </w:p>
          <w:p w14:paraId="4F876057">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ajorEastAsia"/>
                <w:b/>
                <w:bCs w:val="0"/>
                <w:color w:val="auto"/>
                <w:szCs w:val="21"/>
                <w:lang w:eastAsia="zh-CN"/>
              </w:rPr>
            </w:pPr>
            <w:r>
              <w:rPr>
                <w:rFonts w:hint="default" w:ascii="Times New Roman" w:hAnsi="Times New Roman" w:cs="Times New Roman" w:eastAsiaTheme="majorEastAsia"/>
                <w:b/>
                <w:bCs w:val="0"/>
                <w:color w:val="auto"/>
                <w:szCs w:val="21"/>
                <w:lang w:eastAsia="zh-CN"/>
              </w:rPr>
              <w:t>表</w:t>
            </w:r>
            <w:r>
              <w:rPr>
                <w:rFonts w:hint="default" w:ascii="Times New Roman" w:hAnsi="Times New Roman" w:cs="Times New Roman" w:eastAsiaTheme="majorEastAsia"/>
                <w:b/>
                <w:bCs w:val="0"/>
                <w:color w:val="auto"/>
                <w:szCs w:val="21"/>
                <w:lang w:val="en-US" w:eastAsia="zh-CN"/>
              </w:rPr>
              <w:t>2-2</w:t>
            </w:r>
            <w:r>
              <w:rPr>
                <w:rFonts w:hint="default" w:ascii="Times New Roman" w:hAnsi="Times New Roman" w:cs="Times New Roman" w:eastAsiaTheme="majorEastAsia"/>
                <w:b/>
                <w:bCs w:val="0"/>
                <w:color w:val="auto"/>
                <w:szCs w:val="21"/>
                <w:lang w:eastAsia="zh-CN"/>
              </w:rPr>
              <w:t xml:space="preserve">   项目组成及主要工程内容</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16"/>
              <w:gridCol w:w="1015"/>
              <w:gridCol w:w="5670"/>
              <w:gridCol w:w="807"/>
            </w:tblGrid>
            <w:tr w14:paraId="53652CBB">
              <w:tblPrEx>
                <w:tblCellMar>
                  <w:top w:w="0" w:type="dxa"/>
                  <w:left w:w="108" w:type="dxa"/>
                  <w:bottom w:w="0" w:type="dxa"/>
                  <w:right w:w="108" w:type="dxa"/>
                </w:tblCellMar>
              </w:tblPrEx>
              <w:trPr>
                <w:cantSplit/>
                <w:trHeight w:val="312" w:hRule="atLeast"/>
                <w:jc w:val="center"/>
              </w:trPr>
              <w:tc>
                <w:tcPr>
                  <w:tcW w:w="516" w:type="dxa"/>
                  <w:tcBorders>
                    <w:bottom w:val="single" w:color="auto" w:sz="4" w:space="0"/>
                  </w:tcBorders>
                  <w:noWrap w:val="0"/>
                  <w:tcMar>
                    <w:left w:w="28" w:type="dxa"/>
                    <w:right w:w="28" w:type="dxa"/>
                  </w:tcMar>
                  <w:vAlign w:val="center"/>
                </w:tcPr>
                <w:p w14:paraId="5236D97B">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工程分类</w:t>
                  </w:r>
                </w:p>
              </w:tc>
              <w:tc>
                <w:tcPr>
                  <w:tcW w:w="1015" w:type="dxa"/>
                  <w:noWrap w:val="0"/>
                  <w:tcMar>
                    <w:left w:w="28" w:type="dxa"/>
                    <w:right w:w="28" w:type="dxa"/>
                  </w:tcMar>
                  <w:vAlign w:val="center"/>
                </w:tcPr>
                <w:p w14:paraId="6C2D6F25">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项目名称</w:t>
                  </w:r>
                </w:p>
              </w:tc>
              <w:tc>
                <w:tcPr>
                  <w:tcW w:w="5670" w:type="dxa"/>
                  <w:tcBorders>
                    <w:right w:val="single" w:color="auto" w:sz="4" w:space="0"/>
                  </w:tcBorders>
                  <w:noWrap w:val="0"/>
                  <w:tcMar>
                    <w:left w:w="28" w:type="dxa"/>
                    <w:right w:w="28" w:type="dxa"/>
                  </w:tcMar>
                  <w:vAlign w:val="center"/>
                </w:tcPr>
                <w:p w14:paraId="2E76A36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主要建设内容及建设规模</w:t>
                  </w:r>
                </w:p>
              </w:tc>
              <w:tc>
                <w:tcPr>
                  <w:tcW w:w="807" w:type="dxa"/>
                  <w:noWrap w:val="0"/>
                  <w:tcMar>
                    <w:left w:w="28" w:type="dxa"/>
                    <w:right w:w="28" w:type="dxa"/>
                  </w:tcMar>
                  <w:vAlign w:val="center"/>
                </w:tcPr>
                <w:p w14:paraId="756104E1">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备注</w:t>
                  </w:r>
                </w:p>
              </w:tc>
            </w:tr>
            <w:tr w14:paraId="519F82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restart"/>
                  <w:noWrap w:val="0"/>
                  <w:tcMar>
                    <w:left w:w="28" w:type="dxa"/>
                    <w:right w:w="28" w:type="dxa"/>
                  </w:tcMar>
                  <w:vAlign w:val="center"/>
                </w:tcPr>
                <w:p w14:paraId="47079564">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主体工程</w:t>
                  </w:r>
                </w:p>
              </w:tc>
              <w:tc>
                <w:tcPr>
                  <w:tcW w:w="6685" w:type="dxa"/>
                  <w:gridSpan w:val="2"/>
                  <w:tcBorders>
                    <w:right w:val="single" w:color="auto" w:sz="4" w:space="0"/>
                  </w:tcBorders>
                  <w:noWrap w:val="0"/>
                  <w:tcMar>
                    <w:left w:w="28" w:type="dxa"/>
                    <w:right w:w="28" w:type="dxa"/>
                  </w:tcMar>
                  <w:vAlign w:val="center"/>
                </w:tcPr>
                <w:p w14:paraId="02888BA8">
                  <w:pPr>
                    <w:keepNext w:val="0"/>
                    <w:keepLines w:val="0"/>
                    <w:suppressLineNumbers w:val="0"/>
                    <w:adjustRightInd w:val="0"/>
                    <w:snapToGrid w:val="0"/>
                    <w:spacing w:before="0" w:beforeAutospacing="0" w:after="0" w:afterAutospacing="0" w:line="280" w:lineRule="exact"/>
                    <w:ind w:left="0" w:right="0"/>
                    <w:jc w:val="both"/>
                    <w:rPr>
                      <w:rFonts w:hint="default" w:ascii="Times New Roman" w:hAnsi="Times New Roman" w:cs="Times New Roman" w:eastAsiaTheme="majorEastAsia"/>
                      <w:color w:val="auto"/>
                      <w:sz w:val="18"/>
                      <w:szCs w:val="18"/>
                      <w:lang w:val="en-US"/>
                    </w:rPr>
                  </w:pPr>
                  <w:r>
                    <w:rPr>
                      <w:rFonts w:hint="default" w:ascii="Times New Roman" w:hAnsi="Times New Roman" w:cs="Times New Roman" w:eastAsiaTheme="majorEastAsia"/>
                      <w:color w:val="auto"/>
                      <w:sz w:val="18"/>
                      <w:szCs w:val="18"/>
                      <w:lang w:val="en-US" w:eastAsia="zh-CN"/>
                    </w:rPr>
                    <w:t>位于远洋城二期</w:t>
                  </w:r>
                  <w:r>
                    <w:rPr>
                      <w:rFonts w:hint="eastAsia" w:ascii="Times New Roman" w:hAnsi="Times New Roman" w:cs="Times New Roman" w:eastAsiaTheme="majorEastAsia"/>
                      <w:color w:val="auto"/>
                      <w:sz w:val="18"/>
                      <w:szCs w:val="18"/>
                      <w:lang w:val="en-US" w:eastAsia="zh-CN"/>
                    </w:rPr>
                    <w:t>19栋底商二楼2-3号商业，建筑面积为129.14m</w:t>
                  </w:r>
                  <w:r>
                    <w:rPr>
                      <w:rFonts w:hint="eastAsia" w:ascii="Times New Roman" w:hAnsi="Times New Roman" w:cs="Times New Roman" w:eastAsiaTheme="majorEastAsia"/>
                      <w:color w:val="auto"/>
                      <w:sz w:val="18"/>
                      <w:szCs w:val="18"/>
                      <w:vertAlign w:val="superscript"/>
                      <w:lang w:val="en-US" w:eastAsia="zh-CN"/>
                    </w:rPr>
                    <w:t>2</w:t>
                  </w:r>
                  <w:r>
                    <w:rPr>
                      <w:rFonts w:hint="eastAsia" w:ascii="Times New Roman" w:hAnsi="Times New Roman" w:cs="Times New Roman" w:eastAsiaTheme="majorEastAsia"/>
                      <w:color w:val="auto"/>
                      <w:sz w:val="18"/>
                      <w:szCs w:val="18"/>
                      <w:lang w:val="en-US" w:eastAsia="zh-CN"/>
                    </w:rPr>
                    <w:t>，室内分区如下：</w:t>
                  </w:r>
                </w:p>
              </w:tc>
              <w:tc>
                <w:tcPr>
                  <w:tcW w:w="807" w:type="dxa"/>
                  <w:noWrap w:val="0"/>
                  <w:tcMar>
                    <w:left w:w="28" w:type="dxa"/>
                    <w:right w:w="28" w:type="dxa"/>
                  </w:tcMar>
                  <w:vAlign w:val="center"/>
                </w:tcPr>
                <w:p w14:paraId="7F4BBCF5">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w:t>
                  </w:r>
                </w:p>
              </w:tc>
            </w:tr>
            <w:tr w14:paraId="4A71B4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continue"/>
                  <w:noWrap w:val="0"/>
                  <w:tcMar>
                    <w:left w:w="28" w:type="dxa"/>
                    <w:right w:w="28" w:type="dxa"/>
                  </w:tcMar>
                  <w:vAlign w:val="center"/>
                </w:tcPr>
                <w:p w14:paraId="0D6DF713">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17180C6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手术室</w:t>
                  </w:r>
                </w:p>
              </w:tc>
              <w:tc>
                <w:tcPr>
                  <w:tcW w:w="5670" w:type="dxa"/>
                  <w:tcBorders>
                    <w:right w:val="single" w:color="auto" w:sz="4" w:space="0"/>
                  </w:tcBorders>
                  <w:noWrap w:val="0"/>
                  <w:tcMar>
                    <w:left w:w="28" w:type="dxa"/>
                    <w:right w:w="28" w:type="dxa"/>
                  </w:tcMar>
                  <w:vAlign w:val="center"/>
                </w:tcPr>
                <w:p w14:paraId="73B4FB50">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rPr>
                  </w:pPr>
                  <w:r>
                    <w:rPr>
                      <w:rFonts w:hint="eastAsia" w:ascii="Times New Roman" w:hAnsi="Times New Roman" w:cs="Times New Roman" w:eastAsiaTheme="majorEastAsia"/>
                      <w:color w:val="auto"/>
                      <w:sz w:val="18"/>
                      <w:szCs w:val="18"/>
                      <w:lang w:val="en-US" w:eastAsia="zh-CN"/>
                    </w:rPr>
                    <w:t>建筑</w:t>
                  </w:r>
                  <w:r>
                    <w:rPr>
                      <w:rFonts w:hint="default" w:ascii="Times New Roman" w:hAnsi="Times New Roman" w:cs="Times New Roman" w:eastAsiaTheme="majorEastAsia"/>
                      <w:color w:val="auto"/>
                      <w:sz w:val="18"/>
                      <w:szCs w:val="18"/>
                      <w:lang w:val="en-US" w:eastAsia="zh-CN"/>
                    </w:rPr>
                    <w:t>面积约</w:t>
                  </w:r>
                  <w:r>
                    <w:rPr>
                      <w:rFonts w:hint="eastAsia" w:ascii="Times New Roman" w:hAnsi="Times New Roman" w:cs="Times New Roman" w:eastAsiaTheme="majorEastAsia"/>
                      <w:color w:val="auto"/>
                      <w:sz w:val="18"/>
                      <w:szCs w:val="18"/>
                      <w:lang w:val="en-US" w:eastAsia="zh-CN"/>
                    </w:rPr>
                    <w:t>10</w:t>
                  </w:r>
                  <w:r>
                    <w:rPr>
                      <w:rFonts w:hint="default" w:ascii="Times New Roman" w:hAnsi="Times New Roman" w:cs="Times New Roman" w:eastAsiaTheme="majorEastAsia"/>
                      <w:color w:val="auto"/>
                      <w:sz w:val="18"/>
                      <w:szCs w:val="18"/>
                      <w:lang w:val="en-US" w:eastAsia="zh-CN"/>
                    </w:rPr>
                    <w:t>m</w:t>
                  </w:r>
                  <w:r>
                    <w:rPr>
                      <w:rFonts w:hint="default" w:ascii="Times New Roman" w:hAnsi="Times New Roman" w:cs="Times New Roman" w:eastAsiaTheme="majorEastAsia"/>
                      <w:color w:val="auto"/>
                      <w:sz w:val="18"/>
                      <w:szCs w:val="18"/>
                      <w:vertAlign w:val="superscript"/>
                      <w:lang w:val="en-US" w:eastAsia="zh-CN"/>
                    </w:rPr>
                    <w:t>2</w:t>
                  </w:r>
                  <w:r>
                    <w:rPr>
                      <w:rFonts w:hint="default" w:ascii="Times New Roman" w:hAnsi="Times New Roman" w:cs="Times New Roman" w:eastAsiaTheme="majorEastAsia"/>
                      <w:color w:val="auto"/>
                      <w:sz w:val="18"/>
                      <w:szCs w:val="18"/>
                      <w:lang w:val="en-US" w:eastAsia="zh-CN"/>
                    </w:rPr>
                    <w:t xml:space="preserve">，仅涉及节育、伤口处理等手术； </w:t>
                  </w:r>
                </w:p>
                <w:p w14:paraId="75794933">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rPr>
                  </w:pPr>
                  <w:r>
                    <w:rPr>
                      <w:rFonts w:hint="default" w:ascii="Times New Roman" w:hAnsi="Times New Roman" w:cs="Times New Roman" w:eastAsiaTheme="majorEastAsia"/>
                      <w:color w:val="auto"/>
                      <w:sz w:val="18"/>
                      <w:szCs w:val="18"/>
                      <w:lang w:val="en-US" w:eastAsia="zh-CN"/>
                    </w:rPr>
                    <w:t>本次对手术室进行改建，在现有手术室内新增内窥镜、简易ICU等设备，用于开展胸腔、腹腔手术</w:t>
                  </w:r>
                  <w:r>
                    <w:rPr>
                      <w:rFonts w:hint="eastAsia" w:ascii="Times New Roman" w:hAnsi="Times New Roman" w:cs="Times New Roman" w:eastAsiaTheme="majorEastAsia"/>
                      <w:color w:val="auto"/>
                      <w:sz w:val="18"/>
                      <w:szCs w:val="18"/>
                      <w:lang w:val="en-US" w:eastAsia="zh-CN"/>
                    </w:rPr>
                    <w:t>。</w:t>
                  </w:r>
                  <w:r>
                    <w:rPr>
                      <w:rFonts w:hint="eastAsia" w:ascii="Times New Roman" w:hAnsi="Times New Roman" w:cs="Times New Roman" w:eastAsiaTheme="majorEastAsia"/>
                      <w:b w:val="0"/>
                      <w:bCs w:val="0"/>
                      <w:color w:val="auto"/>
                      <w:sz w:val="18"/>
                      <w:szCs w:val="18"/>
                      <w:lang w:val="en-US" w:eastAsia="zh-CN"/>
                    </w:rPr>
                    <w:t>年最大350台手术量。</w:t>
                  </w:r>
                </w:p>
              </w:tc>
              <w:tc>
                <w:tcPr>
                  <w:tcW w:w="807" w:type="dxa"/>
                  <w:noWrap w:val="0"/>
                  <w:tcMar>
                    <w:left w:w="28" w:type="dxa"/>
                    <w:right w:w="28" w:type="dxa"/>
                  </w:tcMar>
                  <w:vAlign w:val="center"/>
                </w:tcPr>
                <w:p w14:paraId="01B6DDE0">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改建</w:t>
                  </w:r>
                </w:p>
              </w:tc>
            </w:tr>
            <w:tr w14:paraId="45A74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4" w:hRule="atLeast"/>
                <w:jc w:val="center"/>
              </w:trPr>
              <w:tc>
                <w:tcPr>
                  <w:tcW w:w="516" w:type="dxa"/>
                  <w:vMerge w:val="continue"/>
                  <w:noWrap w:val="0"/>
                  <w:tcMar>
                    <w:left w:w="28" w:type="dxa"/>
                    <w:right w:w="28" w:type="dxa"/>
                  </w:tcMar>
                  <w:vAlign w:val="center"/>
                </w:tcPr>
                <w:p w14:paraId="3C13E86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61464C04">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就诊区</w:t>
                  </w:r>
                </w:p>
              </w:tc>
              <w:tc>
                <w:tcPr>
                  <w:tcW w:w="5670" w:type="dxa"/>
                  <w:tcBorders>
                    <w:right w:val="single" w:color="auto" w:sz="4" w:space="0"/>
                  </w:tcBorders>
                  <w:noWrap w:val="0"/>
                  <w:tcMar>
                    <w:left w:w="28" w:type="dxa"/>
                    <w:right w:w="28" w:type="dxa"/>
                  </w:tcMar>
                  <w:vAlign w:val="center"/>
                </w:tcPr>
                <w:p w14:paraId="13E739EB">
                  <w:pPr>
                    <w:keepNext w:val="0"/>
                    <w:keepLines w:val="0"/>
                    <w:suppressLineNumbers w:val="0"/>
                    <w:adjustRightInd w:val="0"/>
                    <w:snapToGrid w:val="0"/>
                    <w:spacing w:before="0" w:beforeAutospacing="0" w:after="0" w:afterAutospacing="0" w:line="280" w:lineRule="exact"/>
                    <w:ind w:right="0"/>
                    <w:jc w:val="left"/>
                    <w:rPr>
                      <w:rFonts w:hint="default" w:ascii="Times New Roman" w:hAnsi="Times New Roman" w:cs="Times New Roman" w:eastAsiaTheme="majorEastAsia"/>
                      <w:color w:val="auto"/>
                      <w:sz w:val="18"/>
                      <w:szCs w:val="18"/>
                      <w:vertAlign w:val="baseline"/>
                      <w:lang w:val="en-US" w:eastAsia="zh-CN"/>
                    </w:rPr>
                  </w:pPr>
                  <w:r>
                    <w:rPr>
                      <w:rFonts w:hint="eastAsia" w:ascii="Times New Roman" w:hAnsi="Times New Roman" w:cs="Times New Roman" w:eastAsiaTheme="majorEastAsia"/>
                      <w:color w:val="auto"/>
                      <w:sz w:val="18"/>
                      <w:szCs w:val="18"/>
                      <w:lang w:val="en-US" w:eastAsia="zh-CN"/>
                    </w:rPr>
                    <w:t>建筑</w:t>
                  </w:r>
                  <w:r>
                    <w:rPr>
                      <w:rFonts w:hint="default" w:ascii="Times New Roman" w:hAnsi="Times New Roman" w:cs="Times New Roman" w:eastAsiaTheme="majorEastAsia"/>
                      <w:color w:val="auto"/>
                      <w:sz w:val="18"/>
                      <w:szCs w:val="18"/>
                      <w:vertAlign w:val="baseline"/>
                      <w:lang w:val="en-US" w:eastAsia="zh-CN"/>
                    </w:rPr>
                    <w:t>面积约</w:t>
                  </w:r>
                  <w:r>
                    <w:rPr>
                      <w:rFonts w:hint="eastAsia" w:ascii="Times New Roman" w:hAnsi="Times New Roman" w:cs="Times New Roman" w:eastAsiaTheme="majorEastAsia"/>
                      <w:color w:val="auto"/>
                      <w:sz w:val="18"/>
                      <w:szCs w:val="18"/>
                      <w:vertAlign w:val="baseline"/>
                      <w:lang w:val="en-US" w:eastAsia="zh-CN"/>
                    </w:rPr>
                    <w:t>35</w:t>
                  </w:r>
                  <w:r>
                    <w:rPr>
                      <w:rFonts w:hint="default" w:ascii="Times New Roman" w:hAnsi="Times New Roman" w:cs="Times New Roman" w:eastAsiaTheme="majorEastAsia"/>
                      <w:color w:val="auto"/>
                      <w:sz w:val="18"/>
                      <w:szCs w:val="18"/>
                      <w:vertAlign w:val="baseline"/>
                      <w:lang w:val="en-US" w:eastAsia="zh-CN"/>
                    </w:rPr>
                    <w:t>m</w:t>
                  </w:r>
                  <w:r>
                    <w:rPr>
                      <w:rFonts w:hint="default" w:ascii="Times New Roman" w:hAnsi="Times New Roman" w:cs="Times New Roman" w:eastAsiaTheme="majorEastAsia"/>
                      <w:color w:val="auto"/>
                      <w:sz w:val="18"/>
                      <w:szCs w:val="18"/>
                      <w:vertAlign w:val="superscript"/>
                      <w:lang w:val="en-US" w:eastAsia="zh-CN"/>
                    </w:rPr>
                    <w:t>2</w:t>
                  </w:r>
                  <w:r>
                    <w:rPr>
                      <w:rFonts w:hint="default" w:ascii="Times New Roman" w:hAnsi="Times New Roman" w:cs="Times New Roman" w:eastAsiaTheme="majorEastAsia"/>
                      <w:color w:val="auto"/>
                      <w:sz w:val="18"/>
                      <w:szCs w:val="18"/>
                      <w:vertAlign w:val="baseline"/>
                      <w:lang w:val="en-US" w:eastAsia="zh-CN"/>
                    </w:rPr>
                    <w:t>，设有</w:t>
                  </w:r>
                  <w:r>
                    <w:rPr>
                      <w:rFonts w:hint="eastAsia" w:ascii="Times New Roman" w:hAnsi="Times New Roman" w:cs="Times New Roman" w:eastAsiaTheme="majorEastAsia"/>
                      <w:color w:val="auto"/>
                      <w:sz w:val="18"/>
                      <w:szCs w:val="18"/>
                      <w:vertAlign w:val="baseline"/>
                      <w:lang w:val="en-US" w:eastAsia="zh-CN"/>
                    </w:rPr>
                    <w:t>2间就诊室（含药品柜）、1间</w:t>
                  </w:r>
                  <w:r>
                    <w:rPr>
                      <w:rFonts w:hint="default" w:ascii="Times New Roman" w:hAnsi="Times New Roman" w:cs="Times New Roman" w:eastAsiaTheme="majorEastAsia"/>
                      <w:color w:val="auto"/>
                      <w:sz w:val="18"/>
                      <w:szCs w:val="18"/>
                      <w:vertAlign w:val="baseline"/>
                      <w:lang w:val="en-US" w:eastAsia="zh-CN"/>
                    </w:rPr>
                    <w:t>化验室</w:t>
                  </w:r>
                  <w:r>
                    <w:rPr>
                      <w:rFonts w:hint="eastAsia" w:ascii="Times New Roman" w:hAnsi="Times New Roman" w:cs="Times New Roman" w:eastAsiaTheme="majorEastAsia"/>
                      <w:color w:val="auto"/>
                      <w:sz w:val="18"/>
                      <w:szCs w:val="18"/>
                      <w:vertAlign w:val="baseline"/>
                      <w:lang w:val="en-US" w:eastAsia="zh-CN"/>
                    </w:rPr>
                    <w:t>、1间DR室</w:t>
                  </w:r>
                  <w:r>
                    <w:rPr>
                      <w:rFonts w:hint="default" w:ascii="Times New Roman" w:hAnsi="Times New Roman" w:cs="Times New Roman" w:eastAsiaTheme="majorEastAsia"/>
                      <w:color w:val="auto"/>
                      <w:sz w:val="18"/>
                      <w:szCs w:val="18"/>
                      <w:vertAlign w:val="baseline"/>
                      <w:lang w:val="en-US" w:eastAsia="zh-CN"/>
                    </w:rPr>
                    <w:t>。最大门诊接待量为</w:t>
                  </w:r>
                  <w:r>
                    <w:rPr>
                      <w:rFonts w:hint="eastAsia" w:ascii="Times New Roman" w:hAnsi="Times New Roman" w:cs="Times New Roman" w:eastAsiaTheme="majorEastAsia"/>
                      <w:color w:val="auto"/>
                      <w:sz w:val="18"/>
                      <w:szCs w:val="18"/>
                      <w:vertAlign w:val="baseline"/>
                      <w:lang w:val="en-US" w:eastAsia="zh-CN"/>
                    </w:rPr>
                    <w:t>10</w:t>
                  </w:r>
                  <w:r>
                    <w:rPr>
                      <w:rFonts w:hint="default" w:ascii="Times New Roman" w:hAnsi="Times New Roman" w:cs="Times New Roman" w:eastAsiaTheme="majorEastAsia"/>
                      <w:color w:val="auto"/>
                      <w:sz w:val="18"/>
                      <w:szCs w:val="18"/>
                      <w:vertAlign w:val="baseline"/>
                      <w:lang w:val="en-US" w:eastAsia="zh-CN"/>
                    </w:rPr>
                    <w:t>只/d，主要为宠物进行初步诊断以及为宠物进行疫苗接种</w:t>
                  </w:r>
                  <w:r>
                    <w:rPr>
                      <w:rFonts w:hint="eastAsia" w:ascii="Times New Roman" w:hAnsi="Times New Roman" w:cs="Times New Roman" w:eastAsiaTheme="majorEastAsia"/>
                      <w:color w:val="auto"/>
                      <w:sz w:val="18"/>
                      <w:szCs w:val="18"/>
                      <w:vertAlign w:val="baseline"/>
                      <w:lang w:val="en-US" w:eastAsia="zh-CN"/>
                    </w:rPr>
                    <w:t>。</w:t>
                  </w:r>
                </w:p>
              </w:tc>
              <w:tc>
                <w:tcPr>
                  <w:tcW w:w="807" w:type="dxa"/>
                  <w:noWrap w:val="0"/>
                  <w:tcMar>
                    <w:left w:w="28" w:type="dxa"/>
                    <w:right w:w="28" w:type="dxa"/>
                  </w:tcMar>
                  <w:vAlign w:val="center"/>
                </w:tcPr>
                <w:p w14:paraId="10D4564D">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已建</w:t>
                  </w:r>
                </w:p>
              </w:tc>
            </w:tr>
            <w:tr w14:paraId="590F0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516" w:type="dxa"/>
                  <w:vMerge w:val="continue"/>
                  <w:noWrap w:val="0"/>
                  <w:tcMar>
                    <w:left w:w="28" w:type="dxa"/>
                    <w:right w:w="28" w:type="dxa"/>
                  </w:tcMar>
                  <w:vAlign w:val="center"/>
                </w:tcPr>
                <w:p w14:paraId="227C760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shd w:val="clear" w:color="auto" w:fill="auto"/>
                  <w:noWrap w:val="0"/>
                  <w:tcMar>
                    <w:left w:w="28" w:type="dxa"/>
                    <w:right w:w="28" w:type="dxa"/>
                  </w:tcMar>
                  <w:vAlign w:val="center"/>
                </w:tcPr>
                <w:p w14:paraId="680867E2">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sz w:val="18"/>
                      <w:szCs w:val="18"/>
                      <w:lang w:val="en-US" w:eastAsia="zh-CN"/>
                    </w:rPr>
                    <w:t>美容室</w:t>
                  </w:r>
                </w:p>
              </w:tc>
              <w:tc>
                <w:tcPr>
                  <w:tcW w:w="5670" w:type="dxa"/>
                  <w:tcBorders>
                    <w:right w:val="single" w:color="auto" w:sz="4" w:space="0"/>
                  </w:tcBorders>
                  <w:shd w:val="clear" w:color="auto" w:fill="auto"/>
                  <w:noWrap w:val="0"/>
                  <w:tcMar>
                    <w:left w:w="28" w:type="dxa"/>
                    <w:right w:w="28" w:type="dxa"/>
                  </w:tcMar>
                  <w:vAlign w:val="center"/>
                </w:tcPr>
                <w:p w14:paraId="74C29E14">
                  <w:pPr>
                    <w:keepNext w:val="0"/>
                    <w:keepLines w:val="0"/>
                    <w:suppressLineNumbers w:val="0"/>
                    <w:adjustRightInd w:val="0"/>
                    <w:snapToGrid w:val="0"/>
                    <w:spacing w:before="0" w:beforeAutospacing="0" w:after="0" w:afterAutospacing="0" w:line="280" w:lineRule="exact"/>
                    <w:ind w:right="0" w:rightChars="0"/>
                    <w:jc w:val="left"/>
                    <w:rPr>
                      <w:rFonts w:ascii="Dutch801 Rm BT" w:hAnsi="Dutch801 Rm BT" w:eastAsia="宋体" w:cs="Dutch801 Rm BT"/>
                      <w:color w:val="auto"/>
                      <w:kern w:val="2"/>
                      <w:sz w:val="18"/>
                      <w:szCs w:val="18"/>
                      <w:lang w:val="en-US" w:eastAsia="zh-CN" w:bidi="ar-SA"/>
                    </w:rPr>
                  </w:pPr>
                  <w:r>
                    <w:rPr>
                      <w:rFonts w:hint="eastAsia"/>
                      <w:color w:val="auto"/>
                      <w:sz w:val="18"/>
                      <w:szCs w:val="18"/>
                      <w:lang w:val="en-US" w:eastAsia="zh-CN"/>
                    </w:rPr>
                    <w:t>位于就诊室旁</w:t>
                  </w:r>
                  <w:r>
                    <w:rPr>
                      <w:rFonts w:hint="default" w:ascii="Times New Roman" w:hAnsi="Times New Roman" w:cs="Times New Roman"/>
                      <w:color w:val="auto"/>
                      <w:sz w:val="18"/>
                      <w:szCs w:val="18"/>
                      <w:lang w:val="en-US" w:eastAsia="zh-CN"/>
                    </w:rPr>
                    <w:t>，</w:t>
                  </w:r>
                  <w:r>
                    <w:rPr>
                      <w:rFonts w:hint="eastAsia" w:ascii="Times New Roman" w:hAnsi="Times New Roman" w:cs="Times New Roman" w:eastAsiaTheme="majorEastAsia"/>
                      <w:color w:val="auto"/>
                      <w:sz w:val="18"/>
                      <w:szCs w:val="18"/>
                      <w:lang w:val="en-US" w:eastAsia="zh-CN"/>
                    </w:rPr>
                    <w:t>建筑</w:t>
                  </w:r>
                  <w:r>
                    <w:rPr>
                      <w:rFonts w:hint="default" w:ascii="Times New Roman" w:hAnsi="Times New Roman" w:cs="Times New Roman"/>
                      <w:color w:val="auto"/>
                      <w:sz w:val="18"/>
                      <w:szCs w:val="18"/>
                      <w:lang w:val="en-US" w:eastAsia="zh-CN"/>
                    </w:rPr>
                    <w:t>面积约6m</w:t>
                  </w:r>
                  <w:r>
                    <w:rPr>
                      <w:rFonts w:hint="default" w:ascii="Times New Roman" w:hAnsi="Times New Roman" w:cs="Times New Roman"/>
                      <w:color w:val="auto"/>
                      <w:sz w:val="18"/>
                      <w:szCs w:val="18"/>
                      <w:vertAlign w:val="superscript"/>
                      <w:lang w:val="en-US" w:eastAsia="zh-CN"/>
                    </w:rPr>
                    <w:t>2</w:t>
                  </w:r>
                  <w:r>
                    <w:rPr>
                      <w:rFonts w:hint="default" w:ascii="Times New Roman" w:hAnsi="Times New Roman" w:cs="Times New Roman"/>
                      <w:color w:val="auto"/>
                      <w:sz w:val="18"/>
                      <w:szCs w:val="18"/>
                      <w:lang w:val="en-US" w:eastAsia="zh-CN"/>
                    </w:rPr>
                    <w:t>，内设有猫洗浴室、犬洗浴室，仅用于宠物剪毛和洗浴，无染色服务</w:t>
                  </w:r>
                  <w:r>
                    <w:rPr>
                      <w:rFonts w:hint="eastAsia" w:ascii="Times New Roman" w:hAnsi="Times New Roman" w:cs="Times New Roman"/>
                      <w:color w:val="auto"/>
                      <w:sz w:val="18"/>
                      <w:szCs w:val="18"/>
                      <w:lang w:val="en-US" w:eastAsia="zh-CN"/>
                    </w:rPr>
                    <w:t>，无药物洗浴</w:t>
                  </w:r>
                  <w:r>
                    <w:rPr>
                      <w:rFonts w:hint="default" w:ascii="Times New Roman" w:hAnsi="Times New Roman" w:cs="Times New Roman"/>
                      <w:color w:val="auto"/>
                      <w:sz w:val="18"/>
                      <w:szCs w:val="18"/>
                      <w:lang w:val="en-US" w:eastAsia="zh-CN"/>
                    </w:rPr>
                    <w:t>，最大接待量为5只/d</w:t>
                  </w:r>
                  <w:r>
                    <w:rPr>
                      <w:rFonts w:hint="eastAsia" w:ascii="Times New Roman" w:hAnsi="Times New Roman" w:cs="Times New Roman"/>
                      <w:color w:val="auto"/>
                      <w:sz w:val="18"/>
                      <w:szCs w:val="18"/>
                      <w:lang w:val="en-US" w:eastAsia="zh-CN"/>
                    </w:rPr>
                    <w:t>。</w:t>
                  </w:r>
                </w:p>
              </w:tc>
              <w:tc>
                <w:tcPr>
                  <w:tcW w:w="807" w:type="dxa"/>
                  <w:noWrap w:val="0"/>
                  <w:tcMar>
                    <w:left w:w="28" w:type="dxa"/>
                    <w:right w:w="28" w:type="dxa"/>
                  </w:tcMar>
                  <w:vAlign w:val="center"/>
                </w:tcPr>
                <w:p w14:paraId="4290C38A">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已建</w:t>
                  </w:r>
                </w:p>
              </w:tc>
            </w:tr>
            <w:tr w14:paraId="336AE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16" w:type="dxa"/>
                  <w:vMerge w:val="continue"/>
                  <w:noWrap w:val="0"/>
                  <w:tcMar>
                    <w:left w:w="28" w:type="dxa"/>
                    <w:right w:w="28" w:type="dxa"/>
                  </w:tcMar>
                  <w:vAlign w:val="center"/>
                </w:tcPr>
                <w:p w14:paraId="50B09990">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59FBC42C">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住院区</w:t>
                  </w:r>
                </w:p>
              </w:tc>
              <w:tc>
                <w:tcPr>
                  <w:tcW w:w="5670" w:type="dxa"/>
                  <w:tcBorders>
                    <w:right w:val="single" w:color="auto" w:sz="4" w:space="0"/>
                  </w:tcBorders>
                  <w:noWrap w:val="0"/>
                  <w:tcMar>
                    <w:left w:w="28" w:type="dxa"/>
                    <w:right w:w="28" w:type="dxa"/>
                  </w:tcMar>
                  <w:vAlign w:val="center"/>
                </w:tcPr>
                <w:p w14:paraId="0DAB7FB0">
                  <w:pPr>
                    <w:keepNext w:val="0"/>
                    <w:keepLines w:val="0"/>
                    <w:suppressLineNumbers w:val="0"/>
                    <w:adjustRightInd w:val="0"/>
                    <w:snapToGrid w:val="0"/>
                    <w:spacing w:before="0" w:beforeAutospacing="0" w:after="0" w:afterAutospacing="0" w:line="280" w:lineRule="exact"/>
                    <w:ind w:right="0"/>
                    <w:jc w:val="left"/>
                    <w:rPr>
                      <w:rFonts w:hint="default"/>
                      <w:color w:val="auto"/>
                      <w:sz w:val="18"/>
                      <w:szCs w:val="18"/>
                      <w:lang w:val="en-US"/>
                    </w:rPr>
                  </w:pPr>
                  <w:r>
                    <w:rPr>
                      <w:rFonts w:hint="eastAsia"/>
                      <w:color w:val="auto"/>
                      <w:sz w:val="18"/>
                      <w:szCs w:val="18"/>
                      <w:lang w:val="en-US" w:eastAsia="zh-CN"/>
                    </w:rPr>
                    <w:t>位于项目商业门面内夹层2F，面积分别约60m</w:t>
                  </w:r>
                  <w:r>
                    <w:rPr>
                      <w:rFonts w:hint="eastAsia"/>
                      <w:color w:val="auto"/>
                      <w:sz w:val="18"/>
                      <w:szCs w:val="18"/>
                      <w:vertAlign w:val="superscript"/>
                      <w:lang w:val="en-US" w:eastAsia="zh-CN"/>
                    </w:rPr>
                    <w:t>2</w:t>
                  </w:r>
                  <w:r>
                    <w:rPr>
                      <w:rFonts w:hint="eastAsia"/>
                      <w:color w:val="auto"/>
                      <w:sz w:val="18"/>
                      <w:szCs w:val="18"/>
                      <w:lang w:val="en-US" w:eastAsia="zh-CN"/>
                    </w:rPr>
                    <w:t>，设有1间猫病房、1间犬病房、1间隔离病房，猫最大住院量为6只，犬最大住院量6只。</w:t>
                  </w:r>
                </w:p>
              </w:tc>
              <w:tc>
                <w:tcPr>
                  <w:tcW w:w="807" w:type="dxa"/>
                  <w:noWrap w:val="0"/>
                  <w:tcMar>
                    <w:left w:w="28" w:type="dxa"/>
                    <w:right w:w="28" w:type="dxa"/>
                  </w:tcMar>
                  <w:vAlign w:val="center"/>
                </w:tcPr>
                <w:p w14:paraId="6ECA89A0">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已建</w:t>
                  </w:r>
                </w:p>
              </w:tc>
            </w:tr>
            <w:tr w14:paraId="471ABF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restart"/>
                  <w:noWrap w:val="0"/>
                  <w:tcMar>
                    <w:left w:w="28" w:type="dxa"/>
                    <w:right w:w="28" w:type="dxa"/>
                  </w:tcMar>
                  <w:vAlign w:val="center"/>
                </w:tcPr>
                <w:p w14:paraId="0B92343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辅助工程</w:t>
                  </w:r>
                </w:p>
              </w:tc>
              <w:tc>
                <w:tcPr>
                  <w:tcW w:w="1015" w:type="dxa"/>
                  <w:noWrap w:val="0"/>
                  <w:tcMar>
                    <w:left w:w="28" w:type="dxa"/>
                    <w:right w:w="28" w:type="dxa"/>
                  </w:tcMar>
                  <w:vAlign w:val="center"/>
                </w:tcPr>
                <w:p w14:paraId="5A6DF20A">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kern w:val="2"/>
                      <w:sz w:val="18"/>
                      <w:szCs w:val="18"/>
                      <w:lang w:val="en-US" w:eastAsia="zh-CN" w:bidi="ar-SA"/>
                    </w:rPr>
                    <w:t>员工休息室</w:t>
                  </w:r>
                </w:p>
              </w:tc>
              <w:tc>
                <w:tcPr>
                  <w:tcW w:w="5670" w:type="dxa"/>
                  <w:tcBorders>
                    <w:right w:val="single" w:color="auto" w:sz="4" w:space="0"/>
                  </w:tcBorders>
                  <w:noWrap w:val="0"/>
                  <w:tcMar>
                    <w:left w:w="28" w:type="dxa"/>
                    <w:right w:w="28" w:type="dxa"/>
                  </w:tcMar>
                  <w:vAlign w:val="center"/>
                </w:tcPr>
                <w:p w14:paraId="5D116CA8">
                  <w:pPr>
                    <w:keepNext w:val="0"/>
                    <w:keepLines w:val="0"/>
                    <w:suppressLineNumbers w:val="0"/>
                    <w:adjustRightInd w:val="0"/>
                    <w:snapToGrid w:val="0"/>
                    <w:spacing w:before="0" w:beforeAutospacing="0" w:after="0" w:afterAutospacing="0" w:line="28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kern w:val="2"/>
                      <w:sz w:val="18"/>
                      <w:szCs w:val="18"/>
                      <w:lang w:val="en-US" w:eastAsia="zh-CN" w:bidi="ar-SA"/>
                    </w:rPr>
                    <w:t>位于</w:t>
                  </w:r>
                  <w:r>
                    <w:rPr>
                      <w:rFonts w:hint="eastAsia"/>
                      <w:color w:val="auto"/>
                      <w:sz w:val="18"/>
                      <w:szCs w:val="18"/>
                      <w:lang w:val="en-US" w:eastAsia="zh-CN"/>
                    </w:rPr>
                    <w:t>项目商业门面内夹层2F，面积约4m</w:t>
                  </w:r>
                  <w:r>
                    <w:rPr>
                      <w:rFonts w:hint="eastAsia"/>
                      <w:color w:val="auto"/>
                      <w:sz w:val="18"/>
                      <w:szCs w:val="18"/>
                      <w:vertAlign w:val="superscript"/>
                      <w:lang w:val="en-US" w:eastAsia="zh-CN"/>
                    </w:rPr>
                    <w:t>2</w:t>
                  </w:r>
                  <w:r>
                    <w:rPr>
                      <w:rFonts w:hint="eastAsia"/>
                      <w:color w:val="auto"/>
                      <w:sz w:val="18"/>
                      <w:szCs w:val="18"/>
                      <w:lang w:val="en-US" w:eastAsia="zh-CN"/>
                    </w:rPr>
                    <w:t>，用于员工更衣、临时休息。</w:t>
                  </w:r>
                </w:p>
              </w:tc>
              <w:tc>
                <w:tcPr>
                  <w:tcW w:w="807" w:type="dxa"/>
                  <w:noWrap w:val="0"/>
                  <w:tcMar>
                    <w:left w:w="28" w:type="dxa"/>
                    <w:right w:w="28" w:type="dxa"/>
                  </w:tcMar>
                  <w:vAlign w:val="center"/>
                </w:tcPr>
                <w:p w14:paraId="33CE11AB">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eastAsia" w:ascii="Times New Roman" w:hAnsi="Times New Roman" w:cs="Times New Roman" w:eastAsiaTheme="majorEastAsia"/>
                      <w:color w:val="auto"/>
                      <w:sz w:val="18"/>
                      <w:szCs w:val="18"/>
                      <w:lang w:val="en-US" w:eastAsia="zh-CN"/>
                    </w:rPr>
                    <w:t>已建</w:t>
                  </w:r>
                </w:p>
              </w:tc>
            </w:tr>
            <w:tr w14:paraId="3EC06C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continue"/>
                  <w:noWrap w:val="0"/>
                  <w:tcMar>
                    <w:left w:w="28" w:type="dxa"/>
                    <w:right w:w="28" w:type="dxa"/>
                  </w:tcMar>
                  <w:vAlign w:val="center"/>
                </w:tcPr>
                <w:p w14:paraId="1AEC7D6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2CCD32F3">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卫生间</w:t>
                  </w:r>
                </w:p>
              </w:tc>
              <w:tc>
                <w:tcPr>
                  <w:tcW w:w="5670" w:type="dxa"/>
                  <w:tcBorders>
                    <w:right w:val="single" w:color="auto" w:sz="4" w:space="0"/>
                  </w:tcBorders>
                  <w:noWrap w:val="0"/>
                  <w:tcMar>
                    <w:left w:w="28" w:type="dxa"/>
                    <w:right w:w="28" w:type="dxa"/>
                  </w:tcMar>
                  <w:vAlign w:val="center"/>
                </w:tcPr>
                <w:p w14:paraId="3AEA78AF">
                  <w:pPr>
                    <w:keepNext w:val="0"/>
                    <w:keepLines w:val="0"/>
                    <w:suppressLineNumbers w:val="0"/>
                    <w:adjustRightInd w:val="0"/>
                    <w:snapToGrid w:val="0"/>
                    <w:spacing w:before="0" w:beforeAutospacing="0" w:after="0" w:afterAutospacing="0" w:line="28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kern w:val="2"/>
                      <w:sz w:val="18"/>
                      <w:szCs w:val="18"/>
                      <w:lang w:val="en-US" w:eastAsia="zh-CN" w:bidi="ar-SA"/>
                    </w:rPr>
                    <w:t>分别位于</w:t>
                  </w:r>
                  <w:r>
                    <w:rPr>
                      <w:rFonts w:hint="eastAsia" w:ascii="Times New Roman" w:hAnsi="Times New Roman" w:cs="Times New Roman" w:eastAsiaTheme="majorEastAsia"/>
                      <w:color w:val="auto"/>
                      <w:kern w:val="2"/>
                      <w:sz w:val="18"/>
                      <w:szCs w:val="18"/>
                      <w:lang w:val="en-US" w:eastAsia="zh-CN" w:bidi="ar-SA"/>
                    </w:rPr>
                    <w:t>手术室旁</w:t>
                  </w:r>
                  <w:r>
                    <w:rPr>
                      <w:rFonts w:hint="default" w:ascii="Times New Roman" w:hAnsi="Times New Roman" w:cs="Times New Roman" w:eastAsiaTheme="majorEastAsia"/>
                      <w:color w:val="auto"/>
                      <w:kern w:val="2"/>
                      <w:sz w:val="18"/>
                      <w:szCs w:val="18"/>
                      <w:lang w:val="en-US" w:eastAsia="zh-CN" w:bidi="ar-SA"/>
                    </w:rPr>
                    <w:t>，</w:t>
                  </w:r>
                  <w:r>
                    <w:rPr>
                      <w:rFonts w:hint="eastAsia" w:ascii="Times New Roman" w:hAnsi="Times New Roman" w:cs="Times New Roman" w:eastAsiaTheme="majorEastAsia"/>
                      <w:color w:val="auto"/>
                      <w:kern w:val="2"/>
                      <w:sz w:val="18"/>
                      <w:szCs w:val="18"/>
                      <w:lang w:val="en-US" w:eastAsia="zh-CN" w:bidi="ar-SA"/>
                    </w:rPr>
                    <w:t>建筑</w:t>
                  </w:r>
                  <w:r>
                    <w:rPr>
                      <w:rFonts w:hint="default" w:ascii="Times New Roman" w:hAnsi="Times New Roman" w:cs="Times New Roman" w:eastAsiaTheme="majorEastAsia"/>
                      <w:color w:val="auto"/>
                      <w:kern w:val="2"/>
                      <w:sz w:val="18"/>
                      <w:szCs w:val="18"/>
                      <w:lang w:val="en-US" w:eastAsia="zh-CN" w:bidi="ar-SA"/>
                    </w:rPr>
                    <w:t>面积约</w:t>
                  </w:r>
                  <w:r>
                    <w:rPr>
                      <w:rFonts w:hint="eastAsia" w:ascii="Times New Roman" w:hAnsi="Times New Roman" w:cs="Times New Roman" w:eastAsiaTheme="majorEastAsia"/>
                      <w:color w:val="auto"/>
                      <w:kern w:val="2"/>
                      <w:sz w:val="18"/>
                      <w:szCs w:val="18"/>
                      <w:lang w:val="en-US" w:eastAsia="zh-CN" w:bidi="ar-SA"/>
                    </w:rPr>
                    <w:t>3</w:t>
                  </w:r>
                  <w:r>
                    <w:rPr>
                      <w:rFonts w:hint="default" w:ascii="Times New Roman" w:hAnsi="Times New Roman" w:cs="Times New Roman" w:eastAsiaTheme="majorEastAsia"/>
                      <w:color w:val="auto"/>
                      <w:kern w:val="2"/>
                      <w:sz w:val="18"/>
                      <w:szCs w:val="18"/>
                      <w:lang w:val="en-US" w:eastAsia="zh-CN" w:bidi="ar-SA"/>
                    </w:rPr>
                    <w:t>m</w:t>
                  </w:r>
                  <w:r>
                    <w:rPr>
                      <w:rFonts w:hint="default" w:ascii="Times New Roman" w:hAnsi="Times New Roman" w:cs="Times New Roman" w:eastAsiaTheme="majorEastAsia"/>
                      <w:color w:val="auto"/>
                      <w:kern w:val="2"/>
                      <w:sz w:val="18"/>
                      <w:szCs w:val="18"/>
                      <w:vertAlign w:val="superscript"/>
                      <w:lang w:val="en-US" w:eastAsia="zh-CN" w:bidi="ar-SA"/>
                    </w:rPr>
                    <w:t>2</w:t>
                  </w:r>
                  <w:r>
                    <w:rPr>
                      <w:rFonts w:hint="eastAsia" w:ascii="Times New Roman" w:hAnsi="Times New Roman" w:cs="Times New Roman" w:eastAsiaTheme="majorEastAsia"/>
                      <w:color w:val="auto"/>
                      <w:kern w:val="2"/>
                      <w:sz w:val="18"/>
                      <w:szCs w:val="18"/>
                      <w:vertAlign w:val="baseline"/>
                      <w:lang w:val="en-US" w:eastAsia="zh-CN" w:bidi="ar-SA"/>
                    </w:rPr>
                    <w:t>。</w:t>
                  </w:r>
                </w:p>
              </w:tc>
              <w:tc>
                <w:tcPr>
                  <w:tcW w:w="807" w:type="dxa"/>
                  <w:noWrap w:val="0"/>
                  <w:tcMar>
                    <w:left w:w="28" w:type="dxa"/>
                    <w:right w:w="28" w:type="dxa"/>
                  </w:tcMar>
                  <w:vAlign w:val="center"/>
                </w:tcPr>
                <w:p w14:paraId="1782835D">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eastAsia" w:ascii="Times New Roman" w:hAnsi="Times New Roman" w:cs="Times New Roman" w:eastAsiaTheme="majorEastAsia"/>
                      <w:color w:val="auto"/>
                      <w:sz w:val="18"/>
                      <w:szCs w:val="18"/>
                      <w:lang w:val="en-US" w:eastAsia="zh-CN"/>
                    </w:rPr>
                    <w:t>已建</w:t>
                  </w:r>
                </w:p>
              </w:tc>
            </w:tr>
            <w:tr w14:paraId="10A6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continue"/>
                  <w:noWrap w:val="0"/>
                  <w:tcMar>
                    <w:left w:w="28" w:type="dxa"/>
                    <w:right w:w="28" w:type="dxa"/>
                  </w:tcMar>
                  <w:vAlign w:val="center"/>
                </w:tcPr>
                <w:p w14:paraId="655EAA1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49533B91">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接待区</w:t>
                  </w:r>
                </w:p>
              </w:tc>
              <w:tc>
                <w:tcPr>
                  <w:tcW w:w="5670" w:type="dxa"/>
                  <w:tcBorders>
                    <w:right w:val="single" w:color="auto" w:sz="4" w:space="0"/>
                  </w:tcBorders>
                  <w:noWrap w:val="0"/>
                  <w:tcMar>
                    <w:left w:w="28" w:type="dxa"/>
                    <w:right w:w="28" w:type="dxa"/>
                  </w:tcMar>
                  <w:vAlign w:val="center"/>
                </w:tcPr>
                <w:p w14:paraId="0CFD8A19">
                  <w:pPr>
                    <w:keepNext w:val="0"/>
                    <w:keepLines w:val="0"/>
                    <w:suppressLineNumbers w:val="0"/>
                    <w:adjustRightInd w:val="0"/>
                    <w:snapToGrid w:val="0"/>
                    <w:spacing w:before="0" w:beforeAutospacing="0" w:after="0" w:afterAutospacing="0" w:line="28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位于项目入口处，用于接待客户以及宠物食品和用品的销售，建筑面积约11m</w:t>
                  </w:r>
                  <w:r>
                    <w:rPr>
                      <w:rFonts w:hint="eastAsia" w:ascii="Times New Roman" w:hAnsi="Times New Roman" w:cs="Times New Roman" w:eastAsiaTheme="majorEastAsia"/>
                      <w:color w:val="auto"/>
                      <w:kern w:val="2"/>
                      <w:sz w:val="18"/>
                      <w:szCs w:val="18"/>
                      <w:vertAlign w:val="superscript"/>
                      <w:lang w:val="en-US" w:eastAsia="zh-CN" w:bidi="ar-SA"/>
                    </w:rPr>
                    <w:t>2</w:t>
                  </w:r>
                  <w:r>
                    <w:rPr>
                      <w:rFonts w:hint="eastAsia" w:ascii="Times New Roman" w:hAnsi="Times New Roman" w:cs="Times New Roman" w:eastAsiaTheme="majorEastAsia"/>
                      <w:color w:val="auto"/>
                      <w:kern w:val="2"/>
                      <w:sz w:val="18"/>
                      <w:szCs w:val="18"/>
                      <w:vertAlign w:val="baseline"/>
                      <w:lang w:val="en-US" w:eastAsia="zh-CN" w:bidi="ar-SA"/>
                    </w:rPr>
                    <w:t>。</w:t>
                  </w:r>
                </w:p>
              </w:tc>
              <w:tc>
                <w:tcPr>
                  <w:tcW w:w="807" w:type="dxa"/>
                  <w:noWrap w:val="0"/>
                  <w:tcMar>
                    <w:left w:w="28" w:type="dxa"/>
                    <w:right w:w="28" w:type="dxa"/>
                  </w:tcMar>
                  <w:vAlign w:val="center"/>
                </w:tcPr>
                <w:p w14:paraId="0F131C5D">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已建</w:t>
                  </w:r>
                </w:p>
              </w:tc>
            </w:tr>
            <w:tr w14:paraId="47BAA6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restart"/>
                  <w:noWrap w:val="0"/>
                  <w:tcMar>
                    <w:left w:w="28" w:type="dxa"/>
                    <w:right w:w="28" w:type="dxa"/>
                  </w:tcMar>
                  <w:vAlign w:val="center"/>
                </w:tcPr>
                <w:p w14:paraId="477C22F3">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公用工程</w:t>
                  </w:r>
                </w:p>
              </w:tc>
              <w:tc>
                <w:tcPr>
                  <w:tcW w:w="1015" w:type="dxa"/>
                  <w:noWrap w:val="0"/>
                  <w:tcMar>
                    <w:left w:w="28" w:type="dxa"/>
                    <w:right w:w="28" w:type="dxa"/>
                  </w:tcMar>
                  <w:vAlign w:val="center"/>
                </w:tcPr>
                <w:p w14:paraId="572272E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供水</w:t>
                  </w:r>
                </w:p>
              </w:tc>
              <w:tc>
                <w:tcPr>
                  <w:tcW w:w="5670" w:type="dxa"/>
                  <w:tcBorders>
                    <w:right w:val="single" w:color="auto" w:sz="4" w:space="0"/>
                  </w:tcBorders>
                  <w:noWrap w:val="0"/>
                  <w:tcMar>
                    <w:left w:w="28" w:type="dxa"/>
                    <w:right w:w="28" w:type="dxa"/>
                  </w:tcMar>
                  <w:vAlign w:val="center"/>
                </w:tcPr>
                <w:p w14:paraId="3E78D0F8">
                  <w:pPr>
                    <w:keepNext w:val="0"/>
                    <w:keepLines w:val="0"/>
                    <w:suppressLineNumbers w:val="0"/>
                    <w:adjustRightInd w:val="0"/>
                    <w:snapToGrid w:val="0"/>
                    <w:spacing w:before="0" w:beforeAutospacing="0" w:after="0" w:afterAutospacing="0" w:line="24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kern w:val="2"/>
                      <w:sz w:val="18"/>
                      <w:szCs w:val="18"/>
                      <w:lang w:val="en-US" w:eastAsia="zh-CN" w:bidi="ar-SA"/>
                    </w:rPr>
                    <w:t>由</w:t>
                  </w:r>
                  <w:r>
                    <w:rPr>
                      <w:rFonts w:hint="eastAsia" w:ascii="Times New Roman" w:hAnsi="Times New Roman" w:cs="Times New Roman" w:eastAsiaTheme="majorEastAsia"/>
                      <w:color w:val="auto"/>
                      <w:kern w:val="2"/>
                      <w:sz w:val="18"/>
                      <w:szCs w:val="18"/>
                      <w:lang w:val="en-US" w:eastAsia="zh-CN" w:bidi="ar-SA"/>
                    </w:rPr>
                    <w:t>市政</w:t>
                  </w:r>
                  <w:r>
                    <w:rPr>
                      <w:rFonts w:hint="default" w:ascii="Times New Roman" w:hAnsi="Times New Roman" w:cs="Times New Roman" w:eastAsiaTheme="majorEastAsia"/>
                      <w:color w:val="auto"/>
                      <w:kern w:val="2"/>
                      <w:sz w:val="18"/>
                      <w:szCs w:val="18"/>
                      <w:lang w:val="en-US" w:eastAsia="zh-CN" w:bidi="ar-SA"/>
                    </w:rPr>
                    <w:t>给水管网供给。</w:t>
                  </w:r>
                </w:p>
              </w:tc>
              <w:tc>
                <w:tcPr>
                  <w:tcW w:w="807" w:type="dxa"/>
                  <w:noWrap w:val="0"/>
                  <w:tcMar>
                    <w:left w:w="28" w:type="dxa"/>
                    <w:right w:w="28" w:type="dxa"/>
                  </w:tcMar>
                  <w:vAlign w:val="center"/>
                </w:tcPr>
                <w:p w14:paraId="4B4C7C4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default" w:ascii="Times New Roman" w:hAnsi="Times New Roman" w:cs="Times New Roman" w:eastAsiaTheme="majorEastAsia"/>
                      <w:color w:val="auto"/>
                      <w:sz w:val="18"/>
                      <w:szCs w:val="18"/>
                      <w:lang w:eastAsia="zh-CN"/>
                    </w:rPr>
                    <w:t>依托</w:t>
                  </w:r>
                </w:p>
              </w:tc>
            </w:tr>
            <w:tr w14:paraId="75D759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continue"/>
                  <w:noWrap w:val="0"/>
                  <w:tcMar>
                    <w:left w:w="28" w:type="dxa"/>
                    <w:right w:w="28" w:type="dxa"/>
                  </w:tcMar>
                  <w:vAlign w:val="center"/>
                </w:tcPr>
                <w:p w14:paraId="064F9BC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64956F10">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供电</w:t>
                  </w:r>
                </w:p>
              </w:tc>
              <w:tc>
                <w:tcPr>
                  <w:tcW w:w="5670" w:type="dxa"/>
                  <w:tcBorders>
                    <w:right w:val="single" w:color="auto" w:sz="4" w:space="0"/>
                  </w:tcBorders>
                  <w:noWrap w:val="0"/>
                  <w:tcMar>
                    <w:left w:w="28" w:type="dxa"/>
                    <w:right w:w="28" w:type="dxa"/>
                  </w:tcMar>
                  <w:vAlign w:val="center"/>
                </w:tcPr>
                <w:p w14:paraId="0B860294">
                  <w:pPr>
                    <w:keepNext w:val="0"/>
                    <w:keepLines w:val="0"/>
                    <w:suppressLineNumbers w:val="0"/>
                    <w:adjustRightInd w:val="0"/>
                    <w:snapToGrid w:val="0"/>
                    <w:spacing w:before="0" w:beforeAutospacing="0" w:after="0" w:afterAutospacing="0" w:line="24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kern w:val="2"/>
                      <w:sz w:val="18"/>
                      <w:szCs w:val="18"/>
                      <w:lang w:val="en-US" w:eastAsia="zh-CN" w:bidi="ar-SA"/>
                    </w:rPr>
                    <w:t>由</w:t>
                  </w:r>
                  <w:r>
                    <w:rPr>
                      <w:rFonts w:hint="eastAsia" w:ascii="Times New Roman" w:hAnsi="Times New Roman" w:cs="Times New Roman" w:eastAsiaTheme="majorEastAsia"/>
                      <w:color w:val="auto"/>
                      <w:kern w:val="2"/>
                      <w:sz w:val="18"/>
                      <w:szCs w:val="18"/>
                      <w:lang w:val="en-US" w:eastAsia="zh-CN" w:bidi="ar-SA"/>
                    </w:rPr>
                    <w:t>供电公司</w:t>
                  </w:r>
                  <w:r>
                    <w:rPr>
                      <w:rFonts w:hint="default" w:ascii="Times New Roman" w:hAnsi="Times New Roman" w:cs="Times New Roman" w:eastAsiaTheme="majorEastAsia"/>
                      <w:color w:val="auto"/>
                      <w:kern w:val="2"/>
                      <w:sz w:val="18"/>
                      <w:szCs w:val="18"/>
                      <w:lang w:val="en-US" w:eastAsia="zh-CN" w:bidi="ar-SA"/>
                    </w:rPr>
                    <w:t>供电管网供给，用电量</w:t>
                  </w:r>
                  <w:r>
                    <w:rPr>
                      <w:rFonts w:hint="eastAsia" w:ascii="Times New Roman" w:hAnsi="Times New Roman" w:cs="Times New Roman" w:eastAsiaTheme="majorEastAsia"/>
                      <w:color w:val="auto"/>
                      <w:kern w:val="2"/>
                      <w:sz w:val="18"/>
                      <w:szCs w:val="18"/>
                      <w:lang w:val="en-US" w:eastAsia="zh-CN" w:bidi="ar-SA"/>
                    </w:rPr>
                    <w:t>2</w:t>
                  </w:r>
                  <w:r>
                    <w:rPr>
                      <w:rFonts w:hint="default" w:ascii="Times New Roman" w:hAnsi="Times New Roman" w:cs="Times New Roman" w:eastAsiaTheme="majorEastAsia"/>
                      <w:color w:val="auto"/>
                      <w:kern w:val="2"/>
                      <w:sz w:val="18"/>
                      <w:szCs w:val="18"/>
                      <w:lang w:val="en-US" w:eastAsia="zh-CN" w:bidi="ar-SA"/>
                    </w:rPr>
                    <w:t>万度/a。</w:t>
                  </w:r>
                </w:p>
              </w:tc>
              <w:tc>
                <w:tcPr>
                  <w:tcW w:w="807" w:type="dxa"/>
                  <w:noWrap w:val="0"/>
                  <w:tcMar>
                    <w:left w:w="28" w:type="dxa"/>
                    <w:right w:w="28" w:type="dxa"/>
                  </w:tcMar>
                  <w:vAlign w:val="center"/>
                </w:tcPr>
                <w:p w14:paraId="154CE21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default" w:ascii="Times New Roman" w:hAnsi="Times New Roman" w:cs="Times New Roman" w:eastAsiaTheme="majorEastAsia"/>
                      <w:color w:val="auto"/>
                      <w:sz w:val="18"/>
                      <w:szCs w:val="18"/>
                      <w:lang w:eastAsia="zh-CN"/>
                    </w:rPr>
                    <w:t>依托</w:t>
                  </w:r>
                </w:p>
              </w:tc>
            </w:tr>
            <w:tr w14:paraId="0F399D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continue"/>
                  <w:noWrap w:val="0"/>
                  <w:tcMar>
                    <w:left w:w="28" w:type="dxa"/>
                    <w:right w:w="28" w:type="dxa"/>
                  </w:tcMar>
                  <w:vAlign w:val="center"/>
                </w:tcPr>
                <w:p w14:paraId="498A024B">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05880CBA">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default" w:ascii="Times New Roman" w:hAnsi="Times New Roman" w:cs="Times New Roman" w:eastAsiaTheme="majorEastAsia"/>
                      <w:color w:val="auto"/>
                      <w:sz w:val="18"/>
                      <w:szCs w:val="18"/>
                      <w:lang w:eastAsia="zh-CN"/>
                    </w:rPr>
                    <w:t>供气</w:t>
                  </w:r>
                </w:p>
              </w:tc>
              <w:tc>
                <w:tcPr>
                  <w:tcW w:w="5670" w:type="dxa"/>
                  <w:tcBorders>
                    <w:right w:val="single" w:color="auto" w:sz="4" w:space="0"/>
                  </w:tcBorders>
                  <w:noWrap w:val="0"/>
                  <w:tcMar>
                    <w:left w:w="28" w:type="dxa"/>
                    <w:right w:w="28" w:type="dxa"/>
                  </w:tcMar>
                  <w:vAlign w:val="center"/>
                </w:tcPr>
                <w:p w14:paraId="2FA3A1B0">
                  <w:pPr>
                    <w:keepNext w:val="0"/>
                    <w:keepLines w:val="0"/>
                    <w:suppressLineNumbers w:val="0"/>
                    <w:adjustRightInd w:val="0"/>
                    <w:snapToGrid w:val="0"/>
                    <w:spacing w:before="0" w:beforeAutospacing="0" w:after="0" w:afterAutospacing="0" w:line="24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天然气：</w:t>
                  </w:r>
                  <w:r>
                    <w:rPr>
                      <w:rFonts w:hint="default" w:ascii="Times New Roman" w:hAnsi="Times New Roman" w:cs="Times New Roman" w:eastAsiaTheme="majorEastAsia"/>
                      <w:color w:val="auto"/>
                      <w:kern w:val="2"/>
                      <w:sz w:val="18"/>
                      <w:szCs w:val="18"/>
                      <w:lang w:val="en-US" w:eastAsia="zh-CN" w:bidi="ar-SA"/>
                    </w:rPr>
                    <w:t>项目不使用天然气。</w:t>
                  </w:r>
                </w:p>
                <w:p w14:paraId="6F72CE63">
                  <w:pPr>
                    <w:keepNext w:val="0"/>
                    <w:keepLines w:val="0"/>
                    <w:suppressLineNumbers w:val="0"/>
                    <w:adjustRightInd w:val="0"/>
                    <w:snapToGrid w:val="0"/>
                    <w:spacing w:before="0" w:beforeAutospacing="0" w:after="0" w:afterAutospacing="0" w:line="24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氧气：手术室内设置氧气暂存区，最大储存量为2瓶，规格为40L/瓶</w:t>
                  </w:r>
                </w:p>
              </w:tc>
              <w:tc>
                <w:tcPr>
                  <w:tcW w:w="807" w:type="dxa"/>
                  <w:noWrap w:val="0"/>
                  <w:tcMar>
                    <w:left w:w="28" w:type="dxa"/>
                    <w:right w:w="28" w:type="dxa"/>
                  </w:tcMar>
                  <w:vAlign w:val="center"/>
                </w:tcPr>
                <w:p w14:paraId="28D1F79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eastAsia="zh-CN"/>
                    </w:rPr>
                    <w:t>依托</w:t>
                  </w:r>
                </w:p>
              </w:tc>
            </w:tr>
            <w:tr w14:paraId="54760F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68" w:hRule="atLeast"/>
                <w:jc w:val="center"/>
              </w:trPr>
              <w:tc>
                <w:tcPr>
                  <w:tcW w:w="516" w:type="dxa"/>
                  <w:vMerge w:val="continue"/>
                  <w:noWrap w:val="0"/>
                  <w:tcMar>
                    <w:left w:w="28" w:type="dxa"/>
                    <w:right w:w="28" w:type="dxa"/>
                  </w:tcMar>
                  <w:vAlign w:val="center"/>
                </w:tcPr>
                <w:p w14:paraId="734FC42F">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0E86B71A">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排水</w:t>
                  </w:r>
                </w:p>
              </w:tc>
              <w:tc>
                <w:tcPr>
                  <w:tcW w:w="5670" w:type="dxa"/>
                  <w:tcBorders>
                    <w:right w:val="single" w:color="auto" w:sz="4" w:space="0"/>
                  </w:tcBorders>
                  <w:noWrap w:val="0"/>
                  <w:tcMar>
                    <w:left w:w="28" w:type="dxa"/>
                    <w:right w:w="28" w:type="dxa"/>
                  </w:tcMar>
                  <w:vAlign w:val="center"/>
                </w:tcPr>
                <w:p w14:paraId="288520CE">
                  <w:pPr>
                    <w:keepNext w:val="0"/>
                    <w:keepLines w:val="0"/>
                    <w:suppressLineNumbers w:val="0"/>
                    <w:adjustRightInd w:val="0"/>
                    <w:snapToGrid w:val="0"/>
                    <w:spacing w:before="0" w:beforeAutospacing="0" w:after="0" w:afterAutospacing="0" w:line="24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项目医疗废水消毒预处理，美容室洗浴废水经格栅预处理，预处理后的医疗废水、洗浴废水和其他生活污水均依托</w:t>
                  </w:r>
                  <w:r>
                    <w:rPr>
                      <w:rFonts w:hint="default" w:ascii="Times New Roman" w:hAnsi="Times New Roman" w:cs="Times New Roman" w:eastAsiaTheme="majorEastAsia"/>
                      <w:color w:val="auto"/>
                      <w:kern w:val="2"/>
                      <w:sz w:val="18"/>
                      <w:szCs w:val="18"/>
                      <w:lang w:val="en-US" w:eastAsia="zh-CN" w:bidi="ar-SA"/>
                    </w:rPr>
                    <w:t>厂区生化池处理达《污水综合排放标准》（GB8978-1996）三级标准后排入</w:t>
                  </w:r>
                  <w:r>
                    <w:rPr>
                      <w:rFonts w:hint="eastAsia" w:ascii="Times New Roman" w:hAnsi="Times New Roman" w:cs="Times New Roman" w:eastAsiaTheme="majorEastAsia"/>
                      <w:color w:val="auto"/>
                      <w:kern w:val="2"/>
                      <w:sz w:val="18"/>
                      <w:szCs w:val="18"/>
                      <w:lang w:val="en-US" w:eastAsia="zh-CN" w:bidi="ar-SA"/>
                    </w:rPr>
                    <w:t>鸡冠石污水处理厂处理达《城镇污水处理厂污染物排放标准》（GB18918-2002）一级A标准后排入长江。</w:t>
                  </w:r>
                </w:p>
              </w:tc>
              <w:tc>
                <w:tcPr>
                  <w:tcW w:w="807" w:type="dxa"/>
                  <w:noWrap w:val="0"/>
                  <w:tcMar>
                    <w:left w:w="28" w:type="dxa"/>
                    <w:right w:w="28" w:type="dxa"/>
                  </w:tcMar>
                  <w:vAlign w:val="center"/>
                </w:tcPr>
                <w:p w14:paraId="51A6562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default" w:ascii="Times New Roman" w:hAnsi="Times New Roman" w:cs="Times New Roman" w:eastAsiaTheme="majorEastAsia"/>
                      <w:color w:val="auto"/>
                      <w:sz w:val="18"/>
                      <w:szCs w:val="18"/>
                      <w:lang w:eastAsia="zh-CN"/>
                    </w:rPr>
                    <w:t>依托</w:t>
                  </w:r>
                </w:p>
              </w:tc>
            </w:tr>
            <w:tr w14:paraId="641585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68" w:hRule="atLeast"/>
                <w:jc w:val="center"/>
              </w:trPr>
              <w:tc>
                <w:tcPr>
                  <w:tcW w:w="516" w:type="dxa"/>
                  <w:vMerge w:val="continue"/>
                  <w:noWrap w:val="0"/>
                  <w:tcMar>
                    <w:left w:w="28" w:type="dxa"/>
                    <w:right w:w="28" w:type="dxa"/>
                  </w:tcMar>
                  <w:vAlign w:val="center"/>
                </w:tcPr>
                <w:p w14:paraId="5B07BAAA">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shd w:val="clear" w:color="auto" w:fill="auto"/>
                  <w:noWrap w:val="0"/>
                  <w:tcMar>
                    <w:left w:w="28" w:type="dxa"/>
                    <w:right w:w="28" w:type="dxa"/>
                  </w:tcMar>
                  <w:vAlign w:val="center"/>
                </w:tcPr>
                <w:p w14:paraId="09B10E10">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sz w:val="18"/>
                      <w:szCs w:val="18"/>
                      <w:lang w:val="en-US" w:eastAsia="zh-CN"/>
                    </w:rPr>
                    <w:t>通风</w:t>
                  </w:r>
                </w:p>
              </w:tc>
              <w:tc>
                <w:tcPr>
                  <w:tcW w:w="5670" w:type="dxa"/>
                  <w:tcBorders>
                    <w:right w:val="single" w:color="auto" w:sz="4" w:space="0"/>
                  </w:tcBorders>
                  <w:shd w:val="clear" w:color="auto" w:fill="auto"/>
                  <w:noWrap w:val="0"/>
                  <w:tcMar>
                    <w:left w:w="28" w:type="dxa"/>
                    <w:right w:w="28" w:type="dxa"/>
                  </w:tcMar>
                  <w:vAlign w:val="center"/>
                </w:tcPr>
                <w:p w14:paraId="72AD17BF">
                  <w:pPr>
                    <w:keepNext w:val="0"/>
                    <w:keepLines w:val="0"/>
                    <w:suppressLineNumbers w:val="0"/>
                    <w:adjustRightInd w:val="0"/>
                    <w:snapToGrid w:val="0"/>
                    <w:spacing w:before="0" w:beforeAutospacing="0" w:after="0" w:afterAutospacing="0" w:line="240" w:lineRule="exact"/>
                    <w:ind w:left="0" w:leftChars="0" w:right="0" w:rightChars="0"/>
                    <w:jc w:val="left"/>
                    <w:rPr>
                      <w:rFonts w:hint="eastAsia"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项目不设中央空调，室内设分体式空调系统。</w:t>
                  </w:r>
                </w:p>
                <w:p w14:paraId="31333041">
                  <w:pPr>
                    <w:keepNext w:val="0"/>
                    <w:keepLines w:val="0"/>
                    <w:suppressLineNumbers w:val="0"/>
                    <w:adjustRightInd w:val="0"/>
                    <w:snapToGrid w:val="0"/>
                    <w:spacing w:before="0" w:beforeAutospacing="0" w:after="0" w:afterAutospacing="0" w:line="240" w:lineRule="exact"/>
                    <w:ind w:left="0" w:leftChars="0" w:right="0" w:rightChars="0"/>
                    <w:jc w:val="left"/>
                    <w:rPr>
                      <w:rFonts w:hint="eastAsia"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采用自然通风和单体式空调结合的形式进行通风，空调外机位于项目入口上方预留的空调机位处</w:t>
                  </w:r>
                </w:p>
              </w:tc>
              <w:tc>
                <w:tcPr>
                  <w:tcW w:w="807" w:type="dxa"/>
                  <w:noWrap w:val="0"/>
                  <w:tcMar>
                    <w:left w:w="28" w:type="dxa"/>
                    <w:right w:w="28" w:type="dxa"/>
                  </w:tcMar>
                  <w:vAlign w:val="center"/>
                </w:tcPr>
                <w:p w14:paraId="7B65DF1F">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eastAsia="zh-CN"/>
                    </w:rPr>
                  </w:pPr>
                  <w:r>
                    <w:rPr>
                      <w:rFonts w:hint="default" w:ascii="Times New Roman" w:hAnsi="Times New Roman" w:cs="Times New Roman" w:eastAsiaTheme="majorEastAsia"/>
                      <w:color w:val="auto"/>
                      <w:sz w:val="18"/>
                      <w:szCs w:val="18"/>
                      <w:lang w:val="en-US" w:eastAsia="zh-CN"/>
                    </w:rPr>
                    <w:t>依托</w:t>
                  </w:r>
                </w:p>
              </w:tc>
            </w:tr>
            <w:tr w14:paraId="7132A8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16" w:type="dxa"/>
                  <w:vMerge w:val="continue"/>
                  <w:noWrap w:val="0"/>
                  <w:tcMar>
                    <w:left w:w="28" w:type="dxa"/>
                    <w:right w:w="28" w:type="dxa"/>
                  </w:tcMar>
                  <w:vAlign w:val="center"/>
                </w:tcPr>
                <w:p w14:paraId="3F44C6CF">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5BF666CF">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消毒</w:t>
                  </w:r>
                </w:p>
              </w:tc>
              <w:tc>
                <w:tcPr>
                  <w:tcW w:w="5670" w:type="dxa"/>
                  <w:tcBorders>
                    <w:right w:val="single" w:color="auto" w:sz="4" w:space="0"/>
                  </w:tcBorders>
                  <w:noWrap w:val="0"/>
                  <w:tcMar>
                    <w:left w:w="28" w:type="dxa"/>
                    <w:right w:w="28" w:type="dxa"/>
                  </w:tcMar>
                  <w:vAlign w:val="center"/>
                </w:tcPr>
                <w:p w14:paraId="6933FB80">
                  <w:pPr>
                    <w:keepNext w:val="0"/>
                    <w:keepLines w:val="0"/>
                    <w:suppressLineNumbers w:val="0"/>
                    <w:adjustRightInd w:val="0"/>
                    <w:snapToGrid w:val="0"/>
                    <w:spacing w:before="0" w:beforeAutospacing="0" w:after="0" w:afterAutospacing="0" w:line="240" w:lineRule="exact"/>
                    <w:ind w:left="0" w:leftChars="0" w:right="0" w:rightChars="0"/>
                    <w:jc w:val="left"/>
                    <w:rPr>
                      <w:rFonts w:hint="eastAsia"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kern w:val="2"/>
                      <w:sz w:val="18"/>
                      <w:szCs w:val="18"/>
                      <w:lang w:val="en-US" w:eastAsia="zh-CN" w:bidi="ar-SA"/>
                    </w:rPr>
                    <w:t>病房、手术室、诊室等采用喷洒消毒剂或紫外线灯管进行杀毒，医疗废水通过投加含氯消毒片消毒</w:t>
                  </w:r>
                </w:p>
              </w:tc>
              <w:tc>
                <w:tcPr>
                  <w:tcW w:w="807" w:type="dxa"/>
                  <w:noWrap w:val="0"/>
                  <w:tcMar>
                    <w:left w:w="28" w:type="dxa"/>
                    <w:right w:w="28" w:type="dxa"/>
                  </w:tcMar>
                  <w:vAlign w:val="center"/>
                </w:tcPr>
                <w:p w14:paraId="11E55BEF">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新增1台消毒设备</w:t>
                  </w:r>
                </w:p>
              </w:tc>
            </w:tr>
            <w:tr w14:paraId="4F68C9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noWrap w:val="0"/>
                  <w:tcMar>
                    <w:left w:w="28" w:type="dxa"/>
                    <w:right w:w="28" w:type="dxa"/>
                  </w:tcMar>
                  <w:vAlign w:val="center"/>
                </w:tcPr>
                <w:p w14:paraId="5EB8BDB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储运工程</w:t>
                  </w:r>
                </w:p>
              </w:tc>
              <w:tc>
                <w:tcPr>
                  <w:tcW w:w="1015" w:type="dxa"/>
                  <w:noWrap w:val="0"/>
                  <w:tcMar>
                    <w:left w:w="28" w:type="dxa"/>
                    <w:right w:w="28" w:type="dxa"/>
                  </w:tcMar>
                  <w:vAlign w:val="center"/>
                </w:tcPr>
                <w:p w14:paraId="60786960">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sz w:val="18"/>
                      <w:szCs w:val="18"/>
                      <w:lang w:val="en-US" w:eastAsia="zh-CN"/>
                    </w:rPr>
                    <w:t>药品储存</w:t>
                  </w:r>
                </w:p>
              </w:tc>
              <w:tc>
                <w:tcPr>
                  <w:tcW w:w="5670" w:type="dxa"/>
                  <w:tcBorders>
                    <w:right w:val="single" w:color="auto" w:sz="4" w:space="0"/>
                  </w:tcBorders>
                  <w:noWrap w:val="0"/>
                  <w:tcMar>
                    <w:left w:w="28" w:type="dxa"/>
                    <w:right w:w="28" w:type="dxa"/>
                  </w:tcMar>
                  <w:vAlign w:val="center"/>
                </w:tcPr>
                <w:p w14:paraId="7DD84643">
                  <w:pPr>
                    <w:keepNext w:val="0"/>
                    <w:keepLines w:val="0"/>
                    <w:suppressLineNumbers w:val="0"/>
                    <w:adjustRightInd w:val="0"/>
                    <w:snapToGrid w:val="0"/>
                    <w:spacing w:before="0" w:beforeAutospacing="0" w:after="0" w:afterAutospacing="0" w:line="280" w:lineRule="exact"/>
                    <w:ind w:left="0" w:leftChars="0" w:right="0" w:rightChars="0"/>
                    <w:jc w:val="left"/>
                    <w:rPr>
                      <w:rFonts w:hint="default" w:ascii="Times New Roman" w:hAnsi="Times New Roman" w:cs="Times New Roman" w:eastAsiaTheme="majorEastAsia"/>
                      <w:color w:val="auto"/>
                      <w:kern w:val="2"/>
                      <w:sz w:val="18"/>
                      <w:szCs w:val="18"/>
                      <w:lang w:val="en-US" w:eastAsia="zh-CN" w:bidi="ar-SA"/>
                    </w:rPr>
                  </w:pPr>
                  <w:r>
                    <w:rPr>
                      <w:rFonts w:hint="eastAsia"/>
                      <w:color w:val="auto"/>
                      <w:sz w:val="18"/>
                      <w:szCs w:val="18"/>
                      <w:lang w:val="en-US" w:eastAsia="zh-CN"/>
                    </w:rPr>
                    <w:t>项目2F设有1间药品房，</w:t>
                  </w:r>
                  <w:r>
                    <w:rPr>
                      <w:rFonts w:hint="eastAsia"/>
                      <w:color w:val="auto"/>
                      <w:sz w:val="18"/>
                      <w:szCs w:val="18"/>
                    </w:rPr>
                    <w:t>所用药品存放</w:t>
                  </w:r>
                  <w:r>
                    <w:rPr>
                      <w:rFonts w:hint="eastAsia"/>
                      <w:color w:val="auto"/>
                      <w:sz w:val="18"/>
                      <w:szCs w:val="18"/>
                      <w:lang w:val="en-US" w:eastAsia="zh-CN"/>
                    </w:rPr>
                    <w:t>在室内药品柜内。</w:t>
                  </w:r>
                </w:p>
              </w:tc>
              <w:tc>
                <w:tcPr>
                  <w:tcW w:w="807" w:type="dxa"/>
                  <w:noWrap w:val="0"/>
                  <w:tcMar>
                    <w:left w:w="28" w:type="dxa"/>
                    <w:right w:w="28" w:type="dxa"/>
                  </w:tcMar>
                  <w:vAlign w:val="center"/>
                </w:tcPr>
                <w:p w14:paraId="539F177F">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lang w:val="en-US" w:eastAsia="zh-CN"/>
                    </w:rPr>
                    <w:t>依托</w:t>
                  </w:r>
                </w:p>
              </w:tc>
            </w:tr>
            <w:tr w14:paraId="0D8AB6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516" w:type="dxa"/>
                  <w:vMerge w:val="restart"/>
                  <w:noWrap w:val="0"/>
                  <w:tcMar>
                    <w:left w:w="28" w:type="dxa"/>
                    <w:right w:w="28" w:type="dxa"/>
                  </w:tcMar>
                  <w:vAlign w:val="center"/>
                </w:tcPr>
                <w:p w14:paraId="79BD27B4">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环保工程</w:t>
                  </w:r>
                </w:p>
              </w:tc>
              <w:tc>
                <w:tcPr>
                  <w:tcW w:w="1015" w:type="dxa"/>
                  <w:noWrap w:val="0"/>
                  <w:tcMar>
                    <w:left w:w="28" w:type="dxa"/>
                    <w:right w:w="28" w:type="dxa"/>
                  </w:tcMar>
                  <w:vAlign w:val="center"/>
                </w:tcPr>
                <w:p w14:paraId="6921733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废气治理</w:t>
                  </w:r>
                </w:p>
                <w:p w14:paraId="7A45C8DA">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设施</w:t>
                  </w:r>
                </w:p>
              </w:tc>
              <w:tc>
                <w:tcPr>
                  <w:tcW w:w="5670" w:type="dxa"/>
                  <w:tcBorders>
                    <w:right w:val="single" w:color="auto" w:sz="4" w:space="0"/>
                  </w:tcBorders>
                  <w:noWrap w:val="0"/>
                  <w:tcMar>
                    <w:left w:w="28" w:type="dxa"/>
                    <w:right w:w="28" w:type="dxa"/>
                  </w:tcMar>
                  <w:vAlign w:val="center"/>
                </w:tcPr>
                <w:p w14:paraId="3C8F0CA5">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采用自然通风和空调系统结合的形式进行通风；住院区定期用紫外线灯设备</w:t>
                  </w:r>
                  <w:r>
                    <w:rPr>
                      <w:rFonts w:hint="eastAsia" w:ascii="Times New Roman" w:hAnsi="Times New Roman" w:cs="Times New Roman" w:eastAsiaTheme="majorEastAsia"/>
                      <w:color w:val="auto"/>
                      <w:sz w:val="18"/>
                      <w:szCs w:val="18"/>
                      <w:lang w:val="en-US" w:eastAsia="zh-CN"/>
                    </w:rPr>
                    <w:t>或84</w:t>
                  </w:r>
                  <w:r>
                    <w:rPr>
                      <w:rFonts w:hint="default" w:ascii="Times New Roman" w:hAnsi="Times New Roman" w:cs="Times New Roman" w:eastAsiaTheme="majorEastAsia"/>
                      <w:color w:val="auto"/>
                      <w:sz w:val="18"/>
                      <w:szCs w:val="18"/>
                      <w:lang w:val="en-US" w:eastAsia="zh-CN"/>
                    </w:rPr>
                    <w:t>消毒液消毒杀菌；每天使用84消毒液等对院区进行消毒</w:t>
                  </w:r>
                </w:p>
              </w:tc>
              <w:tc>
                <w:tcPr>
                  <w:tcW w:w="807" w:type="dxa"/>
                  <w:noWrap w:val="0"/>
                  <w:tcMar>
                    <w:left w:w="28" w:type="dxa"/>
                    <w:right w:w="28" w:type="dxa"/>
                  </w:tcMar>
                  <w:vAlign w:val="center"/>
                </w:tcPr>
                <w:p w14:paraId="2B74944B">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依托</w:t>
                  </w:r>
                </w:p>
              </w:tc>
            </w:tr>
            <w:tr w14:paraId="5FD479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16" w:type="dxa"/>
                  <w:vMerge w:val="continue"/>
                  <w:noWrap w:val="0"/>
                  <w:tcMar>
                    <w:left w:w="28" w:type="dxa"/>
                    <w:right w:w="28" w:type="dxa"/>
                  </w:tcMar>
                  <w:vAlign w:val="center"/>
                </w:tcPr>
                <w:p w14:paraId="730BA811">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572ACF3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eastAsia="zh-CN"/>
                    </w:rPr>
                    <w:t>废水</w:t>
                  </w:r>
                  <w:r>
                    <w:rPr>
                      <w:rFonts w:hint="default" w:ascii="Times New Roman" w:hAnsi="Times New Roman" w:cs="Times New Roman" w:eastAsiaTheme="majorEastAsia"/>
                      <w:color w:val="auto"/>
                      <w:sz w:val="18"/>
                      <w:szCs w:val="18"/>
                      <w:lang w:val="en-US" w:eastAsia="zh-CN"/>
                    </w:rPr>
                    <w:t>治理</w:t>
                  </w:r>
                </w:p>
                <w:p w14:paraId="1081A0B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设施</w:t>
                  </w:r>
                </w:p>
              </w:tc>
              <w:tc>
                <w:tcPr>
                  <w:tcW w:w="5670" w:type="dxa"/>
                  <w:tcBorders>
                    <w:right w:val="single" w:color="auto" w:sz="4" w:space="0"/>
                  </w:tcBorders>
                  <w:noWrap w:val="0"/>
                  <w:tcMar>
                    <w:left w:w="28" w:type="dxa"/>
                    <w:right w:w="28" w:type="dxa"/>
                  </w:tcMar>
                  <w:vAlign w:val="center"/>
                </w:tcPr>
                <w:p w14:paraId="1766667C">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新增1台消毒设备，处理规模为</w:t>
                  </w:r>
                  <w:r>
                    <w:rPr>
                      <w:rFonts w:hint="eastAsia" w:ascii="Times New Roman" w:hAnsi="Times New Roman" w:cs="Times New Roman" w:eastAsiaTheme="majorEastAsia"/>
                      <w:color w:val="auto"/>
                      <w:sz w:val="18"/>
                      <w:szCs w:val="18"/>
                      <w:lang w:val="en-US" w:eastAsia="zh-CN"/>
                    </w:rPr>
                    <w:t>0.5</w:t>
                  </w:r>
                  <w:r>
                    <w:rPr>
                      <w:rFonts w:hint="default" w:ascii="Times New Roman" w:hAnsi="Times New Roman" w:cs="Times New Roman" w:eastAsiaTheme="majorEastAsia"/>
                      <w:color w:val="auto"/>
                      <w:sz w:val="18"/>
                      <w:szCs w:val="18"/>
                      <w:lang w:val="en-US" w:eastAsia="zh-CN"/>
                    </w:rPr>
                    <w:t>m</w:t>
                  </w:r>
                  <w:r>
                    <w:rPr>
                      <w:rFonts w:hint="default" w:ascii="Times New Roman" w:hAnsi="Times New Roman" w:cs="Times New Roman" w:eastAsiaTheme="majorEastAsia"/>
                      <w:color w:val="auto"/>
                      <w:sz w:val="18"/>
                      <w:szCs w:val="18"/>
                      <w:vertAlign w:val="superscript"/>
                      <w:lang w:val="en-US" w:eastAsia="zh-CN"/>
                    </w:rPr>
                    <w:t>3</w:t>
                  </w:r>
                  <w:r>
                    <w:rPr>
                      <w:rFonts w:hint="default" w:ascii="Times New Roman" w:hAnsi="Times New Roman" w:cs="Times New Roman" w:eastAsiaTheme="majorEastAsia"/>
                      <w:color w:val="auto"/>
                      <w:sz w:val="18"/>
                      <w:szCs w:val="18"/>
                      <w:lang w:val="en-US" w:eastAsia="zh-CN"/>
                    </w:rPr>
                    <w:t>/d；</w:t>
                  </w:r>
                </w:p>
                <w:p w14:paraId="22E9A35E">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color w:val="auto"/>
                      <w:spacing w:val="0"/>
                      <w:kern w:val="2"/>
                      <w:sz w:val="18"/>
                      <w:szCs w:val="18"/>
                      <w:lang w:val="en-US" w:eastAsia="zh-CN" w:bidi="ar-SA"/>
                    </w:rPr>
                    <w:t>医疗废水</w:t>
                  </w:r>
                  <w:r>
                    <w:rPr>
                      <w:rFonts w:hint="default" w:ascii="Times New Roman" w:hAnsi="Times New Roman" w:eastAsia="宋体" w:cs="Times New Roman"/>
                      <w:color w:val="auto"/>
                      <w:spacing w:val="0"/>
                      <w:kern w:val="2"/>
                      <w:sz w:val="18"/>
                      <w:szCs w:val="18"/>
                      <w:lang w:val="en-US" w:eastAsia="zh-CN" w:bidi="ar-SA"/>
                    </w:rPr>
                    <w:t>经</w:t>
                  </w:r>
                  <w:r>
                    <w:rPr>
                      <w:rFonts w:hint="eastAsia" w:ascii="Times New Roman" w:hAnsi="Times New Roman" w:cs="Times New Roman"/>
                      <w:color w:val="auto"/>
                      <w:spacing w:val="0"/>
                      <w:kern w:val="2"/>
                      <w:sz w:val="18"/>
                      <w:szCs w:val="18"/>
                      <w:lang w:val="en-US" w:eastAsia="zh-CN" w:bidi="ar-SA"/>
                    </w:rPr>
                    <w:t>手术室</w:t>
                  </w:r>
                  <w:r>
                    <w:rPr>
                      <w:rFonts w:hint="default" w:ascii="Times New Roman" w:hAnsi="Times New Roman" w:eastAsia="宋体" w:cs="Times New Roman"/>
                      <w:color w:val="auto"/>
                      <w:spacing w:val="0"/>
                      <w:kern w:val="2"/>
                      <w:sz w:val="18"/>
                      <w:szCs w:val="18"/>
                      <w:lang w:val="en-US" w:eastAsia="zh-CN" w:bidi="ar-SA"/>
                    </w:rPr>
                    <w:t>水槽下方</w:t>
                  </w:r>
                  <w:r>
                    <w:rPr>
                      <w:rFonts w:hint="eastAsia" w:ascii="Times New Roman" w:hAnsi="Times New Roman" w:cs="Times New Roman"/>
                      <w:color w:val="auto"/>
                      <w:spacing w:val="0"/>
                      <w:kern w:val="2"/>
                      <w:sz w:val="18"/>
                      <w:szCs w:val="18"/>
                      <w:lang w:val="en-US" w:eastAsia="zh-CN" w:bidi="ar-SA"/>
                    </w:rPr>
                    <w:t>设置的</w:t>
                  </w:r>
                  <w:r>
                    <w:rPr>
                      <w:rFonts w:hint="default" w:ascii="Times New Roman" w:hAnsi="Times New Roman" w:eastAsia="宋体" w:cs="Times New Roman"/>
                      <w:color w:val="auto"/>
                      <w:spacing w:val="0"/>
                      <w:kern w:val="2"/>
                      <w:sz w:val="18"/>
                      <w:szCs w:val="18"/>
                      <w:lang w:val="en-US" w:eastAsia="zh-CN" w:bidi="ar-SA"/>
                    </w:rPr>
                    <w:t>消毒设备消毒</w:t>
                  </w:r>
                  <w:r>
                    <w:rPr>
                      <w:rFonts w:hint="eastAsia" w:ascii="Times New Roman" w:hAnsi="Times New Roman" w:cs="Times New Roman"/>
                      <w:color w:val="auto"/>
                      <w:spacing w:val="0"/>
                      <w:kern w:val="2"/>
                      <w:sz w:val="18"/>
                      <w:szCs w:val="18"/>
                      <w:lang w:val="en-US" w:eastAsia="zh-CN" w:bidi="ar-SA"/>
                    </w:rPr>
                    <w:t>（氯片消毒）</w:t>
                  </w:r>
                  <w:r>
                    <w:rPr>
                      <w:rFonts w:hint="default" w:ascii="Times New Roman" w:hAnsi="Times New Roman" w:eastAsia="宋体" w:cs="Times New Roman"/>
                      <w:color w:val="auto"/>
                      <w:spacing w:val="0"/>
                      <w:kern w:val="2"/>
                      <w:sz w:val="18"/>
                      <w:szCs w:val="18"/>
                      <w:lang w:val="en-US" w:eastAsia="zh-CN" w:bidi="ar-SA"/>
                    </w:rPr>
                    <w:t>预处理（停留时间不少于1h）后</w:t>
                  </w:r>
                  <w:r>
                    <w:rPr>
                      <w:rFonts w:hint="eastAsia" w:ascii="Times New Roman" w:hAnsi="Times New Roman" w:cs="Times New Roman"/>
                      <w:color w:val="auto"/>
                      <w:spacing w:val="0"/>
                      <w:kern w:val="2"/>
                      <w:sz w:val="18"/>
                      <w:szCs w:val="18"/>
                      <w:lang w:val="en-US" w:eastAsia="zh-CN" w:bidi="ar-SA"/>
                    </w:rPr>
                    <w:t>，和经格栅预处理的宠物洗浴废水</w:t>
                  </w:r>
                  <w:r>
                    <w:rPr>
                      <w:rFonts w:hint="default" w:ascii="Times New Roman" w:hAnsi="Times New Roman" w:eastAsia="宋体" w:cs="Times New Roman"/>
                      <w:color w:val="auto"/>
                      <w:spacing w:val="0"/>
                      <w:kern w:val="2"/>
                      <w:sz w:val="18"/>
                      <w:szCs w:val="18"/>
                      <w:lang w:val="en-US" w:eastAsia="zh-CN" w:bidi="ar-SA"/>
                    </w:rPr>
                    <w:t>与生活污水一并依托</w:t>
                  </w:r>
                  <w:r>
                    <w:rPr>
                      <w:rFonts w:hint="eastAsia" w:ascii="Times New Roman" w:hAnsi="Times New Roman" w:cs="Times New Roman"/>
                      <w:color w:val="auto"/>
                      <w:spacing w:val="0"/>
                      <w:kern w:val="2"/>
                      <w:sz w:val="18"/>
                      <w:szCs w:val="18"/>
                      <w:lang w:val="en-US" w:eastAsia="zh-CN" w:bidi="ar-SA"/>
                    </w:rPr>
                    <w:t>小区</w:t>
                  </w:r>
                  <w:r>
                    <w:rPr>
                      <w:rFonts w:hint="default" w:ascii="Times New Roman" w:hAnsi="Times New Roman" w:eastAsia="宋体" w:cs="Times New Roman"/>
                      <w:color w:val="auto"/>
                      <w:spacing w:val="0"/>
                      <w:kern w:val="2"/>
                      <w:sz w:val="18"/>
                      <w:szCs w:val="18"/>
                      <w:lang w:val="en-US" w:eastAsia="zh-CN" w:bidi="ar-SA"/>
                    </w:rPr>
                    <w:t>已建生化池（处理能力</w:t>
                  </w:r>
                  <w:r>
                    <w:rPr>
                      <w:rFonts w:hint="eastAsia" w:ascii="Times New Roman" w:hAnsi="Times New Roman" w:cs="Times New Roman"/>
                      <w:color w:val="auto"/>
                      <w:spacing w:val="0"/>
                      <w:kern w:val="2"/>
                      <w:sz w:val="18"/>
                      <w:szCs w:val="18"/>
                      <w:lang w:val="en-US" w:eastAsia="zh-CN" w:bidi="ar-SA"/>
                    </w:rPr>
                    <w:t>200</w:t>
                  </w:r>
                  <w:r>
                    <w:rPr>
                      <w:rFonts w:hint="default" w:ascii="Times New Roman" w:hAnsi="Times New Roman" w:eastAsia="宋体" w:cs="Times New Roman"/>
                      <w:color w:val="auto"/>
                      <w:spacing w:val="0"/>
                      <w:kern w:val="2"/>
                      <w:sz w:val="18"/>
                      <w:szCs w:val="18"/>
                      <w:lang w:val="en-US" w:eastAsia="zh-CN" w:bidi="ar-SA"/>
                    </w:rPr>
                    <w:t>m</w:t>
                  </w:r>
                  <w:r>
                    <w:rPr>
                      <w:rFonts w:hint="default" w:ascii="Times New Roman" w:hAnsi="Times New Roman" w:eastAsia="宋体" w:cs="Times New Roman"/>
                      <w:color w:val="auto"/>
                      <w:spacing w:val="0"/>
                      <w:kern w:val="2"/>
                      <w:sz w:val="18"/>
                      <w:szCs w:val="18"/>
                      <w:vertAlign w:val="superscript"/>
                      <w:lang w:val="en-US" w:eastAsia="zh-CN" w:bidi="ar-SA"/>
                    </w:rPr>
                    <w:t>3</w:t>
                  </w:r>
                  <w:r>
                    <w:rPr>
                      <w:rFonts w:hint="default" w:ascii="Times New Roman" w:hAnsi="Times New Roman" w:eastAsia="宋体" w:cs="Times New Roman"/>
                      <w:color w:val="auto"/>
                      <w:spacing w:val="0"/>
                      <w:kern w:val="2"/>
                      <w:sz w:val="18"/>
                      <w:szCs w:val="18"/>
                      <w:lang w:val="en-US" w:eastAsia="zh-CN" w:bidi="ar-SA"/>
                    </w:rPr>
                    <w:t>/d，厌氧工艺）处理</w:t>
                  </w:r>
                  <w:r>
                    <w:rPr>
                      <w:rFonts w:hint="eastAsia" w:ascii="Times New Roman" w:hAnsi="Times New Roman" w:cs="Times New Roman"/>
                      <w:color w:val="auto"/>
                      <w:spacing w:val="0"/>
                      <w:kern w:val="2"/>
                      <w:sz w:val="18"/>
                      <w:szCs w:val="18"/>
                      <w:lang w:val="en-US" w:eastAsia="zh-CN" w:bidi="ar-SA"/>
                    </w:rPr>
                    <w:t>。</w:t>
                  </w:r>
                </w:p>
              </w:tc>
              <w:tc>
                <w:tcPr>
                  <w:tcW w:w="807" w:type="dxa"/>
                  <w:noWrap w:val="0"/>
                  <w:tcMar>
                    <w:left w:w="28" w:type="dxa"/>
                    <w:right w:w="28" w:type="dxa"/>
                  </w:tcMar>
                  <w:vAlign w:val="center"/>
                </w:tcPr>
                <w:p w14:paraId="2ED33C9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新增废水消毒设施</w:t>
                  </w:r>
                </w:p>
              </w:tc>
            </w:tr>
            <w:tr w14:paraId="1F73B5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4" w:hRule="atLeast"/>
                <w:jc w:val="center"/>
              </w:trPr>
              <w:tc>
                <w:tcPr>
                  <w:tcW w:w="516" w:type="dxa"/>
                  <w:vMerge w:val="continue"/>
                  <w:noWrap w:val="0"/>
                  <w:tcMar>
                    <w:left w:w="28" w:type="dxa"/>
                    <w:right w:w="28" w:type="dxa"/>
                  </w:tcMar>
                  <w:vAlign w:val="center"/>
                </w:tcPr>
                <w:p w14:paraId="52B11261">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vMerge w:val="restart"/>
                  <w:noWrap w:val="0"/>
                  <w:tcMar>
                    <w:left w:w="28" w:type="dxa"/>
                    <w:right w:w="28" w:type="dxa"/>
                  </w:tcMar>
                  <w:vAlign w:val="center"/>
                </w:tcPr>
                <w:p w14:paraId="32290735">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r>
                    <w:rPr>
                      <w:rFonts w:hint="eastAsia" w:ascii="Times New Roman" w:hAnsi="Times New Roman" w:cs="Times New Roman" w:eastAsiaTheme="majorEastAsia"/>
                      <w:color w:val="auto"/>
                      <w:sz w:val="18"/>
                      <w:szCs w:val="18"/>
                      <w:lang w:eastAsia="zh-CN"/>
                    </w:rPr>
                    <w:t>固体废物</w:t>
                  </w:r>
                  <w:r>
                    <w:rPr>
                      <w:rFonts w:hint="default" w:ascii="Times New Roman" w:hAnsi="Times New Roman" w:cs="Times New Roman" w:eastAsiaTheme="majorEastAsia"/>
                      <w:color w:val="auto"/>
                      <w:sz w:val="18"/>
                      <w:szCs w:val="18"/>
                      <w:lang w:val="en-US" w:eastAsia="zh-CN"/>
                    </w:rPr>
                    <w:t>治理设施</w:t>
                  </w:r>
                </w:p>
              </w:tc>
              <w:tc>
                <w:tcPr>
                  <w:tcW w:w="5670" w:type="dxa"/>
                  <w:tcBorders>
                    <w:right w:val="single" w:color="auto" w:sz="4" w:space="0"/>
                  </w:tcBorders>
                  <w:noWrap w:val="0"/>
                  <w:tcMar>
                    <w:left w:w="28" w:type="dxa"/>
                    <w:right w:w="28" w:type="dxa"/>
                  </w:tcMar>
                  <w:vAlign w:val="center"/>
                </w:tcPr>
                <w:p w14:paraId="3C3E9D4B">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危险废物贮存点：将2F药房内的闲置区域改造为危险废物贮存点，面积约1</w:t>
                  </w:r>
                  <w:r>
                    <w:rPr>
                      <w:rFonts w:hint="default" w:ascii="Times New Roman" w:hAnsi="Times New Roman" w:cs="Times New Roman" w:eastAsiaTheme="majorEastAsia"/>
                      <w:color w:val="auto"/>
                      <w:sz w:val="18"/>
                      <w:szCs w:val="18"/>
                      <w:lang w:val="en-US" w:eastAsia="zh-CN"/>
                    </w:rPr>
                    <w:t>m</w:t>
                  </w:r>
                  <w:r>
                    <w:rPr>
                      <w:rFonts w:hint="default" w:ascii="Times New Roman" w:hAnsi="Times New Roman" w:cs="Times New Roman" w:eastAsiaTheme="majorEastAsia"/>
                      <w:color w:val="auto"/>
                      <w:sz w:val="18"/>
                      <w:szCs w:val="18"/>
                      <w:vertAlign w:val="superscript"/>
                      <w:lang w:val="en-US" w:eastAsia="zh-CN"/>
                    </w:rPr>
                    <w:t>2</w:t>
                  </w:r>
                  <w:r>
                    <w:rPr>
                      <w:rFonts w:hint="eastAsia" w:ascii="Times New Roman" w:hAnsi="Times New Roman" w:cs="Times New Roman" w:eastAsiaTheme="majorEastAsia"/>
                      <w:color w:val="auto"/>
                      <w:sz w:val="18"/>
                      <w:szCs w:val="18"/>
                      <w:lang w:val="en-US" w:eastAsia="zh-CN"/>
                    </w:rPr>
                    <w:t>；内设加盖收集桶收集医疗废物、废紫外线灯管等，定期交有资质单位处置。</w:t>
                  </w:r>
                </w:p>
              </w:tc>
              <w:tc>
                <w:tcPr>
                  <w:tcW w:w="807" w:type="dxa"/>
                  <w:noWrap w:val="0"/>
                  <w:tcMar>
                    <w:left w:w="28" w:type="dxa"/>
                    <w:right w:w="28" w:type="dxa"/>
                  </w:tcMar>
                  <w:vAlign w:val="center"/>
                </w:tcPr>
                <w:p w14:paraId="32CE1225">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新增</w:t>
                  </w:r>
                </w:p>
              </w:tc>
            </w:tr>
            <w:tr w14:paraId="471E4B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4" w:hRule="atLeast"/>
                <w:jc w:val="center"/>
              </w:trPr>
              <w:tc>
                <w:tcPr>
                  <w:tcW w:w="516" w:type="dxa"/>
                  <w:vMerge w:val="continue"/>
                  <w:noWrap w:val="0"/>
                  <w:tcMar>
                    <w:left w:w="28" w:type="dxa"/>
                    <w:right w:w="28" w:type="dxa"/>
                  </w:tcMar>
                  <w:vAlign w:val="center"/>
                </w:tcPr>
                <w:p w14:paraId="2E9B196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vMerge w:val="continue"/>
                  <w:noWrap w:val="0"/>
                  <w:tcMar>
                    <w:left w:w="28" w:type="dxa"/>
                    <w:right w:w="28" w:type="dxa"/>
                  </w:tcMar>
                  <w:vAlign w:val="center"/>
                </w:tcPr>
                <w:p w14:paraId="74892D00">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5670" w:type="dxa"/>
                  <w:tcBorders>
                    <w:right w:val="single" w:color="auto" w:sz="4" w:space="0"/>
                  </w:tcBorders>
                  <w:noWrap w:val="0"/>
                  <w:tcMar>
                    <w:left w:w="28" w:type="dxa"/>
                    <w:right w:w="28" w:type="dxa"/>
                  </w:tcMar>
                  <w:vAlign w:val="center"/>
                </w:tcPr>
                <w:p w14:paraId="31F59002">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动物尸体：动物尸体不在医院内暂存，产生后由顾客自行委托第三方处置单位进行无害化处理。</w:t>
                  </w:r>
                </w:p>
              </w:tc>
              <w:tc>
                <w:tcPr>
                  <w:tcW w:w="807" w:type="dxa"/>
                  <w:noWrap w:val="0"/>
                  <w:tcMar>
                    <w:left w:w="28" w:type="dxa"/>
                    <w:right w:w="28" w:type="dxa"/>
                  </w:tcMar>
                  <w:vAlign w:val="center"/>
                </w:tcPr>
                <w:p w14:paraId="602C3ED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w:t>
                  </w:r>
                </w:p>
              </w:tc>
            </w:tr>
            <w:tr w14:paraId="0A7984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4" w:hRule="atLeast"/>
                <w:jc w:val="center"/>
              </w:trPr>
              <w:tc>
                <w:tcPr>
                  <w:tcW w:w="516" w:type="dxa"/>
                  <w:vMerge w:val="continue"/>
                  <w:noWrap w:val="0"/>
                  <w:tcMar>
                    <w:left w:w="28" w:type="dxa"/>
                    <w:right w:w="28" w:type="dxa"/>
                  </w:tcMar>
                  <w:vAlign w:val="center"/>
                </w:tcPr>
                <w:p w14:paraId="09EE77F0">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vMerge w:val="continue"/>
                  <w:noWrap w:val="0"/>
                  <w:tcMar>
                    <w:left w:w="28" w:type="dxa"/>
                    <w:right w:w="28" w:type="dxa"/>
                  </w:tcMar>
                  <w:vAlign w:val="center"/>
                </w:tcPr>
                <w:p w14:paraId="32F9FFE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5670" w:type="dxa"/>
                  <w:tcBorders>
                    <w:right w:val="single" w:color="auto" w:sz="4" w:space="0"/>
                  </w:tcBorders>
                  <w:noWrap w:val="0"/>
                  <w:tcMar>
                    <w:left w:w="28" w:type="dxa"/>
                    <w:right w:w="28" w:type="dxa"/>
                  </w:tcMar>
                  <w:vAlign w:val="center"/>
                </w:tcPr>
                <w:p w14:paraId="771D3B61">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生活垃圾：垃圾桶收集后交由当地环卫部门处置。</w:t>
                  </w:r>
                </w:p>
              </w:tc>
              <w:tc>
                <w:tcPr>
                  <w:tcW w:w="807" w:type="dxa"/>
                  <w:noWrap w:val="0"/>
                  <w:tcMar>
                    <w:left w:w="28" w:type="dxa"/>
                    <w:right w:w="28" w:type="dxa"/>
                  </w:tcMar>
                  <w:vAlign w:val="center"/>
                </w:tcPr>
                <w:p w14:paraId="7430985E">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依托</w:t>
                  </w:r>
                </w:p>
              </w:tc>
            </w:tr>
            <w:tr w14:paraId="480C3D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5" w:hRule="atLeast"/>
                <w:jc w:val="center"/>
              </w:trPr>
              <w:tc>
                <w:tcPr>
                  <w:tcW w:w="516" w:type="dxa"/>
                  <w:vMerge w:val="continue"/>
                  <w:noWrap w:val="0"/>
                  <w:tcMar>
                    <w:left w:w="28" w:type="dxa"/>
                    <w:right w:w="28" w:type="dxa"/>
                  </w:tcMar>
                  <w:vAlign w:val="center"/>
                </w:tcPr>
                <w:p w14:paraId="4C13AD66">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vMerge w:val="continue"/>
                  <w:noWrap w:val="0"/>
                  <w:tcMar>
                    <w:left w:w="28" w:type="dxa"/>
                    <w:right w:w="28" w:type="dxa"/>
                  </w:tcMar>
                  <w:vAlign w:val="center"/>
                </w:tcPr>
                <w:p w14:paraId="339389B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5670" w:type="dxa"/>
                  <w:tcBorders>
                    <w:right w:val="single" w:color="auto" w:sz="4" w:space="0"/>
                  </w:tcBorders>
                  <w:noWrap w:val="0"/>
                  <w:tcMar>
                    <w:left w:w="28" w:type="dxa"/>
                    <w:right w:w="28" w:type="dxa"/>
                  </w:tcMar>
                  <w:vAlign w:val="center"/>
                </w:tcPr>
                <w:p w14:paraId="6E43E41F">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动物粪污：宠物粪污喷洒消毒剂消毒预处理后紧袋收集暂存于加盖收集桶，与袋装收集后的动物废毛、生活垃圾送附近垃圾收集点，然后交由环卫部门统一收运。</w:t>
                  </w:r>
                </w:p>
              </w:tc>
              <w:tc>
                <w:tcPr>
                  <w:tcW w:w="807" w:type="dxa"/>
                  <w:noWrap w:val="0"/>
                  <w:tcMar>
                    <w:left w:w="28" w:type="dxa"/>
                    <w:right w:w="28" w:type="dxa"/>
                  </w:tcMar>
                  <w:vAlign w:val="center"/>
                </w:tcPr>
                <w:p w14:paraId="30784ACB">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已建</w:t>
                  </w:r>
                </w:p>
              </w:tc>
            </w:tr>
            <w:tr w14:paraId="259FBB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516" w:type="dxa"/>
                  <w:vMerge w:val="continue"/>
                  <w:noWrap w:val="0"/>
                  <w:tcMar>
                    <w:left w:w="28" w:type="dxa"/>
                    <w:right w:w="28" w:type="dxa"/>
                  </w:tcMar>
                  <w:vAlign w:val="center"/>
                </w:tcPr>
                <w:p w14:paraId="2BB36ED2">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rPr>
                  </w:pPr>
                </w:p>
              </w:tc>
              <w:tc>
                <w:tcPr>
                  <w:tcW w:w="1015" w:type="dxa"/>
                  <w:noWrap w:val="0"/>
                  <w:tcMar>
                    <w:left w:w="28" w:type="dxa"/>
                    <w:right w:w="28" w:type="dxa"/>
                  </w:tcMar>
                  <w:vAlign w:val="center"/>
                </w:tcPr>
                <w:p w14:paraId="296DB433">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噪声治理措施</w:t>
                  </w:r>
                </w:p>
              </w:tc>
              <w:tc>
                <w:tcPr>
                  <w:tcW w:w="5670" w:type="dxa"/>
                  <w:tcBorders>
                    <w:right w:val="single" w:color="auto" w:sz="4" w:space="0"/>
                  </w:tcBorders>
                  <w:noWrap w:val="0"/>
                  <w:tcMar>
                    <w:left w:w="28" w:type="dxa"/>
                    <w:right w:w="28" w:type="dxa"/>
                  </w:tcMar>
                  <w:vAlign w:val="center"/>
                </w:tcPr>
                <w:p w14:paraId="77A1AE1E">
                  <w:pPr>
                    <w:keepNext w:val="0"/>
                    <w:keepLines w:val="0"/>
                    <w:suppressLineNumbers w:val="0"/>
                    <w:adjustRightInd w:val="0"/>
                    <w:snapToGrid w:val="0"/>
                    <w:spacing w:before="0" w:beforeAutospacing="0" w:after="0" w:afterAutospacing="0" w:line="280" w:lineRule="exact"/>
                    <w:ind w:left="0" w:right="0"/>
                    <w:jc w:val="left"/>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选用低噪声诊疗设备；动物叫声采取加强管理的措施</w:t>
                  </w:r>
                </w:p>
              </w:tc>
              <w:tc>
                <w:tcPr>
                  <w:tcW w:w="807" w:type="dxa"/>
                  <w:noWrap w:val="0"/>
                  <w:tcMar>
                    <w:left w:w="28" w:type="dxa"/>
                    <w:right w:w="28" w:type="dxa"/>
                  </w:tcMar>
                  <w:vAlign w:val="center"/>
                </w:tcPr>
                <w:p w14:paraId="53E206F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已建</w:t>
                  </w:r>
                </w:p>
              </w:tc>
            </w:tr>
          </w:tbl>
          <w:p w14:paraId="491DD233">
            <w:pPr>
              <w:pStyle w:val="18"/>
              <w:spacing w:after="0" w:line="400" w:lineRule="exact"/>
              <w:ind w:firstLine="422" w:firstLineChars="200"/>
              <w:rPr>
                <w:rFonts w:hint="default" w:ascii="Times New Roman" w:hAnsi="Times New Roman" w:cs="Times New Roman" w:eastAsiaTheme="majorEastAsia"/>
                <w:color w:val="auto"/>
                <w:szCs w:val="21"/>
              </w:rPr>
            </w:pPr>
            <w:r>
              <w:rPr>
                <w:rFonts w:hint="default" w:ascii="Times New Roman" w:hAnsi="Times New Roman" w:cs="Times New Roman" w:eastAsiaTheme="majorEastAsia"/>
                <w:b/>
                <w:color w:val="auto"/>
                <w:szCs w:val="21"/>
              </w:rPr>
              <w:t>依托工程</w:t>
            </w:r>
            <w:r>
              <w:rPr>
                <w:rFonts w:hint="eastAsia" w:ascii="Times New Roman" w:hAnsi="Times New Roman" w:cs="Times New Roman" w:eastAsiaTheme="majorEastAsia"/>
                <w:b/>
                <w:color w:val="auto"/>
                <w:szCs w:val="21"/>
                <w:lang w:eastAsia="zh-CN"/>
              </w:rPr>
              <w:t>：</w:t>
            </w:r>
            <w:r>
              <w:rPr>
                <w:rFonts w:hint="default" w:ascii="Times New Roman" w:hAnsi="Times New Roman" w:cs="Times New Roman" w:eastAsiaTheme="majorEastAsia"/>
                <w:color w:val="auto"/>
                <w:szCs w:val="21"/>
              </w:rPr>
              <w:t>依托情况见表2-</w:t>
            </w:r>
            <w:r>
              <w:rPr>
                <w:rFonts w:hint="default" w:ascii="Times New Roman" w:hAnsi="Times New Roman" w:cs="Times New Roman" w:eastAsiaTheme="majorEastAsia"/>
                <w:color w:val="auto"/>
                <w:szCs w:val="21"/>
                <w:lang w:val="en-US" w:eastAsia="zh-CN"/>
              </w:rPr>
              <w:t>3</w:t>
            </w:r>
            <w:r>
              <w:rPr>
                <w:rFonts w:hint="default" w:ascii="Times New Roman" w:hAnsi="Times New Roman" w:cs="Times New Roman" w:eastAsiaTheme="majorEastAsia"/>
                <w:color w:val="auto"/>
                <w:szCs w:val="21"/>
              </w:rPr>
              <w:t>。</w:t>
            </w:r>
          </w:p>
          <w:p w14:paraId="27786CAA">
            <w:pPr>
              <w:spacing w:line="400" w:lineRule="exact"/>
              <w:ind w:firstLine="480"/>
              <w:jc w:val="center"/>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表2-</w:t>
            </w:r>
            <w:r>
              <w:rPr>
                <w:rFonts w:hint="default" w:ascii="Times New Roman" w:hAnsi="Times New Roman" w:cs="Times New Roman" w:eastAsiaTheme="majorEastAsia"/>
                <w:b/>
                <w:bCs/>
                <w:color w:val="auto"/>
                <w:szCs w:val="21"/>
                <w:lang w:val="en-US" w:eastAsia="zh-CN"/>
              </w:rPr>
              <w:t>3</w:t>
            </w:r>
            <w:r>
              <w:rPr>
                <w:rFonts w:hint="default" w:ascii="Times New Roman" w:hAnsi="Times New Roman" w:cs="Times New Roman" w:eastAsiaTheme="majorEastAsia"/>
                <w:b/>
                <w:bCs/>
                <w:color w:val="auto"/>
                <w:szCs w:val="21"/>
              </w:rPr>
              <w:t xml:space="preserve"> </w:t>
            </w:r>
            <w:r>
              <w:rPr>
                <w:rFonts w:hint="default" w:ascii="Times New Roman" w:hAnsi="Times New Roman" w:cs="Times New Roman" w:eastAsiaTheme="majorEastAsia"/>
                <w:b/>
                <w:bCs/>
                <w:color w:val="auto"/>
                <w:szCs w:val="21"/>
                <w:lang w:val="en-US" w:eastAsia="zh-CN"/>
              </w:rPr>
              <w:t xml:space="preserve">  </w:t>
            </w:r>
            <w:r>
              <w:rPr>
                <w:rFonts w:hint="default" w:ascii="Times New Roman" w:hAnsi="Times New Roman" w:cs="Times New Roman" w:eastAsiaTheme="majorEastAsia"/>
                <w:b/>
                <w:bCs/>
                <w:color w:val="auto"/>
                <w:szCs w:val="21"/>
              </w:rPr>
              <w:t>项目依托情况一览表</w:t>
            </w:r>
          </w:p>
          <w:tbl>
            <w:tblPr>
              <w:tblStyle w:val="22"/>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9"/>
              <w:gridCol w:w="660"/>
              <w:gridCol w:w="1020"/>
              <w:gridCol w:w="4908"/>
              <w:gridCol w:w="810"/>
            </w:tblGrid>
            <w:tr w14:paraId="21E52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9" w:type="dxa"/>
                  <w:noWrap w:val="0"/>
                  <w:vAlign w:val="center"/>
                </w:tcPr>
                <w:p w14:paraId="5DD15975">
                  <w:pPr>
                    <w:spacing w:line="240" w:lineRule="exact"/>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序号</w:t>
                  </w:r>
                </w:p>
              </w:tc>
              <w:tc>
                <w:tcPr>
                  <w:tcW w:w="1680" w:type="dxa"/>
                  <w:gridSpan w:val="2"/>
                  <w:noWrap w:val="0"/>
                  <w:vAlign w:val="center"/>
                </w:tcPr>
                <w:p w14:paraId="352B67E3">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依托工程</w:t>
                  </w:r>
                </w:p>
              </w:tc>
              <w:tc>
                <w:tcPr>
                  <w:tcW w:w="4908" w:type="dxa"/>
                  <w:noWrap w:val="0"/>
                  <w:vAlign w:val="center"/>
                </w:tcPr>
                <w:p w14:paraId="41B85094">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已有设施及规模</w:t>
                  </w:r>
                </w:p>
              </w:tc>
              <w:tc>
                <w:tcPr>
                  <w:tcW w:w="810" w:type="dxa"/>
                  <w:noWrap w:val="0"/>
                  <w:vAlign w:val="center"/>
                </w:tcPr>
                <w:p w14:paraId="6158A8FA">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依托可行性</w:t>
                  </w:r>
                </w:p>
              </w:tc>
            </w:tr>
            <w:tr w14:paraId="1EFA0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539" w:type="dxa"/>
                  <w:vMerge w:val="restart"/>
                  <w:noWrap w:val="0"/>
                  <w:vAlign w:val="center"/>
                </w:tcPr>
                <w:p w14:paraId="1602D561">
                  <w:pPr>
                    <w:spacing w:line="240" w:lineRule="exact"/>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sz w:val="18"/>
                      <w:szCs w:val="18"/>
                      <w:lang w:val="en-US" w:eastAsia="zh-CN"/>
                    </w:rPr>
                    <w:t>1</w:t>
                  </w:r>
                </w:p>
              </w:tc>
              <w:tc>
                <w:tcPr>
                  <w:tcW w:w="660" w:type="dxa"/>
                  <w:vMerge w:val="restart"/>
                  <w:tcBorders>
                    <w:right w:val="single" w:color="auto" w:sz="4" w:space="0"/>
                  </w:tcBorders>
                  <w:noWrap w:val="0"/>
                  <w:vAlign w:val="center"/>
                </w:tcPr>
                <w:p w14:paraId="2B11D070">
                  <w:pPr>
                    <w:spacing w:line="240" w:lineRule="exact"/>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公用工程</w:t>
                  </w:r>
                </w:p>
              </w:tc>
              <w:tc>
                <w:tcPr>
                  <w:tcW w:w="1020" w:type="dxa"/>
                  <w:tcBorders>
                    <w:left w:val="single" w:color="auto" w:sz="4" w:space="0"/>
                  </w:tcBorders>
                  <w:shd w:val="clear" w:color="auto" w:fill="auto"/>
                  <w:noWrap w:val="0"/>
                  <w:vAlign w:val="center"/>
                </w:tcPr>
                <w:p w14:paraId="0D65D88D">
                  <w:pPr>
                    <w:spacing w:line="240" w:lineRule="exact"/>
                    <w:jc w:val="center"/>
                    <w:rPr>
                      <w:rFonts w:hint="eastAsia"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供水</w:t>
                  </w:r>
                </w:p>
              </w:tc>
              <w:tc>
                <w:tcPr>
                  <w:tcW w:w="4908" w:type="dxa"/>
                  <w:shd w:val="clear" w:color="auto" w:fill="auto"/>
                  <w:noWrap w:val="0"/>
                  <w:vAlign w:val="center"/>
                </w:tcPr>
                <w:p w14:paraId="3BD116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lang w:val="en-US" w:eastAsia="zh-CN"/>
                    </w:rPr>
                    <w:t>已建给水管网供给</w:t>
                  </w:r>
                </w:p>
              </w:tc>
              <w:tc>
                <w:tcPr>
                  <w:tcW w:w="810" w:type="dxa"/>
                  <w:noWrap w:val="0"/>
                  <w:vAlign w:val="center"/>
                </w:tcPr>
                <w:p w14:paraId="0E8D1E01">
                  <w:pPr>
                    <w:spacing w:line="240" w:lineRule="exact"/>
                    <w:jc w:val="center"/>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可行</w:t>
                  </w:r>
                </w:p>
              </w:tc>
            </w:tr>
            <w:tr w14:paraId="0CC4D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539" w:type="dxa"/>
                  <w:vMerge w:val="continue"/>
                  <w:noWrap w:val="0"/>
                  <w:vAlign w:val="center"/>
                </w:tcPr>
                <w:p w14:paraId="234ED7A7">
                  <w:pPr>
                    <w:spacing w:line="240" w:lineRule="exact"/>
                    <w:jc w:val="center"/>
                    <w:rPr>
                      <w:rFonts w:hint="default" w:ascii="Times New Roman" w:hAnsi="Times New Roman" w:cs="Times New Roman" w:eastAsiaTheme="majorEastAsia"/>
                      <w:color w:val="auto"/>
                      <w:kern w:val="2"/>
                      <w:sz w:val="18"/>
                      <w:szCs w:val="18"/>
                      <w:lang w:val="en-US" w:eastAsia="zh-CN" w:bidi="ar-SA"/>
                    </w:rPr>
                  </w:pPr>
                </w:p>
              </w:tc>
              <w:tc>
                <w:tcPr>
                  <w:tcW w:w="660" w:type="dxa"/>
                  <w:vMerge w:val="continue"/>
                  <w:tcBorders>
                    <w:right w:val="single" w:color="auto" w:sz="4" w:space="0"/>
                  </w:tcBorders>
                  <w:noWrap w:val="0"/>
                  <w:vAlign w:val="center"/>
                </w:tcPr>
                <w:p w14:paraId="4C765AE2">
                  <w:pPr>
                    <w:spacing w:line="240" w:lineRule="exact"/>
                    <w:jc w:val="center"/>
                    <w:rPr>
                      <w:rFonts w:hint="default" w:ascii="Times New Roman" w:hAnsi="Times New Roman" w:cs="Times New Roman" w:eastAsiaTheme="majorEastAsia"/>
                      <w:color w:val="auto"/>
                      <w:sz w:val="18"/>
                      <w:szCs w:val="18"/>
                    </w:rPr>
                  </w:pPr>
                </w:p>
              </w:tc>
              <w:tc>
                <w:tcPr>
                  <w:tcW w:w="1020" w:type="dxa"/>
                  <w:tcBorders>
                    <w:left w:val="single" w:color="auto" w:sz="4" w:space="0"/>
                  </w:tcBorders>
                  <w:noWrap w:val="0"/>
                  <w:vAlign w:val="center"/>
                </w:tcPr>
                <w:p w14:paraId="41584046">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排水</w:t>
                  </w:r>
                </w:p>
              </w:tc>
              <w:tc>
                <w:tcPr>
                  <w:tcW w:w="4908" w:type="dxa"/>
                  <w:noWrap w:val="0"/>
                  <w:vAlign w:val="center"/>
                </w:tcPr>
                <w:p w14:paraId="288F2F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ajorEastAsia"/>
                      <w:color w:val="auto"/>
                      <w:sz w:val="18"/>
                      <w:szCs w:val="18"/>
                      <w:lang w:val="en-US" w:eastAsia="zh-CN"/>
                    </w:rPr>
                  </w:pPr>
                  <w:r>
                    <w:rPr>
                      <w:rFonts w:hint="default" w:ascii="Times New Roman" w:hAnsi="Times New Roman" w:cs="Times New Roman" w:eastAsiaTheme="majorEastAsia"/>
                      <w:color w:val="auto"/>
                      <w:sz w:val="18"/>
                      <w:szCs w:val="18"/>
                      <w:lang w:val="en-US" w:eastAsia="zh-CN"/>
                    </w:rPr>
                    <w:t>实行雨污分流制，</w:t>
                  </w:r>
                  <w:r>
                    <w:rPr>
                      <w:rFonts w:hint="default" w:ascii="Times New Roman" w:hAnsi="Times New Roman" w:cs="Times New Roman" w:eastAsiaTheme="majorEastAsia"/>
                      <w:color w:val="auto"/>
                      <w:sz w:val="18"/>
                      <w:szCs w:val="18"/>
                      <w:lang w:eastAsia="zh-CN"/>
                    </w:rPr>
                    <w:t>已建设雨水</w:t>
                  </w:r>
                  <w:r>
                    <w:rPr>
                      <w:rFonts w:hint="default" w:ascii="Times New Roman" w:hAnsi="Times New Roman" w:cs="Times New Roman" w:eastAsiaTheme="majorEastAsia"/>
                      <w:color w:val="auto"/>
                      <w:sz w:val="18"/>
                      <w:szCs w:val="18"/>
                      <w:lang w:val="en-US" w:eastAsia="zh-CN"/>
                    </w:rPr>
                    <w:t>管网、污水管网</w:t>
                  </w:r>
                  <w:r>
                    <w:rPr>
                      <w:rFonts w:hint="default" w:ascii="Times New Roman" w:hAnsi="Times New Roman" w:cs="Times New Roman" w:eastAsiaTheme="majorEastAsia"/>
                      <w:color w:val="auto"/>
                      <w:sz w:val="18"/>
                      <w:szCs w:val="18"/>
                      <w:lang w:eastAsia="zh-CN"/>
                    </w:rPr>
                    <w:t>，</w:t>
                  </w:r>
                  <w:r>
                    <w:rPr>
                      <w:rFonts w:hint="default" w:ascii="Times New Roman" w:hAnsi="Times New Roman" w:cs="Times New Roman" w:eastAsiaTheme="majorEastAsia"/>
                      <w:color w:val="auto"/>
                      <w:sz w:val="18"/>
                      <w:szCs w:val="18"/>
                      <w:lang w:val="en-US" w:eastAsia="zh-CN"/>
                    </w:rPr>
                    <w:t>以及配套生化池已建成投入运行</w:t>
                  </w:r>
                </w:p>
              </w:tc>
              <w:tc>
                <w:tcPr>
                  <w:tcW w:w="810" w:type="dxa"/>
                  <w:noWrap w:val="0"/>
                  <w:vAlign w:val="center"/>
                </w:tcPr>
                <w:p w14:paraId="32CDE815">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可行</w:t>
                  </w:r>
                </w:p>
              </w:tc>
            </w:tr>
            <w:tr w14:paraId="67BCA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 w:hRule="atLeast"/>
                <w:jc w:val="center"/>
              </w:trPr>
              <w:tc>
                <w:tcPr>
                  <w:tcW w:w="539" w:type="dxa"/>
                  <w:vMerge w:val="continue"/>
                  <w:noWrap w:val="0"/>
                  <w:vAlign w:val="center"/>
                </w:tcPr>
                <w:p w14:paraId="7AB9651E">
                  <w:pPr>
                    <w:spacing w:line="240" w:lineRule="exact"/>
                    <w:jc w:val="center"/>
                    <w:rPr>
                      <w:rFonts w:hint="default" w:ascii="Times New Roman" w:hAnsi="Times New Roman" w:cs="Times New Roman" w:eastAsiaTheme="majorEastAsia"/>
                      <w:color w:val="auto"/>
                      <w:kern w:val="2"/>
                      <w:sz w:val="18"/>
                      <w:szCs w:val="18"/>
                      <w:lang w:val="en-US" w:eastAsia="zh-CN" w:bidi="ar-SA"/>
                    </w:rPr>
                  </w:pPr>
                </w:p>
              </w:tc>
              <w:tc>
                <w:tcPr>
                  <w:tcW w:w="660" w:type="dxa"/>
                  <w:vMerge w:val="continue"/>
                  <w:tcBorders>
                    <w:right w:val="single" w:color="auto" w:sz="4" w:space="0"/>
                  </w:tcBorders>
                  <w:noWrap w:val="0"/>
                  <w:vAlign w:val="center"/>
                </w:tcPr>
                <w:p w14:paraId="6FDFE5ED">
                  <w:pPr>
                    <w:spacing w:line="240" w:lineRule="exact"/>
                    <w:jc w:val="center"/>
                    <w:rPr>
                      <w:rFonts w:hint="default" w:ascii="Times New Roman" w:hAnsi="Times New Roman" w:cs="Times New Roman" w:eastAsiaTheme="majorEastAsia"/>
                      <w:color w:val="auto"/>
                      <w:sz w:val="18"/>
                      <w:szCs w:val="18"/>
                    </w:rPr>
                  </w:pPr>
                </w:p>
              </w:tc>
              <w:tc>
                <w:tcPr>
                  <w:tcW w:w="1020" w:type="dxa"/>
                  <w:tcBorders>
                    <w:left w:val="single" w:color="auto" w:sz="4" w:space="0"/>
                  </w:tcBorders>
                  <w:noWrap w:val="0"/>
                  <w:vAlign w:val="center"/>
                </w:tcPr>
                <w:p w14:paraId="5CC775AD">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供电</w:t>
                  </w:r>
                </w:p>
              </w:tc>
              <w:tc>
                <w:tcPr>
                  <w:tcW w:w="4908" w:type="dxa"/>
                  <w:noWrap w:val="0"/>
                  <w:vAlign w:val="center"/>
                </w:tcPr>
                <w:p w14:paraId="72DD36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lang w:val="en-US" w:eastAsia="zh-CN"/>
                    </w:rPr>
                    <w:t>已建配电系统和供电管网</w:t>
                  </w:r>
                </w:p>
              </w:tc>
              <w:tc>
                <w:tcPr>
                  <w:tcW w:w="810" w:type="dxa"/>
                  <w:noWrap w:val="0"/>
                  <w:vAlign w:val="center"/>
                </w:tcPr>
                <w:p w14:paraId="2FCC85BA">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可行</w:t>
                  </w:r>
                </w:p>
              </w:tc>
            </w:tr>
            <w:tr w14:paraId="2BBC1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539" w:type="dxa"/>
                  <w:noWrap w:val="0"/>
                  <w:vAlign w:val="center"/>
                </w:tcPr>
                <w:p w14:paraId="1905E9BF">
                  <w:pPr>
                    <w:spacing w:line="240" w:lineRule="exact"/>
                    <w:jc w:val="center"/>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sz w:val="18"/>
                      <w:szCs w:val="18"/>
                      <w:lang w:val="en-US" w:eastAsia="zh-CN"/>
                    </w:rPr>
                    <w:t>2</w:t>
                  </w:r>
                </w:p>
              </w:tc>
              <w:tc>
                <w:tcPr>
                  <w:tcW w:w="660" w:type="dxa"/>
                  <w:tcBorders>
                    <w:right w:val="single" w:color="auto" w:sz="4" w:space="0"/>
                  </w:tcBorders>
                  <w:noWrap w:val="0"/>
                  <w:vAlign w:val="center"/>
                </w:tcPr>
                <w:p w14:paraId="62F5EED4">
                  <w:pPr>
                    <w:spacing w:line="240" w:lineRule="exact"/>
                    <w:jc w:val="center"/>
                    <w:rPr>
                      <w:rFonts w:hint="default" w:ascii="Times New Roman" w:hAnsi="Times New Roman" w:cs="Times New Roman" w:eastAsiaTheme="majorEastAsia"/>
                      <w:color w:val="auto"/>
                      <w:sz w:val="18"/>
                      <w:szCs w:val="18"/>
                    </w:rPr>
                  </w:pPr>
                  <w:r>
                    <w:rPr>
                      <w:rFonts w:hint="default" w:ascii="Times New Roman" w:hAnsi="Times New Roman" w:cs="Times New Roman" w:eastAsiaTheme="majorEastAsia"/>
                      <w:color w:val="auto"/>
                      <w:sz w:val="18"/>
                      <w:szCs w:val="18"/>
                    </w:rPr>
                    <w:t>环保设施</w:t>
                  </w:r>
                </w:p>
              </w:tc>
              <w:tc>
                <w:tcPr>
                  <w:tcW w:w="1020" w:type="dxa"/>
                  <w:tcBorders>
                    <w:left w:val="single" w:color="auto" w:sz="4" w:space="0"/>
                  </w:tcBorders>
                  <w:noWrap w:val="0"/>
                  <w:vAlign w:val="center"/>
                </w:tcPr>
                <w:p w14:paraId="42E91B78">
                  <w:pPr>
                    <w:spacing w:line="240" w:lineRule="exact"/>
                    <w:jc w:val="center"/>
                    <w:rPr>
                      <w:rFonts w:hint="default" w:ascii="Times New Roman" w:hAnsi="Times New Roman" w:cs="Times New Roman" w:eastAsiaTheme="majorEastAsia"/>
                      <w:color w:val="auto"/>
                      <w:sz w:val="18"/>
                      <w:szCs w:val="18"/>
                      <w:lang w:val="en-US" w:eastAsia="zh-CN"/>
                    </w:rPr>
                  </w:pPr>
                  <w:r>
                    <w:rPr>
                      <w:rFonts w:hint="eastAsia" w:ascii="Times New Roman" w:hAnsi="Times New Roman" w:cs="Times New Roman" w:eastAsiaTheme="majorEastAsia"/>
                      <w:color w:val="auto"/>
                      <w:sz w:val="18"/>
                      <w:szCs w:val="18"/>
                      <w:lang w:val="en-US" w:eastAsia="zh-CN"/>
                    </w:rPr>
                    <w:t>污水处理</w:t>
                  </w:r>
                </w:p>
              </w:tc>
              <w:tc>
                <w:tcPr>
                  <w:tcW w:w="4908" w:type="dxa"/>
                  <w:noWrap w:val="0"/>
                  <w:vAlign w:val="center"/>
                </w:tcPr>
                <w:p w14:paraId="02E4ED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ajorEastAsia"/>
                      <w:color w:val="auto"/>
                      <w:kern w:val="2"/>
                      <w:sz w:val="18"/>
                      <w:szCs w:val="18"/>
                      <w:lang w:val="en-US" w:eastAsia="zh-CN" w:bidi="ar-SA"/>
                    </w:rPr>
                  </w:pPr>
                  <w:r>
                    <w:rPr>
                      <w:rFonts w:hint="eastAsia" w:ascii="Times New Roman" w:hAnsi="Times New Roman" w:cs="Times New Roman" w:eastAsiaTheme="majorEastAsia"/>
                      <w:color w:val="auto"/>
                      <w:sz w:val="18"/>
                      <w:szCs w:val="18"/>
                      <w:lang w:val="en-US" w:eastAsia="zh-CN"/>
                    </w:rPr>
                    <w:t>项目属于远洋城已建生化池服务范围</w:t>
                  </w:r>
                  <w:r>
                    <w:rPr>
                      <w:rFonts w:hint="default" w:ascii="Times New Roman" w:hAnsi="Times New Roman" w:cs="Times New Roman" w:eastAsiaTheme="majorEastAsia"/>
                      <w:color w:val="auto"/>
                      <w:sz w:val="18"/>
                      <w:szCs w:val="18"/>
                      <w:lang w:eastAsia="zh-CN"/>
                    </w:rPr>
                    <w:t>，</w:t>
                  </w:r>
                  <w:r>
                    <w:rPr>
                      <w:rFonts w:hint="eastAsia" w:ascii="Times New Roman" w:hAnsi="Times New Roman" w:cs="Times New Roman" w:eastAsiaTheme="majorEastAsia"/>
                      <w:color w:val="auto"/>
                      <w:sz w:val="18"/>
                      <w:szCs w:val="18"/>
                      <w:lang w:val="en-US" w:eastAsia="zh-CN"/>
                    </w:rPr>
                    <w:t>目前污水管网及生化池已建成投入运行。根据与朗基物业公司签订的污水接纳协议可知，该生化池设计处理规模为200m</w:t>
                  </w:r>
                  <w:r>
                    <w:rPr>
                      <w:rFonts w:hint="eastAsia" w:ascii="Times New Roman" w:hAnsi="Times New Roman" w:cs="Times New Roman" w:eastAsiaTheme="majorEastAsia"/>
                      <w:color w:val="auto"/>
                      <w:sz w:val="18"/>
                      <w:szCs w:val="18"/>
                      <w:vertAlign w:val="superscript"/>
                      <w:lang w:val="en-US" w:eastAsia="zh-CN"/>
                    </w:rPr>
                    <w:t>3</w:t>
                  </w:r>
                  <w:r>
                    <w:rPr>
                      <w:rFonts w:hint="eastAsia" w:ascii="Times New Roman" w:hAnsi="Times New Roman" w:cs="Times New Roman" w:eastAsiaTheme="majorEastAsia"/>
                      <w:color w:val="auto"/>
                      <w:sz w:val="18"/>
                      <w:szCs w:val="18"/>
                      <w:lang w:val="en-US" w:eastAsia="zh-CN"/>
                    </w:rPr>
                    <w:t>/d，小区生化池在设计阶段已考虑到项目所在商业门面的废水处理，因此生化池处理能力可满足项目需求，依托可行。</w:t>
                  </w:r>
                </w:p>
              </w:tc>
              <w:tc>
                <w:tcPr>
                  <w:tcW w:w="810" w:type="dxa"/>
                  <w:noWrap w:val="0"/>
                  <w:vAlign w:val="center"/>
                </w:tcPr>
                <w:p w14:paraId="337EA41C">
                  <w:pPr>
                    <w:spacing w:line="240" w:lineRule="exact"/>
                    <w:jc w:val="center"/>
                    <w:rPr>
                      <w:rFonts w:hint="default" w:ascii="Times New Roman" w:hAnsi="Times New Roman" w:cs="Times New Roman" w:eastAsiaTheme="majorEastAsia"/>
                      <w:color w:val="auto"/>
                      <w:kern w:val="2"/>
                      <w:sz w:val="18"/>
                      <w:szCs w:val="18"/>
                      <w:lang w:val="en-US" w:eastAsia="zh-CN" w:bidi="ar-SA"/>
                    </w:rPr>
                  </w:pPr>
                  <w:r>
                    <w:rPr>
                      <w:rFonts w:hint="default" w:ascii="Times New Roman" w:hAnsi="Times New Roman" w:cs="Times New Roman" w:eastAsiaTheme="majorEastAsia"/>
                      <w:color w:val="auto"/>
                      <w:sz w:val="18"/>
                      <w:szCs w:val="18"/>
                    </w:rPr>
                    <w:t>可行</w:t>
                  </w:r>
                </w:p>
              </w:tc>
            </w:tr>
          </w:tbl>
          <w:p w14:paraId="462F84A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r>
              <w:rPr>
                <w:rFonts w:hint="default" w:ascii="Times New Roman" w:hAnsi="Times New Roman" w:cs="Times New Roman" w:eastAsiaTheme="majorEastAsia"/>
                <w:b/>
                <w:bCs w:val="0"/>
                <w:color w:val="auto"/>
                <w:szCs w:val="21"/>
                <w:lang w:val="en-US" w:eastAsia="zh-CN"/>
              </w:rPr>
              <w:t>2.</w:t>
            </w:r>
            <w:r>
              <w:rPr>
                <w:rFonts w:hint="eastAsia" w:ascii="Times New Roman" w:hAnsi="Times New Roman" w:cs="Times New Roman" w:eastAsiaTheme="majorEastAsia"/>
                <w:b/>
                <w:bCs w:val="0"/>
                <w:color w:val="auto"/>
                <w:szCs w:val="21"/>
                <w:lang w:val="en-US" w:eastAsia="zh-CN"/>
              </w:rPr>
              <w:t>3</w:t>
            </w:r>
            <w:r>
              <w:rPr>
                <w:rFonts w:hint="default" w:ascii="Times New Roman" w:hAnsi="Times New Roman" w:cs="Times New Roman" w:eastAsiaTheme="majorEastAsia"/>
                <w:b/>
                <w:bCs w:val="0"/>
                <w:color w:val="auto"/>
                <w:szCs w:val="21"/>
                <w:lang w:val="en-US" w:eastAsia="zh-CN"/>
              </w:rPr>
              <w:t>项目主要设备</w:t>
            </w:r>
          </w:p>
          <w:p w14:paraId="0056B05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 w:val="0"/>
                <w:bCs/>
                <w:color w:val="auto"/>
                <w:szCs w:val="21"/>
                <w:lang w:eastAsia="zh-CN"/>
              </w:rPr>
            </w:pPr>
            <w:r>
              <w:rPr>
                <w:rFonts w:hint="default" w:ascii="Times New Roman" w:hAnsi="Times New Roman" w:cs="Times New Roman" w:eastAsiaTheme="majorEastAsia"/>
                <w:b w:val="0"/>
                <w:bCs/>
                <w:color w:val="auto"/>
                <w:szCs w:val="21"/>
                <w:lang w:eastAsia="zh-CN"/>
              </w:rPr>
              <w:t>项目主要设备见下表。</w:t>
            </w:r>
          </w:p>
          <w:p w14:paraId="2F46206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ajorEastAsia"/>
                <w:b/>
                <w:bCs w:val="0"/>
                <w:color w:val="auto"/>
                <w:szCs w:val="21"/>
                <w:vertAlign w:val="baseline"/>
                <w:lang w:val="en-US" w:eastAsia="zh-CN"/>
              </w:rPr>
            </w:pPr>
            <w:r>
              <w:rPr>
                <w:rFonts w:hint="default" w:ascii="Times New Roman" w:hAnsi="Times New Roman" w:cs="Times New Roman" w:eastAsiaTheme="majorEastAsia"/>
                <w:b/>
                <w:bCs w:val="0"/>
                <w:color w:val="auto"/>
                <w:szCs w:val="21"/>
                <w:vertAlign w:val="baseline"/>
                <w:lang w:eastAsia="zh-CN"/>
              </w:rPr>
              <w:t>表</w:t>
            </w:r>
            <w:r>
              <w:rPr>
                <w:rFonts w:hint="default" w:ascii="Times New Roman" w:hAnsi="Times New Roman" w:cs="Times New Roman" w:eastAsiaTheme="majorEastAsia"/>
                <w:b/>
                <w:bCs w:val="0"/>
                <w:color w:val="auto"/>
                <w:szCs w:val="21"/>
                <w:vertAlign w:val="baseline"/>
                <w:lang w:val="en-US" w:eastAsia="zh-CN"/>
              </w:rPr>
              <w:t>2-</w:t>
            </w:r>
            <w:r>
              <w:rPr>
                <w:rFonts w:hint="eastAsia" w:ascii="Times New Roman" w:hAnsi="Times New Roman" w:cs="Times New Roman" w:eastAsiaTheme="majorEastAsia"/>
                <w:b/>
                <w:bCs w:val="0"/>
                <w:color w:val="auto"/>
                <w:szCs w:val="21"/>
                <w:vertAlign w:val="baseline"/>
                <w:lang w:val="en-US" w:eastAsia="zh-CN"/>
              </w:rPr>
              <w:t>4</w:t>
            </w:r>
            <w:r>
              <w:rPr>
                <w:rFonts w:hint="default" w:ascii="Times New Roman" w:hAnsi="Times New Roman" w:cs="Times New Roman" w:eastAsiaTheme="majorEastAsia"/>
                <w:b/>
                <w:bCs w:val="0"/>
                <w:color w:val="auto"/>
                <w:szCs w:val="21"/>
                <w:vertAlign w:val="baseline"/>
                <w:lang w:val="en-US" w:eastAsia="zh-CN"/>
              </w:rPr>
              <w:t xml:space="preserve">   项目主要设备一览表</w:t>
            </w:r>
          </w:p>
          <w:tbl>
            <w:tblPr>
              <w:tblStyle w:val="22"/>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79"/>
              <w:gridCol w:w="1556"/>
              <w:gridCol w:w="1416"/>
              <w:gridCol w:w="804"/>
              <w:gridCol w:w="672"/>
              <w:gridCol w:w="1022"/>
              <w:gridCol w:w="708"/>
            </w:tblGrid>
            <w:tr w14:paraId="4BAD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40B7B39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673" w:type="pct"/>
                  <w:noWrap w:val="0"/>
                  <w:vAlign w:val="center"/>
                </w:tcPr>
                <w:p w14:paraId="47DFD19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位置</w:t>
                  </w:r>
                </w:p>
              </w:tc>
              <w:tc>
                <w:tcPr>
                  <w:tcW w:w="970" w:type="pct"/>
                  <w:noWrap w:val="0"/>
                  <w:vAlign w:val="center"/>
                </w:tcPr>
                <w:p w14:paraId="6EA4CD3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设备名称</w:t>
                  </w:r>
                </w:p>
              </w:tc>
              <w:tc>
                <w:tcPr>
                  <w:tcW w:w="883" w:type="pct"/>
                  <w:noWrap w:val="0"/>
                  <w:vAlign w:val="center"/>
                </w:tcPr>
                <w:p w14:paraId="057A4C4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规格型号</w:t>
                  </w:r>
                </w:p>
              </w:tc>
              <w:tc>
                <w:tcPr>
                  <w:tcW w:w="501" w:type="pct"/>
                  <w:noWrap w:val="0"/>
                  <w:vAlign w:val="center"/>
                </w:tcPr>
                <w:p w14:paraId="1415AFC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单位</w:t>
                  </w:r>
                </w:p>
              </w:tc>
              <w:tc>
                <w:tcPr>
                  <w:tcW w:w="419" w:type="pct"/>
                  <w:noWrap w:val="0"/>
                  <w:vAlign w:val="center"/>
                </w:tcPr>
                <w:p w14:paraId="21BEA79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数量</w:t>
                  </w:r>
                </w:p>
              </w:tc>
              <w:tc>
                <w:tcPr>
                  <w:tcW w:w="637" w:type="pct"/>
                  <w:noWrap w:val="0"/>
                  <w:vAlign w:val="center"/>
                </w:tcPr>
                <w:p w14:paraId="3340ED0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用途</w:t>
                  </w:r>
                </w:p>
              </w:tc>
              <w:tc>
                <w:tcPr>
                  <w:tcW w:w="441" w:type="pct"/>
                  <w:noWrap w:val="0"/>
                  <w:vAlign w:val="center"/>
                </w:tcPr>
                <w:p w14:paraId="01AAD3C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备注</w:t>
                  </w:r>
                </w:p>
              </w:tc>
            </w:tr>
            <w:tr w14:paraId="6744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1A80008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673" w:type="pct"/>
                  <w:noWrap w:val="0"/>
                  <w:vAlign w:val="center"/>
                </w:tcPr>
                <w:p w14:paraId="7F65C1B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DR室</w:t>
                  </w:r>
                </w:p>
              </w:tc>
              <w:tc>
                <w:tcPr>
                  <w:tcW w:w="970" w:type="pct"/>
                  <w:noWrap w:val="0"/>
                  <w:vAlign w:val="center"/>
                </w:tcPr>
                <w:p w14:paraId="63382EA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DR</w:t>
                  </w:r>
                  <w:r>
                    <w:rPr>
                      <w:rFonts w:hint="eastAsia" w:ascii="Times New Roman" w:hAnsi="Times New Roman" w:cs="Times New Roman"/>
                      <w:color w:val="auto"/>
                      <w:sz w:val="18"/>
                      <w:szCs w:val="18"/>
                      <w:highlight w:val="none"/>
                      <w:lang w:val="en-US" w:eastAsia="zh-CN"/>
                    </w:rPr>
                    <w:t>机</w:t>
                  </w:r>
                </w:p>
              </w:tc>
              <w:tc>
                <w:tcPr>
                  <w:tcW w:w="883" w:type="pct"/>
                  <w:noWrap w:val="0"/>
                  <w:vAlign w:val="center"/>
                </w:tcPr>
                <w:p w14:paraId="1F27DAD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221A99A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419" w:type="pct"/>
                  <w:noWrap w:val="0"/>
                  <w:vAlign w:val="center"/>
                </w:tcPr>
                <w:p w14:paraId="787E51E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37" w:type="pct"/>
                  <w:noWrap w:val="0"/>
                  <w:vAlign w:val="center"/>
                </w:tcPr>
                <w:p w14:paraId="11E2DA3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放射检查</w:t>
                  </w:r>
                </w:p>
              </w:tc>
              <w:tc>
                <w:tcPr>
                  <w:tcW w:w="441" w:type="pct"/>
                  <w:noWrap w:val="0"/>
                  <w:vAlign w:val="center"/>
                </w:tcPr>
                <w:p w14:paraId="4A1A2E7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76C1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3908A56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673" w:type="pct"/>
                  <w:vMerge w:val="restart"/>
                  <w:noWrap w:val="0"/>
                  <w:vAlign w:val="center"/>
                </w:tcPr>
                <w:p w14:paraId="400A5D0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化验室</w:t>
                  </w:r>
                </w:p>
              </w:tc>
              <w:tc>
                <w:tcPr>
                  <w:tcW w:w="970" w:type="pct"/>
                  <w:noWrap w:val="0"/>
                  <w:vAlign w:val="center"/>
                </w:tcPr>
                <w:p w14:paraId="6C6C075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显微镜</w:t>
                  </w:r>
                </w:p>
              </w:tc>
              <w:tc>
                <w:tcPr>
                  <w:tcW w:w="883" w:type="pct"/>
                  <w:noWrap w:val="0"/>
                  <w:vAlign w:val="center"/>
                </w:tcPr>
                <w:p w14:paraId="787F7E0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noWrap w:val="0"/>
                  <w:vAlign w:val="center"/>
                </w:tcPr>
                <w:p w14:paraId="49107CF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419" w:type="pct"/>
                  <w:noWrap w:val="0"/>
                  <w:vAlign w:val="center"/>
                </w:tcPr>
                <w:p w14:paraId="14342DE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37" w:type="pct"/>
                  <w:noWrap w:val="0"/>
                  <w:vAlign w:val="center"/>
                </w:tcPr>
                <w:p w14:paraId="4CE4139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用于血检、粪检</w:t>
                  </w:r>
                </w:p>
              </w:tc>
              <w:tc>
                <w:tcPr>
                  <w:tcW w:w="441" w:type="pct"/>
                  <w:noWrap w:val="0"/>
                  <w:vAlign w:val="center"/>
                </w:tcPr>
                <w:p w14:paraId="1EB7000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2577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0823907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c>
                <w:tcPr>
                  <w:tcW w:w="673" w:type="pct"/>
                  <w:vMerge w:val="continue"/>
                  <w:noWrap w:val="0"/>
                  <w:vAlign w:val="center"/>
                </w:tcPr>
                <w:p w14:paraId="08A80D41">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noWrap w:val="0"/>
                  <w:vAlign w:val="center"/>
                </w:tcPr>
                <w:p w14:paraId="15AB837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抗体检测</w:t>
                  </w:r>
                  <w:r>
                    <w:rPr>
                      <w:rFonts w:hint="eastAsia" w:ascii="Times New Roman" w:hAnsi="Times New Roman" w:eastAsia="宋体" w:cs="Times New Roman"/>
                      <w:color w:val="auto"/>
                      <w:sz w:val="18"/>
                      <w:szCs w:val="18"/>
                      <w:highlight w:val="none"/>
                      <w:lang w:val="en-US" w:eastAsia="zh-CN"/>
                    </w:rPr>
                    <w:t>仪</w:t>
                  </w:r>
                </w:p>
              </w:tc>
              <w:tc>
                <w:tcPr>
                  <w:tcW w:w="883" w:type="pct"/>
                  <w:noWrap w:val="0"/>
                  <w:vAlign w:val="center"/>
                </w:tcPr>
                <w:p w14:paraId="3DCAB4D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2BD5F963">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bookmarkStart w:id="35" w:name="OLE_LINK4"/>
                  <w:r>
                    <w:rPr>
                      <w:rFonts w:hint="default" w:ascii="Times New Roman" w:hAnsi="Times New Roman" w:eastAsia="宋体" w:cs="Times New Roman"/>
                      <w:color w:val="auto"/>
                      <w:sz w:val="18"/>
                      <w:szCs w:val="18"/>
                      <w:highlight w:val="none"/>
                      <w:lang w:val="en-US" w:eastAsia="zh-CN"/>
                    </w:rPr>
                    <w:t>台</w:t>
                  </w:r>
                  <w:bookmarkEnd w:id="35"/>
                </w:p>
              </w:tc>
              <w:tc>
                <w:tcPr>
                  <w:tcW w:w="419" w:type="pct"/>
                  <w:noWrap w:val="0"/>
                  <w:vAlign w:val="center"/>
                </w:tcPr>
                <w:p w14:paraId="71C2ABF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noWrap w:val="0"/>
                  <w:vAlign w:val="center"/>
                </w:tcPr>
                <w:p w14:paraId="05E2A5E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疫苗抗体检测</w:t>
                  </w:r>
                </w:p>
              </w:tc>
              <w:tc>
                <w:tcPr>
                  <w:tcW w:w="441" w:type="pct"/>
                  <w:noWrap w:val="0"/>
                  <w:vAlign w:val="center"/>
                </w:tcPr>
                <w:p w14:paraId="764870F5">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6E3D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40CD40A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w:t>
                  </w:r>
                </w:p>
              </w:tc>
              <w:tc>
                <w:tcPr>
                  <w:tcW w:w="673" w:type="pct"/>
                  <w:vMerge w:val="continue"/>
                  <w:noWrap w:val="0"/>
                  <w:vAlign w:val="center"/>
                </w:tcPr>
                <w:p w14:paraId="5EB73CF3">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66E2B29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PCR检测仪</w:t>
                  </w:r>
                </w:p>
              </w:tc>
              <w:tc>
                <w:tcPr>
                  <w:tcW w:w="883" w:type="pct"/>
                  <w:shd w:val="clear" w:color="auto" w:fill="auto"/>
                  <w:noWrap w:val="0"/>
                  <w:vAlign w:val="center"/>
                </w:tcPr>
                <w:p w14:paraId="0F6CEB9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501" w:type="pct"/>
                  <w:shd w:val="clear" w:color="auto" w:fill="auto"/>
                  <w:noWrap w:val="0"/>
                  <w:vAlign w:val="center"/>
                </w:tcPr>
                <w:p w14:paraId="14143B3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419" w:type="pct"/>
                  <w:shd w:val="clear" w:color="auto" w:fill="auto"/>
                  <w:noWrap w:val="0"/>
                  <w:vAlign w:val="center"/>
                </w:tcPr>
                <w:p w14:paraId="17789C2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w:t>
                  </w:r>
                </w:p>
              </w:tc>
              <w:tc>
                <w:tcPr>
                  <w:tcW w:w="637" w:type="pct"/>
                  <w:shd w:val="clear" w:color="auto" w:fill="auto"/>
                  <w:noWrap w:val="0"/>
                  <w:vAlign w:val="center"/>
                </w:tcPr>
                <w:p w14:paraId="7CFBD7C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核酸检测</w:t>
                  </w:r>
                </w:p>
              </w:tc>
              <w:tc>
                <w:tcPr>
                  <w:tcW w:w="441" w:type="pct"/>
                  <w:shd w:val="clear" w:color="auto" w:fill="auto"/>
                  <w:noWrap w:val="0"/>
                  <w:vAlign w:val="center"/>
                </w:tcPr>
                <w:p w14:paraId="32DB67B2">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利旧</w:t>
                  </w:r>
                </w:p>
              </w:tc>
            </w:tr>
            <w:tr w14:paraId="1710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72AA079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673" w:type="pct"/>
                  <w:vMerge w:val="continue"/>
                  <w:noWrap w:val="0"/>
                  <w:vAlign w:val="center"/>
                </w:tcPr>
                <w:p w14:paraId="3F7EE0D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noWrap w:val="0"/>
                  <w:vAlign w:val="center"/>
                </w:tcPr>
                <w:p w14:paraId="366D125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手提式高压蒸汽灭菌器</w:t>
                  </w:r>
                </w:p>
              </w:tc>
              <w:tc>
                <w:tcPr>
                  <w:tcW w:w="883" w:type="pct"/>
                  <w:noWrap w:val="0"/>
                  <w:vAlign w:val="center"/>
                </w:tcPr>
                <w:p w14:paraId="64CD91D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5268493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noWrap w:val="0"/>
                  <w:vAlign w:val="center"/>
                </w:tcPr>
                <w:p w14:paraId="63E6238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noWrap w:val="0"/>
                  <w:vAlign w:val="center"/>
                </w:tcPr>
                <w:p w14:paraId="6A4435B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器具消毒</w:t>
                  </w:r>
                </w:p>
              </w:tc>
              <w:tc>
                <w:tcPr>
                  <w:tcW w:w="441" w:type="pct"/>
                  <w:noWrap w:val="0"/>
                  <w:vAlign w:val="center"/>
                </w:tcPr>
                <w:p w14:paraId="1F8E32F3">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01B2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38F6F41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w:t>
                  </w:r>
                </w:p>
              </w:tc>
              <w:tc>
                <w:tcPr>
                  <w:tcW w:w="673" w:type="pct"/>
                  <w:vMerge w:val="continue"/>
                  <w:noWrap w:val="0"/>
                  <w:vAlign w:val="center"/>
                </w:tcPr>
                <w:p w14:paraId="65CF364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p>
              </w:tc>
              <w:tc>
                <w:tcPr>
                  <w:tcW w:w="970" w:type="pct"/>
                  <w:noWrap w:val="0"/>
                  <w:vAlign w:val="center"/>
                </w:tcPr>
                <w:p w14:paraId="4AD44F1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生化分析仪</w:t>
                  </w:r>
                </w:p>
              </w:tc>
              <w:tc>
                <w:tcPr>
                  <w:tcW w:w="883" w:type="pct"/>
                  <w:noWrap w:val="0"/>
                  <w:vAlign w:val="center"/>
                </w:tcPr>
                <w:p w14:paraId="61FD017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63153FB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noWrap w:val="0"/>
                  <w:vAlign w:val="center"/>
                </w:tcPr>
                <w:p w14:paraId="6E7CBDCF">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noWrap w:val="0"/>
                  <w:vAlign w:val="center"/>
                </w:tcPr>
                <w:p w14:paraId="0B93A2E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肝肾功能检查</w:t>
                  </w:r>
                </w:p>
              </w:tc>
              <w:tc>
                <w:tcPr>
                  <w:tcW w:w="441" w:type="pct"/>
                  <w:noWrap w:val="0"/>
                  <w:vAlign w:val="center"/>
                </w:tcPr>
                <w:p w14:paraId="6CA3CEA7">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7B67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581DE04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w:t>
                  </w:r>
                </w:p>
              </w:tc>
              <w:tc>
                <w:tcPr>
                  <w:tcW w:w="673" w:type="pct"/>
                  <w:vMerge w:val="continue"/>
                  <w:noWrap w:val="0"/>
                  <w:vAlign w:val="center"/>
                </w:tcPr>
                <w:p w14:paraId="47EB9AE1">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p>
              </w:tc>
              <w:tc>
                <w:tcPr>
                  <w:tcW w:w="970" w:type="pct"/>
                  <w:noWrap w:val="0"/>
                  <w:vAlign w:val="center"/>
                </w:tcPr>
                <w:p w14:paraId="0D1B554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血常规分析仪</w:t>
                  </w:r>
                </w:p>
              </w:tc>
              <w:tc>
                <w:tcPr>
                  <w:tcW w:w="883" w:type="pct"/>
                  <w:noWrap w:val="0"/>
                  <w:vAlign w:val="center"/>
                </w:tcPr>
                <w:p w14:paraId="24E6EBC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658621D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noWrap w:val="0"/>
                  <w:vAlign w:val="center"/>
                </w:tcPr>
                <w:p w14:paraId="1B83AB4F">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p>
              </w:tc>
              <w:tc>
                <w:tcPr>
                  <w:tcW w:w="637" w:type="pct"/>
                  <w:noWrap w:val="0"/>
                  <w:vAlign w:val="center"/>
                </w:tcPr>
                <w:p w14:paraId="1C22232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血球分析</w:t>
                  </w:r>
                </w:p>
              </w:tc>
              <w:tc>
                <w:tcPr>
                  <w:tcW w:w="441" w:type="pct"/>
                  <w:noWrap w:val="0"/>
                  <w:vAlign w:val="center"/>
                </w:tcPr>
                <w:p w14:paraId="3FB30EF5">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27C6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497945B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w:t>
                  </w:r>
                </w:p>
              </w:tc>
              <w:tc>
                <w:tcPr>
                  <w:tcW w:w="673" w:type="pct"/>
                  <w:vMerge w:val="continue"/>
                  <w:noWrap w:val="0"/>
                  <w:vAlign w:val="center"/>
                </w:tcPr>
                <w:p w14:paraId="6B95CBD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p>
              </w:tc>
              <w:tc>
                <w:tcPr>
                  <w:tcW w:w="970" w:type="pct"/>
                  <w:noWrap w:val="0"/>
                  <w:vAlign w:val="center"/>
                </w:tcPr>
                <w:p w14:paraId="49A7050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B超机</w:t>
                  </w:r>
                </w:p>
              </w:tc>
              <w:tc>
                <w:tcPr>
                  <w:tcW w:w="883" w:type="pct"/>
                  <w:noWrap w:val="0"/>
                  <w:vAlign w:val="center"/>
                </w:tcPr>
                <w:p w14:paraId="2815300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7C885E9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75B270C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w:t>
                  </w:r>
                </w:p>
              </w:tc>
              <w:tc>
                <w:tcPr>
                  <w:tcW w:w="637" w:type="pct"/>
                  <w:noWrap w:val="0"/>
                  <w:vAlign w:val="center"/>
                </w:tcPr>
                <w:p w14:paraId="1505D74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腹腔器官检查</w:t>
                  </w:r>
                </w:p>
              </w:tc>
              <w:tc>
                <w:tcPr>
                  <w:tcW w:w="441" w:type="pct"/>
                  <w:noWrap w:val="0"/>
                  <w:vAlign w:val="center"/>
                </w:tcPr>
                <w:p w14:paraId="3696173E">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5924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7DDD19C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w:t>
                  </w:r>
                </w:p>
              </w:tc>
              <w:tc>
                <w:tcPr>
                  <w:tcW w:w="673" w:type="pct"/>
                  <w:vMerge w:val="restart"/>
                  <w:noWrap w:val="0"/>
                  <w:vAlign w:val="center"/>
                </w:tcPr>
                <w:p w14:paraId="5557324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手术室</w:t>
                  </w:r>
                </w:p>
              </w:tc>
              <w:tc>
                <w:tcPr>
                  <w:tcW w:w="970" w:type="pct"/>
                  <w:noWrap w:val="0"/>
                  <w:vAlign w:val="center"/>
                </w:tcPr>
                <w:p w14:paraId="0DA1F2F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手术台</w:t>
                  </w:r>
                </w:p>
              </w:tc>
              <w:tc>
                <w:tcPr>
                  <w:tcW w:w="883" w:type="pct"/>
                  <w:noWrap w:val="0"/>
                  <w:vAlign w:val="center"/>
                </w:tcPr>
                <w:p w14:paraId="7F3AC0E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729393A1">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419" w:type="pct"/>
                  <w:noWrap w:val="0"/>
                  <w:vAlign w:val="center"/>
                </w:tcPr>
                <w:p w14:paraId="7D75911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637" w:type="pct"/>
                  <w:noWrap w:val="0"/>
                  <w:vAlign w:val="center"/>
                </w:tcPr>
                <w:p w14:paraId="7596128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手术</w:t>
                  </w:r>
                </w:p>
              </w:tc>
              <w:tc>
                <w:tcPr>
                  <w:tcW w:w="441" w:type="pct"/>
                  <w:noWrap w:val="0"/>
                  <w:vAlign w:val="center"/>
                </w:tcPr>
                <w:p w14:paraId="5B937BCC">
                  <w:pPr>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1BAB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21693EF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673" w:type="pct"/>
                  <w:vMerge w:val="continue"/>
                  <w:noWrap w:val="0"/>
                  <w:vAlign w:val="center"/>
                </w:tcPr>
                <w:p w14:paraId="694B45C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noWrap w:val="0"/>
                  <w:vAlign w:val="center"/>
                </w:tcPr>
                <w:p w14:paraId="36884DA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监护仪</w:t>
                  </w:r>
                </w:p>
              </w:tc>
              <w:tc>
                <w:tcPr>
                  <w:tcW w:w="883" w:type="pct"/>
                  <w:noWrap w:val="0"/>
                  <w:vAlign w:val="center"/>
                </w:tcPr>
                <w:p w14:paraId="049EEB8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1F0978F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台</w:t>
                  </w:r>
                </w:p>
              </w:tc>
              <w:tc>
                <w:tcPr>
                  <w:tcW w:w="419" w:type="pct"/>
                  <w:noWrap w:val="0"/>
                  <w:vAlign w:val="center"/>
                </w:tcPr>
                <w:p w14:paraId="6E40BDD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637" w:type="pct"/>
                  <w:noWrap w:val="0"/>
                  <w:vAlign w:val="center"/>
                </w:tcPr>
                <w:p w14:paraId="4D04F86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心电监护</w:t>
                  </w:r>
                </w:p>
              </w:tc>
              <w:tc>
                <w:tcPr>
                  <w:tcW w:w="441" w:type="pct"/>
                  <w:noWrap w:val="0"/>
                  <w:vAlign w:val="center"/>
                </w:tcPr>
                <w:p w14:paraId="3D14BE5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1E18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trPr>
              <w:tc>
                <w:tcPr>
                  <w:tcW w:w="473" w:type="pct"/>
                  <w:noWrap w:val="0"/>
                  <w:vAlign w:val="center"/>
                </w:tcPr>
                <w:p w14:paraId="5C80A56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11</w:t>
                  </w:r>
                </w:p>
              </w:tc>
              <w:tc>
                <w:tcPr>
                  <w:tcW w:w="673" w:type="pct"/>
                  <w:vMerge w:val="continue"/>
                  <w:noWrap w:val="0"/>
                  <w:vAlign w:val="center"/>
                </w:tcPr>
                <w:p w14:paraId="5E797C4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717E949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麻醉机</w:t>
                  </w:r>
                </w:p>
              </w:tc>
              <w:tc>
                <w:tcPr>
                  <w:tcW w:w="883" w:type="pct"/>
                  <w:shd w:val="clear" w:color="auto" w:fill="auto"/>
                  <w:noWrap w:val="0"/>
                  <w:vAlign w:val="center"/>
                </w:tcPr>
                <w:p w14:paraId="04B361F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501" w:type="pct"/>
                  <w:shd w:val="clear" w:color="auto" w:fill="auto"/>
                  <w:noWrap w:val="0"/>
                  <w:vAlign w:val="center"/>
                </w:tcPr>
                <w:p w14:paraId="75C6E0B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台</w:t>
                  </w:r>
                </w:p>
              </w:tc>
              <w:tc>
                <w:tcPr>
                  <w:tcW w:w="419" w:type="pct"/>
                  <w:shd w:val="clear" w:color="auto" w:fill="auto"/>
                  <w:noWrap w:val="0"/>
                  <w:vAlign w:val="center"/>
                </w:tcPr>
                <w:p w14:paraId="6FAE242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w:t>
                  </w:r>
                </w:p>
              </w:tc>
              <w:tc>
                <w:tcPr>
                  <w:tcW w:w="637" w:type="pct"/>
                  <w:shd w:val="clear" w:color="auto" w:fill="auto"/>
                  <w:noWrap w:val="0"/>
                  <w:vAlign w:val="center"/>
                </w:tcPr>
                <w:p w14:paraId="6B67191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手术</w:t>
                  </w:r>
                </w:p>
              </w:tc>
              <w:tc>
                <w:tcPr>
                  <w:tcW w:w="441" w:type="pct"/>
                  <w:shd w:val="clear" w:color="auto" w:fill="auto"/>
                  <w:noWrap w:val="0"/>
                  <w:vAlign w:val="center"/>
                </w:tcPr>
                <w:p w14:paraId="03215281">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利旧</w:t>
                  </w:r>
                </w:p>
              </w:tc>
            </w:tr>
            <w:tr w14:paraId="3E49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5E4B20C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w:t>
                  </w:r>
                </w:p>
              </w:tc>
              <w:tc>
                <w:tcPr>
                  <w:tcW w:w="673" w:type="pct"/>
                  <w:vMerge w:val="continue"/>
                  <w:noWrap w:val="0"/>
                  <w:vAlign w:val="center"/>
                </w:tcPr>
                <w:p w14:paraId="147CB07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7D7B160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内窥镜</w:t>
                  </w:r>
                </w:p>
              </w:tc>
              <w:tc>
                <w:tcPr>
                  <w:tcW w:w="883" w:type="pct"/>
                  <w:shd w:val="clear" w:color="auto" w:fill="auto"/>
                  <w:noWrap w:val="0"/>
                  <w:vAlign w:val="center"/>
                </w:tcPr>
                <w:p w14:paraId="2222710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216CAA51">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6DE002B0">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3401C60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胸腔/</w:t>
                  </w:r>
                  <w:r>
                    <w:rPr>
                      <w:rFonts w:hint="eastAsia" w:ascii="Times New Roman" w:hAnsi="Times New Roman" w:eastAsia="宋体" w:cs="Times New Roman"/>
                      <w:color w:val="auto"/>
                      <w:sz w:val="18"/>
                      <w:szCs w:val="18"/>
                      <w:highlight w:val="none"/>
                      <w:lang w:val="en-US" w:eastAsia="zh-CN"/>
                    </w:rPr>
                    <w:t>腹腔手术</w:t>
                  </w:r>
                </w:p>
              </w:tc>
              <w:tc>
                <w:tcPr>
                  <w:tcW w:w="441" w:type="pct"/>
                  <w:shd w:val="clear" w:color="auto" w:fill="auto"/>
                  <w:noWrap w:val="0"/>
                  <w:vAlign w:val="center"/>
                </w:tcPr>
                <w:p w14:paraId="49BE9C3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新增</w:t>
                  </w:r>
                </w:p>
              </w:tc>
            </w:tr>
            <w:tr w14:paraId="5E1C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55985224">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w:t>
                  </w:r>
                </w:p>
              </w:tc>
              <w:tc>
                <w:tcPr>
                  <w:tcW w:w="673" w:type="pct"/>
                  <w:vMerge w:val="continue"/>
                  <w:noWrap w:val="0"/>
                  <w:vAlign w:val="center"/>
                </w:tcPr>
                <w:p w14:paraId="2EA02AE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42FC5EA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简易ICU</w:t>
                  </w:r>
                </w:p>
              </w:tc>
              <w:tc>
                <w:tcPr>
                  <w:tcW w:w="883" w:type="pct"/>
                  <w:shd w:val="clear" w:color="auto" w:fill="auto"/>
                  <w:noWrap w:val="0"/>
                  <w:vAlign w:val="center"/>
                </w:tcPr>
                <w:p w14:paraId="61829D7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19D7921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493A02D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4ABB482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紧急抢救</w:t>
                  </w:r>
                </w:p>
              </w:tc>
              <w:tc>
                <w:tcPr>
                  <w:tcW w:w="441" w:type="pct"/>
                  <w:shd w:val="clear" w:color="auto" w:fill="auto"/>
                  <w:noWrap w:val="0"/>
                  <w:vAlign w:val="center"/>
                </w:tcPr>
                <w:p w14:paraId="1EB1A95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新增</w:t>
                  </w:r>
                </w:p>
              </w:tc>
            </w:tr>
            <w:tr w14:paraId="1D82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4988B85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cs="Times New Roman"/>
                      <w:color w:val="auto"/>
                      <w:sz w:val="18"/>
                      <w:szCs w:val="18"/>
                      <w:highlight w:val="none"/>
                      <w:lang w:val="en-US" w:eastAsia="zh-CN"/>
                    </w:rPr>
                  </w:pPr>
                </w:p>
              </w:tc>
              <w:tc>
                <w:tcPr>
                  <w:tcW w:w="673" w:type="pct"/>
                  <w:vMerge w:val="continue"/>
                  <w:noWrap w:val="0"/>
                  <w:vAlign w:val="center"/>
                </w:tcPr>
                <w:p w14:paraId="0BA122C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63A41C0B">
                  <w:pPr>
                    <w:pStyle w:val="64"/>
                    <w:keepNext w:val="0"/>
                    <w:keepLines w:val="0"/>
                    <w:pageBreakBefore w:val="0"/>
                    <w:suppressLineNumbers w:val="0"/>
                    <w:kinsoku/>
                    <w:wordWrap/>
                    <w:overflowPunct/>
                    <w:topLinePunct w:val="0"/>
                    <w:autoSpaceDE/>
                    <w:autoSpaceDN/>
                    <w:bidi w:val="0"/>
                    <w:adjustRightInd/>
                    <w:snapToGrid/>
                    <w:spacing w:beforeLines="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颅腔手术器械（开颅钻、骨凿、骨钳、脑压板、显微器械等。）</w:t>
                  </w:r>
                </w:p>
              </w:tc>
              <w:tc>
                <w:tcPr>
                  <w:tcW w:w="883" w:type="pct"/>
                  <w:shd w:val="clear" w:color="auto" w:fill="auto"/>
                  <w:noWrap w:val="0"/>
                  <w:vAlign w:val="center"/>
                </w:tcPr>
                <w:p w14:paraId="25F0985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59ABE28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42A00E8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39DF29F3">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颅腔手术</w:t>
                  </w:r>
                </w:p>
              </w:tc>
              <w:tc>
                <w:tcPr>
                  <w:tcW w:w="441" w:type="pct"/>
                  <w:shd w:val="clear" w:color="auto" w:fill="auto"/>
                  <w:noWrap w:val="0"/>
                  <w:vAlign w:val="center"/>
                </w:tcPr>
                <w:p w14:paraId="0636BCA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新增</w:t>
                  </w:r>
                </w:p>
              </w:tc>
            </w:tr>
            <w:tr w14:paraId="57DA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5AD80FA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cs="Times New Roman"/>
                      <w:color w:val="auto"/>
                      <w:sz w:val="18"/>
                      <w:szCs w:val="18"/>
                      <w:highlight w:val="none"/>
                      <w:lang w:val="en-US" w:eastAsia="zh-CN"/>
                    </w:rPr>
                  </w:pPr>
                </w:p>
              </w:tc>
              <w:tc>
                <w:tcPr>
                  <w:tcW w:w="673" w:type="pct"/>
                  <w:vMerge w:val="continue"/>
                  <w:noWrap w:val="0"/>
                  <w:vAlign w:val="center"/>
                </w:tcPr>
                <w:p w14:paraId="5004998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7C5816CC">
                  <w:pPr>
                    <w:pStyle w:val="64"/>
                    <w:keepNext w:val="0"/>
                    <w:keepLines w:val="0"/>
                    <w:pageBreakBefore w:val="0"/>
                    <w:suppressLineNumbers w:val="0"/>
                    <w:kinsoku/>
                    <w:wordWrap/>
                    <w:overflowPunct/>
                    <w:topLinePunct w:val="0"/>
                    <w:autoSpaceDE/>
                    <w:autoSpaceDN/>
                    <w:bidi w:val="0"/>
                    <w:adjustRightInd/>
                    <w:snapToGrid/>
                    <w:spacing w:beforeLines="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胸腔手术器械（肋骨撑开器、胸腔镜、肺钳、血管夹等）</w:t>
                  </w:r>
                </w:p>
              </w:tc>
              <w:tc>
                <w:tcPr>
                  <w:tcW w:w="883" w:type="pct"/>
                  <w:shd w:val="clear" w:color="auto" w:fill="auto"/>
                  <w:noWrap w:val="0"/>
                  <w:vAlign w:val="center"/>
                </w:tcPr>
                <w:p w14:paraId="7F1A356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761D799F">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6CBEFFF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5437775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胸腔手术</w:t>
                  </w:r>
                </w:p>
              </w:tc>
              <w:tc>
                <w:tcPr>
                  <w:tcW w:w="441" w:type="pct"/>
                  <w:shd w:val="clear" w:color="auto" w:fill="auto"/>
                  <w:noWrap w:val="0"/>
                  <w:vAlign w:val="center"/>
                </w:tcPr>
                <w:p w14:paraId="57C8905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新增</w:t>
                  </w:r>
                </w:p>
              </w:tc>
            </w:tr>
            <w:tr w14:paraId="6581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1D97BF2F">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cs="Times New Roman"/>
                      <w:color w:val="auto"/>
                      <w:sz w:val="18"/>
                      <w:szCs w:val="18"/>
                      <w:highlight w:val="none"/>
                      <w:lang w:val="en-US" w:eastAsia="zh-CN"/>
                    </w:rPr>
                  </w:pPr>
                </w:p>
              </w:tc>
              <w:tc>
                <w:tcPr>
                  <w:tcW w:w="673" w:type="pct"/>
                  <w:vMerge w:val="continue"/>
                  <w:noWrap w:val="0"/>
                  <w:vAlign w:val="center"/>
                </w:tcPr>
                <w:p w14:paraId="11EE595E">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63353CD0">
                  <w:pPr>
                    <w:pStyle w:val="64"/>
                    <w:keepNext w:val="0"/>
                    <w:keepLines w:val="0"/>
                    <w:pageBreakBefore w:val="0"/>
                    <w:suppressLineNumbers w:val="0"/>
                    <w:kinsoku/>
                    <w:wordWrap/>
                    <w:overflowPunct/>
                    <w:topLinePunct w:val="0"/>
                    <w:autoSpaceDE/>
                    <w:autoSpaceDN/>
                    <w:bidi w:val="0"/>
                    <w:adjustRightInd/>
                    <w:snapToGrid/>
                    <w:spacing w:beforeLines="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腹腔手术器械（腹腔镜、肠钳、肝拉钩、血管夹等）</w:t>
                  </w:r>
                </w:p>
              </w:tc>
              <w:tc>
                <w:tcPr>
                  <w:tcW w:w="883" w:type="pct"/>
                  <w:shd w:val="clear" w:color="auto" w:fill="auto"/>
                  <w:noWrap w:val="0"/>
                  <w:vAlign w:val="center"/>
                </w:tcPr>
                <w:p w14:paraId="7F36175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37248C6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4B870A4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21C9DA3F">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腹腔手术</w:t>
                  </w:r>
                </w:p>
              </w:tc>
              <w:tc>
                <w:tcPr>
                  <w:tcW w:w="441" w:type="pct"/>
                  <w:shd w:val="clear" w:color="auto" w:fill="auto"/>
                  <w:noWrap w:val="0"/>
                  <w:vAlign w:val="center"/>
                </w:tcPr>
                <w:p w14:paraId="46F9416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新增</w:t>
                  </w:r>
                </w:p>
              </w:tc>
            </w:tr>
            <w:tr w14:paraId="6A08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23F52DD3">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14</w:t>
                  </w:r>
                </w:p>
              </w:tc>
              <w:tc>
                <w:tcPr>
                  <w:tcW w:w="673" w:type="pct"/>
                  <w:vMerge w:val="continue"/>
                  <w:noWrap w:val="0"/>
                  <w:vAlign w:val="center"/>
                </w:tcPr>
                <w:p w14:paraId="7B778E8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p>
              </w:tc>
              <w:tc>
                <w:tcPr>
                  <w:tcW w:w="970" w:type="pct"/>
                  <w:shd w:val="clear" w:color="auto" w:fill="auto"/>
                  <w:noWrap w:val="0"/>
                  <w:vAlign w:val="center"/>
                </w:tcPr>
                <w:p w14:paraId="0086428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废水消毒设备</w:t>
                  </w:r>
                </w:p>
              </w:tc>
              <w:tc>
                <w:tcPr>
                  <w:tcW w:w="883" w:type="pct"/>
                  <w:shd w:val="clear" w:color="auto" w:fill="auto"/>
                  <w:noWrap w:val="0"/>
                  <w:vAlign w:val="center"/>
                </w:tcPr>
                <w:p w14:paraId="1E11D002">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HB-50,</w:t>
                  </w:r>
                </w:p>
                <w:p w14:paraId="50338B0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氯片消毒</w:t>
                  </w:r>
                </w:p>
              </w:tc>
              <w:tc>
                <w:tcPr>
                  <w:tcW w:w="501" w:type="pct"/>
                  <w:shd w:val="clear" w:color="auto" w:fill="auto"/>
                  <w:noWrap w:val="0"/>
                  <w:vAlign w:val="center"/>
                </w:tcPr>
                <w:p w14:paraId="4290538A">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台</w:t>
                  </w:r>
                </w:p>
              </w:tc>
              <w:tc>
                <w:tcPr>
                  <w:tcW w:w="419" w:type="pct"/>
                  <w:shd w:val="clear" w:color="auto" w:fill="auto"/>
                  <w:noWrap w:val="0"/>
                  <w:vAlign w:val="center"/>
                </w:tcPr>
                <w:p w14:paraId="6C313451">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542656B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医疗废水消毒</w:t>
                  </w:r>
                </w:p>
              </w:tc>
              <w:tc>
                <w:tcPr>
                  <w:tcW w:w="441" w:type="pct"/>
                  <w:shd w:val="clear" w:color="auto" w:fill="auto"/>
                  <w:noWrap w:val="0"/>
                  <w:vAlign w:val="center"/>
                </w:tcPr>
                <w:p w14:paraId="35606E7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新增</w:t>
                  </w:r>
                </w:p>
              </w:tc>
            </w:tr>
            <w:tr w14:paraId="4A2F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78ECF8EB">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15</w:t>
                  </w:r>
                </w:p>
              </w:tc>
              <w:tc>
                <w:tcPr>
                  <w:tcW w:w="673" w:type="pct"/>
                  <w:noWrap w:val="0"/>
                  <w:vAlign w:val="center"/>
                </w:tcPr>
                <w:p w14:paraId="4B6CFA4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住院病房</w:t>
                  </w:r>
                </w:p>
              </w:tc>
              <w:tc>
                <w:tcPr>
                  <w:tcW w:w="970" w:type="pct"/>
                  <w:noWrap w:val="0"/>
                  <w:vAlign w:val="center"/>
                </w:tcPr>
                <w:p w14:paraId="1320868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笼子</w:t>
                  </w:r>
                </w:p>
              </w:tc>
              <w:tc>
                <w:tcPr>
                  <w:tcW w:w="883" w:type="pct"/>
                  <w:noWrap w:val="0"/>
                  <w:vAlign w:val="center"/>
                </w:tcPr>
                <w:p w14:paraId="5DEFFD9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01" w:type="pct"/>
                  <w:noWrap w:val="0"/>
                  <w:vAlign w:val="center"/>
                </w:tcPr>
                <w:p w14:paraId="76D9788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个</w:t>
                  </w:r>
                </w:p>
              </w:tc>
              <w:tc>
                <w:tcPr>
                  <w:tcW w:w="419" w:type="pct"/>
                  <w:noWrap w:val="0"/>
                  <w:vAlign w:val="center"/>
                </w:tcPr>
                <w:p w14:paraId="5C205EA8">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w:t>
                  </w:r>
                </w:p>
              </w:tc>
              <w:tc>
                <w:tcPr>
                  <w:tcW w:w="637" w:type="pct"/>
                  <w:noWrap w:val="0"/>
                  <w:vAlign w:val="center"/>
                </w:tcPr>
                <w:p w14:paraId="1758372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住院</w:t>
                  </w:r>
                </w:p>
              </w:tc>
              <w:tc>
                <w:tcPr>
                  <w:tcW w:w="441" w:type="pct"/>
                  <w:noWrap w:val="0"/>
                  <w:vAlign w:val="center"/>
                </w:tcPr>
                <w:p w14:paraId="65A5CF7F">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利旧</w:t>
                  </w:r>
                </w:p>
              </w:tc>
            </w:tr>
            <w:tr w14:paraId="6450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73" w:type="pct"/>
                  <w:noWrap w:val="0"/>
                  <w:vAlign w:val="center"/>
                </w:tcPr>
                <w:p w14:paraId="5AE3C53D">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w:t>
                  </w:r>
                </w:p>
              </w:tc>
              <w:tc>
                <w:tcPr>
                  <w:tcW w:w="673" w:type="pct"/>
                  <w:noWrap w:val="0"/>
                  <w:vAlign w:val="center"/>
                </w:tcPr>
                <w:p w14:paraId="26B1C52C">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美容室</w:t>
                  </w:r>
                </w:p>
              </w:tc>
              <w:tc>
                <w:tcPr>
                  <w:tcW w:w="970" w:type="pct"/>
                  <w:noWrap w:val="0"/>
                  <w:vAlign w:val="center"/>
                </w:tcPr>
                <w:p w14:paraId="3D93FB1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宠物清洗池</w:t>
                  </w:r>
                </w:p>
              </w:tc>
              <w:tc>
                <w:tcPr>
                  <w:tcW w:w="883" w:type="pct"/>
                  <w:noWrap w:val="0"/>
                  <w:vAlign w:val="center"/>
                </w:tcPr>
                <w:p w14:paraId="0E3765D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right="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01" w:type="pct"/>
                  <w:shd w:val="clear" w:color="auto" w:fill="auto"/>
                  <w:noWrap w:val="0"/>
                  <w:vAlign w:val="center"/>
                </w:tcPr>
                <w:p w14:paraId="6F877055">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个</w:t>
                  </w:r>
                </w:p>
              </w:tc>
              <w:tc>
                <w:tcPr>
                  <w:tcW w:w="419" w:type="pct"/>
                  <w:shd w:val="clear" w:color="auto" w:fill="auto"/>
                  <w:noWrap w:val="0"/>
                  <w:vAlign w:val="center"/>
                </w:tcPr>
                <w:p w14:paraId="00E4EE07">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w:t>
                  </w:r>
                </w:p>
              </w:tc>
              <w:tc>
                <w:tcPr>
                  <w:tcW w:w="637" w:type="pct"/>
                  <w:shd w:val="clear" w:color="auto" w:fill="auto"/>
                  <w:noWrap w:val="0"/>
                  <w:vAlign w:val="center"/>
                </w:tcPr>
                <w:p w14:paraId="35519096">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美容</w:t>
                  </w:r>
                </w:p>
              </w:tc>
              <w:tc>
                <w:tcPr>
                  <w:tcW w:w="441" w:type="pct"/>
                  <w:shd w:val="clear" w:color="auto" w:fill="auto"/>
                  <w:noWrap w:val="0"/>
                  <w:vAlign w:val="center"/>
                </w:tcPr>
                <w:p w14:paraId="7A823349">
                  <w:pPr>
                    <w:pStyle w:val="64"/>
                    <w:keepNext w:val="0"/>
                    <w:keepLines w:val="0"/>
                    <w:pageBreakBefore w:val="0"/>
                    <w:widowControl w:val="0"/>
                    <w:suppressLineNumbers w:val="0"/>
                    <w:kinsoku/>
                    <w:wordWrap/>
                    <w:overflowPunct/>
                    <w:topLinePunct w:val="0"/>
                    <w:autoSpaceDE/>
                    <w:autoSpaceDN/>
                    <w:bidi w:val="0"/>
                    <w:adjustRightInd/>
                    <w:snapToGrid/>
                    <w:spacing w:beforeLines="0" w:beforeAutospacing="0" w:after="0" w:afterAutospacing="0" w:line="280" w:lineRule="exact"/>
                    <w:ind w:left="0" w:leftChars="0" w:right="0" w:rightChars="0"/>
                    <w:textAlignment w:val="auto"/>
                    <w:rPr>
                      <w:rFonts w:hint="eastAsia" w:ascii="Times New Roman" w:hAnsi="Times New Roman" w:eastAsia="宋体" w:cs="Times New Roman"/>
                      <w:snapToGrid w:val="0"/>
                      <w:color w:val="auto"/>
                      <w:kern w:val="0"/>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利旧</w:t>
                  </w:r>
                </w:p>
              </w:tc>
            </w:tr>
          </w:tbl>
          <w:p w14:paraId="75768D5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color w:val="auto"/>
                <w:szCs w:val="21"/>
              </w:rPr>
            </w:pPr>
            <w:r>
              <w:rPr>
                <w:rFonts w:hint="eastAsia" w:ascii="Times New Roman" w:hAnsi="Times New Roman" w:cs="Times New Roman" w:eastAsiaTheme="majorEastAsia"/>
                <w:color w:val="auto"/>
                <w:szCs w:val="21"/>
                <w:lang w:val="en-US" w:eastAsia="zh-CN"/>
              </w:rPr>
              <w:t>以上</w:t>
            </w:r>
            <w:r>
              <w:rPr>
                <w:rFonts w:hint="default" w:ascii="Times New Roman" w:hAnsi="Times New Roman" w:cs="Times New Roman" w:eastAsiaTheme="majorEastAsia"/>
                <w:color w:val="auto"/>
                <w:szCs w:val="21"/>
              </w:rPr>
              <w:t>设备均不属于《产业结构调整指导目录》（20</w:t>
            </w:r>
            <w:r>
              <w:rPr>
                <w:rFonts w:hint="default" w:ascii="Times New Roman" w:hAnsi="Times New Roman" w:cs="Times New Roman" w:eastAsiaTheme="majorEastAsia"/>
                <w:color w:val="auto"/>
                <w:szCs w:val="21"/>
                <w:lang w:val="en-US" w:eastAsia="zh-CN"/>
              </w:rPr>
              <w:t>24</w:t>
            </w:r>
            <w:r>
              <w:rPr>
                <w:rFonts w:hint="default" w:ascii="Times New Roman" w:hAnsi="Times New Roman" w:cs="Times New Roman" w:eastAsiaTheme="majorEastAsia"/>
                <w:color w:val="auto"/>
                <w:szCs w:val="21"/>
              </w:rPr>
              <w:t>年本）及国家明令淘汰用能设备、产品目录中的淘汰落后装备。</w:t>
            </w:r>
          </w:p>
          <w:p w14:paraId="159B84E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 w:val="21"/>
                <w:szCs w:val="21"/>
                <w:lang w:val="en-US" w:eastAsia="zh-CN"/>
              </w:rPr>
            </w:pPr>
            <w:r>
              <w:rPr>
                <w:rFonts w:hint="default" w:ascii="Times New Roman" w:hAnsi="Times New Roman" w:cs="Times New Roman" w:eastAsiaTheme="majorEastAsia"/>
                <w:b/>
                <w:bCs w:val="0"/>
                <w:color w:val="auto"/>
                <w:sz w:val="21"/>
                <w:szCs w:val="21"/>
                <w:lang w:val="en-US" w:eastAsia="zh-CN"/>
              </w:rPr>
              <w:t>2.</w:t>
            </w:r>
            <w:r>
              <w:rPr>
                <w:rFonts w:hint="eastAsia" w:ascii="Times New Roman" w:hAnsi="Times New Roman" w:cs="Times New Roman" w:eastAsiaTheme="majorEastAsia"/>
                <w:b/>
                <w:bCs w:val="0"/>
                <w:color w:val="auto"/>
                <w:sz w:val="21"/>
                <w:szCs w:val="21"/>
                <w:lang w:val="en-US" w:eastAsia="zh-CN"/>
              </w:rPr>
              <w:t>4</w:t>
            </w:r>
            <w:r>
              <w:rPr>
                <w:rFonts w:hint="default" w:ascii="Times New Roman" w:hAnsi="Times New Roman" w:cs="Times New Roman" w:eastAsiaTheme="majorEastAsia"/>
                <w:b/>
                <w:bCs w:val="0"/>
                <w:color w:val="auto"/>
                <w:sz w:val="21"/>
                <w:szCs w:val="21"/>
                <w:lang w:val="en-US" w:eastAsia="zh-CN"/>
              </w:rPr>
              <w:t xml:space="preserve">主要原辅料及年耗量  </w:t>
            </w:r>
          </w:p>
          <w:p w14:paraId="3EE16C3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eastAsiaTheme="majorEastAsia"/>
                <w:b w:val="0"/>
                <w:bCs/>
                <w:color w:val="auto"/>
                <w:sz w:val="21"/>
                <w:szCs w:val="21"/>
                <w:lang w:eastAsia="zh-CN"/>
              </w:rPr>
            </w:pPr>
            <w:r>
              <w:rPr>
                <w:rFonts w:hint="eastAsia" w:ascii="Times New Roman" w:hAnsi="Times New Roman" w:cs="Times New Roman" w:eastAsiaTheme="majorEastAsia"/>
                <w:b w:val="0"/>
                <w:bCs/>
                <w:color w:val="auto"/>
                <w:sz w:val="21"/>
                <w:szCs w:val="21"/>
                <w:lang w:val="en-US" w:eastAsia="zh-CN"/>
              </w:rPr>
              <w:t>医院</w:t>
            </w:r>
            <w:r>
              <w:rPr>
                <w:rFonts w:hint="default" w:ascii="Times New Roman" w:hAnsi="Times New Roman" w:cs="Times New Roman" w:eastAsiaTheme="majorEastAsia"/>
                <w:b w:val="0"/>
                <w:bCs/>
                <w:color w:val="auto"/>
                <w:sz w:val="21"/>
                <w:szCs w:val="21"/>
                <w:lang w:val="en-US" w:eastAsia="zh-CN"/>
              </w:rPr>
              <w:t>日常用药均接受药品监督管理部门监督管理，通过正规渠道购买，采用符合国家药品标准的药品，特药使用必须经过卫生局批准。宠物住院期间由医护人员喂食宠物饲料。本次手术室建设将新增少量药物的使用量，如注射器、</w:t>
            </w:r>
            <w:r>
              <w:rPr>
                <w:rFonts w:hint="eastAsia" w:ascii="Times New Roman" w:hAnsi="Times New Roman" w:cs="Times New Roman" w:eastAsiaTheme="majorEastAsia"/>
                <w:b w:val="0"/>
                <w:bCs/>
                <w:color w:val="auto"/>
                <w:sz w:val="21"/>
                <w:szCs w:val="21"/>
                <w:lang w:val="en-US" w:eastAsia="zh-CN"/>
              </w:rPr>
              <w:t>药品以及消毒剂</w:t>
            </w:r>
            <w:r>
              <w:rPr>
                <w:rFonts w:hint="default" w:ascii="Times New Roman" w:hAnsi="Times New Roman" w:cs="Times New Roman" w:eastAsiaTheme="majorEastAsia"/>
                <w:b w:val="0"/>
                <w:bCs/>
                <w:color w:val="auto"/>
                <w:sz w:val="21"/>
                <w:szCs w:val="21"/>
                <w:lang w:val="en-US" w:eastAsia="zh-CN"/>
              </w:rPr>
              <w:t>等，项目主要原辅材料名称及消耗数量见下表 2-</w:t>
            </w:r>
            <w:r>
              <w:rPr>
                <w:rFonts w:hint="eastAsia" w:ascii="Times New Roman" w:hAnsi="Times New Roman" w:cs="Times New Roman" w:eastAsiaTheme="majorEastAsia"/>
                <w:b w:val="0"/>
                <w:bCs/>
                <w:color w:val="auto"/>
                <w:sz w:val="21"/>
                <w:szCs w:val="21"/>
                <w:lang w:val="en-US" w:eastAsia="zh-CN"/>
              </w:rPr>
              <w:t>5</w:t>
            </w:r>
            <w:r>
              <w:rPr>
                <w:rFonts w:hint="default" w:ascii="Times New Roman" w:hAnsi="Times New Roman" w:cs="Times New Roman" w:eastAsiaTheme="majorEastAsia"/>
                <w:b w:val="0"/>
                <w:bCs/>
                <w:color w:val="auto"/>
                <w:sz w:val="21"/>
                <w:szCs w:val="21"/>
                <w:lang w:val="en-US" w:eastAsia="zh-CN"/>
              </w:rPr>
              <w:t>。</w:t>
            </w:r>
          </w:p>
          <w:p w14:paraId="19C82768">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color w:val="auto"/>
                <w:sz w:val="26"/>
                <w:szCs w:val="26"/>
                <w:highlight w:val="none"/>
              </w:rPr>
            </w:pPr>
            <w:r>
              <w:rPr>
                <w:rFonts w:hint="default" w:ascii="Times New Roman" w:hAnsi="Times New Roman" w:cs="Times New Roman" w:eastAsiaTheme="majorEastAsia"/>
                <w:b/>
                <w:bCs w:val="0"/>
                <w:color w:val="auto"/>
                <w:sz w:val="21"/>
                <w:szCs w:val="21"/>
                <w:lang w:eastAsia="zh-CN"/>
              </w:rPr>
              <w:t>表</w:t>
            </w:r>
            <w:r>
              <w:rPr>
                <w:rFonts w:hint="default" w:ascii="Times New Roman" w:hAnsi="Times New Roman" w:cs="Times New Roman" w:eastAsiaTheme="majorEastAsia"/>
                <w:b/>
                <w:bCs w:val="0"/>
                <w:color w:val="auto"/>
                <w:sz w:val="21"/>
                <w:szCs w:val="21"/>
                <w:lang w:val="en-US" w:eastAsia="zh-CN"/>
              </w:rPr>
              <w:t>2-</w:t>
            </w:r>
            <w:r>
              <w:rPr>
                <w:rFonts w:hint="eastAsia" w:ascii="Times New Roman" w:hAnsi="Times New Roman" w:cs="Times New Roman" w:eastAsiaTheme="majorEastAsia"/>
                <w:b/>
                <w:bCs w:val="0"/>
                <w:color w:val="auto"/>
                <w:sz w:val="21"/>
                <w:szCs w:val="21"/>
                <w:lang w:val="en-US" w:eastAsia="zh-CN"/>
              </w:rPr>
              <w:t>5</w:t>
            </w:r>
            <w:r>
              <w:rPr>
                <w:rFonts w:hint="default" w:ascii="Times New Roman" w:hAnsi="Times New Roman" w:cs="Times New Roman" w:eastAsiaTheme="majorEastAsia"/>
                <w:b/>
                <w:bCs w:val="0"/>
                <w:color w:val="auto"/>
                <w:sz w:val="21"/>
                <w:szCs w:val="21"/>
                <w:lang w:val="en-US" w:eastAsia="zh-CN"/>
              </w:rPr>
              <w:t xml:space="preserve">   项目主要原辅材料年消耗量一览表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569"/>
              <w:gridCol w:w="1368"/>
              <w:gridCol w:w="1212"/>
              <w:gridCol w:w="1056"/>
              <w:gridCol w:w="1164"/>
              <w:gridCol w:w="977"/>
            </w:tblGrid>
            <w:tr w14:paraId="250F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noWrap w:val="0"/>
                  <w:vAlign w:val="center"/>
                </w:tcPr>
                <w:p w14:paraId="5ECEC689">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类别</w:t>
                  </w:r>
                </w:p>
              </w:tc>
              <w:tc>
                <w:tcPr>
                  <w:tcW w:w="979" w:type="pct"/>
                  <w:noWrap w:val="0"/>
                  <w:vAlign w:val="center"/>
                </w:tcPr>
                <w:p w14:paraId="4BD920B4">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名称</w:t>
                  </w:r>
                </w:p>
              </w:tc>
              <w:tc>
                <w:tcPr>
                  <w:tcW w:w="854" w:type="pct"/>
                  <w:noWrap w:val="0"/>
                  <w:vAlign w:val="center"/>
                </w:tcPr>
                <w:p w14:paraId="63505469">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年用量</w:t>
                  </w:r>
                </w:p>
              </w:tc>
              <w:tc>
                <w:tcPr>
                  <w:tcW w:w="756" w:type="pct"/>
                  <w:noWrap w:val="0"/>
                  <w:vAlign w:val="center"/>
                </w:tcPr>
                <w:p w14:paraId="178AE603">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规格</w:t>
                  </w:r>
                </w:p>
              </w:tc>
              <w:tc>
                <w:tcPr>
                  <w:tcW w:w="659" w:type="pct"/>
                  <w:noWrap w:val="0"/>
                  <w:vAlign w:val="center"/>
                </w:tcPr>
                <w:p w14:paraId="410E3624">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暂存量</w:t>
                  </w:r>
                </w:p>
              </w:tc>
              <w:tc>
                <w:tcPr>
                  <w:tcW w:w="726" w:type="pct"/>
                  <w:noWrap w:val="0"/>
                  <w:vAlign w:val="center"/>
                </w:tcPr>
                <w:p w14:paraId="27AA0B6A">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来源</w:t>
                  </w:r>
                </w:p>
              </w:tc>
              <w:tc>
                <w:tcPr>
                  <w:tcW w:w="610" w:type="pct"/>
                  <w:noWrap w:val="0"/>
                  <w:vAlign w:val="center"/>
                </w:tcPr>
                <w:p w14:paraId="5535CBA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储存位置</w:t>
                  </w:r>
                </w:p>
              </w:tc>
            </w:tr>
            <w:tr w14:paraId="44ED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restart"/>
                  <w:noWrap w:val="0"/>
                  <w:vAlign w:val="center"/>
                </w:tcPr>
                <w:p w14:paraId="31B03130">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医疗器械</w:t>
                  </w:r>
                </w:p>
              </w:tc>
              <w:tc>
                <w:tcPr>
                  <w:tcW w:w="979" w:type="pct"/>
                  <w:noWrap w:val="0"/>
                  <w:vAlign w:val="center"/>
                </w:tcPr>
                <w:p w14:paraId="35A10C5A">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一次性注射器</w:t>
                  </w:r>
                </w:p>
              </w:tc>
              <w:tc>
                <w:tcPr>
                  <w:tcW w:w="854" w:type="pct"/>
                  <w:noWrap w:val="0"/>
                  <w:vAlign w:val="center"/>
                </w:tcPr>
                <w:p w14:paraId="6676CCDF">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0</w:t>
                  </w:r>
                  <w:r>
                    <w:rPr>
                      <w:rFonts w:hint="eastAsia" w:ascii="Times New Roman" w:hAnsi="Times New Roman" w:eastAsia="宋体" w:cs="Times New Roman"/>
                      <w:color w:val="auto"/>
                      <w:sz w:val="18"/>
                      <w:szCs w:val="18"/>
                      <w:lang w:val="en-US" w:eastAsia="zh-CN"/>
                    </w:rPr>
                    <w:t>000支</w:t>
                  </w:r>
                </w:p>
              </w:tc>
              <w:tc>
                <w:tcPr>
                  <w:tcW w:w="756" w:type="pct"/>
                  <w:noWrap w:val="0"/>
                  <w:vAlign w:val="center"/>
                </w:tcPr>
                <w:p w14:paraId="17DEEEB2">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5毫升</w:t>
                  </w:r>
                </w:p>
              </w:tc>
              <w:tc>
                <w:tcPr>
                  <w:tcW w:w="659" w:type="pct"/>
                  <w:noWrap w:val="0"/>
                  <w:vAlign w:val="center"/>
                </w:tcPr>
                <w:p w14:paraId="12704236">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00支</w:t>
                  </w:r>
                </w:p>
              </w:tc>
              <w:tc>
                <w:tcPr>
                  <w:tcW w:w="726" w:type="pct"/>
                  <w:noWrap w:val="0"/>
                  <w:vAlign w:val="center"/>
                </w:tcPr>
                <w:p w14:paraId="36CCDC1E">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w:t>
                  </w:r>
                </w:p>
              </w:tc>
              <w:tc>
                <w:tcPr>
                  <w:tcW w:w="610" w:type="pct"/>
                  <w:vMerge w:val="restart"/>
                  <w:noWrap w:val="0"/>
                  <w:vAlign w:val="center"/>
                </w:tcPr>
                <w:p w14:paraId="48A6666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药房</w:t>
                  </w:r>
                </w:p>
              </w:tc>
            </w:tr>
            <w:tr w14:paraId="0539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0E5BFAD3">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p>
              </w:tc>
              <w:tc>
                <w:tcPr>
                  <w:tcW w:w="979" w:type="pct"/>
                  <w:noWrap w:val="0"/>
                  <w:vAlign w:val="center"/>
                </w:tcPr>
                <w:p w14:paraId="51A2E86E">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一次性输液器</w:t>
                  </w:r>
                </w:p>
              </w:tc>
              <w:tc>
                <w:tcPr>
                  <w:tcW w:w="854" w:type="pct"/>
                  <w:noWrap w:val="0"/>
                  <w:vAlign w:val="center"/>
                </w:tcPr>
                <w:p w14:paraId="7C00DCAF">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000支</w:t>
                  </w:r>
                </w:p>
              </w:tc>
              <w:tc>
                <w:tcPr>
                  <w:tcW w:w="756" w:type="pct"/>
                  <w:noWrap w:val="0"/>
                  <w:vAlign w:val="center"/>
                </w:tcPr>
                <w:p w14:paraId="71D18956">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250毫升</w:t>
                  </w:r>
                </w:p>
              </w:tc>
              <w:tc>
                <w:tcPr>
                  <w:tcW w:w="659" w:type="pct"/>
                  <w:noWrap w:val="0"/>
                  <w:vAlign w:val="center"/>
                </w:tcPr>
                <w:p w14:paraId="47EE8840">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00个</w:t>
                  </w:r>
                </w:p>
              </w:tc>
              <w:tc>
                <w:tcPr>
                  <w:tcW w:w="726" w:type="pct"/>
                  <w:noWrap w:val="0"/>
                  <w:vAlign w:val="center"/>
                </w:tcPr>
                <w:p w14:paraId="75960C93">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w:t>
                  </w:r>
                </w:p>
              </w:tc>
              <w:tc>
                <w:tcPr>
                  <w:tcW w:w="610" w:type="pct"/>
                  <w:vMerge w:val="continue"/>
                  <w:noWrap w:val="0"/>
                  <w:vAlign w:val="center"/>
                </w:tcPr>
                <w:p w14:paraId="56DA5AC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5DCF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772747FE">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p>
              </w:tc>
              <w:tc>
                <w:tcPr>
                  <w:tcW w:w="979" w:type="pct"/>
                  <w:noWrap w:val="0"/>
                  <w:vAlign w:val="center"/>
                </w:tcPr>
                <w:p w14:paraId="236BB3E5">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一次性手套</w:t>
                  </w:r>
                </w:p>
              </w:tc>
              <w:tc>
                <w:tcPr>
                  <w:tcW w:w="854" w:type="pct"/>
                  <w:noWrap w:val="0"/>
                  <w:vAlign w:val="center"/>
                </w:tcPr>
                <w:p w14:paraId="3358A65B">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000支</w:t>
                  </w:r>
                </w:p>
              </w:tc>
              <w:tc>
                <w:tcPr>
                  <w:tcW w:w="756" w:type="pct"/>
                  <w:noWrap w:val="0"/>
                  <w:vAlign w:val="center"/>
                </w:tcPr>
                <w:p w14:paraId="6B27009E">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大号</w:t>
                  </w:r>
                </w:p>
              </w:tc>
              <w:tc>
                <w:tcPr>
                  <w:tcW w:w="659" w:type="pct"/>
                  <w:noWrap w:val="0"/>
                  <w:vAlign w:val="center"/>
                </w:tcPr>
                <w:p w14:paraId="4D85AE18">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00双</w:t>
                  </w:r>
                </w:p>
              </w:tc>
              <w:tc>
                <w:tcPr>
                  <w:tcW w:w="726" w:type="pct"/>
                  <w:noWrap w:val="0"/>
                  <w:vAlign w:val="center"/>
                </w:tcPr>
                <w:p w14:paraId="2CBF8A7A">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w:t>
                  </w:r>
                </w:p>
              </w:tc>
              <w:tc>
                <w:tcPr>
                  <w:tcW w:w="610" w:type="pct"/>
                  <w:vMerge w:val="continue"/>
                  <w:noWrap w:val="0"/>
                  <w:vAlign w:val="center"/>
                </w:tcPr>
                <w:p w14:paraId="7C44C66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4D79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restart"/>
                  <w:noWrap w:val="0"/>
                  <w:vAlign w:val="center"/>
                </w:tcPr>
                <w:p w14:paraId="3C5AF163">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药品</w:t>
                  </w:r>
                </w:p>
              </w:tc>
              <w:tc>
                <w:tcPr>
                  <w:tcW w:w="979" w:type="pct"/>
                  <w:noWrap w:val="0"/>
                  <w:vAlign w:val="center"/>
                </w:tcPr>
                <w:p w14:paraId="288A014D">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疫苗瓶</w:t>
                  </w:r>
                </w:p>
              </w:tc>
              <w:tc>
                <w:tcPr>
                  <w:tcW w:w="854" w:type="pct"/>
                  <w:noWrap w:val="0"/>
                  <w:vAlign w:val="center"/>
                </w:tcPr>
                <w:p w14:paraId="199D135A">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000支</w:t>
                  </w:r>
                </w:p>
              </w:tc>
              <w:tc>
                <w:tcPr>
                  <w:tcW w:w="756" w:type="pct"/>
                  <w:noWrap w:val="0"/>
                  <w:vAlign w:val="center"/>
                </w:tcPr>
                <w:p w14:paraId="3EE24EB6">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1毫升</w:t>
                  </w:r>
                </w:p>
              </w:tc>
              <w:tc>
                <w:tcPr>
                  <w:tcW w:w="659" w:type="pct"/>
                  <w:noWrap w:val="0"/>
                  <w:vAlign w:val="center"/>
                </w:tcPr>
                <w:p w14:paraId="11E34FD9">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0支</w:t>
                  </w:r>
                </w:p>
              </w:tc>
              <w:tc>
                <w:tcPr>
                  <w:tcW w:w="726" w:type="pct"/>
                  <w:noWrap w:val="0"/>
                  <w:vAlign w:val="center"/>
                </w:tcPr>
                <w:p w14:paraId="3457DCDC">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w:t>
                  </w:r>
                </w:p>
              </w:tc>
              <w:tc>
                <w:tcPr>
                  <w:tcW w:w="610" w:type="pct"/>
                  <w:vMerge w:val="continue"/>
                  <w:noWrap w:val="0"/>
                  <w:vAlign w:val="center"/>
                </w:tcPr>
                <w:p w14:paraId="2D7B41D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626B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48B6AF40">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p>
              </w:tc>
              <w:tc>
                <w:tcPr>
                  <w:tcW w:w="979" w:type="pct"/>
                  <w:noWrap w:val="0"/>
                  <w:vAlign w:val="center"/>
                </w:tcPr>
                <w:p w14:paraId="3E8A367E">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针剂药品</w:t>
                  </w:r>
                </w:p>
              </w:tc>
              <w:tc>
                <w:tcPr>
                  <w:tcW w:w="854" w:type="pct"/>
                  <w:noWrap w:val="0"/>
                  <w:vAlign w:val="center"/>
                </w:tcPr>
                <w:p w14:paraId="5FB35467">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200</w:t>
                  </w:r>
                  <w:r>
                    <w:rPr>
                      <w:rFonts w:hint="eastAsia" w:ascii="Times New Roman" w:hAnsi="Times New Roman" w:eastAsia="宋体" w:cs="Times New Roman"/>
                      <w:color w:val="auto"/>
                      <w:sz w:val="18"/>
                      <w:szCs w:val="18"/>
                      <w:lang w:val="en-US" w:eastAsia="zh-CN"/>
                    </w:rPr>
                    <w:t>盒</w:t>
                  </w:r>
                </w:p>
              </w:tc>
              <w:tc>
                <w:tcPr>
                  <w:tcW w:w="756" w:type="pct"/>
                  <w:noWrap w:val="0"/>
                  <w:vAlign w:val="center"/>
                </w:tcPr>
                <w:p w14:paraId="5EBA9636">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ascii="Times New Roman" w:hAnsi="Times New Roman"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100毫升</w:t>
                  </w:r>
                </w:p>
              </w:tc>
              <w:tc>
                <w:tcPr>
                  <w:tcW w:w="659" w:type="pct"/>
                  <w:noWrap w:val="0"/>
                  <w:vAlign w:val="center"/>
                </w:tcPr>
                <w:p w14:paraId="5D8F7569">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r>
                    <w:rPr>
                      <w:rFonts w:hint="eastAsia" w:ascii="Times New Roman" w:hAnsi="Times New Roman" w:eastAsia="宋体" w:cs="Times New Roman"/>
                      <w:color w:val="auto"/>
                      <w:sz w:val="18"/>
                      <w:szCs w:val="18"/>
                      <w:lang w:val="en-US" w:eastAsia="zh-CN"/>
                    </w:rPr>
                    <w:t>盒</w:t>
                  </w:r>
                </w:p>
              </w:tc>
              <w:tc>
                <w:tcPr>
                  <w:tcW w:w="726" w:type="pct"/>
                  <w:noWrap w:val="0"/>
                  <w:vAlign w:val="center"/>
                </w:tcPr>
                <w:p w14:paraId="79891F0D">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w:t>
                  </w:r>
                </w:p>
              </w:tc>
              <w:tc>
                <w:tcPr>
                  <w:tcW w:w="610" w:type="pct"/>
                  <w:vMerge w:val="continue"/>
                  <w:noWrap w:val="0"/>
                  <w:vAlign w:val="center"/>
                </w:tcPr>
                <w:p w14:paraId="2175694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6146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66667FF1">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p>
              </w:tc>
              <w:tc>
                <w:tcPr>
                  <w:tcW w:w="979" w:type="pct"/>
                  <w:noWrap w:val="0"/>
                  <w:vAlign w:val="center"/>
                </w:tcPr>
                <w:p w14:paraId="2EC46434">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口服药剂</w:t>
                  </w:r>
                </w:p>
              </w:tc>
              <w:tc>
                <w:tcPr>
                  <w:tcW w:w="854" w:type="pct"/>
                  <w:noWrap w:val="0"/>
                  <w:vAlign w:val="center"/>
                </w:tcPr>
                <w:p w14:paraId="67AFF166">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00盒</w:t>
                  </w:r>
                </w:p>
              </w:tc>
              <w:tc>
                <w:tcPr>
                  <w:tcW w:w="756" w:type="pct"/>
                  <w:noWrap w:val="0"/>
                  <w:vAlign w:val="center"/>
                </w:tcPr>
                <w:p w14:paraId="433B7BCF">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250毫克</w:t>
                  </w:r>
                </w:p>
              </w:tc>
              <w:tc>
                <w:tcPr>
                  <w:tcW w:w="659" w:type="pct"/>
                  <w:noWrap w:val="0"/>
                  <w:vAlign w:val="center"/>
                </w:tcPr>
                <w:p w14:paraId="2DF6830C">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r>
                    <w:rPr>
                      <w:rFonts w:hint="eastAsia" w:ascii="Times New Roman" w:hAnsi="Times New Roman" w:eastAsia="宋体" w:cs="Times New Roman"/>
                      <w:color w:val="auto"/>
                      <w:sz w:val="18"/>
                      <w:szCs w:val="18"/>
                      <w:lang w:val="en-US" w:eastAsia="zh-CN"/>
                    </w:rPr>
                    <w:t>0盒</w:t>
                  </w:r>
                </w:p>
              </w:tc>
              <w:tc>
                <w:tcPr>
                  <w:tcW w:w="726" w:type="pct"/>
                  <w:noWrap w:val="0"/>
                  <w:vAlign w:val="center"/>
                </w:tcPr>
                <w:p w14:paraId="59931CC6">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w:t>
                  </w:r>
                </w:p>
              </w:tc>
              <w:tc>
                <w:tcPr>
                  <w:tcW w:w="610" w:type="pct"/>
                  <w:vMerge w:val="continue"/>
                  <w:noWrap w:val="0"/>
                  <w:vAlign w:val="center"/>
                </w:tcPr>
                <w:p w14:paraId="48DCEFF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2C96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noWrap w:val="0"/>
                  <w:vAlign w:val="center"/>
                </w:tcPr>
                <w:p w14:paraId="6E9DD67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检测试纸</w:t>
                  </w:r>
                </w:p>
              </w:tc>
              <w:tc>
                <w:tcPr>
                  <w:tcW w:w="979" w:type="pct"/>
                  <w:noWrap w:val="0"/>
                  <w:vAlign w:val="center"/>
                </w:tcPr>
                <w:p w14:paraId="30CF2C65">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检测试纸</w:t>
                  </w:r>
                </w:p>
              </w:tc>
              <w:tc>
                <w:tcPr>
                  <w:tcW w:w="854" w:type="pct"/>
                  <w:noWrap w:val="0"/>
                  <w:vAlign w:val="center"/>
                </w:tcPr>
                <w:p w14:paraId="12A26951">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r>
                    <w:rPr>
                      <w:rFonts w:hint="eastAsia" w:ascii="Times New Roman" w:hAnsi="Times New Roman" w:eastAsia="宋体" w:cs="Times New Roman"/>
                      <w:color w:val="auto"/>
                      <w:sz w:val="18"/>
                      <w:szCs w:val="18"/>
                      <w:lang w:val="en-US" w:eastAsia="zh-CN"/>
                    </w:rPr>
                    <w:t>00盒</w:t>
                  </w:r>
                </w:p>
              </w:tc>
              <w:tc>
                <w:tcPr>
                  <w:tcW w:w="756" w:type="pct"/>
                  <w:noWrap w:val="0"/>
                  <w:vAlign w:val="center"/>
                </w:tcPr>
                <w:p w14:paraId="6193CC5E">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10片/一盒</w:t>
                  </w:r>
                </w:p>
              </w:tc>
              <w:tc>
                <w:tcPr>
                  <w:tcW w:w="659" w:type="pct"/>
                  <w:noWrap w:val="0"/>
                  <w:vAlign w:val="center"/>
                </w:tcPr>
                <w:p w14:paraId="3BE71508">
                  <w:pPr>
                    <w:pStyle w:val="73"/>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w:t>
                  </w:r>
                  <w:r>
                    <w:rPr>
                      <w:rFonts w:hint="eastAsia" w:ascii="Times New Roman" w:hAnsi="Times New Roman" w:eastAsia="宋体" w:cs="Times New Roman"/>
                      <w:color w:val="auto"/>
                      <w:sz w:val="18"/>
                      <w:szCs w:val="18"/>
                      <w:lang w:val="en-US" w:eastAsia="zh-CN"/>
                    </w:rPr>
                    <w:t>片</w:t>
                  </w:r>
                </w:p>
              </w:tc>
              <w:tc>
                <w:tcPr>
                  <w:tcW w:w="726" w:type="pct"/>
                  <w:noWrap w:val="0"/>
                  <w:vAlign w:val="center"/>
                </w:tcPr>
                <w:p w14:paraId="787B5D3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vMerge w:val="continue"/>
                  <w:noWrap w:val="0"/>
                  <w:vAlign w:val="center"/>
                </w:tcPr>
                <w:p w14:paraId="41D6BB3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693F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12" w:type="pct"/>
                  <w:vMerge w:val="restart"/>
                  <w:noWrap w:val="0"/>
                  <w:vAlign w:val="center"/>
                </w:tcPr>
                <w:p w14:paraId="086A296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消毒剂</w:t>
                  </w:r>
                </w:p>
              </w:tc>
              <w:tc>
                <w:tcPr>
                  <w:tcW w:w="979" w:type="pct"/>
                  <w:noWrap w:val="0"/>
                  <w:vAlign w:val="center"/>
                </w:tcPr>
                <w:p w14:paraId="496717F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医用酒精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75%</w:t>
                  </w:r>
                  <w:r>
                    <w:rPr>
                      <w:rFonts w:hint="default" w:ascii="Times New Roman" w:hAnsi="Times New Roman" w:cs="Times New Roman"/>
                      <w:color w:val="auto"/>
                      <w:sz w:val="18"/>
                      <w:szCs w:val="18"/>
                      <w:lang w:eastAsia="zh-CN"/>
                    </w:rPr>
                    <w:t>）</w:t>
                  </w:r>
                </w:p>
              </w:tc>
              <w:tc>
                <w:tcPr>
                  <w:tcW w:w="854" w:type="pct"/>
                  <w:noWrap w:val="0"/>
                  <w:vAlign w:val="center"/>
                </w:tcPr>
                <w:p w14:paraId="2E4EA03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0桶</w:t>
                  </w:r>
                </w:p>
              </w:tc>
              <w:tc>
                <w:tcPr>
                  <w:tcW w:w="756" w:type="pct"/>
                  <w:noWrap w:val="0"/>
                  <w:vAlign w:val="center"/>
                </w:tcPr>
                <w:p w14:paraId="2A25D56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10L</w:t>
                  </w:r>
                </w:p>
              </w:tc>
              <w:tc>
                <w:tcPr>
                  <w:tcW w:w="659" w:type="pct"/>
                  <w:noWrap w:val="0"/>
                  <w:vAlign w:val="center"/>
                </w:tcPr>
                <w:p w14:paraId="38BC84F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桶</w:t>
                  </w:r>
                </w:p>
              </w:tc>
              <w:tc>
                <w:tcPr>
                  <w:tcW w:w="726" w:type="pct"/>
                  <w:noWrap w:val="0"/>
                  <w:vAlign w:val="center"/>
                </w:tcPr>
                <w:p w14:paraId="45EB2A4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vMerge w:val="continue"/>
                  <w:noWrap w:val="0"/>
                  <w:vAlign w:val="center"/>
                </w:tcPr>
                <w:p w14:paraId="0828158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6A82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02C5544A">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979" w:type="pct"/>
                  <w:noWrap w:val="0"/>
                  <w:vAlign w:val="center"/>
                </w:tcPr>
                <w:p w14:paraId="40417EE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碘伏</w:t>
                  </w:r>
                </w:p>
              </w:tc>
              <w:tc>
                <w:tcPr>
                  <w:tcW w:w="854" w:type="pct"/>
                  <w:noWrap w:val="0"/>
                  <w:vAlign w:val="center"/>
                </w:tcPr>
                <w:p w14:paraId="7694AC2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0瓶</w:t>
                  </w:r>
                </w:p>
              </w:tc>
              <w:tc>
                <w:tcPr>
                  <w:tcW w:w="756" w:type="pct"/>
                  <w:noWrap w:val="0"/>
                  <w:vAlign w:val="center"/>
                </w:tcPr>
                <w:p w14:paraId="61357BB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500ml</w:t>
                  </w:r>
                </w:p>
              </w:tc>
              <w:tc>
                <w:tcPr>
                  <w:tcW w:w="659" w:type="pct"/>
                  <w:noWrap w:val="0"/>
                  <w:vAlign w:val="center"/>
                </w:tcPr>
                <w:p w14:paraId="6379C96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lang w:val="en-US" w:eastAsia="zh-CN"/>
                    </w:rPr>
                    <w:t>瓶</w:t>
                  </w:r>
                </w:p>
              </w:tc>
              <w:tc>
                <w:tcPr>
                  <w:tcW w:w="726" w:type="pct"/>
                  <w:noWrap w:val="0"/>
                  <w:vAlign w:val="center"/>
                </w:tcPr>
                <w:p w14:paraId="293C266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vMerge w:val="continue"/>
                  <w:noWrap w:val="0"/>
                  <w:vAlign w:val="center"/>
                </w:tcPr>
                <w:p w14:paraId="0AD0C82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30B8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56D2B498">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979" w:type="pct"/>
                  <w:noWrap w:val="0"/>
                  <w:vAlign w:val="center"/>
                </w:tcPr>
                <w:p w14:paraId="46926E3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84消毒</w:t>
                  </w:r>
                </w:p>
              </w:tc>
              <w:tc>
                <w:tcPr>
                  <w:tcW w:w="854" w:type="pct"/>
                  <w:noWrap w:val="0"/>
                  <w:vAlign w:val="center"/>
                </w:tcPr>
                <w:p w14:paraId="1DE46D7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30瓶</w:t>
                  </w:r>
                </w:p>
              </w:tc>
              <w:tc>
                <w:tcPr>
                  <w:tcW w:w="756" w:type="pct"/>
                  <w:noWrap w:val="0"/>
                  <w:vAlign w:val="center"/>
                </w:tcPr>
                <w:p w14:paraId="000F2F0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500ml</w:t>
                  </w:r>
                </w:p>
              </w:tc>
              <w:tc>
                <w:tcPr>
                  <w:tcW w:w="659" w:type="pct"/>
                  <w:noWrap w:val="0"/>
                  <w:vAlign w:val="center"/>
                </w:tcPr>
                <w:p w14:paraId="322BC01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10瓶</w:t>
                  </w:r>
                </w:p>
              </w:tc>
              <w:tc>
                <w:tcPr>
                  <w:tcW w:w="726" w:type="pct"/>
                  <w:noWrap w:val="0"/>
                  <w:vAlign w:val="center"/>
                </w:tcPr>
                <w:p w14:paraId="5FEEE34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vMerge w:val="restart"/>
                  <w:noWrap w:val="0"/>
                  <w:vAlign w:val="center"/>
                </w:tcPr>
                <w:p w14:paraId="5DA01CB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手术室</w:t>
                  </w:r>
                </w:p>
              </w:tc>
            </w:tr>
            <w:tr w14:paraId="4FEE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0E6CBB89">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979" w:type="pct"/>
                  <w:noWrap w:val="0"/>
                  <w:vAlign w:val="center"/>
                </w:tcPr>
                <w:p w14:paraId="463F01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含氯</w:t>
                  </w:r>
                  <w:r>
                    <w:rPr>
                      <w:rFonts w:hint="default" w:ascii="Times New Roman" w:hAnsi="Times New Roman" w:eastAsia="宋体" w:cs="Times New Roman"/>
                      <w:color w:val="auto"/>
                      <w:kern w:val="2"/>
                      <w:sz w:val="18"/>
                      <w:szCs w:val="18"/>
                      <w:highlight w:val="none"/>
                      <w:lang w:val="en-US" w:eastAsia="zh-CN" w:bidi="ar-SA"/>
                    </w:rPr>
                    <w:t>消毒片</w:t>
                  </w:r>
                </w:p>
                <w:p w14:paraId="77B3A4D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（二氧化氯）</w:t>
                  </w:r>
                </w:p>
              </w:tc>
              <w:tc>
                <w:tcPr>
                  <w:tcW w:w="854" w:type="pct"/>
                  <w:noWrap w:val="0"/>
                  <w:vAlign w:val="center"/>
                </w:tcPr>
                <w:p w14:paraId="3028F02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30</w:t>
                  </w:r>
                  <w:r>
                    <w:rPr>
                      <w:rFonts w:hint="default" w:ascii="Times New Roman" w:hAnsi="Times New Roman" w:eastAsia="宋体" w:cs="Times New Roman"/>
                      <w:color w:val="auto"/>
                      <w:kern w:val="2"/>
                      <w:sz w:val="18"/>
                      <w:szCs w:val="18"/>
                      <w:highlight w:val="none"/>
                      <w:lang w:val="en-US" w:eastAsia="zh-CN" w:bidi="ar-SA"/>
                    </w:rPr>
                    <w:t>kg</w:t>
                  </w:r>
                </w:p>
              </w:tc>
              <w:tc>
                <w:tcPr>
                  <w:tcW w:w="756" w:type="pct"/>
                  <w:noWrap w:val="0"/>
                  <w:vAlign w:val="center"/>
                </w:tcPr>
                <w:p w14:paraId="4155FDA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1kg</w:t>
                  </w:r>
                </w:p>
              </w:tc>
              <w:tc>
                <w:tcPr>
                  <w:tcW w:w="659" w:type="pct"/>
                  <w:noWrap w:val="0"/>
                  <w:vAlign w:val="center"/>
                </w:tcPr>
                <w:p w14:paraId="1EB6C31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5kg</w:t>
                  </w:r>
                </w:p>
              </w:tc>
              <w:tc>
                <w:tcPr>
                  <w:tcW w:w="726" w:type="pct"/>
                  <w:noWrap w:val="0"/>
                  <w:vAlign w:val="center"/>
                </w:tcPr>
                <w:p w14:paraId="7EAC452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vMerge w:val="continue"/>
                  <w:noWrap w:val="0"/>
                  <w:vAlign w:val="center"/>
                </w:tcPr>
                <w:p w14:paraId="69FE72A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14:paraId="7C83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restart"/>
                  <w:noWrap w:val="0"/>
                  <w:vAlign w:val="center"/>
                </w:tcPr>
                <w:p w14:paraId="08B0037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住院动物</w:t>
                  </w:r>
                </w:p>
              </w:tc>
              <w:tc>
                <w:tcPr>
                  <w:tcW w:w="979" w:type="pct"/>
                  <w:noWrap w:val="0"/>
                  <w:vAlign w:val="center"/>
                </w:tcPr>
                <w:p w14:paraId="1402967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猫砂</w:t>
                  </w:r>
                </w:p>
              </w:tc>
              <w:tc>
                <w:tcPr>
                  <w:tcW w:w="854" w:type="pct"/>
                  <w:noWrap w:val="0"/>
                  <w:vAlign w:val="center"/>
                </w:tcPr>
                <w:p w14:paraId="703811F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0袋</w:t>
                  </w:r>
                </w:p>
              </w:tc>
              <w:tc>
                <w:tcPr>
                  <w:tcW w:w="756" w:type="pct"/>
                  <w:noWrap w:val="0"/>
                  <w:vAlign w:val="center"/>
                </w:tcPr>
                <w:p w14:paraId="7690965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15kg</w:t>
                  </w:r>
                </w:p>
              </w:tc>
              <w:tc>
                <w:tcPr>
                  <w:tcW w:w="659" w:type="pct"/>
                  <w:noWrap w:val="0"/>
                  <w:vAlign w:val="center"/>
                </w:tcPr>
                <w:p w14:paraId="69DA14A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袋</w:t>
                  </w:r>
                </w:p>
              </w:tc>
              <w:tc>
                <w:tcPr>
                  <w:tcW w:w="726" w:type="pct"/>
                  <w:noWrap w:val="0"/>
                  <w:vAlign w:val="center"/>
                </w:tcPr>
                <w:p w14:paraId="3D6AB1C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vMerge w:val="restart"/>
                  <w:noWrap w:val="0"/>
                  <w:vAlign w:val="center"/>
                </w:tcPr>
                <w:p w14:paraId="25BC2DD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大厅</w:t>
                  </w:r>
                </w:p>
              </w:tc>
            </w:tr>
            <w:tr w14:paraId="419D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0548A23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79" w:type="pct"/>
                  <w:noWrap w:val="0"/>
                  <w:vAlign w:val="center"/>
                </w:tcPr>
                <w:p w14:paraId="1CA51A4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猫粮</w:t>
                  </w:r>
                </w:p>
              </w:tc>
              <w:tc>
                <w:tcPr>
                  <w:tcW w:w="854" w:type="pct"/>
                  <w:noWrap w:val="0"/>
                  <w:vAlign w:val="center"/>
                </w:tcPr>
                <w:p w14:paraId="6B7BA33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0袋</w:t>
                  </w:r>
                </w:p>
              </w:tc>
              <w:tc>
                <w:tcPr>
                  <w:tcW w:w="756" w:type="pct"/>
                  <w:noWrap w:val="0"/>
                  <w:vAlign w:val="center"/>
                </w:tcPr>
                <w:p w14:paraId="3015ABF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cs="Times New Roman"/>
                      <w:color w:val="auto"/>
                      <w:sz w:val="18"/>
                      <w:szCs w:val="18"/>
                      <w:highlight w:val="none"/>
                      <w:lang w:val="en-US" w:eastAsia="zh-CN"/>
                    </w:rPr>
                    <w:t>kg</w:t>
                  </w:r>
                </w:p>
              </w:tc>
              <w:tc>
                <w:tcPr>
                  <w:tcW w:w="659" w:type="pct"/>
                  <w:noWrap w:val="0"/>
                  <w:vAlign w:val="center"/>
                </w:tcPr>
                <w:p w14:paraId="44ABE0A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袋</w:t>
                  </w:r>
                </w:p>
              </w:tc>
              <w:tc>
                <w:tcPr>
                  <w:tcW w:w="726" w:type="pct"/>
                  <w:noWrap w:val="0"/>
                  <w:vAlign w:val="center"/>
                </w:tcPr>
                <w:p w14:paraId="13A8E0C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外购</w:t>
                  </w:r>
                </w:p>
              </w:tc>
              <w:tc>
                <w:tcPr>
                  <w:tcW w:w="610" w:type="pct"/>
                  <w:vMerge w:val="continue"/>
                  <w:noWrap w:val="0"/>
                  <w:vAlign w:val="center"/>
                </w:tcPr>
                <w:p w14:paraId="7C7630E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r>
            <w:tr w14:paraId="22CF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vMerge w:val="continue"/>
                  <w:noWrap w:val="0"/>
                  <w:vAlign w:val="center"/>
                </w:tcPr>
                <w:p w14:paraId="791A1D3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79" w:type="pct"/>
                  <w:noWrap w:val="0"/>
                  <w:vAlign w:val="center"/>
                </w:tcPr>
                <w:p w14:paraId="05E56B4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狗粮</w:t>
                  </w:r>
                </w:p>
              </w:tc>
              <w:tc>
                <w:tcPr>
                  <w:tcW w:w="854" w:type="pct"/>
                  <w:noWrap w:val="0"/>
                  <w:vAlign w:val="center"/>
                </w:tcPr>
                <w:p w14:paraId="2677D7E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0袋</w:t>
                  </w:r>
                </w:p>
              </w:tc>
              <w:tc>
                <w:tcPr>
                  <w:tcW w:w="756" w:type="pct"/>
                  <w:noWrap w:val="0"/>
                  <w:vAlign w:val="center"/>
                </w:tcPr>
                <w:p w14:paraId="256A395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10kg</w:t>
                  </w:r>
                </w:p>
              </w:tc>
              <w:tc>
                <w:tcPr>
                  <w:tcW w:w="659" w:type="pct"/>
                  <w:noWrap w:val="0"/>
                  <w:vAlign w:val="center"/>
                </w:tcPr>
                <w:p w14:paraId="186ACFB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袋</w:t>
                  </w:r>
                </w:p>
              </w:tc>
              <w:tc>
                <w:tcPr>
                  <w:tcW w:w="726" w:type="pct"/>
                  <w:noWrap w:val="0"/>
                  <w:vAlign w:val="center"/>
                </w:tcPr>
                <w:p w14:paraId="0A6C298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外购</w:t>
                  </w:r>
                </w:p>
              </w:tc>
              <w:tc>
                <w:tcPr>
                  <w:tcW w:w="610" w:type="pct"/>
                  <w:vMerge w:val="continue"/>
                  <w:noWrap w:val="0"/>
                  <w:vAlign w:val="center"/>
                </w:tcPr>
                <w:p w14:paraId="020C41A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r>
            <w:tr w14:paraId="3E75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12" w:type="pct"/>
                  <w:noWrap w:val="0"/>
                  <w:vAlign w:val="center"/>
                </w:tcPr>
                <w:p w14:paraId="41B1986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宠物洗浴</w:t>
                  </w:r>
                </w:p>
              </w:tc>
              <w:tc>
                <w:tcPr>
                  <w:tcW w:w="979" w:type="pct"/>
                  <w:noWrap w:val="0"/>
                  <w:vAlign w:val="center"/>
                </w:tcPr>
                <w:p w14:paraId="64587DD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宠物沐浴液</w:t>
                  </w:r>
                </w:p>
              </w:tc>
              <w:tc>
                <w:tcPr>
                  <w:tcW w:w="854" w:type="pct"/>
                  <w:noWrap w:val="0"/>
                  <w:vAlign w:val="center"/>
                </w:tcPr>
                <w:p w14:paraId="3DE5089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10瓶</w:t>
                  </w:r>
                </w:p>
              </w:tc>
              <w:tc>
                <w:tcPr>
                  <w:tcW w:w="756" w:type="pct"/>
                  <w:noWrap w:val="0"/>
                  <w:vAlign w:val="center"/>
                </w:tcPr>
                <w:p w14:paraId="4EFD898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2L/瓶</w:t>
                  </w:r>
                </w:p>
              </w:tc>
              <w:tc>
                <w:tcPr>
                  <w:tcW w:w="659" w:type="pct"/>
                  <w:noWrap w:val="0"/>
                  <w:vAlign w:val="center"/>
                </w:tcPr>
                <w:p w14:paraId="403FEB1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5瓶</w:t>
                  </w:r>
                </w:p>
              </w:tc>
              <w:tc>
                <w:tcPr>
                  <w:tcW w:w="726" w:type="pct"/>
                  <w:noWrap w:val="0"/>
                  <w:vAlign w:val="center"/>
                </w:tcPr>
                <w:p w14:paraId="424CD25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外购</w:t>
                  </w:r>
                </w:p>
              </w:tc>
              <w:tc>
                <w:tcPr>
                  <w:tcW w:w="610" w:type="pct"/>
                  <w:noWrap w:val="0"/>
                  <w:vAlign w:val="center"/>
                </w:tcPr>
                <w:p w14:paraId="44EF31D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美容室</w:t>
                  </w:r>
                </w:p>
              </w:tc>
            </w:tr>
            <w:tr w14:paraId="541A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jc w:val="center"/>
              </w:trPr>
              <w:tc>
                <w:tcPr>
                  <w:tcW w:w="1392" w:type="pct"/>
                  <w:gridSpan w:val="2"/>
                  <w:noWrap w:val="0"/>
                  <w:vAlign w:val="center"/>
                </w:tcPr>
                <w:p w14:paraId="3CDB828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氧气瓶</w:t>
                  </w:r>
                </w:p>
              </w:tc>
              <w:tc>
                <w:tcPr>
                  <w:tcW w:w="854" w:type="pct"/>
                  <w:noWrap w:val="0"/>
                  <w:vAlign w:val="center"/>
                </w:tcPr>
                <w:p w14:paraId="79C7A3D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瓶</w:t>
                  </w:r>
                </w:p>
              </w:tc>
              <w:tc>
                <w:tcPr>
                  <w:tcW w:w="756" w:type="pct"/>
                  <w:noWrap w:val="0"/>
                  <w:vAlign w:val="center"/>
                </w:tcPr>
                <w:p w14:paraId="1776B8E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40L/瓶</w:t>
                  </w:r>
                </w:p>
              </w:tc>
              <w:tc>
                <w:tcPr>
                  <w:tcW w:w="659" w:type="pct"/>
                  <w:noWrap w:val="0"/>
                  <w:vAlign w:val="center"/>
                </w:tcPr>
                <w:p w14:paraId="306FC3D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瓶</w:t>
                  </w:r>
                </w:p>
              </w:tc>
              <w:tc>
                <w:tcPr>
                  <w:tcW w:w="726" w:type="pct"/>
                  <w:noWrap w:val="0"/>
                  <w:vAlign w:val="center"/>
                </w:tcPr>
                <w:p w14:paraId="4789D98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外购</w:t>
                  </w:r>
                </w:p>
              </w:tc>
              <w:tc>
                <w:tcPr>
                  <w:tcW w:w="610" w:type="pct"/>
                  <w:noWrap w:val="0"/>
                  <w:vAlign w:val="center"/>
                </w:tcPr>
                <w:p w14:paraId="0AFE583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手术室</w:t>
                  </w:r>
                </w:p>
              </w:tc>
            </w:tr>
            <w:tr w14:paraId="2476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392" w:type="pct"/>
                  <w:gridSpan w:val="2"/>
                  <w:noWrap w:val="0"/>
                  <w:vAlign w:val="center"/>
                </w:tcPr>
                <w:p w14:paraId="2DEB716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水</w:t>
                  </w:r>
                </w:p>
              </w:tc>
              <w:tc>
                <w:tcPr>
                  <w:tcW w:w="854" w:type="pct"/>
                  <w:noWrap w:val="0"/>
                  <w:vAlign w:val="center"/>
                </w:tcPr>
                <w:p w14:paraId="080C4E1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472.177m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/a</w:t>
                  </w:r>
                </w:p>
              </w:tc>
              <w:tc>
                <w:tcPr>
                  <w:tcW w:w="756" w:type="pct"/>
                  <w:noWrap w:val="0"/>
                  <w:vAlign w:val="center"/>
                </w:tcPr>
                <w:p w14:paraId="69769A9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659" w:type="pct"/>
                  <w:noWrap w:val="0"/>
                  <w:vAlign w:val="center"/>
                </w:tcPr>
                <w:p w14:paraId="4259611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726" w:type="pct"/>
                  <w:noWrap w:val="0"/>
                  <w:vAlign w:val="center"/>
                </w:tcPr>
                <w:p w14:paraId="0423661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市政供水管网供应</w:t>
                  </w:r>
                </w:p>
              </w:tc>
              <w:tc>
                <w:tcPr>
                  <w:tcW w:w="610" w:type="pct"/>
                  <w:noWrap w:val="0"/>
                  <w:vAlign w:val="center"/>
                </w:tcPr>
                <w:p w14:paraId="627AE34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2978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392" w:type="pct"/>
                  <w:gridSpan w:val="2"/>
                  <w:noWrap w:val="0"/>
                  <w:vAlign w:val="center"/>
                </w:tcPr>
                <w:p w14:paraId="6021D6A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电</w:t>
                  </w:r>
                </w:p>
              </w:tc>
              <w:tc>
                <w:tcPr>
                  <w:tcW w:w="854" w:type="pct"/>
                  <w:noWrap w:val="0"/>
                  <w:vAlign w:val="center"/>
                </w:tcPr>
                <w:p w14:paraId="7E7AC1F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2万kW·h/a</w:t>
                  </w:r>
                </w:p>
              </w:tc>
              <w:tc>
                <w:tcPr>
                  <w:tcW w:w="756" w:type="pct"/>
                  <w:noWrap w:val="0"/>
                  <w:vAlign w:val="center"/>
                </w:tcPr>
                <w:p w14:paraId="6701383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659" w:type="pct"/>
                  <w:noWrap w:val="0"/>
                  <w:vAlign w:val="center"/>
                </w:tcPr>
                <w:p w14:paraId="75332E3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726" w:type="pct"/>
                  <w:noWrap w:val="0"/>
                  <w:vAlign w:val="center"/>
                </w:tcPr>
                <w:p w14:paraId="5FEBFBA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市政电网供电</w:t>
                  </w:r>
                </w:p>
              </w:tc>
              <w:tc>
                <w:tcPr>
                  <w:tcW w:w="610" w:type="pct"/>
                  <w:noWrap w:val="0"/>
                  <w:vAlign w:val="center"/>
                </w:tcPr>
                <w:p w14:paraId="44849CE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bl>
          <w:p w14:paraId="0013A1E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bCs w:val="0"/>
                <w:color w:val="auto"/>
                <w:sz w:val="21"/>
                <w:szCs w:val="21"/>
                <w:lang w:val="en-US" w:eastAsia="zh-CN"/>
              </w:rPr>
            </w:pPr>
            <w:r>
              <w:rPr>
                <w:rFonts w:hint="default" w:ascii="Times New Roman" w:hAnsi="Times New Roman" w:cs="Times New Roman" w:eastAsiaTheme="majorEastAsia"/>
                <w:b/>
                <w:bCs w:val="0"/>
                <w:color w:val="auto"/>
                <w:sz w:val="21"/>
                <w:szCs w:val="21"/>
                <w:lang w:val="en-US" w:eastAsia="zh-CN"/>
              </w:rPr>
              <w:t>主要原辅料理化性质：</w:t>
            </w:r>
          </w:p>
          <w:p w14:paraId="2C011EC1">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default" w:ascii="Times New Roman" w:hAnsi="Times New Roman" w:cs="Times New Roman" w:eastAsiaTheme="majorEastAsia"/>
                <w:b w:val="0"/>
                <w:bCs w:val="0"/>
                <w:color w:val="auto"/>
                <w:kern w:val="2"/>
                <w:sz w:val="21"/>
                <w:szCs w:val="21"/>
                <w:lang w:val="en-US" w:eastAsia="zh-CN" w:bidi="ar-SA"/>
              </w:rPr>
              <w:t>75%酒精：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p w14:paraId="01AE4CD0">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default" w:ascii="Times New Roman" w:hAnsi="Times New Roman" w:cs="Times New Roman" w:eastAsiaTheme="majorEastAsia"/>
                <w:b w:val="0"/>
                <w:bCs w:val="0"/>
                <w:color w:val="auto"/>
                <w:kern w:val="2"/>
                <w:sz w:val="21"/>
                <w:szCs w:val="21"/>
                <w:lang w:val="en-US" w:eastAsia="zh-CN" w:bidi="ar-SA"/>
              </w:rPr>
              <w:t>碘伏：碘伏是单质碘与聚乙烯吡咯烷酮的不定型结合物。医用碘伏通常浓度较低（1%或以下），呈现浅棕色。碘伏具有广谱杀菌作用，可杀灭细菌繁殖体、真菌、原虫和部分病毒。在医疗上用作杀菌消毒剂，可用于皮肤、黏膜的消毒，可用于手术前和其它皮肤的消毒、各种注射部位皮肤消毒、器械浸泡消毒等。</w:t>
            </w:r>
          </w:p>
          <w:p w14:paraId="7B25074D">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default" w:ascii="Times New Roman" w:hAnsi="Times New Roman" w:cs="Times New Roman" w:eastAsiaTheme="majorEastAsia"/>
                <w:b w:val="0"/>
                <w:bCs w:val="0"/>
                <w:color w:val="auto"/>
                <w:kern w:val="2"/>
                <w:sz w:val="21"/>
                <w:szCs w:val="21"/>
                <w:lang w:val="en-US" w:eastAsia="zh-CN" w:bidi="ar-SA"/>
              </w:rPr>
              <w:t>84消毒液：</w:t>
            </w:r>
            <w:r>
              <w:rPr>
                <w:rFonts w:hint="default" w:ascii="Times New Roman" w:hAnsi="Times New Roman" w:cs="Times New Roman" w:eastAsiaTheme="majorEastAsia"/>
                <w:b w:val="0"/>
                <w:bCs w:val="0"/>
                <w:color w:val="auto"/>
                <w:kern w:val="2"/>
                <w:sz w:val="21"/>
                <w:szCs w:val="21"/>
                <w:lang w:val="en-US" w:eastAsia="zh-CN" w:bidi="ar-SA"/>
              </w:rPr>
              <w:fldChar w:fldCharType="begin"/>
            </w:r>
            <w:r>
              <w:rPr>
                <w:rFonts w:hint="default" w:ascii="Times New Roman" w:hAnsi="Times New Roman" w:cs="Times New Roman" w:eastAsiaTheme="majorEastAsia"/>
                <w:b w:val="0"/>
                <w:bCs w:val="0"/>
                <w:color w:val="auto"/>
                <w:kern w:val="2"/>
                <w:sz w:val="21"/>
                <w:szCs w:val="21"/>
                <w:lang w:val="en-US" w:eastAsia="zh-CN" w:bidi="ar-SA"/>
              </w:rPr>
              <w:instrText xml:space="preserve"> HYPERLINK "https://baike.so.com/doc/804239-850746.html" \t "https://baike.so.com/doc/_blank" </w:instrText>
            </w:r>
            <w:r>
              <w:rPr>
                <w:rFonts w:hint="default" w:ascii="Times New Roman" w:hAnsi="Times New Roman" w:cs="Times New Roman" w:eastAsiaTheme="majorEastAsia"/>
                <w:b w:val="0"/>
                <w:bCs w:val="0"/>
                <w:color w:val="auto"/>
                <w:kern w:val="2"/>
                <w:sz w:val="21"/>
                <w:szCs w:val="21"/>
                <w:lang w:val="en-US" w:eastAsia="zh-CN" w:bidi="ar-SA"/>
              </w:rPr>
              <w:fldChar w:fldCharType="separate"/>
            </w:r>
            <w:r>
              <w:rPr>
                <w:rFonts w:hint="default" w:ascii="Times New Roman" w:hAnsi="Times New Roman" w:cs="Times New Roman" w:eastAsiaTheme="majorEastAsia"/>
                <w:b w:val="0"/>
                <w:bCs w:val="0"/>
                <w:color w:val="auto"/>
                <w:kern w:val="2"/>
                <w:sz w:val="21"/>
                <w:szCs w:val="21"/>
                <w:lang w:val="en-US" w:eastAsia="zh-CN" w:bidi="ar-SA"/>
              </w:rPr>
              <w:t>化学式</w:t>
            </w:r>
            <w:r>
              <w:rPr>
                <w:rFonts w:hint="default" w:ascii="Times New Roman" w:hAnsi="Times New Roman" w:cs="Times New Roman" w:eastAsiaTheme="majorEastAsia"/>
                <w:b w:val="0"/>
                <w:bCs w:val="0"/>
                <w:color w:val="auto"/>
                <w:kern w:val="2"/>
                <w:sz w:val="21"/>
                <w:szCs w:val="21"/>
                <w:lang w:val="en-US" w:eastAsia="zh-CN" w:bidi="ar-SA"/>
              </w:rPr>
              <w:fldChar w:fldCharType="end"/>
            </w:r>
            <w:r>
              <w:rPr>
                <w:rFonts w:hint="default" w:ascii="Times New Roman" w:hAnsi="Times New Roman" w:cs="Times New Roman" w:eastAsiaTheme="majorEastAsia"/>
                <w:b w:val="0"/>
                <w:bCs w:val="0"/>
                <w:color w:val="auto"/>
                <w:kern w:val="2"/>
                <w:sz w:val="21"/>
                <w:szCs w:val="21"/>
                <w:lang w:val="en-US" w:eastAsia="zh-CN" w:bidi="ar-SA"/>
              </w:rPr>
              <w:t>为NaOH，俗称烧碱、火碱、苛性钠，为一种具有强腐蚀性的</w:t>
            </w:r>
            <w:r>
              <w:rPr>
                <w:rFonts w:hint="default" w:ascii="Times New Roman" w:hAnsi="Times New Roman" w:cs="Times New Roman" w:eastAsiaTheme="majorEastAsia"/>
                <w:b w:val="0"/>
                <w:bCs w:val="0"/>
                <w:color w:val="auto"/>
                <w:kern w:val="2"/>
                <w:sz w:val="21"/>
                <w:szCs w:val="21"/>
                <w:lang w:val="en-US" w:eastAsia="zh-CN" w:bidi="ar-SA"/>
              </w:rPr>
              <w:fldChar w:fldCharType="begin"/>
            </w:r>
            <w:r>
              <w:rPr>
                <w:rFonts w:hint="default" w:ascii="Times New Roman" w:hAnsi="Times New Roman" w:cs="Times New Roman" w:eastAsiaTheme="majorEastAsia"/>
                <w:b w:val="0"/>
                <w:bCs w:val="0"/>
                <w:color w:val="auto"/>
                <w:kern w:val="2"/>
                <w:sz w:val="21"/>
                <w:szCs w:val="21"/>
                <w:lang w:val="en-US" w:eastAsia="zh-CN" w:bidi="ar-SA"/>
              </w:rPr>
              <w:instrText xml:space="preserve"> HYPERLINK "https://baike.so.com/doc/81217-85715.html" \t "https://baike.so.com/doc/_blank" </w:instrText>
            </w:r>
            <w:r>
              <w:rPr>
                <w:rFonts w:hint="default" w:ascii="Times New Roman" w:hAnsi="Times New Roman" w:cs="Times New Roman" w:eastAsiaTheme="majorEastAsia"/>
                <w:b w:val="0"/>
                <w:bCs w:val="0"/>
                <w:color w:val="auto"/>
                <w:kern w:val="2"/>
                <w:sz w:val="21"/>
                <w:szCs w:val="21"/>
                <w:lang w:val="en-US" w:eastAsia="zh-CN" w:bidi="ar-SA"/>
              </w:rPr>
              <w:fldChar w:fldCharType="separate"/>
            </w:r>
            <w:r>
              <w:rPr>
                <w:rFonts w:hint="default" w:ascii="Times New Roman" w:hAnsi="Times New Roman" w:cs="Times New Roman" w:eastAsiaTheme="majorEastAsia"/>
                <w:b w:val="0"/>
                <w:bCs w:val="0"/>
                <w:color w:val="auto"/>
                <w:kern w:val="2"/>
                <w:sz w:val="21"/>
                <w:szCs w:val="21"/>
                <w:lang w:val="en-US" w:eastAsia="zh-CN" w:bidi="ar-SA"/>
              </w:rPr>
              <w:t>强碱</w:t>
            </w:r>
            <w:r>
              <w:rPr>
                <w:rFonts w:hint="default" w:ascii="Times New Roman" w:hAnsi="Times New Roman" w:cs="Times New Roman" w:eastAsiaTheme="majorEastAsia"/>
                <w:b w:val="0"/>
                <w:bCs w:val="0"/>
                <w:color w:val="auto"/>
                <w:kern w:val="2"/>
                <w:sz w:val="21"/>
                <w:szCs w:val="21"/>
                <w:lang w:val="en-US" w:eastAsia="zh-CN" w:bidi="ar-SA"/>
              </w:rPr>
              <w:fldChar w:fldCharType="end"/>
            </w:r>
            <w:r>
              <w:rPr>
                <w:rFonts w:hint="default" w:ascii="Times New Roman" w:hAnsi="Times New Roman" w:cs="Times New Roman" w:eastAsiaTheme="majorEastAsia"/>
                <w:b w:val="0"/>
                <w:bCs w:val="0"/>
                <w:color w:val="auto"/>
                <w:kern w:val="2"/>
                <w:sz w:val="21"/>
                <w:szCs w:val="21"/>
                <w:lang w:val="en-US" w:eastAsia="zh-CN" w:bidi="ar-SA"/>
              </w:rPr>
              <w:t>，一般为片状或颗粒形态，易溶于水（溶于水时放热）并形成碱性溶液，另有</w:t>
            </w:r>
            <w:r>
              <w:rPr>
                <w:rFonts w:hint="default" w:ascii="Times New Roman" w:hAnsi="Times New Roman" w:cs="Times New Roman" w:eastAsiaTheme="majorEastAsia"/>
                <w:b w:val="0"/>
                <w:bCs w:val="0"/>
                <w:color w:val="auto"/>
                <w:kern w:val="2"/>
                <w:sz w:val="21"/>
                <w:szCs w:val="21"/>
                <w:lang w:val="en-US" w:eastAsia="zh-CN" w:bidi="ar-SA"/>
              </w:rPr>
              <w:fldChar w:fldCharType="begin"/>
            </w:r>
            <w:r>
              <w:rPr>
                <w:rFonts w:hint="default" w:ascii="Times New Roman" w:hAnsi="Times New Roman" w:cs="Times New Roman" w:eastAsiaTheme="majorEastAsia"/>
                <w:b w:val="0"/>
                <w:bCs w:val="0"/>
                <w:color w:val="auto"/>
                <w:kern w:val="2"/>
                <w:sz w:val="21"/>
                <w:szCs w:val="21"/>
                <w:lang w:val="en-US" w:eastAsia="zh-CN" w:bidi="ar-SA"/>
              </w:rPr>
              <w:instrText xml:space="preserve"> HYPERLINK "https://baike.so.com/doc/2628817-2775779.html" \t "https://baike.so.com/doc/_blank" </w:instrText>
            </w:r>
            <w:r>
              <w:rPr>
                <w:rFonts w:hint="default" w:ascii="Times New Roman" w:hAnsi="Times New Roman" w:cs="Times New Roman" w:eastAsiaTheme="majorEastAsia"/>
                <w:b w:val="0"/>
                <w:bCs w:val="0"/>
                <w:color w:val="auto"/>
                <w:kern w:val="2"/>
                <w:sz w:val="21"/>
                <w:szCs w:val="21"/>
                <w:lang w:val="en-US" w:eastAsia="zh-CN" w:bidi="ar-SA"/>
              </w:rPr>
              <w:fldChar w:fldCharType="separate"/>
            </w:r>
            <w:r>
              <w:rPr>
                <w:rFonts w:hint="default" w:ascii="Times New Roman" w:hAnsi="Times New Roman" w:cs="Times New Roman" w:eastAsiaTheme="majorEastAsia"/>
                <w:b w:val="0"/>
                <w:bCs w:val="0"/>
                <w:color w:val="auto"/>
                <w:kern w:val="2"/>
                <w:sz w:val="21"/>
                <w:szCs w:val="21"/>
                <w:lang w:val="en-US" w:eastAsia="zh-CN" w:bidi="ar-SA"/>
              </w:rPr>
              <w:t>潮解性</w:t>
            </w:r>
            <w:r>
              <w:rPr>
                <w:rFonts w:hint="default" w:ascii="Times New Roman" w:hAnsi="Times New Roman" w:cs="Times New Roman" w:eastAsiaTheme="majorEastAsia"/>
                <w:b w:val="0"/>
                <w:bCs w:val="0"/>
                <w:color w:val="auto"/>
                <w:kern w:val="2"/>
                <w:sz w:val="21"/>
                <w:szCs w:val="21"/>
                <w:lang w:val="en-US" w:eastAsia="zh-CN" w:bidi="ar-SA"/>
              </w:rPr>
              <w:fldChar w:fldCharType="end"/>
            </w:r>
            <w:r>
              <w:rPr>
                <w:rFonts w:hint="default" w:ascii="Times New Roman" w:hAnsi="Times New Roman" w:cs="Times New Roman" w:eastAsiaTheme="majorEastAsia"/>
                <w:b w:val="0"/>
                <w:bCs w:val="0"/>
                <w:color w:val="auto"/>
                <w:kern w:val="2"/>
                <w:sz w:val="21"/>
                <w:szCs w:val="21"/>
                <w:lang w:val="en-US" w:eastAsia="zh-CN" w:bidi="ar-SA"/>
              </w:rPr>
              <w:t>，易吸取空气中的水蒸气（潮解）和二氧化碳（变质）。NaOH是</w:t>
            </w:r>
            <w:r>
              <w:rPr>
                <w:rFonts w:hint="default" w:ascii="Times New Roman" w:hAnsi="Times New Roman" w:cs="Times New Roman" w:eastAsiaTheme="majorEastAsia"/>
                <w:b w:val="0"/>
                <w:bCs w:val="0"/>
                <w:color w:val="auto"/>
                <w:kern w:val="2"/>
                <w:sz w:val="21"/>
                <w:szCs w:val="21"/>
                <w:lang w:val="en-US" w:eastAsia="zh-CN" w:bidi="ar-SA"/>
              </w:rPr>
              <w:fldChar w:fldCharType="begin"/>
            </w:r>
            <w:r>
              <w:rPr>
                <w:rFonts w:hint="default" w:ascii="Times New Roman" w:hAnsi="Times New Roman" w:cs="Times New Roman" w:eastAsiaTheme="majorEastAsia"/>
                <w:b w:val="0"/>
                <w:bCs w:val="0"/>
                <w:color w:val="auto"/>
                <w:kern w:val="2"/>
                <w:sz w:val="21"/>
                <w:szCs w:val="21"/>
                <w:lang w:val="en-US" w:eastAsia="zh-CN" w:bidi="ar-SA"/>
              </w:rPr>
              <w:instrText xml:space="preserve"> HYPERLINK "https://baike.so.com/doc/6554657-6768406.html" \t "https://baike.so.com/doc/_blank" </w:instrText>
            </w:r>
            <w:r>
              <w:rPr>
                <w:rFonts w:hint="default" w:ascii="Times New Roman" w:hAnsi="Times New Roman" w:cs="Times New Roman" w:eastAsiaTheme="majorEastAsia"/>
                <w:b w:val="0"/>
                <w:bCs w:val="0"/>
                <w:color w:val="auto"/>
                <w:kern w:val="2"/>
                <w:sz w:val="21"/>
                <w:szCs w:val="21"/>
                <w:lang w:val="en-US" w:eastAsia="zh-CN" w:bidi="ar-SA"/>
              </w:rPr>
              <w:fldChar w:fldCharType="separate"/>
            </w:r>
            <w:r>
              <w:rPr>
                <w:rFonts w:hint="default" w:ascii="Times New Roman" w:hAnsi="Times New Roman" w:cs="Times New Roman" w:eastAsiaTheme="majorEastAsia"/>
                <w:b w:val="0"/>
                <w:bCs w:val="0"/>
                <w:color w:val="auto"/>
                <w:kern w:val="2"/>
                <w:sz w:val="21"/>
                <w:szCs w:val="21"/>
                <w:lang w:val="en-US" w:eastAsia="zh-CN" w:bidi="ar-SA"/>
              </w:rPr>
              <w:t>化学实验室</w:t>
            </w:r>
            <w:r>
              <w:rPr>
                <w:rFonts w:hint="default" w:ascii="Times New Roman" w:hAnsi="Times New Roman" w:cs="Times New Roman" w:eastAsiaTheme="majorEastAsia"/>
                <w:b w:val="0"/>
                <w:bCs w:val="0"/>
                <w:color w:val="auto"/>
                <w:kern w:val="2"/>
                <w:sz w:val="21"/>
                <w:szCs w:val="21"/>
                <w:lang w:val="en-US" w:eastAsia="zh-CN" w:bidi="ar-SA"/>
              </w:rPr>
              <w:fldChar w:fldCharType="end"/>
            </w:r>
            <w:r>
              <w:rPr>
                <w:rFonts w:hint="default" w:ascii="Times New Roman" w:hAnsi="Times New Roman" w:cs="Times New Roman" w:eastAsiaTheme="majorEastAsia"/>
                <w:b w:val="0"/>
                <w:bCs w:val="0"/>
                <w:color w:val="auto"/>
                <w:kern w:val="2"/>
                <w:sz w:val="21"/>
                <w:szCs w:val="21"/>
                <w:lang w:val="en-US" w:eastAsia="zh-CN" w:bidi="ar-SA"/>
              </w:rPr>
              <w:t>其中一种必备的化学品，亦为常见的化工品之一。纯品是无色透明的晶体。密度2.130g/cm3。熔点318.4℃。沸点1390℃。工业品含有少量的</w:t>
            </w:r>
            <w:r>
              <w:rPr>
                <w:rFonts w:hint="default" w:ascii="Times New Roman" w:hAnsi="Times New Roman" w:cs="Times New Roman" w:eastAsiaTheme="majorEastAsia"/>
                <w:b w:val="0"/>
                <w:bCs w:val="0"/>
                <w:color w:val="auto"/>
                <w:kern w:val="2"/>
                <w:sz w:val="21"/>
                <w:szCs w:val="21"/>
                <w:lang w:val="en-US" w:eastAsia="zh-CN" w:bidi="ar-SA"/>
              </w:rPr>
              <w:fldChar w:fldCharType="begin"/>
            </w:r>
            <w:r>
              <w:rPr>
                <w:rFonts w:hint="default" w:ascii="Times New Roman" w:hAnsi="Times New Roman" w:cs="Times New Roman" w:eastAsiaTheme="majorEastAsia"/>
                <w:b w:val="0"/>
                <w:bCs w:val="0"/>
                <w:color w:val="auto"/>
                <w:kern w:val="2"/>
                <w:sz w:val="21"/>
                <w:szCs w:val="21"/>
                <w:lang w:val="en-US" w:eastAsia="zh-CN" w:bidi="ar-SA"/>
              </w:rPr>
              <w:instrText xml:space="preserve"> HYPERLINK "https://baike.so.com/doc/1243217-1314844.html" \t "https://baike.so.com/doc/_blank" </w:instrText>
            </w:r>
            <w:r>
              <w:rPr>
                <w:rFonts w:hint="default" w:ascii="Times New Roman" w:hAnsi="Times New Roman" w:cs="Times New Roman" w:eastAsiaTheme="majorEastAsia"/>
                <w:b w:val="0"/>
                <w:bCs w:val="0"/>
                <w:color w:val="auto"/>
                <w:kern w:val="2"/>
                <w:sz w:val="21"/>
                <w:szCs w:val="21"/>
                <w:lang w:val="en-US" w:eastAsia="zh-CN" w:bidi="ar-SA"/>
              </w:rPr>
              <w:fldChar w:fldCharType="separate"/>
            </w:r>
            <w:r>
              <w:rPr>
                <w:rFonts w:hint="default" w:ascii="Times New Roman" w:hAnsi="Times New Roman" w:cs="Times New Roman" w:eastAsiaTheme="majorEastAsia"/>
                <w:b w:val="0"/>
                <w:bCs w:val="0"/>
                <w:color w:val="auto"/>
                <w:kern w:val="2"/>
                <w:sz w:val="21"/>
                <w:szCs w:val="21"/>
                <w:lang w:val="en-US" w:eastAsia="zh-CN" w:bidi="ar-SA"/>
              </w:rPr>
              <w:t>氯化钠</w:t>
            </w:r>
            <w:r>
              <w:rPr>
                <w:rFonts w:hint="default" w:ascii="Times New Roman" w:hAnsi="Times New Roman" w:cs="Times New Roman" w:eastAsiaTheme="majorEastAsia"/>
                <w:b w:val="0"/>
                <w:bCs w:val="0"/>
                <w:color w:val="auto"/>
                <w:kern w:val="2"/>
                <w:sz w:val="21"/>
                <w:szCs w:val="21"/>
                <w:lang w:val="en-US" w:eastAsia="zh-CN" w:bidi="ar-SA"/>
              </w:rPr>
              <w:fldChar w:fldCharType="end"/>
            </w:r>
            <w:r>
              <w:rPr>
                <w:rFonts w:hint="default" w:ascii="Times New Roman" w:hAnsi="Times New Roman" w:cs="Times New Roman" w:eastAsiaTheme="majorEastAsia"/>
                <w:b w:val="0"/>
                <w:bCs w:val="0"/>
                <w:color w:val="auto"/>
                <w:kern w:val="2"/>
                <w:sz w:val="21"/>
                <w:szCs w:val="21"/>
                <w:lang w:val="en-US" w:eastAsia="zh-CN" w:bidi="ar-SA"/>
              </w:rPr>
              <w:t>和碳酸钠，是白色不透明的晶体。</w:t>
            </w:r>
          </w:p>
          <w:p w14:paraId="3C354FD8">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含氯消毒片：含氯消毒片主要成分为三氯异氰尿酸，化学式为C</w:t>
            </w:r>
            <w:r>
              <w:rPr>
                <w:rFonts w:hint="eastAsia" w:ascii="Times New Roman" w:hAnsi="Times New Roman" w:cs="Times New Roman" w:eastAsiaTheme="majorEastAsia"/>
                <w:b w:val="0"/>
                <w:bCs w:val="0"/>
                <w:color w:val="auto"/>
                <w:kern w:val="2"/>
                <w:sz w:val="21"/>
                <w:szCs w:val="21"/>
                <w:vertAlign w:val="sub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Cl</w:t>
            </w:r>
            <w:r>
              <w:rPr>
                <w:rFonts w:hint="eastAsia" w:ascii="Times New Roman" w:hAnsi="Times New Roman" w:cs="Times New Roman" w:eastAsiaTheme="majorEastAsia"/>
                <w:b w:val="0"/>
                <w:bCs w:val="0"/>
                <w:color w:val="auto"/>
                <w:kern w:val="2"/>
                <w:sz w:val="21"/>
                <w:szCs w:val="21"/>
                <w:vertAlign w:val="sub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N</w:t>
            </w:r>
            <w:r>
              <w:rPr>
                <w:rFonts w:hint="eastAsia" w:ascii="Times New Roman" w:hAnsi="Times New Roman" w:cs="Times New Roman" w:eastAsiaTheme="majorEastAsia"/>
                <w:b w:val="0"/>
                <w:bCs w:val="0"/>
                <w:color w:val="auto"/>
                <w:kern w:val="2"/>
                <w:sz w:val="21"/>
                <w:szCs w:val="21"/>
                <w:vertAlign w:val="sub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O</w:t>
            </w:r>
            <w:r>
              <w:rPr>
                <w:rFonts w:hint="eastAsia" w:ascii="Times New Roman" w:hAnsi="Times New Roman" w:cs="Times New Roman" w:eastAsiaTheme="majorEastAsia"/>
                <w:b w:val="0"/>
                <w:bCs w:val="0"/>
                <w:color w:val="auto"/>
                <w:kern w:val="2"/>
                <w:sz w:val="21"/>
                <w:szCs w:val="21"/>
                <w:vertAlign w:val="sub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，分子量为232.41，是一种</w:t>
            </w:r>
            <w:r>
              <w:rPr>
                <w:rFonts w:hint="eastAsia" w:ascii="Times New Roman" w:hAnsi="Times New Roman" w:cs="Times New Roman" w:eastAsiaTheme="majorEastAsia"/>
                <w:b w:val="0"/>
                <w:bCs w:val="0"/>
                <w:color w:val="auto"/>
                <w:kern w:val="2"/>
                <w:sz w:val="21"/>
                <w:szCs w:val="21"/>
                <w:lang w:val="en-US" w:eastAsia="zh-CN" w:bidi="ar-SA"/>
              </w:rPr>
              <w:fldChar w:fldCharType="begin"/>
            </w:r>
            <w:r>
              <w:rPr>
                <w:rFonts w:hint="eastAsia" w:ascii="Times New Roman" w:hAnsi="Times New Roman" w:cs="Times New Roman" w:eastAsiaTheme="majorEastAsia"/>
                <w:b w:val="0"/>
                <w:bCs w:val="0"/>
                <w:color w:val="auto"/>
                <w:kern w:val="2"/>
                <w:sz w:val="21"/>
                <w:szCs w:val="21"/>
                <w:lang w:val="en-US" w:eastAsia="zh-CN" w:bidi="ar-SA"/>
              </w:rPr>
              <w:instrText xml:space="preserve"> HYPERLINK "https://baike.baidu.com/item/%E6%9C%89%E6%9C%BA%E5%8C%96%E5%90%88%E7%89%A9/2950156?fromModule=lemma_inlink" \t "https://baike.baidu.com/item/%E4%B8%89%E6%B0%AF%E5%BC%82%E6%B0%B0%E5%B0%BF%E9%85%B8/_blank" </w:instrText>
            </w:r>
            <w:r>
              <w:rPr>
                <w:rFonts w:hint="eastAsia" w:ascii="Times New Roman" w:hAnsi="Times New Roman" w:cs="Times New Roman" w:eastAsiaTheme="majorEastAsia"/>
                <w:b w:val="0"/>
                <w:bCs w:val="0"/>
                <w:color w:val="auto"/>
                <w:kern w:val="2"/>
                <w:sz w:val="21"/>
                <w:szCs w:val="21"/>
                <w:lang w:val="en-US" w:eastAsia="zh-CN" w:bidi="ar-SA"/>
              </w:rPr>
              <w:fldChar w:fldCharType="separate"/>
            </w:r>
            <w:r>
              <w:rPr>
                <w:rFonts w:hint="eastAsia" w:ascii="Times New Roman" w:hAnsi="Times New Roman" w:cs="Times New Roman" w:eastAsiaTheme="majorEastAsia"/>
                <w:b w:val="0"/>
                <w:bCs w:val="0"/>
                <w:color w:val="auto"/>
                <w:kern w:val="2"/>
                <w:sz w:val="21"/>
                <w:szCs w:val="21"/>
                <w:lang w:val="en-US" w:eastAsia="zh-CN" w:bidi="ar-SA"/>
              </w:rPr>
              <w:t>有机化合物</w:t>
            </w:r>
            <w:r>
              <w:rPr>
                <w:rFonts w:hint="eastAsia" w:ascii="Times New Roman" w:hAnsi="Times New Roman" w:cs="Times New Roman" w:eastAsiaTheme="majorEastAsia"/>
                <w:b w:val="0"/>
                <w:bCs w:val="0"/>
                <w:color w:val="auto"/>
                <w:kern w:val="2"/>
                <w:sz w:val="21"/>
                <w:szCs w:val="21"/>
                <w:lang w:val="en-US" w:eastAsia="zh-CN" w:bidi="ar-SA"/>
              </w:rPr>
              <w:fldChar w:fldCharType="end"/>
            </w:r>
            <w:r>
              <w:rPr>
                <w:rFonts w:hint="eastAsia" w:ascii="Times New Roman" w:hAnsi="Times New Roman" w:cs="Times New Roman" w:eastAsiaTheme="majorEastAsia"/>
                <w:b w:val="0"/>
                <w:bCs w:val="0"/>
                <w:color w:val="auto"/>
                <w:kern w:val="2"/>
                <w:sz w:val="21"/>
                <w:szCs w:val="21"/>
                <w:lang w:val="en-US" w:eastAsia="zh-CN" w:bidi="ar-SA"/>
              </w:rPr>
              <w:t>，白色结晶性粉末或粒状固体，具有强烈的</w:t>
            </w:r>
            <w:r>
              <w:rPr>
                <w:rFonts w:hint="eastAsia" w:ascii="Times New Roman" w:hAnsi="Times New Roman" w:cs="Times New Roman" w:eastAsiaTheme="majorEastAsia"/>
                <w:b w:val="0"/>
                <w:bCs w:val="0"/>
                <w:color w:val="auto"/>
                <w:kern w:val="2"/>
                <w:sz w:val="21"/>
                <w:szCs w:val="21"/>
                <w:lang w:val="en-US" w:eastAsia="zh-CN" w:bidi="ar-SA"/>
              </w:rPr>
              <w:fldChar w:fldCharType="begin"/>
            </w:r>
            <w:r>
              <w:rPr>
                <w:rFonts w:hint="eastAsia" w:ascii="Times New Roman" w:hAnsi="Times New Roman" w:cs="Times New Roman" w:eastAsiaTheme="majorEastAsia"/>
                <w:b w:val="0"/>
                <w:bCs w:val="0"/>
                <w:color w:val="auto"/>
                <w:kern w:val="2"/>
                <w:sz w:val="21"/>
                <w:szCs w:val="21"/>
                <w:lang w:val="en-US" w:eastAsia="zh-CN" w:bidi="ar-SA"/>
              </w:rPr>
              <w:instrText xml:space="preserve"> HYPERLINK "https://baike.baidu.com/item/%E6%B0%AF%E6%B0%94/1759805?fromModule=lemma_inlink" \t "https://baike.baidu.com/item/%E4%B8%89%E6%B0%AF%E5%BC%82%E6%B0%B0%E5%B0%BF%E9%85%B8/_blank" </w:instrText>
            </w:r>
            <w:r>
              <w:rPr>
                <w:rFonts w:hint="eastAsia" w:ascii="Times New Roman" w:hAnsi="Times New Roman" w:cs="Times New Roman" w:eastAsiaTheme="majorEastAsia"/>
                <w:b w:val="0"/>
                <w:bCs w:val="0"/>
                <w:color w:val="auto"/>
                <w:kern w:val="2"/>
                <w:sz w:val="21"/>
                <w:szCs w:val="21"/>
                <w:lang w:val="en-US" w:eastAsia="zh-CN" w:bidi="ar-SA"/>
              </w:rPr>
              <w:fldChar w:fldCharType="separate"/>
            </w:r>
            <w:r>
              <w:rPr>
                <w:rFonts w:hint="eastAsia" w:ascii="Times New Roman" w:hAnsi="Times New Roman" w:cs="Times New Roman" w:eastAsiaTheme="majorEastAsia"/>
                <w:b w:val="0"/>
                <w:bCs w:val="0"/>
                <w:color w:val="auto"/>
                <w:kern w:val="2"/>
                <w:sz w:val="21"/>
                <w:szCs w:val="21"/>
                <w:lang w:val="en-US" w:eastAsia="zh-CN" w:bidi="ar-SA"/>
              </w:rPr>
              <w:t>氯气</w:t>
            </w:r>
            <w:r>
              <w:rPr>
                <w:rFonts w:hint="eastAsia" w:ascii="Times New Roman" w:hAnsi="Times New Roman" w:cs="Times New Roman" w:eastAsiaTheme="majorEastAsia"/>
                <w:b w:val="0"/>
                <w:bCs w:val="0"/>
                <w:color w:val="auto"/>
                <w:kern w:val="2"/>
                <w:sz w:val="21"/>
                <w:szCs w:val="21"/>
                <w:lang w:val="en-US" w:eastAsia="zh-CN" w:bidi="ar-SA"/>
              </w:rPr>
              <w:fldChar w:fldCharType="end"/>
            </w:r>
            <w:r>
              <w:rPr>
                <w:rFonts w:hint="eastAsia" w:ascii="Times New Roman" w:hAnsi="Times New Roman" w:cs="Times New Roman" w:eastAsiaTheme="majorEastAsia"/>
                <w:b w:val="0"/>
                <w:bCs w:val="0"/>
                <w:color w:val="auto"/>
                <w:kern w:val="2"/>
                <w:sz w:val="21"/>
                <w:szCs w:val="21"/>
                <w:lang w:val="en-US" w:eastAsia="zh-CN" w:bidi="ar-SA"/>
              </w:rPr>
              <w:t>刺激味。含有效氯在90%以上，25度时水中的溶解度为1.2克，遇酸或碱易分解。三氯异氰尿酸属于氯代异氰尿酸类化合物，是较重要的漂白剂、氯化剂和消毒剂。它与传统氯化剂（如液氯、漂白粉、漂粉精）相比，具有有效氯含量高，贮运稳定，成型和使用方便，杀菌和漂白力高，在水中释放有效氯时间长，安全无毒等特点。</w:t>
            </w:r>
          </w:p>
          <w:p w14:paraId="7A4ABFA7">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2.7水平衡分析</w:t>
            </w:r>
          </w:p>
          <w:p w14:paraId="39ACD8D1">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bCs/>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w:t>
            </w:r>
            <w:r>
              <w:rPr>
                <w:rFonts w:hint="default" w:ascii="Times New Roman" w:hAnsi="Times New Roman" w:cs="Times New Roman" w:eastAsiaTheme="majorEastAsia"/>
                <w:b/>
                <w:bCs/>
                <w:color w:val="auto"/>
                <w:kern w:val="2"/>
                <w:sz w:val="21"/>
                <w:szCs w:val="21"/>
                <w:lang w:val="en-US" w:eastAsia="zh-CN" w:bidi="ar-SA"/>
              </w:rPr>
              <w:t>1</w:t>
            </w:r>
            <w:r>
              <w:rPr>
                <w:rFonts w:hint="eastAsia" w:ascii="Times New Roman" w:hAnsi="Times New Roman" w:cs="Times New Roman" w:eastAsiaTheme="majorEastAsia"/>
                <w:b/>
                <w:bCs/>
                <w:color w:val="auto"/>
                <w:kern w:val="2"/>
                <w:sz w:val="21"/>
                <w:szCs w:val="21"/>
                <w:lang w:val="en-US" w:eastAsia="zh-CN" w:bidi="ar-SA"/>
              </w:rPr>
              <w:t xml:space="preserve">）给水 </w:t>
            </w:r>
          </w:p>
          <w:p w14:paraId="122CDAFF">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项目用水依托市政供水。改建项目用水主要包括医疗用水（住院用水、门诊用水）、生活用水（工作人员用水、流动顾客用水等）、宠物洗浴用水、地面清洁水。该动物医院化验区拟采用试纸条或试纸块沾取血液和尿液进行化验，化验过程中无用水，因此期间不会产生化验废水，使用之后的试纸条和试纸块计入医疗固废进行处理；改建项目不接待疫症宠物，员工工作服和宠物垫子毛巾洗涤水可与生活污水一同排入生化池。住院用水包含手术室手术器械用水及病房宠物笼清洗用水。项目宠物洗浴仅接待健康宠物，住院宠物不进行美容洗浴，宠物洗浴用水包含宠物垫子毛巾等洗涤用水。</w:t>
            </w:r>
          </w:p>
          <w:p w14:paraId="45D7F8E4">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项目配备1台B超机和DR机，B超机和DR机均自带数字直接成像系统，不需要出片，不设置洗片室，不涉及洗片废水。</w:t>
            </w:r>
          </w:p>
          <w:p w14:paraId="33F09B17">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bCs/>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（2）用水量</w:t>
            </w:r>
          </w:p>
          <w:p w14:paraId="735EA41F">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项目不提供食宿。项目用水主要为生活用水、医疗用水。</w:t>
            </w:r>
          </w:p>
          <w:p w14:paraId="41FAB6F2">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bCs/>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①生活用水</w:t>
            </w:r>
          </w:p>
          <w:p w14:paraId="738DEE5F">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本项目生活用水包括职工生活用水、流动顾客用水。</w:t>
            </w:r>
          </w:p>
          <w:p w14:paraId="0B7C0F9F">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职工生活用水：</w:t>
            </w:r>
            <w:r>
              <w:rPr>
                <w:rFonts w:hint="eastAsia" w:ascii="Times New Roman" w:hAnsi="Times New Roman" w:cs="Times New Roman" w:eastAsiaTheme="majorEastAsia"/>
                <w:b w:val="0"/>
                <w:bCs w:val="0"/>
                <w:color w:val="auto"/>
                <w:kern w:val="2"/>
                <w:sz w:val="21"/>
                <w:szCs w:val="21"/>
                <w:lang w:val="en-US" w:eastAsia="zh-CN" w:bidi="ar-SA"/>
              </w:rPr>
              <w:t>项目劳动定员4人，根据《建筑给水排水设计标准》（GB50015-2019），职工生活用水量按照50L/（人·d）计，则职工生活用水量约0.2m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/d（70m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/a）。生活污水排污系数按0.9计。</w:t>
            </w:r>
          </w:p>
          <w:p w14:paraId="6F200B28">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流动顾客用水：</w:t>
            </w:r>
            <w:r>
              <w:rPr>
                <w:rFonts w:hint="eastAsia" w:ascii="Times New Roman" w:hAnsi="Times New Roman" w:cs="Times New Roman" w:eastAsiaTheme="majorEastAsia"/>
                <w:b w:val="0"/>
                <w:bCs w:val="0"/>
                <w:color w:val="auto"/>
                <w:kern w:val="2"/>
                <w:sz w:val="21"/>
                <w:szCs w:val="21"/>
                <w:lang w:val="en-US" w:eastAsia="zh-CN" w:bidi="ar-SA"/>
              </w:rPr>
              <w:t>门诊最大宠物接待量为10只/d（3500只/a），美容服务宠物最大接待量为5只/d（1750只/a），则宠物接待量约15只/d（5250只/a），按每只宠物由1名主人携带就诊或洗浴考虑，即宠物主人约15人次/d（5250人次/a），类比同类宠物医院项目，流动顾客用水量按照10L/人·次计，则流动顾客用水量约0.15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/d（52.5m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/a）。流动顾客污水排污系数按0.9计。</w:t>
            </w:r>
          </w:p>
          <w:p w14:paraId="211A7299">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bCs/>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②医疗用水</w:t>
            </w:r>
          </w:p>
          <w:p w14:paraId="5ED72DE9">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本项目医疗废水包括手术器械清洗用水、诊疗用水、宠物笼清洗用水、住院宠物饮水、地面清洁废水、美容洗护用水、工服清洗用水、宠物毛毯清洗用水、高压蒸汽灭菌器用水。</w:t>
            </w:r>
          </w:p>
          <w:p w14:paraId="3999C3A3">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诊疗用水：</w:t>
            </w:r>
            <w:r>
              <w:rPr>
                <w:rFonts w:hint="eastAsia" w:ascii="Times New Roman" w:hAnsi="Times New Roman" w:cs="Times New Roman" w:eastAsiaTheme="majorEastAsia"/>
                <w:b w:val="0"/>
                <w:bCs w:val="0"/>
                <w:color w:val="auto"/>
                <w:kern w:val="2"/>
                <w:sz w:val="21"/>
                <w:szCs w:val="21"/>
                <w:lang w:val="en-US" w:eastAsia="zh-CN" w:bidi="ar-SA"/>
              </w:rPr>
              <w:t>由于目前宠物医疗用水定额暂未发布相关文件，因此，本项目诊疗用水参照《建筑给水排水设计标准》（GB50015-2019）、</w:t>
            </w:r>
            <w:r>
              <w:rPr>
                <w:rFonts w:hint="default" w:ascii="Times New Roman" w:hAnsi="Times New Roman" w:eastAsia="宋体" w:cs="Times New Roman"/>
                <w:color w:val="auto"/>
                <w:sz w:val="21"/>
                <w:szCs w:val="21"/>
                <w:highlight w:val="none"/>
                <w:lang w:val="en-US" w:eastAsia="zh-CN"/>
              </w:rPr>
              <w:t>《重庆市第二三产业用水定额</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2020 年版</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》（渝水〔2021〕56号）</w:t>
            </w:r>
            <w:r>
              <w:rPr>
                <w:rFonts w:hint="eastAsia" w:ascii="Times New Roman" w:hAnsi="Times New Roman" w:cs="Times New Roman" w:eastAsiaTheme="majorEastAsia"/>
                <w:b w:val="0"/>
                <w:bCs w:val="0"/>
                <w:color w:val="auto"/>
                <w:kern w:val="2"/>
                <w:sz w:val="21"/>
                <w:szCs w:val="21"/>
                <w:lang w:val="en-US" w:eastAsia="zh-CN" w:bidi="ar-SA"/>
              </w:rPr>
              <w:t>进行用水量核算，诊疗用水定额取人医活动用水量最大值，按每只宠物15L/d计算，项目门诊最大接诊量为10只/d（3500只/a，已包含化验、手术接诊量），即项目诊疗用水量0.15m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/d（52.5m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/a）。诊疗废水排污系数按0.9计。</w:t>
            </w:r>
          </w:p>
          <w:p w14:paraId="4A80925B">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手术器械清洗用水：</w:t>
            </w:r>
            <w:r>
              <w:rPr>
                <w:rFonts w:hint="eastAsia" w:ascii="Times New Roman" w:hAnsi="Times New Roman" w:cs="Times New Roman" w:eastAsiaTheme="majorEastAsia"/>
                <w:b w:val="0"/>
                <w:bCs w:val="0"/>
                <w:color w:val="auto"/>
                <w:kern w:val="2"/>
                <w:sz w:val="21"/>
                <w:szCs w:val="21"/>
                <w:lang w:val="en-US" w:eastAsia="zh-CN" w:bidi="ar-SA"/>
              </w:rPr>
              <w:t>根据建设单位提供资料及类比同类型宠物医院，手术器械清洗用水量约5L/台，项目手术台数最大量为350台/年（日最大手术台数为1台），则年用水量为1.75m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/a，日最大手术器械清洗用水量约0.005m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/d。手术器械清洗废水排污系数按0.9计。</w:t>
            </w:r>
          </w:p>
          <w:p w14:paraId="35539456">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宠物笼清洗用水：</w:t>
            </w:r>
            <w:r>
              <w:rPr>
                <w:rFonts w:hint="eastAsia" w:ascii="Times New Roman" w:hAnsi="Times New Roman" w:cs="Times New Roman" w:eastAsiaTheme="majorEastAsia"/>
                <w:b w:val="0"/>
                <w:bCs w:val="0"/>
                <w:color w:val="auto"/>
                <w:kern w:val="2"/>
                <w:sz w:val="21"/>
                <w:szCs w:val="21"/>
                <w:lang w:val="en-US" w:eastAsia="zh-CN" w:bidi="ar-SA"/>
              </w:rPr>
              <w:t>项目宠物笼和排泄物托盘每天需要进行清洁。根据建设单位提供资料并类比同类型宠物医院，</w:t>
            </w:r>
            <w:r>
              <w:rPr>
                <w:rFonts w:hint="eastAsia" w:ascii="Times New Roman" w:hAnsi="Times New Roman" w:eastAsia="宋体" w:cs="Times New Roman"/>
                <w:bCs w:val="0"/>
                <w:color w:val="auto"/>
                <w:highlight w:val="none"/>
                <w:lang w:val="en-US" w:eastAsia="zh-CN"/>
              </w:rPr>
              <w:t>宠物笼清洗用水量按5L/笼子计算，项目宠物笼数量为2</w:t>
            </w:r>
            <w:r>
              <w:rPr>
                <w:rFonts w:hint="eastAsia" w:ascii="Times New Roman" w:hAnsi="Times New Roman" w:cs="Times New Roman"/>
                <w:bCs w:val="0"/>
                <w:color w:val="auto"/>
                <w:highlight w:val="none"/>
                <w:lang w:val="en-US" w:eastAsia="zh-CN"/>
              </w:rPr>
              <w:t>8</w:t>
            </w:r>
            <w:r>
              <w:rPr>
                <w:rFonts w:hint="eastAsia" w:ascii="Times New Roman" w:hAnsi="Times New Roman" w:eastAsia="宋体" w:cs="Times New Roman"/>
                <w:bCs w:val="0"/>
                <w:color w:val="auto"/>
                <w:highlight w:val="none"/>
                <w:lang w:val="en-US" w:eastAsia="zh-CN"/>
              </w:rPr>
              <w:t>个</w:t>
            </w:r>
            <w:r>
              <w:rPr>
                <w:rFonts w:hint="eastAsia" w:ascii="Times New Roman" w:hAnsi="Times New Roman" w:cs="Times New Roman"/>
                <w:bCs w:val="0"/>
                <w:color w:val="auto"/>
                <w:highlight w:val="none"/>
                <w:lang w:val="en-US" w:eastAsia="zh-CN"/>
              </w:rPr>
              <w:t>（其中住院笼数为12个），</w:t>
            </w:r>
            <w:r>
              <w:rPr>
                <w:rFonts w:hint="eastAsia" w:ascii="Times New Roman" w:hAnsi="Times New Roman" w:eastAsia="宋体" w:cs="Times New Roman"/>
                <w:bCs w:val="0"/>
                <w:color w:val="auto"/>
                <w:highlight w:val="none"/>
                <w:lang w:val="en-US" w:eastAsia="zh-CN"/>
              </w:rPr>
              <w:t>则项目住院宠物笼清洁用水量为0.1</w:t>
            </w:r>
            <w:r>
              <w:rPr>
                <w:rFonts w:hint="eastAsia" w:ascii="Times New Roman" w:hAnsi="Times New Roman" w:cs="Times New Roman"/>
                <w:bCs w:val="0"/>
                <w:color w:val="auto"/>
                <w:highlight w:val="none"/>
                <w:lang w:val="en-US" w:eastAsia="zh-CN"/>
              </w:rPr>
              <w:t>4</w:t>
            </w:r>
            <w:r>
              <w:rPr>
                <w:rFonts w:hint="eastAsia" w:ascii="Times New Roman" w:hAnsi="Times New Roman" w:eastAsia="宋体" w:cs="Times New Roman"/>
                <w:bCs w:val="0"/>
                <w:color w:val="auto"/>
                <w:highlight w:val="none"/>
                <w:lang w:val="en-US" w:eastAsia="zh-CN"/>
              </w:rPr>
              <w:t>m</w:t>
            </w:r>
            <w:r>
              <w:rPr>
                <w:rFonts w:hint="eastAsia" w:ascii="Times New Roman" w:hAnsi="Times New Roman" w:eastAsia="宋体" w:cs="Times New Roman"/>
                <w:bCs w:val="0"/>
                <w:color w:val="auto"/>
                <w:highlight w:val="none"/>
                <w:vertAlign w:val="superscript"/>
                <w:lang w:val="en-US" w:eastAsia="zh-CN"/>
              </w:rPr>
              <w:t>3</w:t>
            </w:r>
            <w:r>
              <w:rPr>
                <w:rFonts w:hint="eastAsia" w:ascii="Times New Roman" w:hAnsi="Times New Roman" w:eastAsia="宋体" w:cs="Times New Roman"/>
                <w:bCs w:val="0"/>
                <w:color w:val="auto"/>
                <w:highlight w:val="none"/>
                <w:lang w:val="en-US" w:eastAsia="zh-CN"/>
              </w:rPr>
              <w:t>/d（</w:t>
            </w:r>
            <w:r>
              <w:rPr>
                <w:rFonts w:hint="eastAsia" w:ascii="Times New Roman" w:hAnsi="Times New Roman" w:cs="Times New Roman"/>
                <w:bCs w:val="0"/>
                <w:color w:val="auto"/>
                <w:highlight w:val="none"/>
                <w:lang w:val="en-US" w:eastAsia="zh-CN"/>
              </w:rPr>
              <w:t>49</w:t>
            </w:r>
            <w:r>
              <w:rPr>
                <w:rFonts w:hint="eastAsia" w:ascii="Times New Roman" w:hAnsi="Times New Roman" w:eastAsia="宋体" w:cs="Times New Roman"/>
                <w:bCs w:val="0"/>
                <w:color w:val="auto"/>
                <w:highlight w:val="none"/>
                <w:lang w:val="en-US" w:eastAsia="zh-CN"/>
              </w:rPr>
              <w:t>m</w:t>
            </w:r>
            <w:r>
              <w:rPr>
                <w:rFonts w:hint="eastAsia" w:ascii="Times New Roman" w:hAnsi="Times New Roman" w:eastAsia="宋体" w:cs="Times New Roman"/>
                <w:bCs w:val="0"/>
                <w:color w:val="auto"/>
                <w:highlight w:val="none"/>
                <w:vertAlign w:val="superscript"/>
                <w:lang w:val="en-US" w:eastAsia="zh-CN"/>
              </w:rPr>
              <w:t>3</w:t>
            </w:r>
            <w:r>
              <w:rPr>
                <w:rFonts w:hint="eastAsia" w:ascii="Times New Roman" w:hAnsi="Times New Roman" w:eastAsia="宋体" w:cs="Times New Roman"/>
                <w:bCs w:val="0"/>
                <w:color w:val="auto"/>
                <w:highlight w:val="none"/>
                <w:lang w:val="en-US" w:eastAsia="zh-CN"/>
              </w:rPr>
              <w:t>/a），</w:t>
            </w:r>
            <w:r>
              <w:rPr>
                <w:rFonts w:hint="eastAsia" w:ascii="Times New Roman" w:hAnsi="Times New Roman" w:cs="Times New Roman" w:eastAsiaTheme="majorEastAsia"/>
                <w:b w:val="0"/>
                <w:bCs w:val="0"/>
                <w:color w:val="auto"/>
                <w:kern w:val="2"/>
                <w:sz w:val="21"/>
                <w:szCs w:val="21"/>
                <w:lang w:val="en-US" w:eastAsia="zh-CN" w:bidi="ar-SA"/>
              </w:rPr>
              <w:t>宠物笼清洗废水排污系数按0.9计。</w:t>
            </w:r>
          </w:p>
          <w:p w14:paraId="0B39AE66">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住院宠物饮用水：</w:t>
            </w:r>
            <w:r>
              <w:rPr>
                <w:rFonts w:hint="eastAsia" w:ascii="Times New Roman" w:hAnsi="Times New Roman" w:cs="Times New Roman" w:eastAsiaTheme="majorEastAsia"/>
                <w:b w:val="0"/>
                <w:bCs w:val="0"/>
                <w:color w:val="auto"/>
                <w:kern w:val="2"/>
                <w:sz w:val="21"/>
                <w:szCs w:val="21"/>
                <w:lang w:val="en-US" w:eastAsia="zh-CN" w:bidi="ar-SA"/>
              </w:rPr>
              <w:t>项目住院宠物最大量为12只/d，其中猫约6只，犬约6只。根据查询相关资料，猫每天饮用水量约40~60ml/kg，每只猫重量约2.5kg~8kg，项目每只猫饮用水量按60ml/kg，重量按平均6kg计算，则猫饮用水量约0.002m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/d（0.756m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w:t>
            </w:r>
          </w:p>
          <w:p w14:paraId="44759DB2">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根据查询相关资料，犬分为小型犬、中型犬、大型犬。项目接诊的小型犬体重约4~10kg/只，中型犬体重约10kg~30kg/只，大型犬体重约30kg~50kg/只，本项目按照均值取各类型犬的重量，即小型犬取7kg/只，中型犬取20kg/只，大型犬取40kg/只，宠物狗每日饮水定额为45~60ml/kg-狗，项目住院犬饮用水量按最大值60ml/kg-狗进行核算。根据建设单位提供资料，项目接待的各类型犬的比例约为小型犬：中型犬：大型犬=6:3:1，则项目每天住院宠物的小型犬约3只，中型犬约2只，大型犬约1只。则住院宠物小型犬用水量约0.001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/d（0.441m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/a），中型犬用水量约0.002m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/d（0.84m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/a），大型犬用水量约0.002m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/d（0.84m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/a），合计犬只饮用水量约0.005m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/d（2.121m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w:t>
            </w:r>
          </w:p>
          <w:p w14:paraId="18B05312">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val="0"/>
                <w:bCs w:val="0"/>
                <w:color w:val="auto"/>
                <w:kern w:val="2"/>
                <w:sz w:val="21"/>
                <w:szCs w:val="21"/>
                <w:lang w:val="en-US" w:eastAsia="zh-CN" w:bidi="ar-SA"/>
              </w:rPr>
              <w:t>综上，住院宠物饮用水量约0.007m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/d（2.877m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w:t>
            </w:r>
          </w:p>
          <w:p w14:paraId="776572D8">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default" w:ascii="Times New Roman" w:hAnsi="Times New Roman" w:cs="Times New Roman" w:eastAsiaTheme="majorEastAsia"/>
                <w:b w:val="0"/>
                <w:bCs w:val="0"/>
                <w:color w:val="auto"/>
                <w:kern w:val="2"/>
                <w:sz w:val="21"/>
                <w:szCs w:val="21"/>
                <w:lang w:val="en-US" w:eastAsia="zh-CN" w:bidi="ar-SA"/>
              </w:rPr>
              <w:t>猫住院及诊疗期间产生的粪便与尿液均可使用猫砂盒收集，日常工作人员及时清理猫砂盒，清理出的猫砂使用消毒剂消毒、生石灰干燥后收集集中处置。狗笼内设置排便与排尿盒，犬住院与诊疗期间排污采取干湿分离，犬尿液排放比例约40%，进入医疗废水处理设施进行消毒，粪污使用消毒剂消毒、生石灰干燥后收集集中处置，排便与排尿盒清洗用排水已纳入宠物笼清洗用排水，不再单独核算。将处理后的动物粪污消毒后打包交由环卫部门收运处置。</w:t>
            </w:r>
          </w:p>
          <w:p w14:paraId="3214F140">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地面清洁用水：</w:t>
            </w:r>
            <w:r>
              <w:rPr>
                <w:rFonts w:hint="eastAsia" w:ascii="Times New Roman" w:hAnsi="Times New Roman" w:cs="Times New Roman" w:eastAsiaTheme="majorEastAsia"/>
                <w:b w:val="0"/>
                <w:bCs w:val="0"/>
                <w:color w:val="auto"/>
                <w:kern w:val="2"/>
                <w:sz w:val="21"/>
                <w:szCs w:val="21"/>
                <w:lang w:val="en-US" w:eastAsia="zh-CN" w:bidi="ar-SA"/>
              </w:rPr>
              <w:t>项目地面采用拖布拖地（清洁用水里添加84消毒液进行消毒），地面清洁用水按照2L/（m</w:t>
            </w:r>
            <w:r>
              <w:rPr>
                <w:rFonts w:hint="eastAsia" w:ascii="Times New Roman" w:hAnsi="Times New Roman" w:cs="Times New Roman" w:eastAsiaTheme="majorEastAsia"/>
                <w:b w:val="0"/>
                <w:bCs w:val="0"/>
                <w:color w:val="auto"/>
                <w:kern w:val="2"/>
                <w:sz w:val="21"/>
                <w:szCs w:val="21"/>
                <w:vertAlign w:val="superscript"/>
                <w:lang w:val="en-US" w:eastAsia="zh-CN" w:bidi="ar-SA"/>
              </w:rPr>
              <w:t>2</w:t>
            </w:r>
            <w:r>
              <w:rPr>
                <w:rFonts w:hint="eastAsia" w:ascii="Times New Roman" w:hAnsi="Times New Roman" w:cs="Times New Roman" w:eastAsiaTheme="majorEastAsia"/>
                <w:b w:val="0"/>
                <w:bCs w:val="0"/>
                <w:color w:val="auto"/>
                <w:kern w:val="2"/>
                <w:sz w:val="21"/>
                <w:szCs w:val="21"/>
                <w:lang w:val="en-US" w:eastAsia="zh-CN" w:bidi="ar-SA"/>
              </w:rPr>
              <w:t>·d），本项目建筑面积共计129.14m</w:t>
            </w:r>
            <w:r>
              <w:rPr>
                <w:rFonts w:hint="eastAsia" w:ascii="Times New Roman" w:hAnsi="Times New Roman" w:cs="Times New Roman" w:eastAsiaTheme="majorEastAsia"/>
                <w:b w:val="0"/>
                <w:bCs w:val="0"/>
                <w:color w:val="auto"/>
                <w:kern w:val="2"/>
                <w:sz w:val="21"/>
                <w:szCs w:val="21"/>
                <w:vertAlign w:val="superscript"/>
                <w:lang w:val="en-US" w:eastAsia="zh-CN" w:bidi="ar-SA"/>
              </w:rPr>
              <w:t>2</w:t>
            </w:r>
            <w:r>
              <w:rPr>
                <w:rFonts w:hint="eastAsia" w:ascii="Times New Roman" w:hAnsi="Times New Roman" w:cs="Times New Roman" w:eastAsiaTheme="majorEastAsia"/>
                <w:b w:val="0"/>
                <w:bCs w:val="0"/>
                <w:color w:val="auto"/>
                <w:kern w:val="2"/>
                <w:sz w:val="21"/>
                <w:szCs w:val="21"/>
                <w:lang w:val="en-US" w:eastAsia="zh-CN" w:bidi="ar-SA"/>
              </w:rPr>
              <w:t>，根据宠物医院面积和设备布置占用面积，地面清洁面积约占总面积的80%，则地面清洁面积约103m</w:t>
            </w:r>
            <w:r>
              <w:rPr>
                <w:rFonts w:hint="eastAsia" w:ascii="Times New Roman" w:hAnsi="Times New Roman" w:cs="Times New Roman" w:eastAsiaTheme="majorEastAsia"/>
                <w:b w:val="0"/>
                <w:bCs w:val="0"/>
                <w:color w:val="auto"/>
                <w:kern w:val="2"/>
                <w:sz w:val="21"/>
                <w:szCs w:val="21"/>
                <w:vertAlign w:val="superscript"/>
                <w:lang w:val="en-US" w:eastAsia="zh-CN" w:bidi="ar-SA"/>
              </w:rPr>
              <w:t>2</w:t>
            </w:r>
            <w:r>
              <w:rPr>
                <w:rFonts w:hint="eastAsia" w:ascii="Times New Roman" w:hAnsi="Times New Roman" w:cs="Times New Roman" w:eastAsiaTheme="majorEastAsia"/>
                <w:b w:val="0"/>
                <w:bCs w:val="0"/>
                <w:color w:val="auto"/>
                <w:kern w:val="2"/>
                <w:sz w:val="21"/>
                <w:szCs w:val="21"/>
                <w:lang w:val="en-US" w:eastAsia="zh-CN" w:bidi="ar-SA"/>
              </w:rPr>
              <w:t>，则地面清洁用水量0.206m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/d（72.1m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/a），地面清洁废水排污系数按0.9计。</w:t>
            </w:r>
          </w:p>
          <w:p w14:paraId="5A95DDC9">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美容洗护用水：</w:t>
            </w:r>
            <w:r>
              <w:rPr>
                <w:rFonts w:hint="eastAsia" w:ascii="Times New Roman" w:hAnsi="Times New Roman" w:cs="Times New Roman" w:eastAsiaTheme="majorEastAsia"/>
                <w:b w:val="0"/>
                <w:bCs w:val="0"/>
                <w:color w:val="auto"/>
                <w:kern w:val="2"/>
                <w:sz w:val="21"/>
                <w:szCs w:val="21"/>
                <w:lang w:val="en-US" w:eastAsia="zh-CN" w:bidi="ar-SA"/>
              </w:rPr>
              <w:t>类比同类型项目，项目美容洗护用水量按照50L/只计，项目美容服务最大接待宠物量为5只/d（1750只/a），则美容洗护用水量约0.25m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/d（87.5m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/a）。美容洗护废水排污系数按0.9计。</w:t>
            </w:r>
          </w:p>
          <w:p w14:paraId="115BAC47">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工服清洗用水：</w:t>
            </w:r>
            <w:r>
              <w:rPr>
                <w:rFonts w:hint="eastAsia" w:ascii="Times New Roman" w:hAnsi="Times New Roman" w:cs="Times New Roman" w:eastAsiaTheme="majorEastAsia"/>
                <w:b w:val="0"/>
                <w:bCs w:val="0"/>
                <w:color w:val="auto"/>
                <w:kern w:val="2"/>
                <w:sz w:val="21"/>
                <w:szCs w:val="21"/>
                <w:lang w:val="en-US" w:eastAsia="zh-CN" w:bidi="ar-SA"/>
              </w:rPr>
              <w:t>项目员工工服需要进行清洗消毒，洗涤时先使用84消毒液进行浸泡消毒之后使用洗衣液进行洗涤。根据《建筑给水排水设计标准》（GB50015-2019），清洗用水量按照60L/kg干衣物计算。项目平均每天清洗工服重量约2kg，则工服清洗用水量约0.12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/d（42m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/a）。工服清洗废水排污系数按0.9计。</w:t>
            </w:r>
          </w:p>
          <w:p w14:paraId="62037ACE">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宠物毛毯清洗用水：</w:t>
            </w:r>
            <w:r>
              <w:rPr>
                <w:rFonts w:hint="eastAsia" w:ascii="Times New Roman" w:hAnsi="Times New Roman" w:cs="Times New Roman" w:eastAsiaTheme="majorEastAsia"/>
                <w:b w:val="0"/>
                <w:bCs w:val="0"/>
                <w:color w:val="auto"/>
                <w:kern w:val="2"/>
                <w:sz w:val="21"/>
                <w:szCs w:val="21"/>
                <w:lang w:val="en-US" w:eastAsia="zh-CN" w:bidi="ar-SA"/>
              </w:rPr>
              <w:t>健康的宠物美容洗护后的毛毯需要定期进行清洗，参照《建筑给水排水设计标准》（GB50015-2019），清洗用水量按照60L/kg干衣物计算，根据建设单位提供资料，项目平均每天清洗宠物毛毯约2kg，则宠物毛毯清洗用水量约0.12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/d（42m</w:t>
            </w:r>
            <w:r>
              <w:rPr>
                <w:rFonts w:hint="eastAsia" w:ascii="Times New Roman" w:hAnsi="Times New Roman" w:cs="Times New Roman" w:eastAsiaTheme="majorEastAsia"/>
                <w:b w:val="0"/>
                <w:bCs w:val="0"/>
                <w:color w:val="auto"/>
                <w:kern w:val="2"/>
                <w:sz w:val="21"/>
                <w:szCs w:val="21"/>
                <w:vertAlign w:val="superscript"/>
                <w:lang w:val="en-US" w:eastAsia="zh-CN" w:bidi="ar-SA"/>
              </w:rPr>
              <w:t>3</w:t>
            </w:r>
            <w:r>
              <w:rPr>
                <w:rFonts w:hint="eastAsia" w:ascii="Times New Roman" w:hAnsi="Times New Roman" w:cs="Times New Roman" w:eastAsiaTheme="majorEastAsia"/>
                <w:b w:val="0"/>
                <w:bCs w:val="0"/>
                <w:color w:val="auto"/>
                <w:kern w:val="2"/>
                <w:sz w:val="21"/>
                <w:szCs w:val="21"/>
                <w:lang w:val="en-US" w:eastAsia="zh-CN" w:bidi="ar-SA"/>
              </w:rPr>
              <w:t>/a）。宠物毛毯清洗废水排污系数按0.9计。</w:t>
            </w:r>
          </w:p>
          <w:p w14:paraId="7988CB04">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eastAsia" w:ascii="Times New Roman" w:hAnsi="Times New Roman" w:cs="Times New Roman" w:eastAsiaTheme="majorEastAsia"/>
                <w:b/>
                <w:bCs/>
                <w:color w:val="auto"/>
                <w:kern w:val="2"/>
                <w:sz w:val="21"/>
                <w:szCs w:val="21"/>
                <w:lang w:val="en-US" w:eastAsia="zh-CN" w:bidi="ar-SA"/>
              </w:rPr>
              <w:t>手提式高压蒸汽灭菌器用水：</w:t>
            </w:r>
            <w:r>
              <w:rPr>
                <w:rFonts w:hint="eastAsia" w:ascii="Times New Roman" w:hAnsi="Times New Roman" w:cs="Times New Roman" w:eastAsiaTheme="majorEastAsia"/>
                <w:b w:val="0"/>
                <w:bCs w:val="0"/>
                <w:color w:val="auto"/>
                <w:kern w:val="2"/>
                <w:sz w:val="21"/>
                <w:szCs w:val="21"/>
                <w:lang w:val="en-US" w:eastAsia="zh-CN" w:bidi="ar-SA"/>
              </w:rPr>
              <w:t>项目</w:t>
            </w:r>
            <w:r>
              <w:rPr>
                <w:rFonts w:hint="default" w:ascii="Times New Roman" w:hAnsi="Times New Roman" w:cs="Times New Roman" w:eastAsiaTheme="majorEastAsia"/>
                <w:b w:val="0"/>
                <w:bCs w:val="0"/>
                <w:color w:val="auto"/>
                <w:kern w:val="2"/>
                <w:sz w:val="21"/>
                <w:szCs w:val="21"/>
                <w:lang w:val="en-US" w:eastAsia="zh-CN" w:bidi="ar-SA"/>
              </w:rPr>
              <w:t>设</w:t>
            </w:r>
            <w:r>
              <w:rPr>
                <w:rFonts w:hint="eastAsia" w:ascii="Times New Roman" w:hAnsi="Times New Roman" w:cs="Times New Roman" w:eastAsiaTheme="majorEastAsia"/>
                <w:b w:val="0"/>
                <w:bCs w:val="0"/>
                <w:color w:val="auto"/>
                <w:kern w:val="2"/>
                <w:sz w:val="21"/>
                <w:szCs w:val="21"/>
                <w:lang w:val="en-US" w:eastAsia="zh-CN" w:bidi="ar-SA"/>
              </w:rPr>
              <w:t>有</w:t>
            </w:r>
            <w:r>
              <w:rPr>
                <w:rFonts w:hint="default" w:ascii="Times New Roman" w:hAnsi="Times New Roman" w:cs="Times New Roman" w:eastAsiaTheme="majorEastAsia"/>
                <w:b w:val="0"/>
                <w:bCs w:val="0"/>
                <w:color w:val="auto"/>
                <w:kern w:val="2"/>
                <w:sz w:val="21"/>
                <w:szCs w:val="21"/>
                <w:lang w:val="en-US" w:eastAsia="zh-CN" w:bidi="ar-SA"/>
              </w:rPr>
              <w:t>一台</w:t>
            </w:r>
            <w:r>
              <w:rPr>
                <w:rFonts w:hint="eastAsia" w:ascii="Times New Roman" w:hAnsi="Times New Roman" w:cs="Times New Roman" w:eastAsiaTheme="majorEastAsia"/>
                <w:b w:val="0"/>
                <w:bCs w:val="0"/>
                <w:color w:val="auto"/>
                <w:kern w:val="2"/>
                <w:sz w:val="21"/>
                <w:szCs w:val="21"/>
                <w:lang w:val="en-US" w:eastAsia="zh-CN" w:bidi="ar-SA"/>
              </w:rPr>
              <w:t>4</w:t>
            </w:r>
            <w:r>
              <w:rPr>
                <w:rFonts w:hint="default" w:ascii="Times New Roman" w:hAnsi="Times New Roman" w:cs="Times New Roman" w:eastAsiaTheme="majorEastAsia"/>
                <w:b w:val="0"/>
                <w:bCs w:val="0"/>
                <w:color w:val="auto"/>
                <w:kern w:val="2"/>
                <w:sz w:val="21"/>
                <w:szCs w:val="21"/>
                <w:lang w:val="en-US" w:eastAsia="zh-CN" w:bidi="ar-SA"/>
              </w:rPr>
              <w:t>L手提式高压蒸气灭菌器，使用</w:t>
            </w:r>
            <w:r>
              <w:rPr>
                <w:rFonts w:hint="eastAsia" w:ascii="Times New Roman" w:hAnsi="Times New Roman" w:cs="Times New Roman" w:eastAsiaTheme="majorEastAsia"/>
                <w:b w:val="0"/>
                <w:bCs w:val="0"/>
                <w:color w:val="auto"/>
                <w:kern w:val="2"/>
                <w:sz w:val="21"/>
                <w:szCs w:val="21"/>
                <w:lang w:val="en-US" w:eastAsia="zh-CN" w:bidi="ar-SA"/>
              </w:rPr>
              <w:t>清水</w:t>
            </w:r>
            <w:r>
              <w:rPr>
                <w:rFonts w:hint="default" w:ascii="Times New Roman" w:hAnsi="Times New Roman" w:cs="Times New Roman" w:eastAsiaTheme="majorEastAsia"/>
                <w:b w:val="0"/>
                <w:bCs w:val="0"/>
                <w:color w:val="auto"/>
                <w:kern w:val="2"/>
                <w:sz w:val="21"/>
                <w:szCs w:val="21"/>
                <w:lang w:val="en-US" w:eastAsia="zh-CN" w:bidi="ar-SA"/>
              </w:rPr>
              <w:t>蒸发产生的高温蒸汽对器具进行消毒，高压蒸汽灭菌锅为密闭设备，用水量约</w:t>
            </w:r>
            <w:r>
              <w:rPr>
                <w:rFonts w:hint="eastAsia" w:ascii="Times New Roman" w:hAnsi="Times New Roman" w:cs="Times New Roman" w:eastAsiaTheme="majorEastAsia"/>
                <w:b w:val="0"/>
                <w:bCs w:val="0"/>
                <w:color w:val="auto"/>
                <w:kern w:val="2"/>
                <w:sz w:val="21"/>
                <w:szCs w:val="21"/>
                <w:lang w:val="en-US" w:eastAsia="zh-CN" w:bidi="ar-SA"/>
              </w:rPr>
              <w:t>0.004</w:t>
            </w:r>
            <w:r>
              <w:rPr>
                <w:rFonts w:hint="default" w:ascii="Times New Roman" w:hAnsi="Times New Roman" w:cs="Times New Roman" w:eastAsiaTheme="majorEastAsia"/>
                <w:b w:val="0"/>
                <w:bCs w:val="0"/>
                <w:color w:val="auto"/>
                <w:kern w:val="2"/>
                <w:sz w:val="21"/>
                <w:szCs w:val="21"/>
                <w:lang w:val="en-US" w:eastAsia="zh-CN" w:bidi="ar-SA"/>
              </w:rPr>
              <w:t>m</w:t>
            </w:r>
            <w:r>
              <w:rPr>
                <w:rFonts w:hint="default" w:ascii="Times New Roman" w:hAnsi="Times New Roman" w:cs="Times New Roman" w:eastAsiaTheme="majorEastAsia"/>
                <w:b w:val="0"/>
                <w:bCs w:val="0"/>
                <w:color w:val="auto"/>
                <w:kern w:val="2"/>
                <w:sz w:val="21"/>
                <w:szCs w:val="21"/>
                <w:vertAlign w:val="superscript"/>
                <w:lang w:val="en-US" w:eastAsia="zh-CN" w:bidi="ar-SA"/>
              </w:rPr>
              <w:t>3</w:t>
            </w:r>
            <w:r>
              <w:rPr>
                <w:rFonts w:hint="default" w:ascii="Times New Roman" w:hAnsi="Times New Roman" w:cs="Times New Roman" w:eastAsiaTheme="majorEastAsia"/>
                <w:b w:val="0"/>
                <w:bCs w:val="0"/>
                <w:color w:val="auto"/>
                <w:kern w:val="2"/>
                <w:sz w:val="21"/>
                <w:szCs w:val="21"/>
                <w:lang w:val="en-US" w:eastAsia="zh-CN" w:bidi="ar-SA"/>
              </w:rPr>
              <w:t>/</w:t>
            </w:r>
            <w:r>
              <w:rPr>
                <w:rFonts w:hint="eastAsia" w:ascii="Times New Roman" w:hAnsi="Times New Roman" w:cs="Times New Roman" w:eastAsiaTheme="majorEastAsia"/>
                <w:b w:val="0"/>
                <w:bCs w:val="0"/>
                <w:color w:val="auto"/>
                <w:kern w:val="2"/>
                <w:sz w:val="21"/>
                <w:szCs w:val="21"/>
                <w:lang w:val="en-US" w:eastAsia="zh-CN" w:bidi="ar-SA"/>
              </w:rPr>
              <w:t>d（1.4</w:t>
            </w:r>
            <w:r>
              <w:rPr>
                <w:rFonts w:hint="default" w:ascii="Times New Roman" w:hAnsi="Times New Roman" w:cs="Times New Roman" w:eastAsiaTheme="majorEastAsia"/>
                <w:b w:val="0"/>
                <w:bCs w:val="0"/>
                <w:color w:val="auto"/>
                <w:kern w:val="2"/>
                <w:sz w:val="21"/>
                <w:szCs w:val="21"/>
                <w:lang w:val="en-US" w:eastAsia="zh-CN" w:bidi="ar-SA"/>
              </w:rPr>
              <w:t>m</w:t>
            </w:r>
            <w:r>
              <w:rPr>
                <w:rFonts w:hint="default" w:ascii="Times New Roman" w:hAnsi="Times New Roman" w:cs="Times New Roman" w:eastAsiaTheme="majorEastAsia"/>
                <w:b w:val="0"/>
                <w:bCs w:val="0"/>
                <w:color w:val="auto"/>
                <w:kern w:val="2"/>
                <w:sz w:val="21"/>
                <w:szCs w:val="21"/>
                <w:vertAlign w:val="superscript"/>
                <w:lang w:val="en-US" w:eastAsia="zh-CN" w:bidi="ar-SA"/>
              </w:rPr>
              <w:t>3</w:t>
            </w:r>
            <w:r>
              <w:rPr>
                <w:rFonts w:hint="default" w:ascii="Times New Roman" w:hAnsi="Times New Roman" w:cs="Times New Roman" w:eastAsiaTheme="majorEastAsia"/>
                <w:b w:val="0"/>
                <w:bCs w:val="0"/>
                <w:color w:val="auto"/>
                <w:kern w:val="2"/>
                <w:sz w:val="21"/>
                <w:szCs w:val="21"/>
                <w:lang w:val="en-US" w:eastAsia="zh-CN" w:bidi="ar-SA"/>
              </w:rPr>
              <w:t>/</w:t>
            </w:r>
            <w:r>
              <w:rPr>
                <w:rFonts w:hint="eastAsia" w:ascii="Times New Roman" w:hAnsi="Times New Roman" w:cs="Times New Roman" w:eastAsiaTheme="majorEastAsia"/>
                <w:b w:val="0"/>
                <w:bCs w:val="0"/>
                <w:color w:val="auto"/>
                <w:kern w:val="2"/>
                <w:sz w:val="21"/>
                <w:szCs w:val="21"/>
                <w:lang w:val="en-US" w:eastAsia="zh-CN" w:bidi="ar-SA"/>
              </w:rPr>
              <w:t>a）</w:t>
            </w:r>
            <w:r>
              <w:rPr>
                <w:rFonts w:hint="default" w:ascii="Times New Roman" w:hAnsi="Times New Roman" w:cs="Times New Roman" w:eastAsiaTheme="majorEastAsia"/>
                <w:b w:val="0"/>
                <w:bCs w:val="0"/>
                <w:color w:val="auto"/>
                <w:kern w:val="2"/>
                <w:sz w:val="21"/>
                <w:szCs w:val="21"/>
                <w:lang w:val="en-US" w:eastAsia="zh-CN" w:bidi="ar-SA"/>
              </w:rPr>
              <w:t>，用水</w:t>
            </w:r>
            <w:r>
              <w:rPr>
                <w:rFonts w:hint="eastAsia" w:ascii="Times New Roman" w:hAnsi="Times New Roman" w:cs="Times New Roman" w:eastAsiaTheme="majorEastAsia"/>
                <w:b w:val="0"/>
                <w:bCs w:val="0"/>
                <w:color w:val="auto"/>
                <w:kern w:val="2"/>
                <w:sz w:val="21"/>
                <w:szCs w:val="21"/>
                <w:lang w:val="en-US" w:eastAsia="zh-CN" w:bidi="ar-SA"/>
              </w:rPr>
              <w:t>以蒸气形式损耗，水</w:t>
            </w:r>
            <w:r>
              <w:rPr>
                <w:rFonts w:hint="default" w:ascii="Times New Roman" w:hAnsi="Times New Roman" w:cs="Times New Roman" w:eastAsiaTheme="majorEastAsia"/>
                <w:b w:val="0"/>
                <w:bCs w:val="0"/>
                <w:color w:val="auto"/>
                <w:kern w:val="2"/>
                <w:sz w:val="21"/>
                <w:szCs w:val="21"/>
                <w:lang w:val="en-US" w:eastAsia="zh-CN" w:bidi="ar-SA"/>
              </w:rPr>
              <w:t>在设备内部循环使用</w:t>
            </w:r>
            <w:r>
              <w:rPr>
                <w:rFonts w:hint="eastAsia" w:ascii="Times New Roman" w:hAnsi="Times New Roman" w:cs="Times New Roman" w:eastAsiaTheme="majorEastAsia"/>
                <w:b w:val="0"/>
                <w:bCs w:val="0"/>
                <w:color w:val="auto"/>
                <w:kern w:val="2"/>
                <w:sz w:val="21"/>
                <w:szCs w:val="21"/>
                <w:lang w:val="en-US" w:eastAsia="zh-CN" w:bidi="ar-SA"/>
              </w:rPr>
              <w:t>，</w:t>
            </w:r>
            <w:r>
              <w:rPr>
                <w:rFonts w:hint="default" w:ascii="Times New Roman" w:hAnsi="Times New Roman" w:cs="Times New Roman" w:eastAsiaTheme="majorEastAsia"/>
                <w:b w:val="0"/>
                <w:bCs w:val="0"/>
                <w:color w:val="auto"/>
                <w:kern w:val="2"/>
                <w:sz w:val="21"/>
                <w:szCs w:val="21"/>
                <w:lang w:val="en-US" w:eastAsia="zh-CN" w:bidi="ar-SA"/>
              </w:rPr>
              <w:t>每周更换一次</w:t>
            </w:r>
            <w:r>
              <w:rPr>
                <w:rFonts w:hint="eastAsia" w:ascii="Times New Roman" w:hAnsi="Times New Roman" w:cs="Times New Roman" w:eastAsiaTheme="majorEastAsia"/>
                <w:b w:val="0"/>
                <w:bCs w:val="0"/>
                <w:color w:val="auto"/>
                <w:kern w:val="2"/>
                <w:sz w:val="21"/>
                <w:szCs w:val="21"/>
                <w:lang w:val="en-US" w:eastAsia="zh-CN" w:bidi="ar-SA"/>
              </w:rPr>
              <w:t>，高温蒸汽灭菌废水</w:t>
            </w:r>
            <w:r>
              <w:rPr>
                <w:rFonts w:hint="default" w:ascii="Times New Roman" w:hAnsi="Times New Roman" w:cs="Times New Roman" w:eastAsiaTheme="majorEastAsia"/>
                <w:b w:val="0"/>
                <w:bCs w:val="0"/>
                <w:color w:val="auto"/>
                <w:kern w:val="2"/>
                <w:sz w:val="21"/>
                <w:szCs w:val="21"/>
                <w:lang w:val="en-US" w:eastAsia="zh-CN" w:bidi="ar-SA"/>
              </w:rPr>
              <w:t>排污系数按0.</w:t>
            </w:r>
            <w:r>
              <w:rPr>
                <w:rFonts w:hint="eastAsia" w:ascii="Times New Roman" w:hAnsi="Times New Roman" w:cs="Times New Roman" w:eastAsiaTheme="majorEastAsia"/>
                <w:b w:val="0"/>
                <w:bCs w:val="0"/>
                <w:color w:val="auto"/>
                <w:kern w:val="2"/>
                <w:sz w:val="21"/>
                <w:szCs w:val="21"/>
                <w:lang w:val="en-US" w:eastAsia="zh-CN" w:bidi="ar-SA"/>
              </w:rPr>
              <w:t>8</w:t>
            </w:r>
            <w:r>
              <w:rPr>
                <w:rFonts w:hint="default" w:ascii="Times New Roman" w:hAnsi="Times New Roman" w:cs="Times New Roman" w:eastAsiaTheme="majorEastAsia"/>
                <w:b w:val="0"/>
                <w:bCs w:val="0"/>
                <w:color w:val="auto"/>
                <w:kern w:val="2"/>
                <w:sz w:val="21"/>
                <w:szCs w:val="21"/>
                <w:lang w:val="en-US" w:eastAsia="zh-CN" w:bidi="ar-SA"/>
              </w:rPr>
              <w:t>计</w:t>
            </w:r>
            <w:r>
              <w:rPr>
                <w:rFonts w:hint="eastAsia" w:ascii="Times New Roman" w:hAnsi="Times New Roman" w:cs="Times New Roman" w:eastAsiaTheme="majorEastAsia"/>
                <w:b w:val="0"/>
                <w:bCs w:val="0"/>
                <w:color w:val="auto"/>
                <w:kern w:val="2"/>
                <w:sz w:val="21"/>
                <w:szCs w:val="21"/>
                <w:lang w:val="en-US" w:eastAsia="zh-CN" w:bidi="ar-SA"/>
              </w:rPr>
              <w:t>。</w:t>
            </w:r>
          </w:p>
          <w:p w14:paraId="2BC82B89">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val="0"/>
                <w:color w:val="auto"/>
                <w:kern w:val="2"/>
                <w:sz w:val="21"/>
                <w:szCs w:val="21"/>
                <w:lang w:val="en-US" w:eastAsia="zh-CN" w:bidi="ar-SA"/>
              </w:rPr>
            </w:pPr>
            <w:r>
              <w:rPr>
                <w:rFonts w:hint="default" w:ascii="Times New Roman" w:hAnsi="Times New Roman" w:cs="Times New Roman" w:eastAsiaTheme="majorEastAsia"/>
                <w:b w:val="0"/>
                <w:bCs w:val="0"/>
                <w:color w:val="auto"/>
                <w:kern w:val="2"/>
                <w:sz w:val="21"/>
                <w:szCs w:val="21"/>
                <w:lang w:val="en-US" w:eastAsia="zh-CN" w:bidi="ar-SA"/>
              </w:rPr>
              <w:t>项目用水、排水量情况详见表 2-6。</w:t>
            </w:r>
          </w:p>
          <w:p w14:paraId="51593162">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eastAsiaTheme="majorEastAsia"/>
                <w:b/>
                <w:bCs w:val="0"/>
                <w:color w:val="auto"/>
                <w:sz w:val="21"/>
                <w:szCs w:val="21"/>
                <w:lang w:val="en-US" w:eastAsia="zh-CN"/>
              </w:rPr>
            </w:pPr>
            <w:r>
              <w:rPr>
                <w:rFonts w:hint="eastAsia" w:ascii="Times New Roman" w:hAnsi="Times New Roman" w:cs="Times New Roman" w:eastAsiaTheme="majorEastAsia"/>
                <w:b/>
                <w:bCs w:val="0"/>
                <w:color w:val="auto"/>
                <w:sz w:val="21"/>
                <w:szCs w:val="21"/>
                <w:lang w:val="en-US" w:eastAsia="zh-CN"/>
              </w:rPr>
              <w:t>表2-6  项目用、排水情况一览表</w:t>
            </w:r>
          </w:p>
          <w:tbl>
            <w:tblPr>
              <w:tblStyle w:val="23"/>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18"/>
              <w:gridCol w:w="998"/>
              <w:gridCol w:w="926"/>
              <w:gridCol w:w="1126"/>
              <w:gridCol w:w="969"/>
              <w:gridCol w:w="1083"/>
              <w:gridCol w:w="989"/>
            </w:tblGrid>
            <w:tr w14:paraId="016E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0" w:type="dxa"/>
                  <w:gridSpan w:val="2"/>
                  <w:noWrap w:val="0"/>
                  <w:vAlign w:val="center"/>
                </w:tcPr>
                <w:p w14:paraId="145D5515">
                  <w:pPr>
                    <w:pStyle w:val="7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用水项目</w:t>
                  </w:r>
                </w:p>
              </w:tc>
              <w:tc>
                <w:tcPr>
                  <w:tcW w:w="998" w:type="dxa"/>
                  <w:noWrap w:val="0"/>
                  <w:vAlign w:val="center"/>
                </w:tcPr>
                <w:p w14:paraId="624FA02F">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规模</w:t>
                  </w:r>
                </w:p>
              </w:tc>
              <w:tc>
                <w:tcPr>
                  <w:tcW w:w="926" w:type="dxa"/>
                  <w:noWrap w:val="0"/>
                  <w:vAlign w:val="center"/>
                </w:tcPr>
                <w:p w14:paraId="14317F66">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用水标准</w:t>
                  </w:r>
                </w:p>
              </w:tc>
              <w:tc>
                <w:tcPr>
                  <w:tcW w:w="1126" w:type="dxa"/>
                  <w:noWrap w:val="0"/>
                  <w:vAlign w:val="center"/>
                </w:tcPr>
                <w:p w14:paraId="7DDB95D9">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最大日用水量（m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/d）</w:t>
                  </w:r>
                </w:p>
              </w:tc>
              <w:tc>
                <w:tcPr>
                  <w:tcW w:w="969" w:type="dxa"/>
                  <w:noWrap w:val="0"/>
                  <w:vAlign w:val="center"/>
                </w:tcPr>
                <w:p w14:paraId="646EC16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年用水量（m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/a）</w:t>
                  </w:r>
                </w:p>
              </w:tc>
              <w:tc>
                <w:tcPr>
                  <w:tcW w:w="1083" w:type="dxa"/>
                  <w:noWrap w:val="0"/>
                  <w:vAlign w:val="center"/>
                </w:tcPr>
                <w:p w14:paraId="22E67FBF">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日</w:t>
                  </w:r>
                  <w:r>
                    <w:rPr>
                      <w:rFonts w:hint="eastAsia" w:ascii="Times New Roman" w:hAnsi="Times New Roman" w:cs="Times New Roman"/>
                      <w:color w:val="auto"/>
                      <w:sz w:val="18"/>
                      <w:szCs w:val="18"/>
                      <w:highlight w:val="none"/>
                      <w:lang w:val="en-US" w:eastAsia="zh-CN"/>
                    </w:rPr>
                    <w:t>最大</w:t>
                  </w:r>
                  <w:r>
                    <w:rPr>
                      <w:rFonts w:hint="eastAsia" w:ascii="Times New Roman" w:hAnsi="Times New Roman" w:eastAsia="宋体" w:cs="Times New Roman"/>
                      <w:color w:val="auto"/>
                      <w:sz w:val="18"/>
                      <w:szCs w:val="18"/>
                      <w:highlight w:val="none"/>
                      <w:lang w:val="en-US" w:eastAsia="zh-CN"/>
                    </w:rPr>
                    <w:t>排水量（m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/d）</w:t>
                  </w:r>
                </w:p>
              </w:tc>
              <w:tc>
                <w:tcPr>
                  <w:tcW w:w="989" w:type="dxa"/>
                  <w:noWrap w:val="0"/>
                  <w:vAlign w:val="center"/>
                </w:tcPr>
                <w:p w14:paraId="25A68A7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年排水量（m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/a）</w:t>
                  </w:r>
                </w:p>
              </w:tc>
            </w:tr>
            <w:tr w14:paraId="5445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noWrap w:val="0"/>
                  <w:vAlign w:val="center"/>
                </w:tcPr>
                <w:p w14:paraId="2215C1F7">
                  <w:pPr>
                    <w:pStyle w:val="73"/>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医疗</w:t>
                  </w:r>
                </w:p>
                <w:p w14:paraId="7428B365">
                  <w:pPr>
                    <w:pStyle w:val="7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用水</w:t>
                  </w:r>
                </w:p>
              </w:tc>
              <w:tc>
                <w:tcPr>
                  <w:tcW w:w="1318" w:type="dxa"/>
                  <w:noWrap w:val="0"/>
                  <w:vAlign w:val="center"/>
                </w:tcPr>
                <w:p w14:paraId="4B7BBC12">
                  <w:pPr>
                    <w:pStyle w:val="7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诊疗用水</w:t>
                  </w:r>
                </w:p>
              </w:tc>
              <w:tc>
                <w:tcPr>
                  <w:tcW w:w="998" w:type="dxa"/>
                  <w:noWrap w:val="0"/>
                  <w:vAlign w:val="center"/>
                </w:tcPr>
                <w:p w14:paraId="48BA88CA">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10只</w:t>
                  </w:r>
                </w:p>
              </w:tc>
              <w:tc>
                <w:tcPr>
                  <w:tcW w:w="926" w:type="dxa"/>
                  <w:noWrap w:val="0"/>
                  <w:vAlign w:val="center"/>
                </w:tcPr>
                <w:p w14:paraId="686D7D2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15L/只·d</w:t>
                  </w:r>
                </w:p>
              </w:tc>
              <w:tc>
                <w:tcPr>
                  <w:tcW w:w="1126" w:type="dxa"/>
                  <w:noWrap w:val="0"/>
                  <w:vAlign w:val="center"/>
                </w:tcPr>
                <w:p w14:paraId="19172234">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0.15</w:t>
                  </w:r>
                </w:p>
              </w:tc>
              <w:tc>
                <w:tcPr>
                  <w:tcW w:w="969" w:type="dxa"/>
                  <w:noWrap w:val="0"/>
                  <w:vAlign w:val="center"/>
                </w:tcPr>
                <w:p w14:paraId="74B6E202">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52.5</w:t>
                  </w:r>
                </w:p>
              </w:tc>
              <w:tc>
                <w:tcPr>
                  <w:tcW w:w="1083" w:type="dxa"/>
                  <w:noWrap w:val="0"/>
                  <w:vAlign w:val="center"/>
                </w:tcPr>
                <w:p w14:paraId="41A79ED7">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0.135 </w:t>
                  </w:r>
                </w:p>
              </w:tc>
              <w:tc>
                <w:tcPr>
                  <w:tcW w:w="989" w:type="dxa"/>
                  <w:noWrap w:val="0"/>
                  <w:vAlign w:val="center"/>
                </w:tcPr>
                <w:p w14:paraId="76546883">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47.250 </w:t>
                  </w:r>
                </w:p>
              </w:tc>
            </w:tr>
            <w:tr w14:paraId="51D2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noWrap w:val="0"/>
                  <w:vAlign w:val="center"/>
                </w:tcPr>
                <w:p w14:paraId="66A18391">
                  <w:pPr>
                    <w:pStyle w:val="73"/>
                    <w:rPr>
                      <w:rFonts w:hint="eastAsia" w:ascii="Times New Roman" w:hAnsi="Times New Roman" w:eastAsia="宋体" w:cs="Times New Roman"/>
                      <w:color w:val="auto"/>
                      <w:sz w:val="18"/>
                      <w:szCs w:val="18"/>
                      <w:highlight w:val="none"/>
                      <w:lang w:val="en-US" w:eastAsia="zh-CN"/>
                    </w:rPr>
                  </w:pPr>
                </w:p>
              </w:tc>
              <w:tc>
                <w:tcPr>
                  <w:tcW w:w="1318" w:type="dxa"/>
                  <w:noWrap w:val="0"/>
                  <w:vAlign w:val="center"/>
                </w:tcPr>
                <w:p w14:paraId="28D03E60">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手术器械清洗用水</w:t>
                  </w:r>
                </w:p>
              </w:tc>
              <w:tc>
                <w:tcPr>
                  <w:tcW w:w="998" w:type="dxa"/>
                  <w:noWrap w:val="0"/>
                  <w:vAlign w:val="center"/>
                </w:tcPr>
                <w:p w14:paraId="3FF32F4F">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350</w:t>
                  </w:r>
                  <w:r>
                    <w:rPr>
                      <w:rFonts w:hint="eastAsia" w:ascii="Times New Roman" w:hAnsi="Times New Roman" w:eastAsia="宋体" w:cs="Times New Roman"/>
                      <w:color w:val="auto"/>
                      <w:kern w:val="2"/>
                      <w:sz w:val="18"/>
                      <w:szCs w:val="18"/>
                      <w:highlight w:val="none"/>
                      <w:lang w:val="en-US" w:eastAsia="zh-CN" w:bidi="ar-SA"/>
                    </w:rPr>
                    <w:t>台/</w:t>
                  </w:r>
                  <w:r>
                    <w:rPr>
                      <w:rFonts w:hint="eastAsia" w:ascii="Times New Roman" w:hAnsi="Times New Roman" w:cs="Times New Roman"/>
                      <w:color w:val="auto"/>
                      <w:kern w:val="2"/>
                      <w:sz w:val="18"/>
                      <w:szCs w:val="18"/>
                      <w:highlight w:val="none"/>
                      <w:lang w:val="en-US" w:eastAsia="zh-CN" w:bidi="ar-SA"/>
                    </w:rPr>
                    <w:t>a</w:t>
                  </w:r>
                </w:p>
              </w:tc>
              <w:tc>
                <w:tcPr>
                  <w:tcW w:w="926" w:type="dxa"/>
                  <w:noWrap w:val="0"/>
                  <w:vAlign w:val="center"/>
                </w:tcPr>
                <w:p w14:paraId="55C6708D">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5L/台</w:t>
                  </w:r>
                </w:p>
              </w:tc>
              <w:tc>
                <w:tcPr>
                  <w:tcW w:w="1126" w:type="dxa"/>
                  <w:noWrap w:val="0"/>
                  <w:vAlign w:val="center"/>
                </w:tcPr>
                <w:p w14:paraId="31C8C837">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0.005</w:t>
                  </w:r>
                </w:p>
              </w:tc>
              <w:tc>
                <w:tcPr>
                  <w:tcW w:w="969" w:type="dxa"/>
                  <w:noWrap w:val="0"/>
                  <w:vAlign w:val="center"/>
                </w:tcPr>
                <w:p w14:paraId="2526C280">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1.75</w:t>
                  </w:r>
                </w:p>
              </w:tc>
              <w:tc>
                <w:tcPr>
                  <w:tcW w:w="1083" w:type="dxa"/>
                  <w:noWrap w:val="0"/>
                  <w:vAlign w:val="center"/>
                </w:tcPr>
                <w:p w14:paraId="6D336E63">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0.0045 </w:t>
                  </w:r>
                </w:p>
              </w:tc>
              <w:tc>
                <w:tcPr>
                  <w:tcW w:w="989" w:type="dxa"/>
                  <w:noWrap w:val="0"/>
                  <w:vAlign w:val="center"/>
                </w:tcPr>
                <w:p w14:paraId="0FA47251">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1.575</w:t>
                  </w:r>
                  <w:r>
                    <w:rPr>
                      <w:rFonts w:hint="eastAsia" w:ascii="Times New Roman" w:hAnsi="Times New Roman" w:eastAsia="宋体" w:cs="Times New Roman"/>
                      <w:color w:val="auto"/>
                      <w:kern w:val="2"/>
                      <w:sz w:val="18"/>
                      <w:szCs w:val="18"/>
                      <w:highlight w:val="none"/>
                      <w:lang w:val="en-US" w:eastAsia="zh-CN" w:bidi="ar-SA"/>
                    </w:rPr>
                    <w:t xml:space="preserve"> </w:t>
                  </w:r>
                </w:p>
              </w:tc>
            </w:tr>
            <w:tr w14:paraId="5557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82" w:type="dxa"/>
                  <w:vMerge w:val="continue"/>
                  <w:noWrap w:val="0"/>
                  <w:vAlign w:val="center"/>
                </w:tcPr>
                <w:p w14:paraId="09360319">
                  <w:pPr>
                    <w:pStyle w:val="73"/>
                    <w:rPr>
                      <w:rFonts w:hint="eastAsia" w:ascii="Times New Roman" w:hAnsi="Times New Roman" w:eastAsia="宋体" w:cs="Times New Roman"/>
                      <w:color w:val="auto"/>
                      <w:sz w:val="18"/>
                      <w:szCs w:val="18"/>
                      <w:highlight w:val="none"/>
                      <w:lang w:val="en-US" w:eastAsia="zh-CN"/>
                    </w:rPr>
                  </w:pPr>
                </w:p>
              </w:tc>
              <w:tc>
                <w:tcPr>
                  <w:tcW w:w="1318" w:type="dxa"/>
                  <w:noWrap w:val="0"/>
                  <w:vAlign w:val="center"/>
                </w:tcPr>
                <w:p w14:paraId="181ECEB9">
                  <w:pPr>
                    <w:pStyle w:val="73"/>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宠物笼清洁用水</w:t>
                  </w:r>
                </w:p>
              </w:tc>
              <w:tc>
                <w:tcPr>
                  <w:tcW w:w="998" w:type="dxa"/>
                  <w:noWrap w:val="0"/>
                  <w:vAlign w:val="center"/>
                </w:tcPr>
                <w:p w14:paraId="7C8CF89F">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28</w:t>
                  </w:r>
                  <w:r>
                    <w:rPr>
                      <w:rFonts w:hint="eastAsia" w:ascii="Times New Roman" w:hAnsi="Times New Roman" w:eastAsia="宋体" w:cs="Times New Roman"/>
                      <w:color w:val="auto"/>
                      <w:kern w:val="2"/>
                      <w:sz w:val="18"/>
                      <w:szCs w:val="18"/>
                      <w:highlight w:val="none"/>
                      <w:lang w:val="en-US" w:eastAsia="zh-CN" w:bidi="ar-SA"/>
                    </w:rPr>
                    <w:t>个</w:t>
                  </w:r>
                </w:p>
              </w:tc>
              <w:tc>
                <w:tcPr>
                  <w:tcW w:w="926" w:type="dxa"/>
                  <w:noWrap w:val="0"/>
                  <w:vAlign w:val="center"/>
                </w:tcPr>
                <w:p w14:paraId="61C3E48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5L/个</w:t>
                  </w:r>
                </w:p>
              </w:tc>
              <w:tc>
                <w:tcPr>
                  <w:tcW w:w="1126" w:type="dxa"/>
                  <w:noWrap w:val="0"/>
                  <w:vAlign w:val="center"/>
                </w:tcPr>
                <w:p w14:paraId="638BFC88">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0.14</w:t>
                  </w:r>
                </w:p>
              </w:tc>
              <w:tc>
                <w:tcPr>
                  <w:tcW w:w="969" w:type="dxa"/>
                  <w:noWrap w:val="0"/>
                  <w:vAlign w:val="center"/>
                </w:tcPr>
                <w:p w14:paraId="2179429C">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49</w:t>
                  </w:r>
                </w:p>
              </w:tc>
              <w:tc>
                <w:tcPr>
                  <w:tcW w:w="1083" w:type="dxa"/>
                  <w:noWrap w:val="0"/>
                  <w:vAlign w:val="center"/>
                </w:tcPr>
                <w:p w14:paraId="2D8103A2">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0.126 </w:t>
                  </w:r>
                </w:p>
              </w:tc>
              <w:tc>
                <w:tcPr>
                  <w:tcW w:w="989" w:type="dxa"/>
                  <w:noWrap w:val="0"/>
                  <w:vAlign w:val="center"/>
                </w:tcPr>
                <w:p w14:paraId="5EA892E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44.100 </w:t>
                  </w:r>
                </w:p>
              </w:tc>
            </w:tr>
            <w:tr w14:paraId="624A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82" w:type="dxa"/>
                  <w:vMerge w:val="continue"/>
                  <w:noWrap w:val="0"/>
                  <w:vAlign w:val="center"/>
                </w:tcPr>
                <w:p w14:paraId="4770E05F">
                  <w:pPr>
                    <w:pStyle w:val="73"/>
                    <w:rPr>
                      <w:rFonts w:hint="eastAsia" w:ascii="Times New Roman" w:hAnsi="Times New Roman" w:eastAsia="宋体" w:cs="Times New Roman"/>
                      <w:color w:val="auto"/>
                      <w:sz w:val="18"/>
                      <w:szCs w:val="18"/>
                      <w:highlight w:val="none"/>
                      <w:lang w:val="en-US" w:eastAsia="zh-CN"/>
                    </w:rPr>
                  </w:pPr>
                </w:p>
              </w:tc>
              <w:tc>
                <w:tcPr>
                  <w:tcW w:w="1318" w:type="dxa"/>
                  <w:noWrap w:val="0"/>
                  <w:vAlign w:val="center"/>
                </w:tcPr>
                <w:p w14:paraId="6910E0C2">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住院宠物饮水</w:t>
                  </w:r>
                </w:p>
              </w:tc>
              <w:tc>
                <w:tcPr>
                  <w:tcW w:w="998" w:type="dxa"/>
                  <w:noWrap w:val="0"/>
                  <w:vAlign w:val="center"/>
                </w:tcPr>
                <w:p w14:paraId="4A1DF227">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猫6只/d，犬</w:t>
                  </w:r>
                  <w:r>
                    <w:rPr>
                      <w:rFonts w:hint="eastAsia" w:ascii="Times New Roman" w:hAnsi="Times New Roman"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lang w:val="en-US" w:eastAsia="zh-CN"/>
                    </w:rPr>
                    <w:t>只/d</w:t>
                  </w:r>
                </w:p>
              </w:tc>
              <w:tc>
                <w:tcPr>
                  <w:tcW w:w="926" w:type="dxa"/>
                  <w:noWrap w:val="0"/>
                  <w:vAlign w:val="center"/>
                </w:tcPr>
                <w:p w14:paraId="301C0A79">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1126" w:type="dxa"/>
                  <w:noWrap w:val="0"/>
                  <w:vAlign w:val="center"/>
                </w:tcPr>
                <w:p w14:paraId="149FF74B">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0.007</w:t>
                  </w:r>
                </w:p>
              </w:tc>
              <w:tc>
                <w:tcPr>
                  <w:tcW w:w="969" w:type="dxa"/>
                  <w:noWrap w:val="0"/>
                  <w:vAlign w:val="center"/>
                </w:tcPr>
                <w:p w14:paraId="5E8C1074">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2.877</w:t>
                  </w:r>
                </w:p>
              </w:tc>
              <w:tc>
                <w:tcPr>
                  <w:tcW w:w="1083" w:type="dxa"/>
                  <w:noWrap w:val="0"/>
                  <w:vAlign w:val="center"/>
                </w:tcPr>
                <w:p w14:paraId="473B5E11">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0.003</w:t>
                  </w:r>
                </w:p>
              </w:tc>
              <w:tc>
                <w:tcPr>
                  <w:tcW w:w="989" w:type="dxa"/>
                  <w:noWrap w:val="0"/>
                  <w:vAlign w:val="center"/>
                </w:tcPr>
                <w:p w14:paraId="6D5317BB">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1.05</w:t>
                  </w:r>
                </w:p>
              </w:tc>
            </w:tr>
            <w:tr w14:paraId="47F8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82" w:type="dxa"/>
                  <w:vMerge w:val="continue"/>
                  <w:noWrap w:val="0"/>
                  <w:vAlign w:val="center"/>
                </w:tcPr>
                <w:p w14:paraId="5C319BCC">
                  <w:pPr>
                    <w:pStyle w:val="73"/>
                    <w:rPr>
                      <w:rFonts w:hint="eastAsia" w:ascii="Times New Roman" w:hAnsi="Times New Roman" w:eastAsia="宋体" w:cs="Times New Roman"/>
                      <w:color w:val="auto"/>
                      <w:sz w:val="18"/>
                      <w:szCs w:val="18"/>
                      <w:highlight w:val="none"/>
                      <w:lang w:val="en-US" w:eastAsia="zh-CN"/>
                    </w:rPr>
                  </w:pPr>
                </w:p>
              </w:tc>
              <w:tc>
                <w:tcPr>
                  <w:tcW w:w="1318" w:type="dxa"/>
                  <w:noWrap w:val="0"/>
                  <w:vAlign w:val="center"/>
                </w:tcPr>
                <w:p w14:paraId="1A81A567">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地面清洁</w:t>
                  </w:r>
                </w:p>
              </w:tc>
              <w:tc>
                <w:tcPr>
                  <w:tcW w:w="998" w:type="dxa"/>
                  <w:noWrap w:val="0"/>
                  <w:vAlign w:val="center"/>
                </w:tcPr>
                <w:p w14:paraId="5C2DB97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103</w:t>
                  </w:r>
                  <w:r>
                    <w:rPr>
                      <w:rFonts w:hint="eastAsia" w:ascii="Times New Roman" w:hAnsi="Times New Roman" w:eastAsia="宋体" w:cs="Times New Roman"/>
                      <w:color w:val="auto"/>
                      <w:kern w:val="2"/>
                      <w:sz w:val="18"/>
                      <w:szCs w:val="18"/>
                      <w:highlight w:val="none"/>
                      <w:lang w:val="en-US" w:eastAsia="zh-CN" w:bidi="ar-SA"/>
                    </w:rPr>
                    <w:t>m</w:t>
                  </w:r>
                  <w:r>
                    <w:rPr>
                      <w:rFonts w:hint="eastAsia" w:ascii="Times New Roman" w:hAnsi="Times New Roman" w:eastAsia="宋体" w:cs="Times New Roman"/>
                      <w:color w:val="auto"/>
                      <w:kern w:val="2"/>
                      <w:sz w:val="18"/>
                      <w:szCs w:val="18"/>
                      <w:highlight w:val="none"/>
                      <w:vertAlign w:val="superscript"/>
                      <w:lang w:val="en-US" w:eastAsia="zh-CN" w:bidi="ar-SA"/>
                    </w:rPr>
                    <w:t>2</w:t>
                  </w:r>
                </w:p>
              </w:tc>
              <w:tc>
                <w:tcPr>
                  <w:tcW w:w="926" w:type="dxa"/>
                  <w:noWrap w:val="0"/>
                  <w:vAlign w:val="center"/>
                </w:tcPr>
                <w:p w14:paraId="3FDCEEA7">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2L/m</w:t>
                  </w:r>
                  <w:r>
                    <w:rPr>
                      <w:rFonts w:hint="eastAsia" w:ascii="Times New Roman" w:hAnsi="Times New Roman" w:eastAsia="宋体" w:cs="Times New Roman"/>
                      <w:color w:val="auto"/>
                      <w:kern w:val="2"/>
                      <w:sz w:val="18"/>
                      <w:szCs w:val="18"/>
                      <w:highlight w:val="none"/>
                      <w:vertAlign w:val="superscript"/>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·d</w:t>
                  </w:r>
                </w:p>
              </w:tc>
              <w:tc>
                <w:tcPr>
                  <w:tcW w:w="1126" w:type="dxa"/>
                  <w:noWrap w:val="0"/>
                  <w:vAlign w:val="center"/>
                </w:tcPr>
                <w:p w14:paraId="1747005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0.206</w:t>
                  </w:r>
                </w:p>
              </w:tc>
              <w:tc>
                <w:tcPr>
                  <w:tcW w:w="969" w:type="dxa"/>
                  <w:noWrap w:val="0"/>
                  <w:vAlign w:val="center"/>
                </w:tcPr>
                <w:p w14:paraId="48C8C2D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72.1</w:t>
                  </w:r>
                </w:p>
              </w:tc>
              <w:tc>
                <w:tcPr>
                  <w:tcW w:w="1083" w:type="dxa"/>
                  <w:noWrap w:val="0"/>
                  <w:vAlign w:val="center"/>
                </w:tcPr>
                <w:p w14:paraId="1985824C">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0.185 </w:t>
                  </w:r>
                </w:p>
              </w:tc>
              <w:tc>
                <w:tcPr>
                  <w:tcW w:w="989" w:type="dxa"/>
                  <w:noWrap w:val="0"/>
                  <w:vAlign w:val="center"/>
                </w:tcPr>
                <w:p w14:paraId="1545F09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64.890 </w:t>
                  </w:r>
                </w:p>
              </w:tc>
            </w:tr>
            <w:tr w14:paraId="0979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924" w:type="dxa"/>
                  <w:gridSpan w:val="4"/>
                  <w:noWrap w:val="0"/>
                  <w:vAlign w:val="center"/>
                </w:tcPr>
                <w:p w14:paraId="4E970295">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小计</w:t>
                  </w:r>
                </w:p>
              </w:tc>
              <w:tc>
                <w:tcPr>
                  <w:tcW w:w="1126" w:type="dxa"/>
                  <w:noWrap w:val="0"/>
                  <w:vAlign w:val="center"/>
                </w:tcPr>
                <w:p w14:paraId="7B2B0BC5">
                  <w:pPr>
                    <w:pStyle w:val="73"/>
                    <w:ind w:firstLine="0" w:firstLineChars="0"/>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0.508</w:t>
                  </w:r>
                </w:p>
              </w:tc>
              <w:tc>
                <w:tcPr>
                  <w:tcW w:w="969" w:type="dxa"/>
                  <w:noWrap w:val="0"/>
                  <w:vAlign w:val="center"/>
                </w:tcPr>
                <w:p w14:paraId="162D0D3F">
                  <w:pPr>
                    <w:pStyle w:val="73"/>
                    <w:ind w:firstLine="0" w:firstLineChars="0"/>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178.227</w:t>
                  </w:r>
                </w:p>
              </w:tc>
              <w:tc>
                <w:tcPr>
                  <w:tcW w:w="1083" w:type="dxa"/>
                  <w:noWrap w:val="0"/>
                  <w:vAlign w:val="center"/>
                </w:tcPr>
                <w:p w14:paraId="0E453E32">
                  <w:pPr>
                    <w:pStyle w:val="73"/>
                    <w:ind w:firstLine="0" w:firstLineChars="0"/>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0.4535</w:t>
                  </w:r>
                </w:p>
              </w:tc>
              <w:tc>
                <w:tcPr>
                  <w:tcW w:w="989" w:type="dxa"/>
                  <w:noWrap w:val="0"/>
                  <w:vAlign w:val="center"/>
                </w:tcPr>
                <w:p w14:paraId="243B9C71">
                  <w:pPr>
                    <w:pStyle w:val="73"/>
                    <w:ind w:firstLine="0" w:firstLineChars="0"/>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158.865</w:t>
                  </w:r>
                </w:p>
              </w:tc>
            </w:tr>
            <w:tr w14:paraId="6E67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noWrap w:val="0"/>
                  <w:vAlign w:val="center"/>
                </w:tcPr>
                <w:p w14:paraId="23A1A07F">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生活用水</w:t>
                  </w:r>
                </w:p>
              </w:tc>
              <w:tc>
                <w:tcPr>
                  <w:tcW w:w="1318" w:type="dxa"/>
                  <w:noWrap w:val="0"/>
                  <w:vAlign w:val="center"/>
                </w:tcPr>
                <w:p w14:paraId="6A7367B8">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流动性顾客</w:t>
                  </w:r>
                </w:p>
              </w:tc>
              <w:tc>
                <w:tcPr>
                  <w:tcW w:w="998" w:type="dxa"/>
                  <w:noWrap w:val="0"/>
                  <w:vAlign w:val="center"/>
                </w:tcPr>
                <w:p w14:paraId="3D9CA8DA">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15</w:t>
                  </w:r>
                  <w:r>
                    <w:rPr>
                      <w:rFonts w:hint="eastAsia" w:ascii="Times New Roman" w:hAnsi="Times New Roman" w:eastAsia="宋体" w:cs="Times New Roman"/>
                      <w:color w:val="auto"/>
                      <w:kern w:val="2"/>
                      <w:sz w:val="18"/>
                      <w:szCs w:val="18"/>
                      <w:highlight w:val="none"/>
                      <w:lang w:val="en-US" w:eastAsia="zh-CN" w:bidi="ar-SA"/>
                    </w:rPr>
                    <w:t>人</w:t>
                  </w:r>
                </w:p>
              </w:tc>
              <w:tc>
                <w:tcPr>
                  <w:tcW w:w="926" w:type="dxa"/>
                  <w:noWrap w:val="0"/>
                  <w:vAlign w:val="center"/>
                </w:tcPr>
                <w:p w14:paraId="7F959830">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10L/人·d</w:t>
                  </w:r>
                </w:p>
              </w:tc>
              <w:tc>
                <w:tcPr>
                  <w:tcW w:w="1126" w:type="dxa"/>
                  <w:noWrap w:val="0"/>
                  <w:vAlign w:val="center"/>
                </w:tcPr>
                <w:p w14:paraId="7B869881">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0.15</w:t>
                  </w:r>
                </w:p>
              </w:tc>
              <w:tc>
                <w:tcPr>
                  <w:tcW w:w="969" w:type="dxa"/>
                  <w:noWrap w:val="0"/>
                  <w:vAlign w:val="center"/>
                </w:tcPr>
                <w:p w14:paraId="240AC2A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52.5</w:t>
                  </w:r>
                </w:p>
              </w:tc>
              <w:tc>
                <w:tcPr>
                  <w:tcW w:w="1083" w:type="dxa"/>
                  <w:noWrap w:val="0"/>
                  <w:vAlign w:val="center"/>
                </w:tcPr>
                <w:p w14:paraId="5B350730">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0.135 </w:t>
                  </w:r>
                </w:p>
              </w:tc>
              <w:tc>
                <w:tcPr>
                  <w:tcW w:w="989" w:type="dxa"/>
                  <w:noWrap w:val="0"/>
                  <w:vAlign w:val="center"/>
                </w:tcPr>
                <w:p w14:paraId="1DDC9C3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47.250 </w:t>
                  </w:r>
                </w:p>
              </w:tc>
            </w:tr>
            <w:tr w14:paraId="421E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noWrap w:val="0"/>
                  <w:vAlign w:val="center"/>
                </w:tcPr>
                <w:p w14:paraId="2095A12D">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318" w:type="dxa"/>
                  <w:noWrap w:val="0"/>
                  <w:vAlign w:val="center"/>
                </w:tcPr>
                <w:p w14:paraId="4DBC6DAC">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工作人员</w:t>
                  </w:r>
                </w:p>
              </w:tc>
              <w:tc>
                <w:tcPr>
                  <w:tcW w:w="998" w:type="dxa"/>
                  <w:noWrap w:val="0"/>
                  <w:vAlign w:val="center"/>
                </w:tcPr>
                <w:p w14:paraId="32988B95">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w:t>
                  </w:r>
                  <w:r>
                    <w:rPr>
                      <w:rFonts w:hint="eastAsia" w:ascii="Times New Roman" w:hAnsi="Times New Roman" w:eastAsia="宋体" w:cs="Times New Roman"/>
                      <w:color w:val="auto"/>
                      <w:kern w:val="2"/>
                      <w:sz w:val="18"/>
                      <w:szCs w:val="18"/>
                      <w:highlight w:val="none"/>
                      <w:lang w:val="en-US" w:eastAsia="zh-CN" w:bidi="ar-SA"/>
                    </w:rPr>
                    <w:t>人</w:t>
                  </w:r>
                </w:p>
              </w:tc>
              <w:tc>
                <w:tcPr>
                  <w:tcW w:w="926" w:type="dxa"/>
                  <w:noWrap w:val="0"/>
                  <w:vAlign w:val="center"/>
                </w:tcPr>
                <w:p w14:paraId="113043C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50L/人·d</w:t>
                  </w:r>
                </w:p>
              </w:tc>
              <w:tc>
                <w:tcPr>
                  <w:tcW w:w="1126" w:type="dxa"/>
                  <w:noWrap w:val="0"/>
                  <w:vAlign w:val="center"/>
                </w:tcPr>
                <w:p w14:paraId="016E9B00">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w:t>
                  </w:r>
                </w:p>
              </w:tc>
              <w:tc>
                <w:tcPr>
                  <w:tcW w:w="969" w:type="dxa"/>
                  <w:noWrap w:val="0"/>
                  <w:vAlign w:val="center"/>
                </w:tcPr>
                <w:p w14:paraId="13538D9D">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w:t>
                  </w:r>
                  <w:r>
                    <w:rPr>
                      <w:rFonts w:hint="eastAsia" w:ascii="Times New Roman" w:hAnsi="Times New Roman" w:cs="Times New Roman"/>
                      <w:color w:val="auto"/>
                      <w:kern w:val="2"/>
                      <w:sz w:val="18"/>
                      <w:szCs w:val="18"/>
                      <w:highlight w:val="none"/>
                      <w:lang w:val="en-US" w:eastAsia="zh-CN" w:bidi="ar-SA"/>
                    </w:rPr>
                    <w:t>0</w:t>
                  </w:r>
                </w:p>
              </w:tc>
              <w:tc>
                <w:tcPr>
                  <w:tcW w:w="1083" w:type="dxa"/>
                  <w:noWrap w:val="0"/>
                  <w:vAlign w:val="center"/>
                </w:tcPr>
                <w:p w14:paraId="4C1D7864">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0.180 </w:t>
                  </w:r>
                </w:p>
              </w:tc>
              <w:tc>
                <w:tcPr>
                  <w:tcW w:w="989" w:type="dxa"/>
                  <w:noWrap w:val="0"/>
                  <w:vAlign w:val="center"/>
                </w:tcPr>
                <w:p w14:paraId="2FF8119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63.000 </w:t>
                  </w:r>
                </w:p>
              </w:tc>
            </w:tr>
            <w:tr w14:paraId="0550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924" w:type="dxa"/>
                  <w:gridSpan w:val="4"/>
                  <w:noWrap w:val="0"/>
                  <w:vAlign w:val="center"/>
                </w:tcPr>
                <w:p w14:paraId="3D47D54D">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小计</w:t>
                  </w:r>
                </w:p>
              </w:tc>
              <w:tc>
                <w:tcPr>
                  <w:tcW w:w="1126" w:type="dxa"/>
                  <w:noWrap w:val="0"/>
                  <w:vAlign w:val="center"/>
                </w:tcPr>
                <w:p w14:paraId="3973CCA0">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0.</w:t>
                  </w:r>
                  <w:r>
                    <w:rPr>
                      <w:rFonts w:hint="eastAsia" w:ascii="Times New Roman" w:hAnsi="Times New Roman" w:cs="Times New Roman"/>
                      <w:b/>
                      <w:bCs/>
                      <w:color w:val="auto"/>
                      <w:kern w:val="2"/>
                      <w:sz w:val="18"/>
                      <w:szCs w:val="18"/>
                      <w:highlight w:val="none"/>
                      <w:lang w:val="en-US" w:eastAsia="zh-CN" w:bidi="ar-SA"/>
                    </w:rPr>
                    <w:t>3</w:t>
                  </w:r>
                  <w:r>
                    <w:rPr>
                      <w:rFonts w:hint="eastAsia" w:ascii="Times New Roman" w:hAnsi="Times New Roman" w:eastAsia="宋体" w:cs="Times New Roman"/>
                      <w:b/>
                      <w:bCs/>
                      <w:color w:val="auto"/>
                      <w:kern w:val="2"/>
                      <w:sz w:val="18"/>
                      <w:szCs w:val="18"/>
                      <w:highlight w:val="none"/>
                      <w:lang w:val="en-US" w:eastAsia="zh-CN" w:bidi="ar-SA"/>
                    </w:rPr>
                    <w:t>5</w:t>
                  </w:r>
                </w:p>
              </w:tc>
              <w:tc>
                <w:tcPr>
                  <w:tcW w:w="969" w:type="dxa"/>
                  <w:noWrap w:val="0"/>
                  <w:vAlign w:val="center"/>
                </w:tcPr>
                <w:p w14:paraId="4295F778">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kern w:val="2"/>
                      <w:sz w:val="18"/>
                      <w:szCs w:val="18"/>
                      <w:highlight w:val="none"/>
                      <w:lang w:val="en-US" w:eastAsia="zh-CN" w:bidi="ar-SA"/>
                    </w:rPr>
                    <w:t>122.5</w:t>
                  </w:r>
                </w:p>
              </w:tc>
              <w:tc>
                <w:tcPr>
                  <w:tcW w:w="1083" w:type="dxa"/>
                  <w:noWrap w:val="0"/>
                  <w:vAlign w:val="center"/>
                </w:tcPr>
                <w:p w14:paraId="325AA83D">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0.315</w:t>
                  </w:r>
                </w:p>
              </w:tc>
              <w:tc>
                <w:tcPr>
                  <w:tcW w:w="989" w:type="dxa"/>
                  <w:noWrap w:val="0"/>
                  <w:vAlign w:val="center"/>
                </w:tcPr>
                <w:p w14:paraId="2404E759">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110.25</w:t>
                  </w:r>
                </w:p>
              </w:tc>
            </w:tr>
            <w:tr w14:paraId="1641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682" w:type="dxa"/>
                  <w:vMerge w:val="restart"/>
                  <w:noWrap w:val="0"/>
                  <w:vAlign w:val="center"/>
                </w:tcPr>
                <w:p w14:paraId="1FFB36DE">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其他</w:t>
                  </w:r>
                </w:p>
              </w:tc>
              <w:tc>
                <w:tcPr>
                  <w:tcW w:w="1318" w:type="dxa"/>
                  <w:noWrap w:val="0"/>
                  <w:vAlign w:val="center"/>
                </w:tcPr>
                <w:p w14:paraId="717EC7A8">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工服清洗用水</w:t>
                  </w:r>
                </w:p>
              </w:tc>
              <w:tc>
                <w:tcPr>
                  <w:tcW w:w="998" w:type="dxa"/>
                  <w:noWrap w:val="0"/>
                  <w:vAlign w:val="center"/>
                </w:tcPr>
                <w:p w14:paraId="736A13CC">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2</w:t>
                  </w:r>
                  <w:r>
                    <w:rPr>
                      <w:rFonts w:hint="default" w:ascii="Times New Roman" w:hAnsi="Times New Roman" w:eastAsia="宋体" w:cs="Times New Roman"/>
                      <w:color w:val="auto"/>
                      <w:kern w:val="2"/>
                      <w:sz w:val="18"/>
                      <w:szCs w:val="18"/>
                      <w:highlight w:val="none"/>
                      <w:lang w:val="en-US" w:eastAsia="zh-CN" w:bidi="ar-SA"/>
                    </w:rPr>
                    <w:t>kg/d</w:t>
                  </w:r>
                </w:p>
              </w:tc>
              <w:tc>
                <w:tcPr>
                  <w:tcW w:w="926" w:type="dxa"/>
                  <w:noWrap w:val="0"/>
                  <w:vAlign w:val="center"/>
                </w:tcPr>
                <w:p w14:paraId="67C23706">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bCs/>
                      <w:color w:val="auto"/>
                      <w:sz w:val="18"/>
                      <w:szCs w:val="18"/>
                      <w:lang w:val="en-US" w:eastAsia="zh-CN"/>
                    </w:rPr>
                    <w:t>60</w:t>
                  </w:r>
                  <w:r>
                    <w:rPr>
                      <w:rFonts w:hint="eastAsia" w:ascii="Times New Roman" w:hAnsi="Times New Roman" w:eastAsia="宋体" w:cs="Times New Roman"/>
                      <w:bCs/>
                      <w:color w:val="auto"/>
                      <w:sz w:val="18"/>
                      <w:szCs w:val="18"/>
                      <w:lang w:val="en-US" w:eastAsia="zh-CN"/>
                    </w:rPr>
                    <w:t>L/kg</w:t>
                  </w:r>
                </w:p>
              </w:tc>
              <w:tc>
                <w:tcPr>
                  <w:tcW w:w="1126" w:type="dxa"/>
                  <w:noWrap w:val="0"/>
                  <w:vAlign w:val="center"/>
                </w:tcPr>
                <w:p w14:paraId="677E5B2A">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0.1</w:t>
                  </w:r>
                  <w:r>
                    <w:rPr>
                      <w:rFonts w:hint="eastAsia" w:ascii="Times New Roman" w:hAnsi="Times New Roman" w:cs="Times New Roman"/>
                      <w:color w:val="auto"/>
                      <w:kern w:val="2"/>
                      <w:sz w:val="18"/>
                      <w:szCs w:val="18"/>
                      <w:highlight w:val="none"/>
                      <w:lang w:val="en-US" w:eastAsia="zh-CN" w:bidi="ar-SA"/>
                    </w:rPr>
                    <w:t>2</w:t>
                  </w:r>
                </w:p>
              </w:tc>
              <w:tc>
                <w:tcPr>
                  <w:tcW w:w="969" w:type="dxa"/>
                  <w:noWrap w:val="0"/>
                  <w:vAlign w:val="center"/>
                </w:tcPr>
                <w:p w14:paraId="706C3319">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42</w:t>
                  </w:r>
                </w:p>
              </w:tc>
              <w:tc>
                <w:tcPr>
                  <w:tcW w:w="1083" w:type="dxa"/>
                  <w:noWrap w:val="0"/>
                  <w:vAlign w:val="center"/>
                </w:tcPr>
                <w:p w14:paraId="662782F1">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0.108 </w:t>
                  </w:r>
                </w:p>
              </w:tc>
              <w:tc>
                <w:tcPr>
                  <w:tcW w:w="989" w:type="dxa"/>
                  <w:noWrap w:val="0"/>
                  <w:vAlign w:val="center"/>
                </w:tcPr>
                <w:p w14:paraId="748F02F9">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37.800 </w:t>
                  </w:r>
                </w:p>
              </w:tc>
            </w:tr>
            <w:tr w14:paraId="3DB9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82" w:type="dxa"/>
                  <w:vMerge w:val="continue"/>
                  <w:noWrap w:val="0"/>
                  <w:vAlign w:val="center"/>
                </w:tcPr>
                <w:p w14:paraId="1FF7C214">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318" w:type="dxa"/>
                  <w:noWrap w:val="0"/>
                  <w:vAlign w:val="center"/>
                </w:tcPr>
                <w:p w14:paraId="0CA26D46">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宠物毛毯清洗用水</w:t>
                  </w:r>
                </w:p>
              </w:tc>
              <w:tc>
                <w:tcPr>
                  <w:tcW w:w="998" w:type="dxa"/>
                  <w:noWrap w:val="0"/>
                  <w:vAlign w:val="center"/>
                </w:tcPr>
                <w:p w14:paraId="0F664038">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2</w:t>
                  </w:r>
                  <w:r>
                    <w:rPr>
                      <w:rFonts w:hint="default" w:ascii="Times New Roman" w:hAnsi="Times New Roman" w:eastAsia="宋体" w:cs="Times New Roman"/>
                      <w:color w:val="auto"/>
                      <w:kern w:val="2"/>
                      <w:sz w:val="18"/>
                      <w:szCs w:val="18"/>
                      <w:highlight w:val="none"/>
                      <w:lang w:val="en-US" w:eastAsia="zh-CN" w:bidi="ar-SA"/>
                    </w:rPr>
                    <w:t>kg/d</w:t>
                  </w:r>
                </w:p>
              </w:tc>
              <w:tc>
                <w:tcPr>
                  <w:tcW w:w="926" w:type="dxa"/>
                  <w:noWrap w:val="0"/>
                  <w:vAlign w:val="center"/>
                </w:tcPr>
                <w:p w14:paraId="1D212BAC">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bCs/>
                      <w:color w:val="auto"/>
                      <w:sz w:val="18"/>
                      <w:szCs w:val="18"/>
                      <w:lang w:val="en-US" w:eastAsia="zh-CN"/>
                    </w:rPr>
                    <w:t>60</w:t>
                  </w:r>
                  <w:r>
                    <w:rPr>
                      <w:rFonts w:hint="eastAsia" w:ascii="Times New Roman" w:hAnsi="Times New Roman" w:eastAsia="宋体" w:cs="Times New Roman"/>
                      <w:bCs/>
                      <w:color w:val="auto"/>
                      <w:sz w:val="18"/>
                      <w:szCs w:val="18"/>
                      <w:lang w:val="en-US" w:eastAsia="zh-CN"/>
                    </w:rPr>
                    <w:t>L/kg</w:t>
                  </w:r>
                </w:p>
              </w:tc>
              <w:tc>
                <w:tcPr>
                  <w:tcW w:w="1126" w:type="dxa"/>
                  <w:noWrap w:val="0"/>
                  <w:vAlign w:val="center"/>
                </w:tcPr>
                <w:p w14:paraId="4108FFF1">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0.1</w:t>
                  </w:r>
                  <w:r>
                    <w:rPr>
                      <w:rFonts w:hint="eastAsia" w:ascii="Times New Roman" w:hAnsi="Times New Roman" w:cs="Times New Roman"/>
                      <w:color w:val="auto"/>
                      <w:kern w:val="2"/>
                      <w:sz w:val="18"/>
                      <w:szCs w:val="18"/>
                      <w:highlight w:val="none"/>
                      <w:lang w:val="en-US" w:eastAsia="zh-CN" w:bidi="ar-SA"/>
                    </w:rPr>
                    <w:t>2</w:t>
                  </w:r>
                </w:p>
              </w:tc>
              <w:tc>
                <w:tcPr>
                  <w:tcW w:w="969" w:type="dxa"/>
                  <w:noWrap w:val="0"/>
                  <w:vAlign w:val="center"/>
                </w:tcPr>
                <w:p w14:paraId="41A08D2F">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42</w:t>
                  </w:r>
                </w:p>
              </w:tc>
              <w:tc>
                <w:tcPr>
                  <w:tcW w:w="1083" w:type="dxa"/>
                  <w:noWrap w:val="0"/>
                  <w:vAlign w:val="center"/>
                </w:tcPr>
                <w:p w14:paraId="2D11EFD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0.108 </w:t>
                  </w:r>
                </w:p>
              </w:tc>
              <w:tc>
                <w:tcPr>
                  <w:tcW w:w="989" w:type="dxa"/>
                  <w:noWrap w:val="0"/>
                  <w:vAlign w:val="center"/>
                </w:tcPr>
                <w:p w14:paraId="2FD5669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37.800 </w:t>
                  </w:r>
                </w:p>
              </w:tc>
            </w:tr>
            <w:tr w14:paraId="0A82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82" w:type="dxa"/>
                  <w:vMerge w:val="continue"/>
                  <w:noWrap w:val="0"/>
                  <w:vAlign w:val="center"/>
                </w:tcPr>
                <w:p w14:paraId="3406F939">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318" w:type="dxa"/>
                  <w:noWrap w:val="0"/>
                  <w:vAlign w:val="center"/>
                </w:tcPr>
                <w:p w14:paraId="44B696F2">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美容洗护用水</w:t>
                  </w:r>
                </w:p>
              </w:tc>
              <w:tc>
                <w:tcPr>
                  <w:tcW w:w="998" w:type="dxa"/>
                  <w:noWrap w:val="0"/>
                  <w:vAlign w:val="center"/>
                </w:tcPr>
                <w:p w14:paraId="67427DC2">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5只/d</w:t>
                  </w:r>
                </w:p>
              </w:tc>
              <w:tc>
                <w:tcPr>
                  <w:tcW w:w="926" w:type="dxa"/>
                  <w:noWrap w:val="0"/>
                  <w:vAlign w:val="center"/>
                </w:tcPr>
                <w:p w14:paraId="3E10C8D9">
                  <w:pPr>
                    <w:pStyle w:val="73"/>
                    <w:ind w:firstLine="0" w:firstLineChars="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2"/>
                      <w:sz w:val="18"/>
                      <w:szCs w:val="18"/>
                      <w:highlight w:val="none"/>
                      <w:lang w:val="en-US" w:eastAsia="zh-CN" w:bidi="ar-SA"/>
                    </w:rPr>
                    <w:t>50L/只</w:t>
                  </w:r>
                </w:p>
              </w:tc>
              <w:tc>
                <w:tcPr>
                  <w:tcW w:w="1126" w:type="dxa"/>
                  <w:noWrap w:val="0"/>
                  <w:vAlign w:val="center"/>
                </w:tcPr>
                <w:p w14:paraId="2015080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0.25</w:t>
                  </w:r>
                </w:p>
              </w:tc>
              <w:tc>
                <w:tcPr>
                  <w:tcW w:w="969" w:type="dxa"/>
                  <w:noWrap w:val="0"/>
                  <w:vAlign w:val="center"/>
                </w:tcPr>
                <w:p w14:paraId="6C2C31B1">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87.5</w:t>
                  </w:r>
                </w:p>
              </w:tc>
              <w:tc>
                <w:tcPr>
                  <w:tcW w:w="1083" w:type="dxa"/>
                  <w:noWrap w:val="0"/>
                  <w:vAlign w:val="center"/>
                </w:tcPr>
                <w:p w14:paraId="3CCFC7D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0.225 </w:t>
                  </w:r>
                </w:p>
              </w:tc>
              <w:tc>
                <w:tcPr>
                  <w:tcW w:w="989" w:type="dxa"/>
                  <w:noWrap w:val="0"/>
                  <w:vAlign w:val="center"/>
                </w:tcPr>
                <w:p w14:paraId="099FC555">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78.750 </w:t>
                  </w:r>
                </w:p>
              </w:tc>
            </w:tr>
            <w:tr w14:paraId="67B7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82" w:type="dxa"/>
                  <w:vMerge w:val="continue"/>
                  <w:noWrap w:val="0"/>
                  <w:vAlign w:val="center"/>
                </w:tcPr>
                <w:p w14:paraId="1133B057">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318" w:type="dxa"/>
                  <w:noWrap w:val="0"/>
                  <w:vAlign w:val="center"/>
                </w:tcPr>
                <w:p w14:paraId="593F0269">
                  <w:pPr>
                    <w:pStyle w:val="73"/>
                    <w:ind w:firstLine="0" w:firstLineChars="0"/>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高温蒸汽灭菌用水</w:t>
                  </w:r>
                </w:p>
              </w:tc>
              <w:tc>
                <w:tcPr>
                  <w:tcW w:w="998" w:type="dxa"/>
                  <w:noWrap w:val="0"/>
                  <w:vAlign w:val="center"/>
                </w:tcPr>
                <w:p w14:paraId="6F7E958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4L</w:t>
                  </w:r>
                </w:p>
              </w:tc>
              <w:tc>
                <w:tcPr>
                  <w:tcW w:w="926" w:type="dxa"/>
                  <w:noWrap w:val="0"/>
                  <w:vAlign w:val="center"/>
                </w:tcPr>
                <w:p w14:paraId="0B255A4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1126" w:type="dxa"/>
                  <w:noWrap w:val="0"/>
                  <w:vAlign w:val="center"/>
                </w:tcPr>
                <w:p w14:paraId="580D241A">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0.004</w:t>
                  </w:r>
                </w:p>
              </w:tc>
              <w:tc>
                <w:tcPr>
                  <w:tcW w:w="969" w:type="dxa"/>
                  <w:noWrap w:val="0"/>
                  <w:vAlign w:val="center"/>
                </w:tcPr>
                <w:p w14:paraId="57DE437E">
                  <w:pPr>
                    <w:pStyle w:val="73"/>
                    <w:ind w:firstLine="0" w:firstLineChars="0"/>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1.4</w:t>
                  </w:r>
                </w:p>
              </w:tc>
              <w:tc>
                <w:tcPr>
                  <w:tcW w:w="1083" w:type="dxa"/>
                  <w:noWrap w:val="0"/>
                  <w:vAlign w:val="center"/>
                </w:tcPr>
                <w:p w14:paraId="5388A173">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 xml:space="preserve">0.003 </w:t>
                  </w:r>
                </w:p>
              </w:tc>
              <w:tc>
                <w:tcPr>
                  <w:tcW w:w="989" w:type="dxa"/>
                  <w:noWrap w:val="0"/>
                  <w:vAlign w:val="center"/>
                </w:tcPr>
                <w:p w14:paraId="69C97BE8">
                  <w:pPr>
                    <w:pStyle w:val="7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1.05</w:t>
                  </w:r>
                </w:p>
              </w:tc>
            </w:tr>
            <w:tr w14:paraId="54B9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924" w:type="dxa"/>
                  <w:gridSpan w:val="4"/>
                  <w:noWrap w:val="0"/>
                  <w:vAlign w:val="center"/>
                </w:tcPr>
                <w:p w14:paraId="4E36BAFD">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小计</w:t>
                  </w:r>
                </w:p>
              </w:tc>
              <w:tc>
                <w:tcPr>
                  <w:tcW w:w="1126" w:type="dxa"/>
                  <w:noWrap w:val="0"/>
                  <w:vAlign w:val="center"/>
                </w:tcPr>
                <w:p w14:paraId="382970BC">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0.494</w:t>
                  </w:r>
                </w:p>
              </w:tc>
              <w:tc>
                <w:tcPr>
                  <w:tcW w:w="969" w:type="dxa"/>
                  <w:noWrap w:val="0"/>
                  <w:vAlign w:val="center"/>
                </w:tcPr>
                <w:p w14:paraId="34426D71">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172.9</w:t>
                  </w:r>
                </w:p>
              </w:tc>
              <w:tc>
                <w:tcPr>
                  <w:tcW w:w="1083" w:type="dxa"/>
                  <w:noWrap w:val="0"/>
                  <w:vAlign w:val="center"/>
                </w:tcPr>
                <w:p w14:paraId="46EFB196">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0.444</w:t>
                  </w:r>
                </w:p>
              </w:tc>
              <w:tc>
                <w:tcPr>
                  <w:tcW w:w="989" w:type="dxa"/>
                  <w:noWrap w:val="0"/>
                  <w:vAlign w:val="center"/>
                </w:tcPr>
                <w:p w14:paraId="44EDFB19">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155.4</w:t>
                  </w:r>
                </w:p>
              </w:tc>
            </w:tr>
            <w:tr w14:paraId="1BF7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924" w:type="dxa"/>
                  <w:gridSpan w:val="4"/>
                  <w:noWrap w:val="0"/>
                  <w:vAlign w:val="center"/>
                </w:tcPr>
                <w:p w14:paraId="13C2726A">
                  <w:pPr>
                    <w:pStyle w:val="73"/>
                    <w:ind w:firstLine="0" w:firstLineChars="0"/>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合计</w:t>
                  </w:r>
                </w:p>
              </w:tc>
              <w:tc>
                <w:tcPr>
                  <w:tcW w:w="1126" w:type="dxa"/>
                  <w:noWrap w:val="0"/>
                  <w:vAlign w:val="center"/>
                </w:tcPr>
                <w:p w14:paraId="738C226C">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1.352</w:t>
                  </w:r>
                </w:p>
              </w:tc>
              <w:tc>
                <w:tcPr>
                  <w:tcW w:w="969" w:type="dxa"/>
                  <w:noWrap w:val="0"/>
                  <w:vAlign w:val="center"/>
                </w:tcPr>
                <w:p w14:paraId="6CE054C5">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kern w:val="2"/>
                      <w:sz w:val="18"/>
                      <w:szCs w:val="18"/>
                      <w:highlight w:val="none"/>
                      <w:lang w:val="en-US" w:eastAsia="zh-CN" w:bidi="ar-SA"/>
                    </w:rPr>
                    <w:t>473.627</w:t>
                  </w:r>
                </w:p>
              </w:tc>
              <w:tc>
                <w:tcPr>
                  <w:tcW w:w="1083" w:type="dxa"/>
                  <w:noWrap w:val="0"/>
                  <w:vAlign w:val="center"/>
                </w:tcPr>
                <w:p w14:paraId="46D5707D">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1.2125</w:t>
                  </w:r>
                </w:p>
              </w:tc>
              <w:tc>
                <w:tcPr>
                  <w:tcW w:w="989" w:type="dxa"/>
                  <w:noWrap w:val="0"/>
                  <w:vAlign w:val="center"/>
                </w:tcPr>
                <w:p w14:paraId="518A4AE3">
                  <w:pPr>
                    <w:pStyle w:val="73"/>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kern w:val="2"/>
                      <w:sz w:val="18"/>
                      <w:szCs w:val="18"/>
                      <w:highlight w:val="none"/>
                      <w:lang w:val="en-US" w:eastAsia="zh-CN" w:bidi="ar-SA"/>
                    </w:rPr>
                    <w:t>424.52</w:t>
                  </w:r>
                </w:p>
              </w:tc>
            </w:tr>
            <w:tr w14:paraId="5EB4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1" w:type="dxa"/>
                  <w:gridSpan w:val="8"/>
                  <w:noWrap w:val="0"/>
                  <w:vAlign w:val="center"/>
                </w:tcPr>
                <w:p w14:paraId="7AE281DB">
                  <w:pPr>
                    <w:pStyle w:val="73"/>
                    <w:ind w:firstLine="0" w:firstLineChars="0"/>
                    <w:jc w:val="left"/>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i w:val="0"/>
                      <w:iCs w:val="0"/>
                      <w:color w:val="auto"/>
                      <w:kern w:val="0"/>
                      <w:sz w:val="15"/>
                      <w:szCs w:val="15"/>
                      <w:u w:val="none"/>
                      <w:lang w:val="en-US" w:eastAsia="zh-CN" w:bidi="ar"/>
                    </w:rPr>
                    <w:t>注：</w:t>
                  </w:r>
                  <w:r>
                    <w:rPr>
                      <w:rFonts w:hint="eastAsia"/>
                      <w:bCs w:val="0"/>
                      <w:color w:val="auto"/>
                      <w:sz w:val="15"/>
                      <w:szCs w:val="15"/>
                      <w:lang w:val="en-US" w:eastAsia="zh-CN"/>
                    </w:rPr>
                    <w:t>地面清洁包含手术室地面清洁，因不可避免将手术室清洁废水与其他地面清洁废水混合，本次将地面清洁废水纳入医疗废水。</w:t>
                  </w:r>
                </w:p>
              </w:tc>
            </w:tr>
          </w:tbl>
          <w:p w14:paraId="3BF1DBC7">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rPr>
                <w:rFonts w:hint="default"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（3）排水</w:t>
            </w:r>
          </w:p>
          <w:p w14:paraId="0DACA465">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cs="Times New Roman" w:eastAsiaTheme="majorEastAsia"/>
                <w:bCs/>
                <w:color w:val="auto"/>
                <w:szCs w:val="21"/>
                <w:lang w:val="en-US" w:eastAsia="zh-CN"/>
              </w:rPr>
            </w:pPr>
            <w:r>
              <w:rPr>
                <w:rFonts w:hint="eastAsia" w:ascii="Times New Roman" w:hAnsi="Times New Roman" w:cs="Times New Roman" w:eastAsiaTheme="majorEastAsia"/>
                <w:bCs/>
                <w:color w:val="auto"/>
                <w:szCs w:val="21"/>
                <w:lang w:val="en-US" w:eastAsia="zh-CN"/>
              </w:rPr>
              <w:t>由上表可知，项目废水排放总量为</w:t>
            </w:r>
            <w:r>
              <w:rPr>
                <w:rFonts w:hint="default" w:ascii="Times New Roman" w:hAnsi="Times New Roman" w:cs="Times New Roman" w:eastAsiaTheme="majorEastAsia"/>
                <w:bCs/>
                <w:color w:val="auto"/>
                <w:szCs w:val="21"/>
                <w:lang w:val="en-US" w:eastAsia="zh-CN"/>
              </w:rPr>
              <w:t>1.2</w:t>
            </w:r>
            <w:r>
              <w:rPr>
                <w:rFonts w:hint="eastAsia" w:ascii="Times New Roman" w:hAnsi="Times New Roman" w:cs="Times New Roman" w:eastAsiaTheme="majorEastAsia"/>
                <w:bCs/>
                <w:color w:val="auto"/>
                <w:szCs w:val="21"/>
                <w:lang w:val="en-US" w:eastAsia="zh-CN"/>
              </w:rPr>
              <w:t>125</w:t>
            </w:r>
            <w:r>
              <w:rPr>
                <w:rFonts w:hint="default" w:ascii="Times New Roman" w:hAnsi="Times New Roman" w:cs="Times New Roman" w:eastAsiaTheme="majorEastAsia"/>
                <w:bCs/>
                <w:color w:val="auto"/>
                <w:szCs w:val="21"/>
                <w:lang w:val="en-US" w:eastAsia="zh-CN"/>
              </w:rPr>
              <w:t>m</w:t>
            </w:r>
            <w:r>
              <w:rPr>
                <w:rFonts w:hint="default" w:ascii="Times New Roman" w:hAnsi="Times New Roman" w:cs="Times New Roman" w:eastAsiaTheme="majorEastAsia"/>
                <w:bCs/>
                <w:color w:val="auto"/>
                <w:szCs w:val="21"/>
                <w:vertAlign w:val="superscript"/>
                <w:lang w:val="en-US" w:eastAsia="zh-CN"/>
              </w:rPr>
              <w:t>3</w:t>
            </w:r>
            <w:r>
              <w:rPr>
                <w:rFonts w:hint="default" w:ascii="Times New Roman" w:hAnsi="Times New Roman" w:cs="Times New Roman" w:eastAsiaTheme="majorEastAsia"/>
                <w:bCs/>
                <w:color w:val="auto"/>
                <w:szCs w:val="21"/>
                <w:lang w:val="en-US" w:eastAsia="zh-CN"/>
              </w:rPr>
              <w:t>/d</w:t>
            </w:r>
            <w:r>
              <w:rPr>
                <w:rFonts w:hint="eastAsia" w:ascii="Times New Roman" w:hAnsi="Times New Roman" w:cs="Times New Roman" w:eastAsiaTheme="majorEastAsia"/>
                <w:bCs/>
                <w:color w:val="auto"/>
                <w:szCs w:val="21"/>
                <w:lang w:val="en-US" w:eastAsia="zh-CN"/>
              </w:rPr>
              <w:t>，其中医疗废水量0.4535</w:t>
            </w:r>
            <w:r>
              <w:rPr>
                <w:rFonts w:hint="default" w:ascii="Times New Roman" w:hAnsi="Times New Roman" w:cs="Times New Roman" w:eastAsiaTheme="majorEastAsia"/>
                <w:bCs/>
                <w:color w:val="auto"/>
                <w:szCs w:val="21"/>
                <w:lang w:val="en-US" w:eastAsia="zh-CN"/>
              </w:rPr>
              <w:t>m</w:t>
            </w:r>
            <w:r>
              <w:rPr>
                <w:rFonts w:hint="default" w:ascii="Times New Roman" w:hAnsi="Times New Roman" w:cs="Times New Roman" w:eastAsiaTheme="majorEastAsia"/>
                <w:bCs/>
                <w:color w:val="auto"/>
                <w:szCs w:val="21"/>
                <w:vertAlign w:val="superscript"/>
                <w:lang w:val="en-US" w:eastAsia="zh-CN"/>
              </w:rPr>
              <w:t>3</w:t>
            </w:r>
            <w:r>
              <w:rPr>
                <w:rFonts w:hint="default" w:ascii="Times New Roman" w:hAnsi="Times New Roman" w:cs="Times New Roman" w:eastAsiaTheme="majorEastAsia"/>
                <w:bCs/>
                <w:color w:val="auto"/>
                <w:szCs w:val="21"/>
                <w:lang w:val="en-US" w:eastAsia="zh-CN"/>
              </w:rPr>
              <w:t>/d</w:t>
            </w:r>
            <w:r>
              <w:rPr>
                <w:rFonts w:hint="eastAsia" w:ascii="Times New Roman" w:hAnsi="Times New Roman" w:cs="Times New Roman" w:eastAsiaTheme="majorEastAsia"/>
                <w:bCs/>
                <w:color w:val="auto"/>
                <w:szCs w:val="21"/>
                <w:lang w:val="en-US" w:eastAsia="zh-CN"/>
              </w:rPr>
              <w:t>，生活及宠物洗浴废水量</w:t>
            </w:r>
            <w:r>
              <w:rPr>
                <w:rFonts w:hint="default" w:ascii="Times New Roman" w:hAnsi="Times New Roman" w:cs="Times New Roman" w:eastAsiaTheme="majorEastAsia"/>
                <w:bCs/>
                <w:color w:val="auto"/>
                <w:szCs w:val="21"/>
                <w:lang w:val="en-US" w:eastAsia="zh-CN"/>
              </w:rPr>
              <w:t>0.7</w:t>
            </w:r>
            <w:r>
              <w:rPr>
                <w:rFonts w:hint="eastAsia" w:ascii="Times New Roman" w:hAnsi="Times New Roman" w:cs="Times New Roman" w:eastAsiaTheme="majorEastAsia"/>
                <w:bCs/>
                <w:color w:val="auto"/>
                <w:szCs w:val="21"/>
                <w:lang w:val="en-US" w:eastAsia="zh-CN"/>
              </w:rPr>
              <w:t>59</w:t>
            </w:r>
            <w:r>
              <w:rPr>
                <w:rFonts w:hint="default" w:ascii="Times New Roman" w:hAnsi="Times New Roman" w:cs="Times New Roman" w:eastAsiaTheme="majorEastAsia"/>
                <w:bCs/>
                <w:color w:val="auto"/>
                <w:szCs w:val="21"/>
                <w:lang w:val="en-US" w:eastAsia="zh-CN"/>
              </w:rPr>
              <w:t>m</w:t>
            </w:r>
            <w:r>
              <w:rPr>
                <w:rFonts w:hint="default" w:ascii="Times New Roman" w:hAnsi="Times New Roman" w:cs="Times New Roman" w:eastAsiaTheme="majorEastAsia"/>
                <w:bCs/>
                <w:color w:val="auto"/>
                <w:szCs w:val="21"/>
                <w:vertAlign w:val="superscript"/>
                <w:lang w:val="en-US" w:eastAsia="zh-CN"/>
              </w:rPr>
              <w:t>3</w:t>
            </w:r>
            <w:r>
              <w:rPr>
                <w:rFonts w:hint="default" w:ascii="Times New Roman" w:hAnsi="Times New Roman" w:cs="Times New Roman" w:eastAsiaTheme="majorEastAsia"/>
                <w:bCs/>
                <w:color w:val="auto"/>
                <w:szCs w:val="21"/>
                <w:lang w:val="en-US" w:eastAsia="zh-CN"/>
              </w:rPr>
              <w:t>/d</w:t>
            </w:r>
            <w:r>
              <w:rPr>
                <w:rFonts w:hint="eastAsia" w:ascii="Times New Roman" w:hAnsi="Times New Roman" w:cs="Times New Roman" w:eastAsiaTheme="majorEastAsia"/>
                <w:bCs/>
                <w:color w:val="auto"/>
                <w:szCs w:val="21"/>
                <w:lang w:val="en-US" w:eastAsia="zh-CN"/>
              </w:rPr>
              <w:t>。</w:t>
            </w:r>
          </w:p>
          <w:p w14:paraId="3586A583">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cs="Times New Roman" w:eastAsiaTheme="majorEastAsia"/>
                <w:bCs/>
                <w:color w:val="auto"/>
                <w:szCs w:val="21"/>
                <w:lang w:val="en-US" w:eastAsia="zh-CN"/>
              </w:rPr>
            </w:pPr>
            <w:r>
              <w:rPr>
                <w:rFonts w:hint="eastAsia" w:ascii="Times New Roman" w:hAnsi="Times New Roman" w:cs="Times New Roman" w:eastAsiaTheme="majorEastAsia"/>
                <w:bCs/>
                <w:color w:val="auto"/>
                <w:szCs w:val="21"/>
                <w:lang w:val="en-US" w:eastAsia="zh-CN"/>
              </w:rPr>
              <w:t>经消毒预处理的医疗废水和经格栅预处理的宠物洗浴废水与生活污水一并排入远洋城小区已建生化池处理达到《污水综合排放标准》（</w:t>
            </w:r>
            <w:r>
              <w:rPr>
                <w:rFonts w:hint="default" w:ascii="Times New Roman" w:hAnsi="Times New Roman" w:cs="Times New Roman" w:eastAsiaTheme="majorEastAsia"/>
                <w:bCs/>
                <w:color w:val="auto"/>
                <w:szCs w:val="21"/>
                <w:lang w:val="en-US" w:eastAsia="zh-CN"/>
              </w:rPr>
              <w:t>GB8978-1996</w:t>
            </w:r>
            <w:r>
              <w:rPr>
                <w:rFonts w:hint="eastAsia" w:ascii="Times New Roman" w:hAnsi="Times New Roman" w:cs="Times New Roman" w:eastAsiaTheme="majorEastAsia"/>
                <w:bCs/>
                <w:color w:val="auto"/>
                <w:szCs w:val="21"/>
                <w:lang w:val="en-US" w:eastAsia="zh-CN"/>
              </w:rPr>
              <w:t>）三级标准排入市政污水管网，进入排入鸡冠石污水处理厂进一步处理达到《城镇污水处理厂污染物排放标准》（</w:t>
            </w:r>
            <w:r>
              <w:rPr>
                <w:rFonts w:hint="default" w:ascii="Times New Roman" w:hAnsi="Times New Roman" w:cs="Times New Roman" w:eastAsiaTheme="majorEastAsia"/>
                <w:bCs/>
                <w:color w:val="auto"/>
                <w:szCs w:val="21"/>
                <w:lang w:val="en-US" w:eastAsia="zh-CN"/>
              </w:rPr>
              <w:t>GB18918-2002</w:t>
            </w:r>
            <w:r>
              <w:rPr>
                <w:rFonts w:hint="eastAsia" w:ascii="Times New Roman" w:hAnsi="Times New Roman" w:cs="Times New Roman" w:eastAsiaTheme="majorEastAsia"/>
                <w:bCs/>
                <w:color w:val="auto"/>
                <w:szCs w:val="21"/>
                <w:lang w:val="en-US" w:eastAsia="zh-CN"/>
              </w:rPr>
              <w:t>）一级</w:t>
            </w:r>
            <w:r>
              <w:rPr>
                <w:rFonts w:hint="default" w:ascii="Times New Roman" w:hAnsi="Times New Roman" w:cs="Times New Roman" w:eastAsiaTheme="majorEastAsia"/>
                <w:bCs/>
                <w:color w:val="auto"/>
                <w:szCs w:val="21"/>
                <w:lang w:val="en-US" w:eastAsia="zh-CN"/>
              </w:rPr>
              <w:t>A</w:t>
            </w:r>
            <w:r>
              <w:rPr>
                <w:rFonts w:hint="eastAsia" w:ascii="Times New Roman" w:hAnsi="Times New Roman" w:cs="Times New Roman" w:eastAsiaTheme="majorEastAsia"/>
                <w:bCs/>
                <w:color w:val="auto"/>
                <w:szCs w:val="21"/>
                <w:lang w:val="en-US" w:eastAsia="zh-CN"/>
              </w:rPr>
              <w:t>标，最终排入长江。</w:t>
            </w:r>
          </w:p>
          <w:p w14:paraId="54A5BE22">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cs="Times New Roman" w:eastAsiaTheme="majorEastAsia"/>
                <w:bCs/>
                <w:color w:val="auto"/>
                <w:szCs w:val="21"/>
                <w:lang w:val="en-US" w:eastAsia="zh-CN"/>
              </w:rPr>
            </w:pPr>
            <w:r>
              <w:rPr>
                <w:color w:val="auto"/>
                <w:sz w:val="21"/>
              </w:rPr>
              <mc:AlternateContent>
                <mc:Choice Requires="wpc">
                  <w:drawing>
                    <wp:anchor distT="0" distB="0" distL="114300" distR="114300" simplePos="0" relativeHeight="251659264" behindDoc="0" locked="0" layoutInCell="1" allowOverlap="1">
                      <wp:simplePos x="0" y="0"/>
                      <wp:positionH relativeFrom="column">
                        <wp:posOffset>-23495</wp:posOffset>
                      </wp:positionH>
                      <wp:positionV relativeFrom="paragraph">
                        <wp:posOffset>86995</wp:posOffset>
                      </wp:positionV>
                      <wp:extent cx="5091430" cy="4535805"/>
                      <wp:effectExtent l="4445" t="0" r="0" b="0"/>
                      <wp:wrapNone/>
                      <wp:docPr id="4" name="画布 4"/>
                      <wp:cNvGraphicFramePr/>
                      <a:graphic xmlns:a="http://schemas.openxmlformats.org/drawingml/2006/main">
                        <a:graphicData uri="http://schemas.microsoft.com/office/word/2010/wordprocessingCanvas">
                          <wpc:wpc>
                            <wpc:bg/>
                            <wpc:whole/>
                            <wps:wsp>
                              <wps:cNvPr id="5" name="矩形 5"/>
                              <wps:cNvSpPr/>
                              <wps:spPr>
                                <a:xfrm>
                                  <a:off x="1579245" y="301625"/>
                                  <a:ext cx="746125"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8732C1B">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诊疗用水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581785" y="835025"/>
                                  <a:ext cx="1239520"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EE0E6BF">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手术及器械清洗用水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1581785" y="1376045"/>
                                  <a:ext cx="1020445"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50FC61A">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宠物笼清洁用水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1574165" y="1917065"/>
                                  <a:ext cx="883285"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0C86383">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住院宠物饮水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581785" y="2458085"/>
                                  <a:ext cx="883285"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D190721">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地面清洁用水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1581785" y="3014345"/>
                                  <a:ext cx="661670"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B3912A4">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574165" y="3517265"/>
                                  <a:ext cx="1183005" cy="34988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8499E07">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工服清洗、宠物毛毯清洗、美容洗护用水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0" y="1917065"/>
                                  <a:ext cx="563880"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E236BA0">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肘形连接符 15"/>
                              <wps:cNvCnPr>
                                <a:stCxn id="13" idx="3"/>
                                <a:endCxn id="5" idx="1"/>
                              </wps:cNvCnPr>
                              <wps:spPr>
                                <a:xfrm flipV="1">
                                  <a:off x="563880" y="427355"/>
                                  <a:ext cx="1015365" cy="1615440"/>
                                </a:xfrm>
                                <a:prstGeom prst="bentConnector3">
                                  <a:avLst>
                                    <a:gd name="adj1" fmla="val 5003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6" name="肘形连接符 16"/>
                              <wps:cNvCnPr>
                                <a:stCxn id="13" idx="3"/>
                                <a:endCxn id="6" idx="1"/>
                              </wps:cNvCnPr>
                              <wps:spPr>
                                <a:xfrm flipV="1">
                                  <a:off x="563880" y="960755"/>
                                  <a:ext cx="1017905" cy="1082040"/>
                                </a:xfrm>
                                <a:prstGeom prst="bentConnector3">
                                  <a:avLst>
                                    <a:gd name="adj1" fmla="val 5003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7" name="肘形连接符 17"/>
                              <wps:cNvCnPr>
                                <a:stCxn id="13" idx="3"/>
                                <a:endCxn id="8" idx="1"/>
                              </wps:cNvCnPr>
                              <wps:spPr>
                                <a:xfrm flipV="1">
                                  <a:off x="563880" y="1501775"/>
                                  <a:ext cx="1017905" cy="541020"/>
                                </a:xfrm>
                                <a:prstGeom prst="bentConnector3">
                                  <a:avLst>
                                    <a:gd name="adj1" fmla="val 5003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8" name="肘形连接符 18"/>
                              <wps:cNvCnPr>
                                <a:stCxn id="13" idx="3"/>
                                <a:endCxn id="9" idx="1"/>
                              </wps:cNvCnPr>
                              <wps:spPr>
                                <a:xfrm>
                                  <a:off x="563880" y="2042795"/>
                                  <a:ext cx="1010285" cy="3175"/>
                                </a:xfrm>
                                <a:prstGeom prst="bentConnector2">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9" name="肘形连接符 19"/>
                              <wps:cNvCnPr>
                                <a:stCxn id="13" idx="3"/>
                                <a:endCxn id="10" idx="1"/>
                              </wps:cNvCnPr>
                              <wps:spPr>
                                <a:xfrm>
                                  <a:off x="563880" y="2042795"/>
                                  <a:ext cx="1017905" cy="541020"/>
                                </a:xfrm>
                                <a:prstGeom prst="bentConnector3">
                                  <a:avLst>
                                    <a:gd name="adj1" fmla="val 5003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0" name="肘形连接符 20"/>
                              <wps:cNvCnPr>
                                <a:stCxn id="13" idx="3"/>
                                <a:endCxn id="11" idx="1"/>
                              </wps:cNvCnPr>
                              <wps:spPr>
                                <a:xfrm>
                                  <a:off x="563880" y="2042795"/>
                                  <a:ext cx="1017905" cy="1097280"/>
                                </a:xfrm>
                                <a:prstGeom prst="bentConnector3">
                                  <a:avLst>
                                    <a:gd name="adj1" fmla="val 5003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1" name="肘形连接符 21"/>
                              <wps:cNvCnPr>
                                <a:stCxn id="13" idx="3"/>
                                <a:endCxn id="12" idx="1"/>
                              </wps:cNvCnPr>
                              <wps:spPr>
                                <a:xfrm>
                                  <a:off x="563880" y="2042795"/>
                                  <a:ext cx="1010285" cy="1649730"/>
                                </a:xfrm>
                                <a:prstGeom prst="bentConnector3">
                                  <a:avLst>
                                    <a:gd name="adj1" fmla="val 5003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2" name="曲线连接符 22"/>
                              <wps:cNvCnPr>
                                <a:stCxn id="5" idx="0"/>
                              </wps:cNvCnPr>
                              <wps:spPr>
                                <a:xfrm rot="16200000">
                                  <a:off x="2005965" y="11874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3" name="曲线连接符 23"/>
                              <wps:cNvCnPr/>
                              <wps:spPr>
                                <a:xfrm rot="16200000">
                                  <a:off x="2107565" y="65214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4" name="曲线连接符 24"/>
                              <wps:cNvCnPr/>
                              <wps:spPr>
                                <a:xfrm rot="16200000">
                                  <a:off x="2054225" y="118554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5" name="曲线连接符 25"/>
                              <wps:cNvCnPr/>
                              <wps:spPr>
                                <a:xfrm rot="16200000">
                                  <a:off x="2046605" y="174180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6" name="曲线连接符 26"/>
                              <wps:cNvCnPr/>
                              <wps:spPr>
                                <a:xfrm rot="16200000">
                                  <a:off x="2046605" y="228282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7" name="曲线连接符 27"/>
                              <wps:cNvCnPr/>
                              <wps:spPr>
                                <a:xfrm rot="16200000">
                                  <a:off x="2054225" y="283146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8" name="曲线连接符 28"/>
                              <wps:cNvCnPr/>
                              <wps:spPr>
                                <a:xfrm rot="16200000">
                                  <a:off x="2511425" y="3334385"/>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9" name="矩形 29"/>
                              <wps:cNvSpPr/>
                              <wps:spPr>
                                <a:xfrm>
                                  <a:off x="3448685" y="1376045"/>
                                  <a:ext cx="690245"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5FB0653">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消毒设备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肘形连接符 31"/>
                              <wps:cNvCnPr>
                                <a:stCxn id="5" idx="3"/>
                                <a:endCxn id="29" idx="1"/>
                              </wps:cNvCnPr>
                              <wps:spPr>
                                <a:xfrm>
                                  <a:off x="2325370" y="427355"/>
                                  <a:ext cx="1123315" cy="1074420"/>
                                </a:xfrm>
                                <a:prstGeom prst="bentConnector3">
                                  <a:avLst>
                                    <a:gd name="adj1" fmla="val 72413"/>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2" name="肘形连接符 32"/>
                              <wps:cNvCnPr>
                                <a:stCxn id="6" idx="3"/>
                                <a:endCxn id="29" idx="1"/>
                              </wps:cNvCnPr>
                              <wps:spPr>
                                <a:xfrm>
                                  <a:off x="2821305" y="960755"/>
                                  <a:ext cx="627380" cy="541020"/>
                                </a:xfrm>
                                <a:prstGeom prst="bentConnector3">
                                  <a:avLst>
                                    <a:gd name="adj1" fmla="val 50000"/>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3" name="肘形连接符 33"/>
                              <wps:cNvCnPr>
                                <a:stCxn id="8" idx="3"/>
                                <a:endCxn id="29" idx="1"/>
                              </wps:cNvCnPr>
                              <wps:spPr>
                                <a:xfrm>
                                  <a:off x="2602230" y="1501775"/>
                                  <a:ext cx="846455" cy="3175"/>
                                </a:xfrm>
                                <a:prstGeom prst="bentConnector2">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4" name="肘形连接符 34"/>
                              <wps:cNvCnPr>
                                <a:stCxn id="9" idx="3"/>
                                <a:endCxn id="29" idx="1"/>
                              </wps:cNvCnPr>
                              <wps:spPr>
                                <a:xfrm flipV="1">
                                  <a:off x="2457450" y="1501775"/>
                                  <a:ext cx="991235" cy="541020"/>
                                </a:xfrm>
                                <a:prstGeom prst="bentConnector3">
                                  <a:avLst>
                                    <a:gd name="adj1" fmla="val 68481"/>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5" name="肘形连接符 35"/>
                              <wps:cNvCnPr>
                                <a:stCxn id="10" idx="3"/>
                                <a:endCxn id="29" idx="1"/>
                              </wps:cNvCnPr>
                              <wps:spPr>
                                <a:xfrm flipV="1">
                                  <a:off x="2465070" y="1501775"/>
                                  <a:ext cx="983615" cy="1082040"/>
                                </a:xfrm>
                                <a:prstGeom prst="bentConnector3">
                                  <a:avLst>
                                    <a:gd name="adj1" fmla="val 67850"/>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6" name="矩形 36"/>
                              <wps:cNvSpPr/>
                              <wps:spPr>
                                <a:xfrm>
                                  <a:off x="3517265" y="3014345"/>
                                  <a:ext cx="553085"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A13EE60">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生化池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肘形连接符 37"/>
                              <wps:cNvCnPr>
                                <a:stCxn id="11" idx="3"/>
                                <a:endCxn id="36" idx="1"/>
                              </wps:cNvCnPr>
                              <wps:spPr>
                                <a:xfrm>
                                  <a:off x="2243455" y="3140075"/>
                                  <a:ext cx="1273810" cy="3175"/>
                                </a:xfrm>
                                <a:prstGeom prst="bentConnector2">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8" name="肘形连接符 38"/>
                              <wps:cNvCnPr>
                                <a:stCxn id="12" idx="3"/>
                                <a:endCxn id="50" idx="1"/>
                              </wps:cNvCnPr>
                              <wps:spPr>
                                <a:xfrm flipV="1">
                                  <a:off x="2757170" y="3686810"/>
                                  <a:ext cx="203835" cy="5715"/>
                                </a:xfrm>
                                <a:prstGeom prst="bentConnector3">
                                  <a:avLst>
                                    <a:gd name="adj1" fmla="val 50156"/>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39" name="肘形连接符 39"/>
                              <wps:cNvCnPr>
                                <a:stCxn id="29" idx="2"/>
                                <a:endCxn id="36" idx="0"/>
                              </wps:cNvCnPr>
                              <wps:spPr>
                                <a:xfrm rot="5400000" flipV="1">
                                  <a:off x="3100388" y="2320608"/>
                                  <a:ext cx="1387475" cy="3175"/>
                                </a:xfrm>
                                <a:prstGeom prst="bentConnector2">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40" name="矩形 40"/>
                              <wps:cNvSpPr/>
                              <wps:spPr>
                                <a:xfrm>
                                  <a:off x="4446905" y="2961640"/>
                                  <a:ext cx="612775" cy="35750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0BA9116">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市政污水管网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肘形连接符 41"/>
                              <wps:cNvCnPr>
                                <a:stCxn id="36" idx="3"/>
                                <a:endCxn id="40" idx="1"/>
                              </wps:cNvCnPr>
                              <wps:spPr>
                                <a:xfrm>
                                  <a:off x="4070350" y="3140075"/>
                                  <a:ext cx="376555" cy="635"/>
                                </a:xfrm>
                                <a:prstGeom prst="bentConnector3">
                                  <a:avLst>
                                    <a:gd name="adj1" fmla="val 50084"/>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42" name="矩形 42"/>
                              <wps:cNvSpPr/>
                              <wps:spPr>
                                <a:xfrm>
                                  <a:off x="1010285" y="233045"/>
                                  <a:ext cx="553085"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79DCE0D">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矩形 43"/>
                              <wps:cNvSpPr/>
                              <wps:spPr>
                                <a:xfrm>
                                  <a:off x="2458085" y="233045"/>
                                  <a:ext cx="553085"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656080D">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0.1</w:t>
                                    </w:r>
                                    <w:r>
                                      <w:rPr>
                                        <w:rFonts w:hint="eastAsia" w:ascii="Times New Roman" w:hAnsi="Times New Roman" w:cs="Times New Roman"/>
                                        <w:color w:val="000000" w:themeColor="text1"/>
                                        <w:sz w:val="18"/>
                                        <w:szCs w:val="18"/>
                                        <w:lang w:val="en-US" w:eastAsia="zh-CN"/>
                                        <w14:textFill>
                                          <w14:solidFill>
                                            <w14:schemeClr w14:val="tx1"/>
                                          </w14:solidFill>
                                        </w14:textFill>
                                      </w:rPr>
                                      <w:t>3</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2077085" y="34925"/>
                                  <a:ext cx="553085"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295CF97">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w:t>
                                    </w:r>
                                    <w:r>
                                      <w:rPr>
                                        <w:rFonts w:hint="default" w:ascii="Times New Roman" w:hAnsi="Times New Roman" w:cs="Times New Roman"/>
                                        <w:color w:val="000000" w:themeColor="text1"/>
                                        <w:sz w:val="18"/>
                                        <w:szCs w:val="18"/>
                                        <w:lang w:val="en-US" w:eastAsia="zh-CN"/>
                                        <w14:textFill>
                                          <w14:solidFill>
                                            <w14:schemeClr w14:val="tx1"/>
                                          </w14:solidFill>
                                        </w14:textFill>
                                      </w:rPr>
                                      <w:t>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54"/>
                              <wps:cNvSpPr/>
                              <wps:spPr>
                                <a:xfrm>
                                  <a:off x="1094105" y="75882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84D7133">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2747645" y="781685"/>
                                  <a:ext cx="507365"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51F1ADD">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004</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2191385" y="598805"/>
                                  <a:ext cx="522605"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40E8087">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000</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矩形 105"/>
                              <wps:cNvSpPr/>
                              <wps:spPr>
                                <a:xfrm>
                                  <a:off x="1094105" y="132270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6503DCA">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矩形 118"/>
                              <wps:cNvSpPr/>
                              <wps:spPr>
                                <a:xfrm>
                                  <a:off x="2640965" y="132270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A87893F">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0.126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136"/>
                              <wps:cNvSpPr/>
                              <wps:spPr>
                                <a:xfrm>
                                  <a:off x="2160905" y="112458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D57AF20">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矩形 137"/>
                              <wps:cNvSpPr/>
                              <wps:spPr>
                                <a:xfrm>
                                  <a:off x="1109345" y="184848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81AA7C7">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矩形 139"/>
                              <wps:cNvSpPr/>
                              <wps:spPr>
                                <a:xfrm>
                                  <a:off x="2557145" y="184086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4C49A11">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矩形 140"/>
                              <wps:cNvSpPr/>
                              <wps:spPr>
                                <a:xfrm>
                                  <a:off x="2115185" y="168084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CC7D79C">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矩形 145"/>
                              <wps:cNvSpPr/>
                              <wps:spPr>
                                <a:xfrm>
                                  <a:off x="1094105" y="239712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831DF4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206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矩形 147"/>
                              <wps:cNvSpPr/>
                              <wps:spPr>
                                <a:xfrm>
                                  <a:off x="2541905" y="238950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FE927A2">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150"/>
                              <wps:cNvSpPr/>
                              <wps:spPr>
                                <a:xfrm>
                                  <a:off x="1094105" y="294576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64DE8B9">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2138045" y="220662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5D5E9F2">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021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2" name="矩形 152"/>
                              <wps:cNvSpPr/>
                              <wps:spPr>
                                <a:xfrm>
                                  <a:off x="3029585" y="1307465"/>
                                  <a:ext cx="5308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FA057F9">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0.4535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3" name="矩形 153"/>
                              <wps:cNvSpPr/>
                              <wps:spPr>
                                <a:xfrm>
                                  <a:off x="2633345" y="295338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AD9312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0.315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矩形 154"/>
                              <wps:cNvSpPr/>
                              <wps:spPr>
                                <a:xfrm>
                                  <a:off x="2130425" y="274764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3155AC0">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55"/>
                              <wps:cNvSpPr/>
                              <wps:spPr>
                                <a:xfrm>
                                  <a:off x="4050665" y="2938145"/>
                                  <a:ext cx="50800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7C07E29">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1.2125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矩形 156"/>
                              <wps:cNvSpPr/>
                              <wps:spPr>
                                <a:xfrm>
                                  <a:off x="3397250" y="3511550"/>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EEF342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0.441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 157"/>
                              <wps:cNvSpPr/>
                              <wps:spPr>
                                <a:xfrm>
                                  <a:off x="1086485" y="3488690"/>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6E970DE">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矩形 158"/>
                              <wps:cNvSpPr/>
                              <wps:spPr>
                                <a:xfrm>
                                  <a:off x="2610485" y="325818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B97F434">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矩形 159"/>
                              <wps:cNvSpPr/>
                              <wps:spPr>
                                <a:xfrm>
                                  <a:off x="3707765" y="2084705"/>
                                  <a:ext cx="5308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938D38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0.4535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160"/>
                              <wps:cNvSpPr/>
                              <wps:spPr>
                                <a:xfrm>
                                  <a:off x="591185" y="183324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A9DC3D4">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1.352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579880" y="4176395"/>
                                  <a:ext cx="1174115" cy="23558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EF95177">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高温蒸气灭菌用水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1075055" y="4084955"/>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9244DDC">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肘形连接符 44"/>
                              <wps:cNvCnPr>
                                <a:stCxn id="13" idx="3"/>
                                <a:endCxn id="14" idx="1"/>
                              </wps:cNvCnPr>
                              <wps:spPr>
                                <a:xfrm>
                                  <a:off x="563880" y="2042795"/>
                                  <a:ext cx="1016000" cy="2251710"/>
                                </a:xfrm>
                                <a:prstGeom prst="bentConnector3">
                                  <a:avLst>
                                    <a:gd name="adj1" fmla="val 50000"/>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45" name="曲线连接符 45"/>
                              <wps:cNvCnPr/>
                              <wps:spPr>
                                <a:xfrm rot="16200000">
                                  <a:off x="2160905" y="3999230"/>
                                  <a:ext cx="129540" cy="236220"/>
                                </a:xfrm>
                                <a:prstGeom prst="curvedConnector2">
                                  <a:avLst/>
                                </a:prstGeom>
                                <a:ln w="3175"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6" name="肘形连接符 46"/>
                              <wps:cNvCnPr>
                                <a:stCxn id="14" idx="3"/>
                                <a:endCxn id="36" idx="2"/>
                              </wps:cNvCnPr>
                              <wps:spPr>
                                <a:xfrm flipV="1">
                                  <a:off x="2753995" y="3265170"/>
                                  <a:ext cx="1040130" cy="1029335"/>
                                </a:xfrm>
                                <a:prstGeom prst="bentConnector2">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47" name="矩形 47"/>
                              <wps:cNvSpPr/>
                              <wps:spPr>
                                <a:xfrm>
                                  <a:off x="2970530" y="4094480"/>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41565C68">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矩形 48"/>
                              <wps:cNvSpPr/>
                              <wps:spPr>
                                <a:xfrm>
                                  <a:off x="2275205" y="3942080"/>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34A3A54">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3713480" y="3313430"/>
                                  <a:ext cx="454660" cy="250825"/>
                                </a:xfrm>
                                <a:prstGeom prst="rect">
                                  <a:avLst/>
                                </a:prstGeom>
                                <a:no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A1408B3">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0.444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2961005" y="3561080"/>
                                  <a:ext cx="448310" cy="250825"/>
                                </a:xfrm>
                                <a:prstGeom prst="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4EC7BB5">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格栅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肘形连接符 52"/>
                              <wps:cNvCnPr>
                                <a:stCxn id="50" idx="3"/>
                                <a:endCxn id="36" idx="2"/>
                              </wps:cNvCnPr>
                              <wps:spPr>
                                <a:xfrm flipV="1">
                                  <a:off x="3409315" y="3265170"/>
                                  <a:ext cx="384810" cy="421640"/>
                                </a:xfrm>
                                <a:prstGeom prst="bentConnector2">
                                  <a:avLst/>
                                </a:prstGeom>
                                <a:ln w="3175"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1.85pt;margin-top:6.85pt;height:357.15pt;width:400.9pt;z-index:251659264;mso-width-relative:page;mso-height-relative:page;" coordsize="5091430,4535805" editas="canvas" o:gfxdata="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">
                      <o:lock v:ext="edit" aspectratio="f"/>
                      <v:shape id="_x0000_s1026" o:spid="_x0000_s1026" style="position:absolute;left:0;top:0;height:4535805;width:5091430;" filled="f" stroked="f" coordsize="21600,21600" o:gfxdata="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">
                        <v:fill on="f" focussize="0,0"/>
                        <v:stroke on="f"/>
                        <v:imagedata o:title=""/>
                        <o:lock v:ext="edit" aspectratio="f"/>
                      </v:shape>
                      <v:rect id="_x0000_s1026" o:spid="_x0000_s1026" o:spt="1" style="position:absolute;left:1579245;top:301625;height:250825;width:74612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nB7QfWAAAACQEAAA8AAAAAAAAAAQAgAAAAIgAAAGRycy9kb3ducmV2Lnht&#10;bFBLAQIUABQAAAAIAIdO4kApKoFRbQIAAMgEAAAOAAAAAAAAAAEAIAAAACUBAABkcnMvZTJvRG9j&#10;LnhtbFBLBQYAAAAABgAGAFkBAAAEBgAAAAA=&#10;">
                        <v:fill on="f" focussize="0,0"/>
                        <v:stroke weight="0.5pt" color="#000000 [3213]" joinstyle="round"/>
                        <v:imagedata o:title=""/>
                        <o:lock v:ext="edit" aspectratio="f"/>
                        <v:textbox>
                          <w:txbxContent>
                            <w:p w14:paraId="68732C1B">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诊疗用水</w:t>
                              </w:r>
                            </w:p>
                          </w:txbxContent>
                        </v:textbox>
                      </v:rect>
                      <v:rect id="_x0000_s1026" o:spid="_x0000_s1026" o:spt="1" style="position:absolute;left:1581785;top:835025;height:250825;width:1239520;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nB7QfWAAAACQEAAA8AAAAAAAAAAQAgAAAAIgAAAGRycy9kb3ducmV2Lnht&#10;bFBLAQIUABQAAAAIAIdO4kBy9eqrbQIAAMkEAAAOAAAAAAAAAAEAIAAAACUBAABkcnMvZTJvRG9j&#10;LnhtbFBLBQYAAAAABgAGAFkBAAAEBgAAAAA=&#10;">
                        <v:fill on="f" focussize="0,0"/>
                        <v:stroke weight="0.5pt" color="#000000 [3213]" joinstyle="round"/>
                        <v:imagedata o:title=""/>
                        <o:lock v:ext="edit" aspectratio="f"/>
                        <v:textbox>
                          <w:txbxContent>
                            <w:p w14:paraId="0EE0E6BF">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手术及器械清洗用水</w:t>
                              </w:r>
                            </w:p>
                          </w:txbxContent>
                        </v:textbox>
                      </v:rect>
                      <v:rect id="_x0000_s1026" o:spid="_x0000_s1026" o:spt="1" style="position:absolute;left:1581785;top:1376045;height:250825;width:102044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Zwe0H1gAAAAkBAAAPAAAAAAAAAAEAIAAAACIAAABkcnMvZG93bnJldi54&#10;bWxQSwECFAAUAAAACACHTuJAYvSvOG4CAADKBAAADgAAAAAAAAABACAAAAAlAQAAZHJzL2Uyb0Rv&#10;Yy54bWxQSwUGAAAAAAYABgBZAQAABQYAAAAA&#10;">
                        <v:fill on="f" focussize="0,0"/>
                        <v:stroke weight="0.5pt" color="#000000 [3213]" joinstyle="round"/>
                        <v:imagedata o:title=""/>
                        <o:lock v:ext="edit" aspectratio="f"/>
                        <v:textbox>
                          <w:txbxContent>
                            <w:p w14:paraId="350FC61A">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宠物笼清洁用水</w:t>
                              </w:r>
                            </w:p>
                          </w:txbxContent>
                        </v:textbox>
                      </v:rect>
                      <v:rect id="_x0000_s1026" o:spid="_x0000_s1026" o:spt="1" style="position:absolute;left:1574165;top:1917065;height:250825;width:88328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nB7QfWAAAACQEAAA8AAAAAAAAAAQAgAAAAIgAAAGRycy9kb3ducmV2Lnht&#10;bFBLAQIUABQAAAAIAIdO4kA4e63YbQIAAMkEAAAOAAAAAAAAAAEAIAAAACUBAABkcnMvZTJvRG9j&#10;LnhtbFBLBQYAAAAABgAGAFkBAAAEBgAAAAA=&#10;">
                        <v:fill on="f" focussize="0,0"/>
                        <v:stroke weight="0.5pt" color="#000000 [3213]" joinstyle="round"/>
                        <v:imagedata o:title=""/>
                        <o:lock v:ext="edit" aspectratio="f"/>
                        <v:textbox>
                          <w:txbxContent>
                            <w:p w14:paraId="50C86383">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住院宠物饮水</w:t>
                              </w:r>
                            </w:p>
                          </w:txbxContent>
                        </v:textbox>
                      </v:rect>
                      <v:rect id="_x0000_s1026" o:spid="_x0000_s1026" o:spt="1" style="position:absolute;left:1581785;top:2458085;height:250825;width:88328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cHtB9YAAAAJAQAADwAAAAAAAAABACAAAAAiAAAAZHJzL2Rvd25yZXYueG1s&#10;UEsBAhQAFAAAAAgAh07iQNgkfBhsAgAAywQAAA4AAAAAAAAAAQAgAAAAJQEAAGRycy9lMm9Eb2Mu&#10;eG1sUEsFBgAAAAAGAAYAWQEAAAMGAAAAAA==&#10;">
                        <v:fill on="f" focussize="0,0"/>
                        <v:stroke weight="0.5pt" color="#000000 [3213]" joinstyle="round"/>
                        <v:imagedata o:title=""/>
                        <o:lock v:ext="edit" aspectratio="f"/>
                        <v:textbox>
                          <w:txbxContent>
                            <w:p w14:paraId="2D190721">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地面清洁用水</w:t>
                              </w:r>
                            </w:p>
                          </w:txbxContent>
                        </v:textbox>
                      </v:rect>
                      <v:rect id="_x0000_s1026" o:spid="_x0000_s1026" o:spt="1" style="position:absolute;left:1581785;top:3014345;height:250825;width:661670;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cHtB9YAAAAJAQAADwAAAAAAAAABACAAAAAiAAAAZHJzL2Rvd25yZXYu&#10;eG1sUEsBAhQAFAAAAAgAh07iQCaICJBvAgAAywQAAA4AAAAAAAAAAQAgAAAAJQEAAGRycy9lMm9E&#10;b2MueG1sUEsFBgAAAAAGAAYAWQEAAAYGAAAAAA==&#10;">
                        <v:fill on="f" focussize="0,0"/>
                        <v:stroke weight="0.5pt" color="#000000 [3213]" joinstyle="round"/>
                        <v:imagedata o:title=""/>
                        <o:lock v:ext="edit" aspectratio="f"/>
                        <v:textbox>
                          <w:txbxContent>
                            <w:p w14:paraId="0B3912A4">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生活用水</w:t>
                              </w:r>
                            </w:p>
                          </w:txbxContent>
                        </v:textbox>
                      </v:rect>
                      <v:rect id="_x0000_s1026" o:spid="_x0000_s1026" o:spt="1" style="position:absolute;left:1574165;top:3517265;height:349885;width:118300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Zwe0H1gAAAAkBAAAPAAAAAAAAAAEAIAAAACIAAABkcnMvZG93bnJldi54&#10;bWxQSwECFAAUAAAACACHTuJA8ANS4G4CAADMBAAADgAAAAAAAAABACAAAAAlAQAAZHJzL2Uyb0Rv&#10;Yy54bWxQSwUGAAAAAAYABgBZAQAABQYAAAAA&#10;">
                        <v:fill on="f" focussize="0,0"/>
                        <v:stroke weight="0.5pt" color="#000000 [3213]" joinstyle="round"/>
                        <v:imagedata o:title=""/>
                        <o:lock v:ext="edit" aspectratio="f"/>
                        <v:textbox>
                          <w:txbxContent>
                            <w:p w14:paraId="78499E07">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工服清洗、宠物毛毯清洗、美容洗护用水</w:t>
                              </w:r>
                            </w:p>
                          </w:txbxContent>
                        </v:textbox>
                      </v:rect>
                      <v:rect id="_x0000_s1026" o:spid="_x0000_s1026" o:spt="1" style="position:absolute;left:0;top:1917065;height:250825;width:563880;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we0H1gAAAAkBAAAPAAAAAAAAAAEAIAAAACIAAABkcnMvZG93bnJldi54bWxQSwEC&#10;FAAUAAAACACHTuJAQznJ7WgCAADFBAAADgAAAAAAAAABACAAAAAlAQAAZHJzL2Uyb0RvYy54bWxQ&#10;SwUGAAAAAAYABgBZAQAA/wUAAAAA&#10;">
                        <v:fill on="f" focussize="0,0"/>
                        <v:stroke weight="0.5pt" color="#000000 [3213]" joinstyle="round"/>
                        <v:imagedata o:title=""/>
                        <o:lock v:ext="edit" aspectratio="f"/>
                        <v:textbox>
                          <w:txbxContent>
                            <w:p w14:paraId="7E236BA0">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新鲜水</w:t>
                              </w:r>
                            </w:p>
                          </w:txbxContent>
                        </v:textbox>
                      </v:rect>
                      <v:shape id="_x0000_s1026" o:spid="_x0000_s1026" o:spt="34" type="#_x0000_t34" style="position:absolute;left:563880;top:427355;flip:y;height:1615440;width:1015365;" filled="f" stroked="t" coordsize="21600,21600" o:gfxdata="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bI331wAAAAkBAAAPAAAAAAAAAAEAIAAAACIAAABk&#10;cnMvZG93bnJldi54bWxQSwECFAAUAAAACACHTuJA/1f5fUACAABKBAAADgAAAAAAAAABACAAAAAm&#10;AQAAZHJzL2Uyb0RvYy54bWxQSwUGAAAAAAYABgBZAQAA2AUAAAAA&#10;" adj="10807">
                        <v:fill on="f" focussize="0,0"/>
                        <v:stroke weight="0.25pt" color="#000000 [3213]" joinstyle="round" endarrow="block"/>
                        <v:imagedata o:title=""/>
                        <o:lock v:ext="edit" aspectratio="f"/>
                      </v:shape>
                      <v:shape id="_x0000_s1026" o:spid="_x0000_s1026" o:spt="34" type="#_x0000_t34" style="position:absolute;left:563880;top:960755;flip:y;height:1082040;width:1017905;" filled="f" stroked="t" coordsize="21600,21600" o:gfxdata="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1sjffXAAAACQEAAA8AAAAAAAAAAQAgAAAAIgAAAGRy&#10;cy9kb3ducmV2LnhtbFBLAQIUABQAAAAIAIdO4kD0jlRNPwIAAEoEAAAOAAAAAAAAAAEAIAAAACYB&#10;AABkcnMvZTJvRG9jLnhtbFBLBQYAAAAABgAGAFkBAADXBQAAAAA=&#10;" adj="10807">
                        <v:fill on="f" focussize="0,0"/>
                        <v:stroke weight="0.25pt" color="#000000 [3213]" joinstyle="round" endarrow="block"/>
                        <v:imagedata o:title=""/>
                        <o:lock v:ext="edit" aspectratio="f"/>
                      </v:shape>
                      <v:shape id="_x0000_s1026" o:spid="_x0000_s1026" o:spt="34" type="#_x0000_t34" style="position:absolute;left:563880;top:1501775;flip:y;height:541020;width:1017905;" filled="f" stroked="t" coordsize="21600,21600" o:gfxdata="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bI331wAAAAkBAAAPAAAAAAAAAAEAIAAAACIAAABkcnMv&#10;ZG93bnJldi54bWxQSwECFAAUAAAACACHTuJAKw5ffj0CAABKBAAADgAAAAAAAAABACAAAAAmAQAA&#10;ZHJzL2Uyb0RvYy54bWxQSwUGAAAAAAYABgBZAQAA1QUAAAAA&#10;" adj="10807">
                        <v:fill on="f" focussize="0,0"/>
                        <v:stroke weight="0.25pt" color="#000000 [3213]" joinstyle="round" endarrow="block"/>
                        <v:imagedata o:title=""/>
                        <o:lock v:ext="edit" aspectratio="f"/>
                      </v:shape>
                      <v:shape id="_x0000_s1026" o:spid="_x0000_s1026" o:spt="33" type="#_x0000_t33" style="position:absolute;left:563880;top:2042795;height:3175;width:1010285;" filled="f" stroked="t" coordsize="21600,21600" o:gfxdata="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YvPGdYAAAAJAQAA&#10;DwAAAAAAAAABACAAAAAiAAAAZHJzL2Rvd25yZXYueG1sUEsBAhQAFAAAAAgAh07iQDgSi9kbAgAA&#10;EQQAAA4AAAAAAAAAAQAgAAAAJQEAAGRycy9lMm9Eb2MueG1sUEsFBgAAAAAGAAYAWQEAALIFAAAA&#10;AA==&#10;">
                        <v:fill on="f" focussize="0,0"/>
                        <v:stroke weight="0.25pt" color="#000000 [3213]" joinstyle="round" endarrow="block"/>
                        <v:imagedata o:title=""/>
                        <o:lock v:ext="edit" aspectratio="f"/>
                      </v:shape>
                      <v:shape id="_x0000_s1026" o:spid="_x0000_s1026" o:spt="34" type="#_x0000_t34" style="position:absolute;left:563880;top:2042795;height:541020;width:1017905;" filled="f" stroked="t" coordsize="21600,21600" o:gfxdata="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4Dkhd1wAAAAkBAAAPAAAAAAAAAAEAIAAAACIAAABkcnMvZG93bnJl&#10;di54bWxQSwECFAAUAAAACACHTuJAMrWfJjcCAABBBAAADgAAAAAAAAABACAAAAAmAQAAZHJzL2Uy&#10;b0RvYy54bWxQSwUGAAAAAAYABgBZAQAAzwUAAAAA&#10;" adj="10807">
                        <v:fill on="f" focussize="0,0"/>
                        <v:stroke weight="0.25pt" color="#000000 [3213]" joinstyle="round" endarrow="block"/>
                        <v:imagedata o:title=""/>
                        <o:lock v:ext="edit" aspectratio="f"/>
                      </v:shape>
                      <v:shape id="_x0000_s1026" o:spid="_x0000_s1026" o:spt="34" type="#_x0000_t34" style="position:absolute;left:563880;top:2042795;height:1097280;width:1017905;" filled="f" stroked="t" coordsize="21600,21600" o:gfxdata="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gOSF3XAAAACQEAAA8AAAAAAAAAAQAgAAAAIgAAAGRycy9kb3ducmV2&#10;LnhtbFBLAQIUABQAAAAIAIdO4kD101X5NgIAAEIEAAAOAAAAAAAAAAEAIAAAACYBAABkcnMvZTJv&#10;RG9jLnhtbFBLBQYAAAAABgAGAFkBAADOBQAAAAA=&#10;" adj="10807">
                        <v:fill on="f" focussize="0,0"/>
                        <v:stroke weight="0.25pt" color="#000000 [3213]" joinstyle="round" endarrow="block"/>
                        <v:imagedata o:title=""/>
                        <o:lock v:ext="edit" aspectratio="f"/>
                      </v:shape>
                      <v:shape id="_x0000_s1026" o:spid="_x0000_s1026" o:spt="34" type="#_x0000_t34" style="position:absolute;left:563880;top:2042795;height:1649730;width:1010285;" filled="f" stroked="t" coordsize="21600,21600" o:gfxdata="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5IXdcAAAAJAQAADwAAAAAAAAABACAAAAAiAAAAZHJzL2Rvd25y&#10;ZXYueG1sUEsBAhQAFAAAAAgAh07iQNEzVuM4AgAAQgQAAA4AAAAAAAAAAQAgAAAAJgEAAGRycy9l&#10;Mm9Eb2MueG1sUEsFBgAAAAAGAAYAWQEAANAFAAAAAA==&#10;" adj="10807">
                        <v:fill on="f" focussize="0,0"/>
                        <v:stroke weight="0.25pt" color="#000000 [3213]" joinstyle="round" endarrow="block"/>
                        <v:imagedata o:title=""/>
                        <o:lock v:ext="edit" aspectratio="f"/>
                      </v:shape>
                      <v:shape id="_x0000_s1026" o:spid="_x0000_s1026" o:spt="37" type="#_x0000_t37" style="position:absolute;left:2005965;top:11874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XGnKjY&#10;AAAACQEAAA8AAAAAAAAAAQAgAAAAIgAAAGRycy9kb3ducmV2LnhtbFBLAQIUABQAAAAIAIdO4kCU&#10;4TzQIAIAAAcEAAAOAAAAAAAAAAEAIAAAACcBAABkcnMvZTJvRG9jLnhtbFBLBQYAAAAABgAGAFkB&#10;AAC5BQAAAAA=&#10;">
                        <v:fill on="f" focussize="0,0"/>
                        <v:stroke weight="0.25pt" color="#000000 [3213]" joinstyle="round" dashstyle="dash" endarrow="block"/>
                        <v:imagedata o:title=""/>
                        <o:lock v:ext="edit" aspectratio="f"/>
                      </v:shape>
                      <v:shape id="_x0000_s1026" o:spid="_x0000_s1026" o:spt="37" type="#_x0000_t37" style="position:absolute;left:2107565;top:65214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xpyo2AAAAAkBAAAPAAAAAAAA&#10;AAEAIAAAACIAAABkcnMvZG93bnJldi54bWxQSwECFAAUAAAACACHTuJAJnyCJhICAADhAwAADgAA&#10;AAAAAAABACAAAAAnAQAAZHJzL2Uyb0RvYy54bWxQSwUGAAAAAAYABgBZAQAAqwUAAAAA&#10;">
                        <v:fill on="f" focussize="0,0"/>
                        <v:stroke weight="0.25pt" color="#000000 [3213]" joinstyle="round" dashstyle="dash" endarrow="block"/>
                        <v:imagedata o:title=""/>
                        <o:lock v:ext="edit" aspectratio="f"/>
                      </v:shape>
                      <v:shape id="_x0000_s1026" o:spid="_x0000_s1026" o:spt="37" type="#_x0000_t37" style="position:absolute;left:2054225;top:118554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xpyo2AAAAAkBAAAPAAAAAAAA&#10;AAEAIAAAACIAAABkcnMvZG93bnJldi54bWxQSwECFAAUAAAACACHTuJAhYG6HBICAADiAwAADgAA&#10;AAAAAAABACAAAAAnAQAAZHJzL2Uyb0RvYy54bWxQSwUGAAAAAAYABgBZAQAAqwUAAAAA&#10;">
                        <v:fill on="f" focussize="0,0"/>
                        <v:stroke weight="0.25pt" color="#000000 [3213]" joinstyle="round" dashstyle="dash" endarrow="block"/>
                        <v:imagedata o:title=""/>
                        <o:lock v:ext="edit" aspectratio="f"/>
                      </v:shape>
                      <v:shape id="_x0000_s1026" o:spid="_x0000_s1026" o:spt="37" type="#_x0000_t37" style="position:absolute;left:2046605;top:174180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cacqNgAAAAJAQAADwAAAAAAAAAB&#10;ACAAAAAiAAAAZHJzL2Rvd25yZXYueG1sUEsBAhQAFAAAAAgAh07iQHjUfFYQAgAA4gMAAA4AAAAA&#10;AAAAAQAgAAAAJwEAAGRycy9lMm9Eb2MueG1sUEsFBgAAAAAGAAYAWQEAAKkFAAAAAA==&#10;">
                        <v:fill on="f" focussize="0,0"/>
                        <v:stroke weight="0.25pt" color="#000000 [3213]" joinstyle="round" dashstyle="dash" endarrow="block"/>
                        <v:imagedata o:title=""/>
                        <o:lock v:ext="edit" aspectratio="f"/>
                      </v:shape>
                      <v:shape id="_x0000_s1026" o:spid="_x0000_s1026" o:spt="37" type="#_x0000_t37" style="position:absolute;left:2046605;top:228282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cacqNgAAAAJAQAADwAAAAAAAAAB&#10;ACAAAAAiAAAAZHJzL2Rvd25yZXYueG1sUEsBAhQAFAAAAAgAh07iQI30pEUQAgAA4gMAAA4AAAAA&#10;AAAAAQAgAAAAJwEAAGRycy9lMm9Eb2MueG1sUEsFBgAAAAAGAAYAWQEAAKkFAAAAAA==&#10;">
                        <v:fill on="f" focussize="0,0"/>
                        <v:stroke weight="0.25pt" color="#000000 [3213]" joinstyle="round" dashstyle="dash" endarrow="block"/>
                        <v:imagedata o:title=""/>
                        <o:lock v:ext="edit" aspectratio="f"/>
                      </v:shape>
                      <v:shape id="_x0000_s1026" o:spid="_x0000_s1026" o:spt="37" type="#_x0000_t37" style="position:absolute;left:2054225;top:283146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GnKjYAAAACQEAAA8AAAAAAAAA&#10;AQAgAAAAIgAAAGRycy9kb3ducmV2LnhtbFBLAQIUABQAAAAIAIdO4kBS8QicEQIAAOIDAAAOAAAA&#10;AAAAAAEAIAAAACcBAABkcnMvZTJvRG9jLnhtbFBLBQYAAAAABgAGAFkBAACqBQAAAAA=&#10;">
                        <v:fill on="f" focussize="0,0"/>
                        <v:stroke weight="0.25pt" color="#000000 [3213]" joinstyle="round" dashstyle="dash" endarrow="block"/>
                        <v:imagedata o:title=""/>
                        <o:lock v:ext="edit" aspectratio="f"/>
                      </v:shape>
                      <v:shape id="_x0000_s1026" o:spid="_x0000_s1026" o:spt="37" type="#_x0000_t37" style="position:absolute;left:2511425;top:3334385;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xpyo2AAAAAkBAAAPAAAAAAAA&#10;AAEAIAAAACIAAABkcnMvZG93bnJldi54bWxQSwECFAAUAAAACACHTuJA4McJlxICAADiAwAADgAA&#10;AAAAAAABACAAAAAnAQAAZHJzL2Uyb0RvYy54bWxQSwUGAAAAAAYABgBZAQAAqwUAAAAA&#10;">
                        <v:fill on="f" focussize="0,0"/>
                        <v:stroke weight="0.25pt" color="#000000 [3213]" joinstyle="round" dashstyle="dash" endarrow="block"/>
                        <v:imagedata o:title=""/>
                        <o:lock v:ext="edit" aspectratio="f"/>
                      </v:shape>
                      <v:rect id="_x0000_s1026" o:spid="_x0000_s1026" o:spt="1" style="position:absolute;left:3448685;top:1376045;height:250825;width:69024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nB7QfWAAAACQEAAA8AAAAAAAAAAQAgAAAAIgAAAGRycy9kb3ducmV2&#10;LnhtbFBLAQIUABQAAAAIAIdO4kDKpIsHcAIAAMsEAAAOAAAAAAAAAAEAIAAAACUBAABkcnMvZTJv&#10;RG9jLnhtbFBLBQYAAAAABgAGAFkBAAAHBgAAAAA=&#10;">
                        <v:fill on="f" focussize="0,0"/>
                        <v:stroke weight="0.5pt" color="#000000 [3213]" joinstyle="round"/>
                        <v:imagedata o:title=""/>
                        <o:lock v:ext="edit" aspectratio="f"/>
                        <v:textbox>
                          <w:txbxContent>
                            <w:p w14:paraId="35FB0653">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消毒设备</w:t>
                              </w:r>
                            </w:p>
                          </w:txbxContent>
                        </v:textbox>
                      </v:rect>
                      <v:shape id="_x0000_s1026" o:spid="_x0000_s1026" o:spt="34" type="#_x0000_t34" style="position:absolute;left:2325370;top:427355;height:1074420;width:1123315;" filled="f" stroked="t" coordsize="21600,21600" o:gfxdata="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n0QHtYAAAAJAQAADwAAAAAAAAABACAAAAAiAAAAZHJzL2Rvd25yZXYu&#10;eG1sUEsBAhQAFAAAAAgAh07iQCRwBAc2AgAAQQQAAA4AAAAAAAAAAQAgAAAAJQEAAGRycy9lMm9E&#10;b2MueG1sUEsFBgAAAAAGAAYAWQEAAM0FAAAAAA==&#10;" adj="15641">
                        <v:fill on="f" focussize="0,0"/>
                        <v:stroke weight="0.25pt" color="#000000 [3213]" joinstyle="round" endarrow="block"/>
                        <v:imagedata o:title=""/>
                        <o:lock v:ext="edit" aspectratio="f"/>
                      </v:shape>
                      <v:shape id="_x0000_s1026" o:spid="_x0000_s1026" o:spt="34" type="#_x0000_t34" style="position:absolute;left:2821305;top:960755;height:541020;width:627380;" filled="f" stroked="t" coordsize="21600,21600" o:gfxdata="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BzhB1gAAAAkBAAAPAAAAAAAAAAEAIAAAACIAAABkcnMvZG93bnJldi54bWxQ&#10;SwECFAAUAAAACACHTuJA3MJAvzICAAA/BAAADgAAAAAAAAABACAAAAAlAQAAZHJzL2Uyb0RvYy54&#10;bWxQSwUGAAAAAAYABgBZAQAAyQUAAAAA&#10;" adj="10800">
                        <v:fill on="f" focussize="0,0"/>
                        <v:stroke weight="0.25pt" color="#000000 [3213]" joinstyle="round" endarrow="block"/>
                        <v:imagedata o:title=""/>
                        <o:lock v:ext="edit" aspectratio="f"/>
                      </v:shape>
                      <v:shape id="_x0000_s1026" o:spid="_x0000_s1026" o:spt="33" type="#_x0000_t33" style="position:absolute;left:2602230;top:1501775;height:3175;width:846455;" filled="f" stroked="t" coordsize="21600,21600" o:gfxdata="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2LzxnWAAAACQEA&#10;AA8AAAAAAAAAAQAgAAAAIgAAAGRycy9kb3ducmV2LnhtbFBLAQIUABQAAAAIAIdO4kA6Z1HhHAIA&#10;ABEEAAAOAAAAAAAAAAEAIAAAACUBAABkcnMvZTJvRG9jLnhtbFBLBQYAAAAABgAGAFkBAACzBQAA&#10;AAA=&#10;">
                        <v:fill on="f" focussize="0,0"/>
                        <v:stroke weight="0.25pt" color="#000000 [3213]" joinstyle="round" endarrow="block"/>
                        <v:imagedata o:title=""/>
                        <o:lock v:ext="edit" aspectratio="f"/>
                      </v:shape>
                      <v:shape id="_x0000_s1026" o:spid="_x0000_s1026" o:spt="34" type="#_x0000_t34" style="position:absolute;left:2457450;top:1501775;flip:y;height:541020;width:991235;" filled="f" stroked="t" coordsize="21600,21600" o:gfxdata="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38R49kAAAAJAQAADwAAAAAAAAABACAAAAAiAAAA&#10;ZHJzL2Rvd25yZXYueG1sUEsBAhQAFAAAAAgAh07iQEZjzOo/AgAASgQAAA4AAAAAAAAAAQAgAAAA&#10;KAEAAGRycy9lMm9Eb2MueG1sUEsFBgAAAAAGAAYAWQEAANkFAAAAAA==&#10;" adj="14792">
                        <v:fill on="f" focussize="0,0"/>
                        <v:stroke weight="0.25pt" color="#000000 [3213]" joinstyle="round" endarrow="block"/>
                        <v:imagedata o:title=""/>
                        <o:lock v:ext="edit" aspectratio="f"/>
                      </v:shape>
                      <v:shape id="_x0000_s1026" o:spid="_x0000_s1026" o:spt="34" type="#_x0000_t34" style="position:absolute;left:2465070;top:1501775;flip:y;height:1082040;width:983615;" filled="f" stroked="t" coordsize="21600,21600" o:gfxdata="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r9t9YAAAAJAQAADwAAAAAAAAABACAAAAAiAAAAZHJz&#10;L2Rvd25yZXYueG1sUEsBAhQAFAAAAAgAh07iQKRMGo0/AgAATAQAAA4AAAAAAAAAAQAgAAAAJQEA&#10;AGRycy9lMm9Eb2MueG1sUEsFBgAAAAAGAAYAWQEAANYFAAAAAA==&#10;" adj="14656">
                        <v:fill on="f" focussize="0,0"/>
                        <v:stroke weight="0.25pt" color="#000000 [3213]" joinstyle="round" endarrow="block"/>
                        <v:imagedata o:title=""/>
                        <o:lock v:ext="edit" aspectratio="f"/>
                      </v:shape>
                      <v:rect id="_x0000_s1026" o:spid="_x0000_s1026" o:spt="1" style="position:absolute;left:3517265;top:3014345;height:250825;width:55308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cHtB9YAAAAJAQAADwAAAAAAAAABACAAAAAiAAAAZHJzL2Rvd25yZXYu&#10;eG1sUEsBAhQAFAAAAAgAh07iQLHaZOFvAgAAywQAAA4AAAAAAAAAAQAgAAAAJQEAAGRycy9lMm9E&#10;b2MueG1sUEsFBgAAAAAGAAYAWQEAAAYGAAAAAA==&#10;">
                        <v:fill on="f" focussize="0,0"/>
                        <v:stroke weight="0.5pt" color="#000000 [3213]" joinstyle="round"/>
                        <v:imagedata o:title=""/>
                        <o:lock v:ext="edit" aspectratio="f"/>
                        <v:textbox>
                          <w:txbxContent>
                            <w:p w14:paraId="5A13EE60">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生化池</w:t>
                              </w:r>
                            </w:p>
                          </w:txbxContent>
                        </v:textbox>
                      </v:rect>
                      <v:shape id="_x0000_s1026" o:spid="_x0000_s1026" o:spt="33" type="#_x0000_t33" style="position:absolute;left:2243455;top:3140075;height:3175;width:1273810;" filled="f" stroked="t" coordsize="21600,21600" o:gfxdata="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i88Z1gAAAAkB&#10;AAAPAAAAAAAAAAEAIAAAACIAAABkcnMvZG93bnJldi54bWxQSwECFAAUAAAACACHTuJAjbBoXx0C&#10;AAATBAAADgAAAAAAAAABACAAAAAlAQAAZHJzL2Uyb0RvYy54bWxQSwUGAAAAAAYABgBZAQAAtAUA&#10;AAAA&#10;">
                        <v:fill on="f" focussize="0,0"/>
                        <v:stroke weight="0.25pt" color="#000000 [3213]" joinstyle="round" endarrow="block"/>
                        <v:imagedata o:title=""/>
                        <o:lock v:ext="edit" aspectratio="f"/>
                      </v:shape>
                      <v:shape id="_x0000_s1026" o:spid="_x0000_s1026" o:spt="34" type="#_x0000_t34" style="position:absolute;left:2757170;top:3686810;flip:y;height:5715;width:203835;" filled="f" stroked="t" coordsize="21600,21600" o:gfxdata="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1OF0XXAAAACQEAAA8AAAAAAAAAAQAgAAAAIgAAAGRycy9kb3du&#10;cmV2LnhtbFBLAQIUABQAAAAIAIdO4kAskN8fOQIAAEkEAAAOAAAAAAAAAAEAIAAAACYBAABkcnMv&#10;ZTJvRG9jLnhtbFBLBQYAAAAABgAGAFkBAADRBQAAAAA=&#10;" adj="10834">
                        <v:fill on="f" focussize="0,0"/>
                        <v:stroke weight="0.25pt" color="#000000 [3213]" joinstyle="round" endarrow="block"/>
                        <v:imagedata o:title=""/>
                        <o:lock v:ext="edit" aspectratio="f"/>
                      </v:shape>
                      <v:shape id="_x0000_s1026" o:spid="_x0000_s1026" o:spt="33" type="#_x0000_t33" style="position:absolute;left:3100388;top:2320608;flip:y;height:3175;width:1387475;rotation:-5898240f;" filled="f" stroked="t" coordsize="21600,21600" o:gfxdata="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e5U22AAAAAkBAAAPAAAAAAAAAAEAIAAAACIAAABkcnMvZG93bnJldi54bWxQSwEC&#10;FAAUAAAACACHTuJAkfDLgC0CAAArBAAADgAAAAAAAAABACAAAAAnAQAAZHJzL2Uyb0RvYy54bWxQ&#10;SwUGAAAAAAYABgBZAQAAxgUAAAAA&#10;">
                        <v:fill on="f" focussize="0,0"/>
                        <v:stroke weight="0.25pt" color="#000000 [3213]" joinstyle="round" endarrow="block"/>
                        <v:imagedata o:title=""/>
                        <o:lock v:ext="edit" aspectratio="f"/>
                      </v:shape>
                      <v:rect id="_x0000_s1026" o:spid="_x0000_s1026" o:spt="1" style="position:absolute;left:4446905;top:2961640;height:357505;width:612775;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9&#10;JXtH2AAAAAkBAAAPAAAAAAAAAAEAIAAAACIAAABkcnMvZG93bnJldi54bWxQSwECFAAUAAAACACH&#10;TuJA3KM2jV0CAACiBAAADgAAAAAAAAABACAAAAAnAQAAZHJzL2Uyb0RvYy54bWxQSwUGAAAAAAYA&#10;BgBZAQAA9gUAAAAA&#10;">
                        <v:fill on="f" focussize="0,0"/>
                        <v:stroke on="f" weight="0.5pt"/>
                        <v:imagedata o:title=""/>
                        <o:lock v:ext="edit" aspectratio="f"/>
                        <v:textbox>
                          <w:txbxContent>
                            <w:p w14:paraId="20BA9116">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市政污水管网</w:t>
                              </w:r>
                            </w:p>
                          </w:txbxContent>
                        </v:textbox>
                      </v:rect>
                      <v:shape id="_x0000_s1026" o:spid="_x0000_s1026" o:spt="34" type="#_x0000_t34" style="position:absolute;left:4070350;top:3140075;height:635;width:376555;" filled="f" stroked="t" coordsize="21600,21600" o:gfxdata="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W9p31AAAAAkBAAAPAAAAAAAAAAEAIAAAACIAAABkcnMvZG93bnJldi54bWxQ&#10;SwECFAAUAAAACACHTuJAAm3/dTQCAAA+BAAADgAAAAAAAAABACAAAAAjAQAAZHJzL2Uyb0RvYy54&#10;bWxQSwUGAAAAAAYABgBZAQAAyQUAAAAA&#10;" adj="10818">
                        <v:fill on="f" focussize="0,0"/>
                        <v:stroke weight="0.25pt" color="#000000 [3213]" joinstyle="round" endarrow="block"/>
                        <v:imagedata o:title=""/>
                        <o:lock v:ext="edit" aspectratio="f"/>
                      </v:shape>
                      <v:rect id="_x0000_s1026" o:spid="_x0000_s1026" o:spt="1" style="position:absolute;left:1010285;top:233045;height:250825;width:553085;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9&#10;JXtH2AAAAAkBAAAPAAAAAAAAAAEAIAAAACIAAABkcnMvZG93bnJldi54bWxQSwECFAAUAAAACACH&#10;TuJAN11Lu10CAAChBAAADgAAAAAAAAABACAAAAAnAQAAZHJzL2Uyb0RvYy54bWxQSwUGAAAAAAYA&#10;BgBZAQAA9gUAAAAA&#10;">
                        <v:fill on="f" focussize="0,0"/>
                        <v:stroke on="f" weight="0.5pt"/>
                        <v:imagedata o:title=""/>
                        <o:lock v:ext="edit" aspectratio="f"/>
                        <v:textbox>
                          <w:txbxContent>
                            <w:p w14:paraId="779DCE0D">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0.15</w:t>
                              </w:r>
                            </w:p>
                          </w:txbxContent>
                        </v:textbox>
                      </v:rect>
                      <v:rect id="_x0000_s1026" o:spid="_x0000_s1026" o:spt="1" style="position:absolute;left:2458085;top:233045;height:250825;width:553085;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0l&#10;e0fYAAAACQEAAA8AAAAAAAAAAQAgAAAAIgAAAGRycy9kb3ducmV2LnhtbFBLAQIUABQAAAAIAIdO&#10;4kBy1X3CXAIAAKEEAAAOAAAAAAAAAAEAIAAAACcBAABkcnMvZTJvRG9jLnhtbFBLBQYAAAAABgAG&#10;AFkBAAD1BQAAAAA=&#10;">
                        <v:fill on="f" focussize="0,0"/>
                        <v:stroke on="f" weight="0.5pt"/>
                        <v:imagedata o:title=""/>
                        <o:lock v:ext="edit" aspectratio="f"/>
                        <v:textbox>
                          <w:txbxContent>
                            <w:p w14:paraId="1656080D">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0.1</w:t>
                              </w:r>
                              <w:r>
                                <w:rPr>
                                  <w:rFonts w:hint="eastAsia" w:ascii="Times New Roman" w:hAnsi="Times New Roman" w:cs="Times New Roman"/>
                                  <w:color w:val="000000" w:themeColor="text1"/>
                                  <w:sz w:val="18"/>
                                  <w:szCs w:val="18"/>
                                  <w:lang w:val="en-US" w:eastAsia="zh-CN"/>
                                  <w14:textFill>
                                    <w14:solidFill>
                                      <w14:schemeClr w14:val="tx1"/>
                                    </w14:solidFill>
                                  </w14:textFill>
                                </w:rPr>
                                <w:t>3</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v:textbox>
                      </v:rect>
                      <v:rect id="_x0000_s1026" o:spid="_x0000_s1026" o:spt="1" style="position:absolute;left:2077085;top:34925;height:250825;width:553085;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0l&#10;e0fYAAAACQEAAA8AAAAAAAAAAQAgAAAAIgAAAGRycy9kb3ducmV2LnhtbFBLAQIUABQAAAAIAIdO&#10;4kD+8iP5XAIAAKAEAAAOAAAAAAAAAAEAIAAAACcBAABkcnMvZTJvRG9jLnhtbFBLBQYAAAAABgAG&#10;AFkBAAD1BQAAAAA=&#10;">
                        <v:fill on="f" focussize="0,0"/>
                        <v:stroke on="f" weight="0.5pt"/>
                        <v:imagedata o:title=""/>
                        <o:lock v:ext="edit" aspectratio="f"/>
                        <v:textbox>
                          <w:txbxContent>
                            <w:p w14:paraId="1295CF97">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w:t>
                              </w:r>
                              <w:r>
                                <w:rPr>
                                  <w:rFonts w:hint="default" w:ascii="Times New Roman" w:hAnsi="Times New Roman" w:cs="Times New Roman"/>
                                  <w:color w:val="000000" w:themeColor="text1"/>
                                  <w:sz w:val="18"/>
                                  <w:szCs w:val="18"/>
                                  <w:lang w:val="en-US" w:eastAsia="zh-CN"/>
                                  <w14:textFill>
                                    <w14:solidFill>
                                      <w14:schemeClr w14:val="tx1"/>
                                    </w14:solidFill>
                                  </w14:textFill>
                                </w:rPr>
                                <w:t>15</w:t>
                              </w:r>
                            </w:p>
                          </w:txbxContent>
                        </v:textbox>
                      </v:rect>
                      <v:rect id="_x0000_s1026" o:spid="_x0000_s1026" o:spt="1" style="position:absolute;left:1094105;top:75882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9&#10;JXtH2AAAAAkBAAAPAAAAAAAAAAEAIAAAACIAAABkcnMvZG93bnJldi54bWxQSwECFAAUAAAACACH&#10;TuJALMlTZl0CAAChBAAADgAAAAAAAAABACAAAAAnAQAAZHJzL2Uyb0RvYy54bWxQSwUGAAAAAAYA&#10;BgBZAQAA9gUAAAAA&#10;">
                        <v:fill on="f" focussize="0,0"/>
                        <v:stroke on="f" weight="0.5pt"/>
                        <v:imagedata o:title=""/>
                        <o:lock v:ext="edit" aspectratio="f"/>
                        <v:textbox>
                          <w:txbxContent>
                            <w:p w14:paraId="284D7133">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v:textbox>
                      </v:rect>
                      <v:rect id="_x0000_s1026" o:spid="_x0000_s1026" o:spt="1" style="position:absolute;left:2747645;top:781685;height:250825;width:507365;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CmK/XPXwIAAKEEAAAOAAAAAAAAAAEAIAAAACcBAABkcnMvZTJvRG9jLnhtbFBLBQYAAAAA&#10;BgAGAFkBAAD4BQAAAAA=&#10;">
                        <v:fill on="f" focussize="0,0"/>
                        <v:stroke on="f" weight="0.5pt"/>
                        <v:imagedata o:title=""/>
                        <o:lock v:ext="edit" aspectratio="f"/>
                        <v:textbox>
                          <w:txbxContent>
                            <w:p w14:paraId="051F1ADD">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004</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v:textbox>
                      </v:rect>
                      <v:rect id="_x0000_s1026" o:spid="_x0000_s1026" o:spt="1" style="position:absolute;left:2191385;top:598805;height:250825;width:522605;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B8Ty12XwIAAKEEAAAOAAAAAAAAAAEAIAAAACcBAABkcnMvZTJvRG9jLnhtbFBLBQYAAAAA&#10;BgAGAFkBAAD4BQAAAAA=&#10;">
                        <v:fill on="f" focussize="0,0"/>
                        <v:stroke on="f" weight="0.5pt"/>
                        <v:imagedata o:title=""/>
                        <o:lock v:ext="edit" aspectratio="f"/>
                        <v:textbox>
                          <w:txbxContent>
                            <w:p w14:paraId="340E8087">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000</w:t>
                              </w:r>
                              <w:r>
                                <w:rPr>
                                  <w:rFonts w:hint="default" w:ascii="Times New Roman" w:hAnsi="Times New Roman" w:cs="Times New Roman"/>
                                  <w:color w:val="000000" w:themeColor="text1"/>
                                  <w:sz w:val="18"/>
                                  <w:szCs w:val="18"/>
                                  <w:lang w:val="en-US" w:eastAsia="zh-CN"/>
                                  <w14:textFill>
                                    <w14:solidFill>
                                      <w14:schemeClr w14:val="tx1"/>
                                    </w14:solidFill>
                                  </w14:textFill>
                                </w:rPr>
                                <w:t>5</w:t>
                              </w:r>
                            </w:p>
                          </w:txbxContent>
                        </v:textbox>
                      </v:rect>
                      <v:rect id="_x0000_s1026" o:spid="_x0000_s1026" o:spt="1" style="position:absolute;left:1094105;top:132270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0l&#10;e0fYAAAACQEAAA8AAAAAAAAAAQAgAAAAIgAAAGRycy9kb3ducmV2LnhtbFBLAQIUABQAAAAIAIdO&#10;4kDwEqA+XAIAAKQEAAAOAAAAAAAAAAEAIAAAACcBAABkcnMvZTJvRG9jLnhtbFBLBQYAAAAABgAG&#10;AFkBAAD1BQAAAAA=&#10;">
                        <v:fill on="f" focussize="0,0"/>
                        <v:stroke on="f" weight="0.5pt"/>
                        <v:imagedata o:title=""/>
                        <o:lock v:ext="edit" aspectratio="f"/>
                        <v:textbox>
                          <w:txbxContent>
                            <w:p w14:paraId="56503DCA">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0.14</w:t>
                              </w:r>
                            </w:p>
                          </w:txbxContent>
                        </v:textbox>
                      </v:rect>
                      <v:rect id="_x0000_s1026" o:spid="_x0000_s1026" o:spt="1" style="position:absolute;left:2640965;top:132270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JXtH2AAAAAkBAAAPAAAAAAAAAAEAIAAAACIAAABkcnMvZG93bnJldi54bWxQSwECFAAUAAAA&#10;CACHTuJAWSsNxmACAACkBAAADgAAAAAAAAABACAAAAAnAQAAZHJzL2Uyb0RvYy54bWxQSwUGAAAA&#10;AAYABgBZAQAA+QUAAAAA&#10;">
                        <v:fill on="f" focussize="0,0"/>
                        <v:stroke on="f" weight="0.5pt"/>
                        <v:imagedata o:title=""/>
                        <o:lock v:ext="edit" aspectratio="f"/>
                        <v:textbox>
                          <w:txbxContent>
                            <w:p w14:paraId="4A87893F">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0.126</w:t>
                              </w:r>
                            </w:p>
                          </w:txbxContent>
                        </v:textbox>
                      </v:rect>
                      <v:rect id="_x0000_s1026" o:spid="_x0000_s1026" o:spt="1" style="position:absolute;left:2160905;top:112458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JXtH2AAAAAkBAAAPAAAAAAAAAAEAIAAAACIAAABkcnMvZG93bnJldi54bWxQSwECFAAUAAAA&#10;CACHTuJAhzjyWGACAACkBAAADgAAAAAAAAABACAAAAAnAQAAZHJzL2Uyb0RvYy54bWxQSwUGAAAA&#10;AAYABgBZAQAA+QUAAAAA&#10;">
                        <v:fill on="f" focussize="0,0"/>
                        <v:stroke on="f" weight="0.5pt"/>
                        <v:imagedata o:title=""/>
                        <o:lock v:ext="edit" aspectratio="f"/>
                        <v:textbox>
                          <w:txbxContent>
                            <w:p w14:paraId="4D57AF20">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0.014</w:t>
                              </w:r>
                            </w:p>
                          </w:txbxContent>
                        </v:textbox>
                      </v:rect>
                      <v:rect id="_x0000_s1026" o:spid="_x0000_s1026" o:spt="1" style="position:absolute;left:1109345;top:184848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CNiQbPXwIAAKQEAAAOAAAAAAAAAAEAIAAAACcBAABkcnMvZTJvRG9jLnhtbFBLBQYAAAAA&#10;BgAGAFkBAAD4BQAAAAA=&#10;">
                        <v:fill on="f" focussize="0,0"/>
                        <v:stroke on="f" weight="0.5pt"/>
                        <v:imagedata o:title=""/>
                        <o:lock v:ext="edit" aspectratio="f"/>
                        <v:textbox>
                          <w:txbxContent>
                            <w:p w14:paraId="281AA7C7">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007</w:t>
                              </w:r>
                            </w:p>
                          </w:txbxContent>
                        </v:textbox>
                      </v:rect>
                      <v:rect id="_x0000_s1026" o:spid="_x0000_s1026" o:spt="1" style="position:absolute;left:2557145;top:184086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V7R9gAAAAJAQAADwAAAAAAAAABACAAAAAiAAAAZHJzL2Rvd25yZXYueG1sUEsBAhQAFAAA&#10;AAgAh07iQAqs6vhhAgAApAQAAA4AAAAAAAAAAQAgAAAAJwEAAGRycy9lMm9Eb2MueG1sUEsFBgAA&#10;AAAGAAYAWQEAAPoFAAAAAA==&#10;">
                        <v:fill on="f" focussize="0,0"/>
                        <v:stroke on="f" weight="0.5pt"/>
                        <v:imagedata o:title=""/>
                        <o:lock v:ext="edit" aspectratio="f"/>
                        <v:textbox>
                          <w:txbxContent>
                            <w:p w14:paraId="74C49A11">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003</w:t>
                              </w:r>
                            </w:p>
                          </w:txbxContent>
                        </v:textbox>
                      </v:rect>
                      <v:rect id="_x0000_s1026" o:spid="_x0000_s1026" o:spt="1" style="position:absolute;left:2115185;top:168084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CiTQbhXwIAAKQEAAAOAAAAAAAAAAEAIAAAACcBAABkcnMvZTJvRG9jLnhtbFBLBQYAAAAA&#10;BgAGAFkBAAD4BQAAAAA=&#10;">
                        <v:fill on="f" focussize="0,0"/>
                        <v:stroke on="f" weight="0.5pt"/>
                        <v:imagedata o:title=""/>
                        <o:lock v:ext="edit" aspectratio="f"/>
                        <v:textbox>
                          <w:txbxContent>
                            <w:p w14:paraId="5CC7D79C">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004</w:t>
                              </w:r>
                            </w:p>
                          </w:txbxContent>
                        </v:textbox>
                      </v:rect>
                      <v:rect id="_x0000_s1026" o:spid="_x0000_s1026" o:spt="1" style="position:absolute;left:1094105;top:239712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DtbbJVXwIAAKQEAAAOAAAAAAAAAAEAIAAAACcBAABkcnMvZTJvRG9jLnhtbFBLBQYAAAAA&#10;BgAGAFkBAAD4BQAAAAA=&#10;">
                        <v:fill on="f" focussize="0,0"/>
                        <v:stroke on="f" weight="0.5pt"/>
                        <v:imagedata o:title=""/>
                        <o:lock v:ext="edit" aspectratio="f"/>
                        <v:textbox>
                          <w:txbxContent>
                            <w:p w14:paraId="5831DF4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206</w:t>
                              </w:r>
                            </w:p>
                          </w:txbxContent>
                        </v:textbox>
                      </v:rect>
                      <v:rect id="_x0000_s1026" o:spid="_x0000_s1026" o:spt="1" style="position:absolute;left:2541905;top:238950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V7R9gAAAAJAQAADwAAAAAAAAABACAAAAAiAAAAZHJzL2Rvd25yZXYueG1sUEsBAhQAFAAAAAgA&#10;h07iQLVhAyBeAgAApAQAAA4AAAAAAAAAAQAgAAAAJwEAAGRycy9lMm9Eb2MueG1sUEsFBgAAAAAG&#10;AAYAWQEAAPcFAAAAAA==&#10;">
                        <v:fill on="f" focussize="0,0"/>
                        <v:stroke on="f" weight="0.5pt"/>
                        <v:imagedata o:title=""/>
                        <o:lock v:ext="edit" aspectratio="f"/>
                        <v:textbox>
                          <w:txbxContent>
                            <w:p w14:paraId="0FE927A2">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0.185</w:t>
                              </w:r>
                            </w:p>
                          </w:txbxContent>
                        </v:textbox>
                      </v:rect>
                      <v:rect id="_x0000_s1026" o:spid="_x0000_s1026" o:spt="1" style="position:absolute;left:1094105;top:294576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V7R9gAAAAJAQAADwAAAAAAAAABACAAAAAiAAAAZHJzL2Rvd25yZXYueG1sUEsBAhQAFAAAAAgA&#10;h07iQGVLslheAgAApAQAAA4AAAAAAAAAAQAgAAAAJwEAAGRycy9lMm9Eb2MueG1sUEsFBgAAAAAG&#10;AAYAWQEAAPcFAAAAAA==&#10;">
                        <v:fill on="f" focussize="0,0"/>
                        <v:stroke on="f" weight="0.5pt"/>
                        <v:imagedata o:title=""/>
                        <o:lock v:ext="edit" aspectratio="f"/>
                        <v:textbox>
                          <w:txbxContent>
                            <w:p w14:paraId="364DE8B9">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0.35</w:t>
                              </w:r>
                            </w:p>
                          </w:txbxContent>
                        </v:textbox>
                      </v:rect>
                      <v:rect id="_x0000_s1026" o:spid="_x0000_s1026" o:spt="1" style="position:absolute;left:2138045;top:220662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V7R9gAAAAJAQAADwAAAAAAAAABACAAAAAiAAAAZHJzL2Rvd25yZXYueG1sUEsBAhQAFAAAAAgA&#10;h07iQDNdjxxeAgAApAQAAA4AAAAAAAAAAQAgAAAAJwEAAGRycy9lMm9Eb2MueG1sUEsFBgAAAAAG&#10;AAYAWQEAAPcFAAAAAA==&#10;">
                        <v:fill on="f" focussize="0,0"/>
                        <v:stroke on="f" weight="0.5pt"/>
                        <v:imagedata o:title=""/>
                        <o:lock v:ext="edit" aspectratio="f"/>
                        <v:textbox>
                          <w:txbxContent>
                            <w:p w14:paraId="65D5E9F2">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021</w:t>
                              </w:r>
                            </w:p>
                          </w:txbxContent>
                        </v:textbox>
                      </v:rect>
                      <v:rect id="_x0000_s1026" o:spid="_x0000_s1026" o:spt="1" style="position:absolute;left:3029585;top:1307465;height:250825;width:5308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JXtH2AAAAAkBAAAPAAAAAAAAAAEAIAAAACIAAABkcnMvZG93bnJldi54bWxQSwECFAAUAAAA&#10;CACHTuJA0qLKKmACAACkBAAADgAAAAAAAAABACAAAAAnAQAAZHJzL2Uyb0RvYy54bWxQSwUGAAAA&#10;AAYABgBZAQAA+QUAAAAA&#10;">
                        <v:fill on="f" focussize="0,0"/>
                        <v:stroke on="f" weight="0.5pt"/>
                        <v:imagedata o:title=""/>
                        <o:lock v:ext="edit" aspectratio="f"/>
                        <v:textbox>
                          <w:txbxContent>
                            <w:p w14:paraId="0FA057F9">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0.4535</w:t>
                              </w:r>
                            </w:p>
                          </w:txbxContent>
                        </v:textbox>
                      </v:rect>
                      <v:rect id="_x0000_s1026" o:spid="_x0000_s1026" o:spt="1" style="position:absolute;left:2633345;top:295338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JXtH2AAAAAkBAAAPAAAAAAAAAAEAIAAAACIAAABkcnMvZG93bnJldi54bWxQSwECFAAUAAAA&#10;CACHTuJAv1RZ72ACAACkBAAADgAAAAAAAAABACAAAAAnAQAAZHJzL2Uyb0RvYy54bWxQSwUGAAAA&#10;AAYABgBZAQAA+QUAAAAA&#10;">
                        <v:fill on="f" focussize="0,0"/>
                        <v:stroke on="f" weight="0.5pt"/>
                        <v:imagedata o:title=""/>
                        <o:lock v:ext="edit" aspectratio="f"/>
                        <v:textbox>
                          <w:txbxContent>
                            <w:p w14:paraId="3AD9312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0.315</w:t>
                              </w:r>
                            </w:p>
                          </w:txbxContent>
                        </v:textbox>
                      </v:rect>
                      <v:rect id="_x0000_s1026" o:spid="_x0000_s1026" o:spt="1" style="position:absolute;left:2130425;top:274764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V7R9gAAAAJAQAADwAAAAAAAAABACAAAAAiAAAAZHJzL2Rvd25yZXYueG1sUEsBAhQAFAAAAAgA&#10;h07iQNgscFJeAgAApAQAAA4AAAAAAAAAAQAgAAAAJwEAAGRycy9lMm9Eb2MueG1sUEsFBgAAAAAG&#10;AAYAWQEAAPcFAAAAAA==&#10;">
                        <v:fill on="f" focussize="0,0"/>
                        <v:stroke on="f" weight="0.5pt"/>
                        <v:imagedata o:title=""/>
                        <o:lock v:ext="edit" aspectratio="f"/>
                        <v:textbox>
                          <w:txbxContent>
                            <w:p w14:paraId="03155AC0">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035</w:t>
                              </w:r>
                            </w:p>
                          </w:txbxContent>
                        </v:textbox>
                      </v:rect>
                      <v:rect id="_x0000_s1026" o:spid="_x0000_s1026" o:spt="1" style="position:absolute;left:4050665;top:2938145;height:250825;width:50800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AVc5/aXwIAAKQEAAAOAAAAAAAAAAEAIAAAACcBAABkcnMvZTJvRG9jLnhtbFBLBQYAAAAA&#10;BgAGAFkBAAD4BQAAAAA=&#10;">
                        <v:fill on="f" focussize="0,0"/>
                        <v:stroke on="f" weight="0.5pt"/>
                        <v:imagedata o:title=""/>
                        <o:lock v:ext="edit" aspectratio="f"/>
                        <v:textbox>
                          <w:txbxContent>
                            <w:p w14:paraId="47C07E29">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1.2125</w:t>
                              </w:r>
                            </w:p>
                          </w:txbxContent>
                        </v:textbox>
                      </v:rect>
                      <v:rect id="_x0000_s1026" o:spid="_x0000_s1026" o:spt="1" style="position:absolute;left:3397250;top:3511550;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V7&#10;R9gAAAAJAQAADwAAAAAAAAABACAAAAAiAAAAZHJzL2Rvd25yZXYueG1sUEsBAhQAFAAAAAgAh07i&#10;QFtYVERbAgAApAQAAA4AAAAAAAAAAQAgAAAAJwEAAGRycy9lMm9Eb2MueG1sUEsFBgAAAAAGAAYA&#10;WQEAAPQFAAAAAA==&#10;">
                        <v:fill on="f" focussize="0,0"/>
                        <v:stroke on="f" weight="0.5pt"/>
                        <v:imagedata o:title=""/>
                        <o:lock v:ext="edit" aspectratio="f"/>
                        <v:textbox>
                          <w:txbxContent>
                            <w:p w14:paraId="7EEF342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0.441</w:t>
                              </w:r>
                            </w:p>
                          </w:txbxContent>
                        </v:textbox>
                      </v:rect>
                      <v:rect id="_x0000_s1026" o:spid="_x0000_s1026" o:spt="1" style="position:absolute;left:1086485;top:3488690;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D3Nkj7XwIAAKQEAAAOAAAAAAAAAAEAIAAAACcBAABkcnMvZTJvRG9jLnhtbFBLBQYAAAAA&#10;BgAGAFkBAAD4BQAAAAA=&#10;">
                        <v:fill on="f" focussize="0,0"/>
                        <v:stroke on="f" weight="0.5pt"/>
                        <v:imagedata o:title=""/>
                        <o:lock v:ext="edit" aspectratio="f"/>
                        <v:textbox>
                          <w:txbxContent>
                            <w:p w14:paraId="66E970DE">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0.49</w:t>
                              </w:r>
                            </w:p>
                          </w:txbxContent>
                        </v:textbox>
                      </v:rect>
                      <v:rect id="_x0000_s1026" o:spid="_x0000_s1026" o:spt="1" style="position:absolute;left:2610485;top:325818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AYoJpiXwIAAKQEAAAOAAAAAAAAAAEAIAAAACcBAABkcnMvZTJvRG9jLnhtbFBLBQYAAAAA&#10;BgAGAFkBAAD4BQAAAAA=&#10;">
                        <v:fill on="f" focussize="0,0"/>
                        <v:stroke on="f" weight="0.5pt"/>
                        <v:imagedata o:title=""/>
                        <o:lock v:ext="edit" aspectratio="f"/>
                        <v:textbox>
                          <w:txbxContent>
                            <w:p w14:paraId="0B97F434">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0.05</w:t>
                              </w:r>
                            </w:p>
                          </w:txbxContent>
                        </v:textbox>
                      </v:rect>
                      <v:rect id="_x0000_s1026" o:spid="_x0000_s1026" o:spt="1" style="position:absolute;left:3707765;top:2084705;height:250825;width:5308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V7R9gAAAAJAQAADwAAAAAAAAABACAAAAAiAAAAZHJzL2Rvd25yZXYueG1sUEsBAhQAFAAA&#10;AAgAh07iQAWqaGthAgAApAQAAA4AAAAAAAAAAQAgAAAAJwEAAGRycy9lMm9Eb2MueG1sUEsFBgAA&#10;AAAGAAYAWQEAAPoFAAAAAA==&#10;">
                        <v:fill on="f" focussize="0,0"/>
                        <v:stroke on="f" weight="0.5pt"/>
                        <v:imagedata o:title=""/>
                        <o:lock v:ext="edit" aspectratio="f"/>
                        <v:textbox>
                          <w:txbxContent>
                            <w:p w14:paraId="2938D38B">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0.4535</w:t>
                              </w:r>
                            </w:p>
                          </w:txbxContent>
                        </v:textbox>
                      </v:rect>
                      <v:rect id="_x0000_s1026" o:spid="_x0000_s1026" o:spt="1" style="position:absolute;left:591185;top:183324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V7R9gAAAAJAQAADwAAAAAAAAABACAAAAAiAAAAZHJzL2Rvd25yZXYueG1sUEsBAhQAFAAAAAgA&#10;h07iQCs88s9eAgAAowQAAA4AAAAAAAAAAQAgAAAAJwEAAGRycy9lMm9Eb2MueG1sUEsFBgAAAAAG&#10;AAYAWQEAAPcFAAAAAA==&#10;">
                        <v:fill on="f" focussize="0,0"/>
                        <v:stroke on="f" weight="0.5pt"/>
                        <v:imagedata o:title=""/>
                        <o:lock v:ext="edit" aspectratio="f"/>
                        <v:textbox>
                          <w:txbxContent>
                            <w:p w14:paraId="3A9DC3D4">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1.352</w:t>
                              </w:r>
                            </w:p>
                          </w:txbxContent>
                        </v:textbox>
                      </v:rect>
                      <v:rect id="_x0000_s1026" o:spid="_x0000_s1026" o:spt="1" style="position:absolute;left:1579880;top:4176395;height:235585;width:1174115;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Zwe0H1gAAAAkBAAAPAAAAAAAAAAEAIAAAACIAAABkcnMvZG93bnJl&#10;di54bWxQSwECFAAUAAAACACHTuJAKMs7zHECAADMBAAADgAAAAAAAAABACAAAAAlAQAAZHJzL2Uy&#10;b0RvYy54bWxQSwUGAAAAAAYABgBZAQAACAYAAAAA&#10;">
                        <v:fill on="f" focussize="0,0"/>
                        <v:stroke weight="0.5pt" color="#000000 [3213]" joinstyle="round"/>
                        <v:imagedata o:title=""/>
                        <o:lock v:ext="edit" aspectratio="f"/>
                        <v:textbox>
                          <w:txbxContent>
                            <w:p w14:paraId="3EF95177">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高温蒸气灭菌用水</w:t>
                              </w:r>
                            </w:p>
                          </w:txbxContent>
                        </v:textbox>
                      </v:rect>
                      <v:rect id="_x0000_s1026" o:spid="_x0000_s1026" o:spt="1" style="position:absolute;left:1075055;top:4084955;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9&#10;JXtH2AAAAAkBAAAPAAAAAAAAAAEAIAAAACIAAABkcnMvZG93bnJldi54bWxQSwECFAAUAAAACACH&#10;TuJA2ilS1F0CAACiBAAADgAAAAAAAAABACAAAAAnAQAAZHJzL2Uyb0RvYy54bWxQSwUGAAAAAAYA&#10;BgBZAQAA9gUAAAAA&#10;">
                        <v:fill on="f" focussize="0,0"/>
                        <v:stroke on="f" weight="0.5pt"/>
                        <v:imagedata o:title=""/>
                        <o:lock v:ext="edit" aspectratio="f"/>
                        <v:textbox>
                          <w:txbxContent>
                            <w:p w14:paraId="29244DDC">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0.004</w:t>
                              </w:r>
                            </w:p>
                          </w:txbxContent>
                        </v:textbox>
                      </v:rect>
                      <v:shape id="_x0000_s1026" o:spid="_x0000_s1026" o:spt="34" type="#_x0000_t34" style="position:absolute;left:563880;top:2042795;height:2251710;width:1016000;" filled="f" stroked="t" coordsize="21600,21600" o:gfxdata="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EHOEHWAAAACQEAAA8AAAAAAAAAAQAgAAAAIgAAAGRycy9kb3ducmV2Lnht&#10;bFBLAQIUABQAAAAIAIdO4kBFGWI6NAIAAEIEAAAOAAAAAAAAAAEAIAAAACUBAABkcnMvZTJvRG9j&#10;LnhtbFBLBQYAAAAABgAGAFkBAADLBQAAAAA=&#10;" adj="10800">
                        <v:fill on="f" focussize="0,0"/>
                        <v:stroke weight="0.25pt" color="#000000 [3213]" joinstyle="round" endarrow="block"/>
                        <v:imagedata o:title=""/>
                        <o:lock v:ext="edit" aspectratio="f"/>
                      </v:shape>
                      <v:shape id="_x0000_s1026" o:spid="_x0000_s1026" o:spt="37" type="#_x0000_t37" style="position:absolute;left:2160905;top:3999230;height:236220;width:129540;rotation:-5898240f;" filled="f" stroked="t" coordsize="21600,21600" o:gfxdata="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GnKjYAAAACQEAAA8AAAAAAAAA&#10;AQAgAAAAIgAAAGRycy9kb3ducmV2LnhtbFBLAQIUABQAAAAIAIdO4kAHLZu2EQIAAOIDAAAOAAAA&#10;AAAAAAEAIAAAACcBAABkcnMvZTJvRG9jLnhtbFBLBQYAAAAABgAGAFkBAACqBQAAAAA=&#10;">
                        <v:fill on="f" focussize="0,0"/>
                        <v:stroke weight="0.25pt" color="#000000 [3213]" joinstyle="round" dashstyle="dash" endarrow="block"/>
                        <v:imagedata o:title=""/>
                        <o:lock v:ext="edit" aspectratio="f"/>
                      </v:shape>
                      <v:shape id="_x0000_s1026" o:spid="_x0000_s1026" o:spt="33" type="#_x0000_t33" style="position:absolute;left:2753995;top:3265170;flip:y;height:1029335;width:1040130;" filled="f" stroked="t" coordsize="21600,21600" o:gfxdata="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91Bq2QAAAAkBAAAPAAAAAAAAAAEAIAAAACIAAABkcnMvZG93bnJldi54bWxQSwECFAAU&#10;AAAACACHTuJAM47LmCkCAAAgBAAADgAAAAAAAAABACAAAAAoAQAAZHJzL2Uyb0RvYy54bWxQSwUG&#10;AAAAAAYABgBZAQAAwwUAAAAA&#10;">
                        <v:fill on="f" focussize="0,0"/>
                        <v:stroke weight="0.25pt" color="#000000 [3213]" joinstyle="round" endarrow="block"/>
                        <v:imagedata o:title=""/>
                        <o:lock v:ext="edit" aspectratio="f"/>
                      </v:shape>
                      <v:rect id="_x0000_s1026" o:spid="_x0000_s1026" o:spt="1" style="position:absolute;left:2970530;top:4094480;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V7R9gAAAAJAQAADwAAAAAAAAABACAAAAAiAAAAZHJzL2Rvd25yZXYueG1sUEsBAhQAFAAAAAgA&#10;h07iQKqEBgReAgAAogQAAA4AAAAAAAAAAQAgAAAAJwEAAGRycy9lMm9Eb2MueG1sUEsFBgAAAAAG&#10;AAYAWQEAAPcFAAAAAA==&#10;">
                        <v:fill on="f" focussize="0,0"/>
                        <v:stroke on="f" weight="0.5pt"/>
                        <v:imagedata o:title=""/>
                        <o:lock v:ext="edit" aspectratio="f"/>
                        <v:textbox>
                          <w:txbxContent>
                            <w:p w14:paraId="41565C68">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0.003</w:t>
                              </w:r>
                            </w:p>
                          </w:txbxContent>
                        </v:textbox>
                      </v:rect>
                      <v:rect id="_x0000_s1026" o:spid="_x0000_s1026" o:spt="1" style="position:absolute;left:2275205;top:3942080;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0le0fYAAAACQEAAA8AAAAAAAAAAQAgAAAAIgAAAGRycy9kb3ducmV2LnhtbFBLAQIUABQAAAAI&#10;AIdO4kC8SDNfXwIAAKIEAAAOAAAAAAAAAAEAIAAAACcBAABkcnMvZTJvRG9jLnhtbFBLBQYAAAAA&#10;BgAGAFkBAAD4BQAAAAA=&#10;">
                        <v:fill on="f" focussize="0,0"/>
                        <v:stroke on="f" weight="0.5pt"/>
                        <v:imagedata o:title=""/>
                        <o:lock v:ext="edit" aspectratio="f"/>
                        <v:textbox>
                          <w:txbxContent>
                            <w:p w14:paraId="134A3A54">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0.001</w:t>
                              </w:r>
                            </w:p>
                          </w:txbxContent>
                        </v:textbox>
                      </v:rect>
                      <v:rect id="_x0000_s1026" o:spid="_x0000_s1026" o:spt="1" style="position:absolute;left:3713480;top:3313430;height:250825;width:454660;v-text-anchor:middle;" filled="f" stroked="f" coordsize="21600,21600" o:gfxdata="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0l&#10;e0fYAAAACQEAAA8AAAAAAAAAAQAgAAAAIgAAAGRycy9kb3ducmV2LnhtbFBLAQIUABQAAAAIAIdO&#10;4kBXluR5XAIAAKIEAAAOAAAAAAAAAAEAIAAAACcBAABkcnMvZTJvRG9jLnhtbFBLBQYAAAAABgAG&#10;AFkBAAD1BQAAAAA=&#10;">
                        <v:fill on="f" focussize="0,0"/>
                        <v:stroke on="f" weight="0.5pt"/>
                        <v:imagedata o:title=""/>
                        <o:lock v:ext="edit" aspectratio="f"/>
                        <v:textbox>
                          <w:txbxContent>
                            <w:p w14:paraId="2A1408B3">
                              <w:pPr>
                                <w:keepNext w:val="0"/>
                                <w:keepLines w:val="0"/>
                                <w:pageBreakBefore w:val="0"/>
                                <w:widowControl w:val="0"/>
                                <w:kinsoku/>
                                <w:wordWrap/>
                                <w:overflowPunct/>
                                <w:topLinePunct w:val="0"/>
                                <w:bidi w:val="0"/>
                                <w:adjustRightInd/>
                                <w:snapToGrid/>
                                <w:spacing w:line="200" w:lineRule="exact"/>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0.444</w:t>
                              </w:r>
                            </w:p>
                          </w:txbxContent>
                        </v:textbox>
                      </v:rect>
                      <v:rect id="_x0000_s1026" o:spid="_x0000_s1026" o:spt="1" style="position:absolute;left:2961005;top:3561080;height:250825;width:448310;v-text-anchor:middle;" filled="f" stroked="t" coordsize="21600,21600" o:gfxdata="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Zwe0H1gAAAAkBAAAPAAAAAAAAAAEAIAAAACIAAABkcnMvZG93bnJldi54&#10;bWxQSwECFAAUAAAACACHTuJAkycUI24CAADLBAAADgAAAAAAAAABACAAAAAlAQAAZHJzL2Uyb0Rv&#10;Yy54bWxQSwUGAAAAAAYABgBZAQAABQYAAAAA&#10;">
                        <v:fill on="f" focussize="0,0"/>
                        <v:stroke weight="0.5pt" color="#000000 [3213]" joinstyle="round"/>
                        <v:imagedata o:title=""/>
                        <o:lock v:ext="edit" aspectratio="f"/>
                        <v:textbox>
                          <w:txbxContent>
                            <w:p w14:paraId="14EC7BB5">
                              <w:pPr>
                                <w:keepNext w:val="0"/>
                                <w:keepLines w:val="0"/>
                                <w:pageBreakBefore w:val="0"/>
                                <w:widowControl w:val="0"/>
                                <w:kinsoku/>
                                <w:wordWrap/>
                                <w:overflowPunct/>
                                <w:topLinePunct w:val="0"/>
                                <w:bidi w:val="0"/>
                                <w:adjustRightInd/>
                                <w:snapToGrid/>
                                <w:spacing w:line="200" w:lineRule="exact"/>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格栅</w:t>
                              </w:r>
                            </w:p>
                          </w:txbxContent>
                        </v:textbox>
                      </v:rect>
                      <v:shape id="_x0000_s1026" o:spid="_x0000_s1026" o:spt="33" type="#_x0000_t33" style="position:absolute;left:3409315;top:3265170;flip:y;height:421640;width:384810;" filled="f" stroked="t" coordsize="21600,21600" o:gfxdata="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PdQatkAAAAJAQAADwAAAAAAAAABACAAAAAiAAAAZHJzL2Rvd25yZXYueG1sUEsBAhQAFAAA&#10;AAgAh07iQB9YG0YnAgAAHgQAAA4AAAAAAAAAAQAgAAAAKAEAAGRycy9lMm9Eb2MueG1sUEsFBgAA&#10;AAAGAAYAWQEAAMEFAAAAAA==&#10;">
                        <v:fill on="f" focussize="0,0"/>
                        <v:stroke weight="0.25pt" color="#000000 [3213]" joinstyle="round" endarrow="block"/>
                        <v:imagedata o:title=""/>
                        <o:lock v:ext="edit" aspectratio="f"/>
                      </v:shape>
                    </v:group>
                  </w:pict>
                </mc:Fallback>
              </mc:AlternateContent>
            </w:r>
          </w:p>
          <w:p w14:paraId="02DA178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29CCF727">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45123C1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6A556211">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2996FEF0">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68B4059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712B499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058C724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08ABBD1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7FB8DF6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1AF9262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7D8670B8">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2DC6FEF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65021EC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35D956C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5E65F61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7FD40693">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bCs w:val="0"/>
                <w:color w:val="auto"/>
                <w:szCs w:val="21"/>
                <w:lang w:val="en-US" w:eastAsia="zh-CN"/>
              </w:rPr>
            </w:pPr>
          </w:p>
          <w:p w14:paraId="5E2A994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ajorEastAsia"/>
                <w:b/>
                <w:bCs w:val="0"/>
                <w:color w:val="auto"/>
                <w:szCs w:val="21"/>
                <w:lang w:val="en-US" w:eastAsia="zh-CN"/>
              </w:rPr>
            </w:pPr>
            <w:r>
              <w:rPr>
                <w:rFonts w:hint="default" w:ascii="Times New Roman" w:hAnsi="Times New Roman" w:cs="Times New Roman" w:eastAsiaTheme="majorEastAsia"/>
                <w:b/>
                <w:bCs w:val="0"/>
                <w:color w:val="auto"/>
                <w:szCs w:val="21"/>
                <w:lang w:val="en-US" w:eastAsia="zh-CN"/>
              </w:rPr>
              <w:t xml:space="preserve">图2-1 </w:t>
            </w:r>
            <w:r>
              <w:rPr>
                <w:rFonts w:hint="eastAsia" w:ascii="Times New Roman" w:hAnsi="Times New Roman" w:cs="Times New Roman" w:eastAsiaTheme="majorEastAsia"/>
                <w:b/>
                <w:bCs w:val="0"/>
                <w:color w:val="auto"/>
                <w:szCs w:val="21"/>
                <w:lang w:val="en-US" w:eastAsia="zh-CN"/>
              </w:rPr>
              <w:t xml:space="preserve"> </w:t>
            </w:r>
            <w:r>
              <w:rPr>
                <w:rFonts w:hint="default" w:ascii="Times New Roman" w:hAnsi="Times New Roman" w:cs="Times New Roman" w:eastAsiaTheme="majorEastAsia"/>
                <w:b/>
                <w:bCs w:val="0"/>
                <w:color w:val="auto"/>
                <w:szCs w:val="21"/>
                <w:lang w:val="en-US" w:eastAsia="zh-CN"/>
              </w:rPr>
              <w:t>水平衡图（</w:t>
            </w:r>
            <w:r>
              <w:rPr>
                <w:rFonts w:hint="eastAsia" w:ascii="Times New Roman" w:hAnsi="Times New Roman" w:cs="Times New Roman" w:eastAsiaTheme="majorEastAsia"/>
                <w:b/>
                <w:bCs w:val="0"/>
                <w:color w:val="auto"/>
                <w:szCs w:val="21"/>
                <w:lang w:val="en-US" w:eastAsia="zh-CN"/>
              </w:rPr>
              <w:t>单位：</w:t>
            </w:r>
            <w:r>
              <w:rPr>
                <w:rFonts w:hint="default" w:ascii="Times New Roman" w:hAnsi="Times New Roman" w:cs="Times New Roman" w:eastAsiaTheme="majorEastAsia"/>
                <w:b/>
                <w:bCs w:val="0"/>
                <w:color w:val="auto"/>
                <w:szCs w:val="21"/>
                <w:lang w:val="en-US" w:eastAsia="zh-CN"/>
              </w:rPr>
              <w:t>m</w:t>
            </w:r>
            <w:r>
              <w:rPr>
                <w:rFonts w:hint="default" w:ascii="Times New Roman" w:hAnsi="Times New Roman" w:cs="Times New Roman" w:eastAsiaTheme="majorEastAsia"/>
                <w:b/>
                <w:bCs w:val="0"/>
                <w:color w:val="auto"/>
                <w:szCs w:val="21"/>
                <w:vertAlign w:val="superscript"/>
                <w:lang w:val="en-US" w:eastAsia="zh-CN"/>
              </w:rPr>
              <w:t>3</w:t>
            </w:r>
            <w:r>
              <w:rPr>
                <w:rFonts w:hint="default" w:ascii="Times New Roman" w:hAnsi="Times New Roman" w:cs="Times New Roman" w:eastAsiaTheme="majorEastAsia"/>
                <w:b/>
                <w:bCs w:val="0"/>
                <w:color w:val="auto"/>
                <w:szCs w:val="21"/>
                <w:lang w:val="en-US" w:eastAsia="zh-CN"/>
              </w:rPr>
              <w:t>/d）</w:t>
            </w:r>
          </w:p>
          <w:p w14:paraId="545B02FF">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cs="Times New Roman" w:eastAsiaTheme="majorEastAsia"/>
                <w:b w:val="0"/>
                <w:bCs/>
                <w:color w:val="auto"/>
                <w:szCs w:val="21"/>
                <w:lang w:val="en-US" w:eastAsia="zh-CN"/>
              </w:rPr>
            </w:pPr>
            <w:r>
              <w:rPr>
                <w:rFonts w:hint="default" w:ascii="Times New Roman" w:hAnsi="Times New Roman" w:cs="Times New Roman" w:eastAsiaTheme="majorEastAsia"/>
                <w:b/>
                <w:bCs w:val="0"/>
                <w:color w:val="auto"/>
                <w:szCs w:val="21"/>
                <w:lang w:val="en-US" w:eastAsia="zh-CN"/>
              </w:rPr>
              <w:t>2.</w:t>
            </w:r>
            <w:r>
              <w:rPr>
                <w:rFonts w:hint="eastAsia" w:ascii="Times New Roman" w:hAnsi="Times New Roman" w:cs="Times New Roman" w:eastAsiaTheme="majorEastAsia"/>
                <w:b/>
                <w:bCs w:val="0"/>
                <w:color w:val="auto"/>
                <w:szCs w:val="21"/>
                <w:lang w:val="en-US" w:eastAsia="zh-CN"/>
              </w:rPr>
              <w:t>5</w:t>
            </w:r>
            <w:r>
              <w:rPr>
                <w:rFonts w:hint="default" w:ascii="Times New Roman" w:hAnsi="Times New Roman" w:cs="Times New Roman" w:eastAsiaTheme="majorEastAsia"/>
                <w:b/>
                <w:bCs w:val="0"/>
                <w:color w:val="auto"/>
                <w:szCs w:val="21"/>
                <w:lang w:val="en-US" w:eastAsia="zh-CN"/>
              </w:rPr>
              <w:t>厂区平面布置</w:t>
            </w:r>
          </w:p>
          <w:p w14:paraId="4F994DF9">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cs="Times New Roman" w:eastAsiaTheme="majorEastAsia"/>
                <w:bCs/>
                <w:color w:val="auto"/>
                <w:szCs w:val="21"/>
                <w:lang w:val="en-US" w:eastAsia="zh-CN"/>
              </w:rPr>
            </w:pPr>
            <w:r>
              <w:rPr>
                <w:rFonts w:hint="default" w:ascii="Times New Roman" w:hAnsi="Times New Roman" w:cs="Times New Roman" w:eastAsiaTheme="majorEastAsia"/>
                <w:bCs/>
                <w:color w:val="auto"/>
                <w:szCs w:val="21"/>
                <w:lang w:val="en-US" w:eastAsia="zh-CN"/>
              </w:rPr>
              <w:t>项目</w:t>
            </w:r>
            <w:r>
              <w:rPr>
                <w:rFonts w:hint="eastAsia" w:ascii="Times New Roman" w:hAnsi="Times New Roman" w:cs="Times New Roman" w:eastAsiaTheme="majorEastAsia"/>
                <w:bCs/>
                <w:color w:val="auto"/>
                <w:szCs w:val="21"/>
                <w:lang w:val="en-US" w:eastAsia="zh-CN"/>
              </w:rPr>
              <w:t>位于远洋城二期19栋底商二楼2-3号商业</w:t>
            </w:r>
            <w:r>
              <w:rPr>
                <w:rFonts w:hint="default" w:ascii="Times New Roman" w:hAnsi="Times New Roman" w:cs="Times New Roman" w:eastAsiaTheme="majorEastAsia"/>
                <w:bCs/>
                <w:color w:val="auto"/>
                <w:szCs w:val="21"/>
                <w:lang w:val="en-US" w:eastAsia="zh-CN"/>
              </w:rPr>
              <w:t>门面，呈长方形布置，</w:t>
            </w:r>
            <w:r>
              <w:rPr>
                <w:rFonts w:hint="eastAsia" w:ascii="Times New Roman" w:hAnsi="Times New Roman" w:cs="Times New Roman" w:eastAsiaTheme="majorEastAsia"/>
                <w:bCs/>
                <w:color w:val="auto"/>
                <w:szCs w:val="21"/>
                <w:lang w:val="en-US" w:eastAsia="zh-CN"/>
              </w:rPr>
              <w:t>门市内共2层，</w:t>
            </w:r>
            <w:r>
              <w:rPr>
                <w:rFonts w:hint="default" w:ascii="Times New Roman" w:hAnsi="Times New Roman" w:cs="Times New Roman" w:eastAsiaTheme="majorEastAsia"/>
                <w:bCs/>
                <w:color w:val="auto"/>
                <w:szCs w:val="21"/>
                <w:lang w:val="en-US" w:eastAsia="zh-CN"/>
              </w:rPr>
              <w:t>项目共设置1个出入口，</w:t>
            </w:r>
            <w:r>
              <w:rPr>
                <w:rFonts w:hint="eastAsia" w:ascii="Times New Roman" w:hAnsi="Times New Roman" w:cs="Times New Roman" w:eastAsiaTheme="majorEastAsia"/>
                <w:bCs/>
                <w:color w:val="auto"/>
                <w:szCs w:val="21"/>
                <w:lang w:val="en-US" w:eastAsia="zh-CN"/>
              </w:rPr>
              <w:t>即为门面出入口，接待区位于入口处，接待区往里布置就诊区，依次布置有2间就诊室、1间化验室、1间DR室，就诊区右侧设有医院通道和美容室，卫生间和手术室位于通道尽头，尽头处设有楼梯直通2楼住院区，住院区设有1间猫病房、1间药房、1间犬病房、1间隔离病房和1间员工休息室，项目危险废物贮存点位于药房内右侧区域设置，医疗废水消毒设施位于手术室洗手槽下。</w:t>
            </w:r>
          </w:p>
          <w:p w14:paraId="10EF2C71">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cs="Times New Roman" w:eastAsiaTheme="majorEastAsia"/>
                <w:bCs/>
                <w:color w:val="auto"/>
                <w:szCs w:val="21"/>
                <w:lang w:eastAsia="zh-CN"/>
              </w:rPr>
            </w:pPr>
            <w:r>
              <w:rPr>
                <w:rFonts w:hint="default" w:ascii="Times New Roman" w:hAnsi="Times New Roman" w:cs="Times New Roman" w:eastAsiaTheme="majorEastAsia"/>
                <w:bCs/>
                <w:color w:val="auto"/>
                <w:szCs w:val="21"/>
                <w:lang w:val="en-US" w:eastAsia="zh-CN"/>
              </w:rPr>
              <w:t xml:space="preserve">项目出入口独立对外设置，不在居民住宅楼内或者院内，且不与同建筑物的其他商业用户共用出入口，符合《动物诊疗机构管理办法》要求。 项目分区明确，犬、猫住院病房分开设置，有效避免交叉感染，采取封闭式管理，非工作人员不得随意进入，可有效防止臭味扩散。 </w:t>
            </w:r>
          </w:p>
          <w:p w14:paraId="4B980D4B">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cs="Times New Roman" w:eastAsiaTheme="majorEastAsia"/>
                <w:bCs/>
                <w:color w:val="auto"/>
                <w:szCs w:val="21"/>
                <w:lang w:eastAsia="zh-CN"/>
              </w:rPr>
            </w:pPr>
            <w:r>
              <w:rPr>
                <w:rFonts w:hint="eastAsia" w:ascii="Times New Roman" w:hAnsi="Times New Roman" w:cs="Times New Roman" w:eastAsiaTheme="majorEastAsia"/>
                <w:bCs/>
                <w:color w:val="auto"/>
                <w:szCs w:val="21"/>
                <w:lang w:val="en-US" w:eastAsia="zh-CN"/>
              </w:rPr>
              <w:t>项目危险废物贮存点位于2F药房内右侧区域设置</w:t>
            </w:r>
            <w:r>
              <w:rPr>
                <w:rFonts w:hint="default" w:ascii="Times New Roman" w:hAnsi="Times New Roman" w:cs="Times New Roman" w:eastAsiaTheme="majorEastAsia"/>
                <w:bCs/>
                <w:color w:val="auto"/>
                <w:szCs w:val="21"/>
                <w:lang w:val="en-US" w:eastAsia="zh-CN"/>
              </w:rPr>
              <w:t>，与住院病房隔开，内设有加盖医用垃圾收集桶，并在下班后避开高峰时段从出入口外运，交由有资质的单位处置；项目</w:t>
            </w:r>
            <w:r>
              <w:rPr>
                <w:rFonts w:hint="eastAsia" w:ascii="Times New Roman" w:hAnsi="Times New Roman" w:cs="Times New Roman" w:eastAsiaTheme="majorEastAsia"/>
                <w:bCs/>
                <w:color w:val="auto"/>
                <w:szCs w:val="21"/>
                <w:lang w:val="en-US" w:eastAsia="zh-CN"/>
              </w:rPr>
              <w:t>医疗废水消毒设备设置在手术室洗手槽下，消毒后的</w:t>
            </w:r>
            <w:r>
              <w:rPr>
                <w:rFonts w:hint="default" w:ascii="Times New Roman" w:hAnsi="Times New Roman" w:cs="Times New Roman" w:eastAsiaTheme="majorEastAsia"/>
                <w:bCs/>
                <w:color w:val="auto"/>
                <w:szCs w:val="21"/>
                <w:lang w:val="en-US" w:eastAsia="zh-CN"/>
              </w:rPr>
              <w:t>医疗废水（门诊废水以及住院废水），同生活污水一并排入</w:t>
            </w:r>
            <w:r>
              <w:rPr>
                <w:rFonts w:hint="eastAsia" w:ascii="Times New Roman" w:hAnsi="Times New Roman" w:cs="Times New Roman" w:eastAsiaTheme="majorEastAsia"/>
                <w:bCs/>
                <w:color w:val="auto"/>
                <w:szCs w:val="21"/>
                <w:lang w:val="en-US" w:eastAsia="zh-CN"/>
              </w:rPr>
              <w:t>小区已建</w:t>
            </w:r>
            <w:r>
              <w:rPr>
                <w:rFonts w:hint="default" w:ascii="Times New Roman" w:hAnsi="Times New Roman" w:cs="Times New Roman" w:eastAsiaTheme="majorEastAsia"/>
                <w:bCs/>
                <w:color w:val="auto"/>
                <w:szCs w:val="21"/>
                <w:lang w:val="en-US" w:eastAsia="zh-CN"/>
              </w:rPr>
              <w:t xml:space="preserve">生化池。 </w:t>
            </w:r>
          </w:p>
          <w:p w14:paraId="6D59E93C">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cs="Times New Roman" w:eastAsiaTheme="majorEastAsia"/>
                <w:bCs/>
                <w:color w:val="auto"/>
                <w:szCs w:val="21"/>
                <w:lang w:eastAsia="zh-CN"/>
              </w:rPr>
            </w:pPr>
            <w:r>
              <w:rPr>
                <w:rFonts w:hint="default" w:ascii="Times New Roman" w:hAnsi="Times New Roman" w:cs="Times New Roman" w:eastAsiaTheme="majorEastAsia"/>
                <w:bCs/>
                <w:color w:val="auto"/>
                <w:szCs w:val="21"/>
                <w:lang w:val="en-US" w:eastAsia="zh-CN"/>
              </w:rPr>
              <w:t>综上，项目平面布置合理，项目总平面布置图见附图。</w:t>
            </w:r>
          </w:p>
        </w:tc>
      </w:tr>
      <w:tr w14:paraId="6DC56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50" w:type="dxa"/>
            <w:noWrap w:val="0"/>
            <w:vAlign w:val="center"/>
          </w:tcPr>
          <w:p w14:paraId="44015CB5">
            <w:pPr>
              <w:pStyle w:val="19"/>
              <w:adjustRightInd w:val="0"/>
              <w:snapToGrid w:val="0"/>
              <w:spacing w:before="0" w:beforeAutospacing="0" w:after="0" w:afterAutospacing="0"/>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rPr>
              <w:t>工艺流程和产排污环节</w:t>
            </w:r>
          </w:p>
        </w:tc>
        <w:tc>
          <w:tcPr>
            <w:tcW w:w="8234" w:type="dxa"/>
            <w:noWrap w:val="0"/>
            <w:vAlign w:val="top"/>
          </w:tcPr>
          <w:p w14:paraId="7503E9F6">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一</w:t>
            </w:r>
            <w:r>
              <w:rPr>
                <w:rFonts w:hint="default" w:ascii="Times New Roman" w:hAnsi="Times New Roman" w:cs="Times New Roman" w:eastAsiaTheme="majorEastAsia"/>
                <w:b/>
                <w:bCs w:val="0"/>
                <w:color w:val="auto"/>
                <w:szCs w:val="21"/>
                <w:lang w:val="en-US" w:eastAsia="zh-CN"/>
              </w:rPr>
              <w:t>、</w:t>
            </w:r>
            <w:r>
              <w:rPr>
                <w:rFonts w:hint="eastAsia" w:ascii="Times New Roman" w:hAnsi="Times New Roman" w:cs="Times New Roman" w:eastAsiaTheme="majorEastAsia"/>
                <w:b/>
                <w:bCs w:val="0"/>
                <w:color w:val="auto"/>
                <w:szCs w:val="21"/>
                <w:lang w:val="en-US" w:eastAsia="zh-CN"/>
              </w:rPr>
              <w:t>施工期主要工艺流程及产排污环节</w:t>
            </w:r>
          </w:p>
          <w:p w14:paraId="57EC258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t>项目是在宠物医院现有手术基础上增设动物颅腔、胸腔、腹腔手术服务，仅新增部分设备，无需重新装修，无施工期。故本次评价不再对施工期进行分析。</w:t>
            </w:r>
          </w:p>
          <w:p w14:paraId="696B346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default"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二</w:t>
            </w:r>
            <w:r>
              <w:rPr>
                <w:rFonts w:hint="default" w:ascii="Times New Roman" w:hAnsi="Times New Roman" w:cs="Times New Roman" w:eastAsiaTheme="majorEastAsia"/>
                <w:b/>
                <w:bCs w:val="0"/>
                <w:color w:val="auto"/>
                <w:szCs w:val="21"/>
                <w:lang w:val="en-US" w:eastAsia="zh-CN"/>
              </w:rPr>
              <w:t>、营运期</w:t>
            </w:r>
            <w:r>
              <w:rPr>
                <w:rFonts w:hint="eastAsia" w:ascii="Times New Roman" w:hAnsi="Times New Roman" w:cs="Times New Roman" w:eastAsiaTheme="majorEastAsia"/>
                <w:b/>
                <w:bCs w:val="0"/>
                <w:color w:val="auto"/>
                <w:szCs w:val="21"/>
                <w:lang w:val="en-US" w:eastAsia="zh-CN"/>
              </w:rPr>
              <w:t>主要</w:t>
            </w:r>
            <w:r>
              <w:rPr>
                <w:rFonts w:hint="default" w:ascii="Times New Roman" w:hAnsi="Times New Roman" w:cs="Times New Roman" w:eastAsiaTheme="majorEastAsia"/>
                <w:b/>
                <w:bCs w:val="0"/>
                <w:color w:val="auto"/>
                <w:szCs w:val="21"/>
                <w:lang w:val="en-US" w:eastAsia="zh-CN"/>
              </w:rPr>
              <w:t>工艺流程及产排污环节</w:t>
            </w:r>
          </w:p>
          <w:p w14:paraId="2A78205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t>项目主要进行犬、猫等宠物疾病预防、诊疗、治疗和手术（含三腔手术），宠物进行挂号、就诊、化验、治疗和手术、住院观察等，部分宠物仅打疫苗预防疾病。项目配备的1台B超机和DR机均自带数字直接成像系统，不需要出片，不设置洗片室，不涉及洗片废水。</w:t>
            </w:r>
          </w:p>
          <w:p w14:paraId="00199F4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t>项目医疗服务的工作流程及产污节点见下图2-2。</w:t>
            </w:r>
          </w:p>
          <w:p w14:paraId="6A3DC0E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37067A3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3402D46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3E1BAF7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3A49AAD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7ADAB63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14989FB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3D5FE7A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28BFF25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7F7C151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drawing>
                <wp:anchor distT="0" distB="0" distL="114300" distR="114300" simplePos="0" relativeHeight="251670528" behindDoc="0" locked="0" layoutInCell="1" allowOverlap="1">
                  <wp:simplePos x="0" y="0"/>
                  <wp:positionH relativeFrom="column">
                    <wp:posOffset>-1905</wp:posOffset>
                  </wp:positionH>
                  <wp:positionV relativeFrom="paragraph">
                    <wp:posOffset>-55245</wp:posOffset>
                  </wp:positionV>
                  <wp:extent cx="5087620" cy="3248660"/>
                  <wp:effectExtent l="0" t="0" r="0" b="0"/>
                  <wp:wrapNone/>
                  <wp:docPr id="60" name="ECB019B1-382A-4266-B25C-5B523AA43C14-1" descr="C:/Users/修欢/AppData/Local/Temp/wps.VmKei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CB019B1-382A-4266-B25C-5B523AA43C14-1" descr="C:/Users/修欢/AppData/Local/Temp/wps.VmKeipwps"/>
                          <pic:cNvPicPr>
                            <a:picLocks noChangeAspect="1"/>
                          </pic:cNvPicPr>
                        </pic:nvPicPr>
                        <pic:blipFill>
                          <a:blip r:embed="rId7"/>
                          <a:stretch>
                            <a:fillRect/>
                          </a:stretch>
                        </pic:blipFill>
                        <pic:spPr>
                          <a:xfrm>
                            <a:off x="0" y="0"/>
                            <a:ext cx="5087620" cy="3248660"/>
                          </a:xfrm>
                          <a:prstGeom prst="rect">
                            <a:avLst/>
                          </a:prstGeom>
                        </pic:spPr>
                      </pic:pic>
                    </a:graphicData>
                  </a:graphic>
                </wp:anchor>
              </w:drawing>
            </w:r>
          </w:p>
          <w:p w14:paraId="41B772E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087F066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07CD2E2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4B92B39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p>
          <w:p w14:paraId="7847CF6D">
            <w:pPr>
              <w:rPr>
                <w:color w:val="auto"/>
              </w:rPr>
            </w:pPr>
          </w:p>
          <w:p w14:paraId="46D2CB6A">
            <w:pPr>
              <w:spacing w:line="300" w:lineRule="exact"/>
              <w:ind w:left="-124" w:leftChars="-59" w:right="-126" w:rightChars="-60"/>
              <w:jc w:val="center"/>
              <w:rPr>
                <w:bCs/>
                <w:color w:val="auto"/>
                <w:sz w:val="26"/>
                <w:szCs w:val="26"/>
              </w:rPr>
            </w:pPr>
          </w:p>
          <w:p w14:paraId="62E0772C">
            <w:pPr>
              <w:spacing w:line="300" w:lineRule="exact"/>
              <w:ind w:left="-124" w:leftChars="-59" w:right="-126" w:rightChars="-60"/>
              <w:jc w:val="center"/>
              <w:rPr>
                <w:bCs/>
                <w:color w:val="auto"/>
                <w:sz w:val="26"/>
                <w:szCs w:val="26"/>
              </w:rPr>
            </w:pPr>
          </w:p>
          <w:p w14:paraId="2CFB3369">
            <w:pPr>
              <w:spacing w:line="300" w:lineRule="exact"/>
              <w:ind w:left="-124" w:leftChars="-59" w:right="-126" w:rightChars="-60"/>
              <w:jc w:val="center"/>
              <w:rPr>
                <w:bCs/>
                <w:color w:val="auto"/>
                <w:sz w:val="26"/>
                <w:szCs w:val="26"/>
              </w:rPr>
            </w:pPr>
          </w:p>
          <w:p w14:paraId="1279C011">
            <w:pPr>
              <w:spacing w:line="300" w:lineRule="exact"/>
              <w:ind w:left="-124" w:leftChars="-59" w:right="-126" w:rightChars="-60"/>
              <w:jc w:val="center"/>
              <w:rPr>
                <w:bCs/>
                <w:color w:val="auto"/>
                <w:sz w:val="26"/>
                <w:szCs w:val="26"/>
              </w:rPr>
            </w:pPr>
          </w:p>
          <w:p w14:paraId="7331D30B">
            <w:pPr>
              <w:spacing w:line="300" w:lineRule="exact"/>
              <w:ind w:left="-124" w:leftChars="-59" w:right="-126" w:rightChars="-60"/>
              <w:jc w:val="center"/>
              <w:rPr>
                <w:bCs/>
                <w:color w:val="auto"/>
                <w:sz w:val="26"/>
                <w:szCs w:val="26"/>
              </w:rPr>
            </w:pPr>
          </w:p>
          <w:p w14:paraId="30AA42C0">
            <w:pPr>
              <w:spacing w:line="300" w:lineRule="exact"/>
              <w:ind w:left="-124" w:leftChars="-59" w:right="-126" w:rightChars="-60"/>
              <w:jc w:val="center"/>
              <w:rPr>
                <w:bCs/>
                <w:color w:val="auto"/>
                <w:sz w:val="26"/>
                <w:szCs w:val="26"/>
              </w:rPr>
            </w:pPr>
          </w:p>
          <w:p w14:paraId="39BF30DC">
            <w:pPr>
              <w:spacing w:line="300" w:lineRule="exact"/>
              <w:ind w:left="-124" w:leftChars="-59" w:right="-126" w:rightChars="-60"/>
              <w:jc w:val="center"/>
              <w:rPr>
                <w:bCs/>
                <w:color w:val="auto"/>
                <w:sz w:val="26"/>
                <w:szCs w:val="26"/>
              </w:rPr>
            </w:pPr>
          </w:p>
          <w:p w14:paraId="3384F341">
            <w:pPr>
              <w:spacing w:line="300" w:lineRule="exact"/>
              <w:ind w:left="-124" w:leftChars="-59" w:right="-126" w:rightChars="-60"/>
              <w:jc w:val="center"/>
              <w:rPr>
                <w:bCs/>
                <w:color w:val="auto"/>
                <w:sz w:val="26"/>
                <w:szCs w:val="26"/>
              </w:rPr>
            </w:pPr>
          </w:p>
          <w:p w14:paraId="1D9651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图2-2  医疗服务工作流程及产污环节图</w:t>
            </w:r>
          </w:p>
          <w:p w14:paraId="5A37E58E">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流程简介：</w:t>
            </w:r>
          </w:p>
          <w:p w14:paraId="76D6B1DD">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（1）宠物就诊服务</w:t>
            </w:r>
          </w:p>
          <w:p w14:paraId="390F9E06">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bCs w:val="0"/>
                <w:color w:val="auto"/>
                <w:szCs w:val="21"/>
                <w:lang w:val="en-US" w:eastAsia="zh-CN"/>
              </w:rPr>
              <w:t>挂号：</w:t>
            </w:r>
            <w:r>
              <w:rPr>
                <w:rFonts w:hint="eastAsia" w:ascii="Times New Roman" w:hAnsi="Times New Roman" w:cs="Times New Roman" w:eastAsiaTheme="majorEastAsia"/>
                <w:b w:val="0"/>
                <w:bCs/>
                <w:color w:val="auto"/>
                <w:szCs w:val="21"/>
                <w:lang w:val="en-US" w:eastAsia="zh-CN"/>
              </w:rPr>
              <w:t>顾客携带患病动物到一楼大厅前台进行挂号，并进行初步了解，如发现患病动物染疫或疑似染疫，需在隔离室进行隔离并及时向有关部门报备。</w:t>
            </w:r>
          </w:p>
          <w:p w14:paraId="5B63BDDE">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bCs w:val="0"/>
                <w:color w:val="auto"/>
                <w:szCs w:val="21"/>
                <w:lang w:val="en-US" w:eastAsia="zh-CN"/>
              </w:rPr>
              <w:t>就诊：</w:t>
            </w:r>
            <w:r>
              <w:rPr>
                <w:rFonts w:hint="eastAsia" w:ascii="Times New Roman" w:hAnsi="Times New Roman" w:cs="Times New Roman" w:eastAsiaTheme="majorEastAsia"/>
                <w:b w:val="0"/>
                <w:bCs/>
                <w:color w:val="auto"/>
                <w:szCs w:val="21"/>
                <w:lang w:val="en-US" w:eastAsia="zh-CN"/>
              </w:rPr>
              <w:t>动物挂完号后，符合治疗条件的患病动物带至诊室由医生进行诊治，医生详细了解动物病情，进行临床检查，并告知顾客患病动物需进行化验的常规项目。</w:t>
            </w:r>
          </w:p>
          <w:p w14:paraId="738AC64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bCs w:val="0"/>
                <w:color w:val="auto"/>
                <w:szCs w:val="21"/>
                <w:lang w:val="en-US" w:eastAsia="zh-CN"/>
              </w:rPr>
              <w:t>治疗、住院：</w:t>
            </w:r>
            <w:r>
              <w:rPr>
                <w:rFonts w:hint="eastAsia" w:ascii="Times New Roman" w:hAnsi="Times New Roman" w:cs="Times New Roman" w:eastAsiaTheme="majorEastAsia"/>
                <w:b w:val="0"/>
                <w:bCs/>
                <w:color w:val="auto"/>
                <w:szCs w:val="21"/>
                <w:lang w:val="en-US" w:eastAsia="zh-CN"/>
              </w:rPr>
              <w:t>对患病动物进行血、便、尿等常规化验，如有需要则进行B超或者DR检查，医生根据化验结果或影像结果对动物病情进行诊断，医生根据动物患病严重程度，对动物进行用药或输液治疗，治疗完成后即可离开；动物病情较重需要手术的，办理相关手续进行住院治疗，手术包括伤口清创、缝合，绝育手术以及胸腔、腹腔类手术，患病宠物康复后即可出院离开。治疗、住院过程会产生医疗废弃物、医疗废水、动物粪便。项目不涉及洗片。</w:t>
            </w:r>
          </w:p>
          <w:p w14:paraId="0E06E381">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 xml:space="preserve">（2）宠物美容护理服务 </w:t>
            </w:r>
          </w:p>
          <w:p w14:paraId="57C2445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Times New Roman" w:hAnsi="Times New Roman" w:cs="Times New Roman" w:eastAsiaTheme="majorEastAsia"/>
                <w:b w:val="0"/>
                <w:bCs/>
                <w:color w:val="auto"/>
                <w:szCs w:val="21"/>
                <w:lang w:val="en-US" w:eastAsia="zh-CN"/>
              </w:rPr>
            </w:pPr>
            <w:r>
              <w:rPr>
                <w:rFonts w:hint="eastAsia" w:ascii="Times New Roman" w:hAnsi="Times New Roman" w:cs="Times New Roman" w:eastAsiaTheme="majorEastAsia"/>
                <w:b w:val="0"/>
                <w:bCs/>
                <w:color w:val="auto"/>
                <w:szCs w:val="21"/>
                <w:lang w:val="en-US" w:eastAsia="zh-CN"/>
              </w:rPr>
              <w:t>由宠物主人携带健康宠物到医院洗澡、剪毛、剪指甲等，不涉及染发、药浴，主要污染物为洗浴废水、毛发等。</w:t>
            </w:r>
          </w:p>
          <w:p w14:paraId="5E065ED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color w:val="auto"/>
                <w:szCs w:val="21"/>
                <w:lang w:val="en-US" w:eastAsia="zh-CN"/>
              </w:rPr>
            </w:pPr>
            <w:r>
              <w:rPr>
                <w:rFonts w:hint="default" w:ascii="Times New Roman" w:hAnsi="Times New Roman" w:cs="Times New Roman" w:eastAsiaTheme="majorEastAsia"/>
                <w:b w:val="0"/>
                <w:bCs/>
                <w:color w:val="auto"/>
                <w:szCs w:val="21"/>
                <w:lang w:val="en-US" w:eastAsia="zh-CN"/>
              </w:rPr>
              <w:t>项目产排污环节如下：</w:t>
            </w:r>
          </w:p>
          <w:p w14:paraId="3FCCC5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eastAsiaTheme="majorEastAsia"/>
                <w:b/>
                <w:bCs w:val="0"/>
                <w:color w:val="auto"/>
                <w:szCs w:val="21"/>
                <w:lang w:val="en-US" w:eastAsia="zh-CN"/>
              </w:rPr>
            </w:pPr>
            <w:r>
              <w:rPr>
                <w:rFonts w:hint="eastAsia" w:ascii="Times New Roman" w:hAnsi="Times New Roman" w:cs="Times New Roman" w:eastAsiaTheme="majorEastAsia"/>
                <w:b/>
                <w:bCs w:val="0"/>
                <w:color w:val="auto"/>
                <w:szCs w:val="21"/>
                <w:lang w:val="en-US" w:eastAsia="zh-CN"/>
              </w:rPr>
              <w:t>表2-7   项目产污环节一览表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632"/>
              <w:gridCol w:w="3399"/>
              <w:gridCol w:w="2245"/>
            </w:tblGrid>
            <w:tr w14:paraId="5F80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noWrap w:val="0"/>
                  <w:vAlign w:val="center"/>
                </w:tcPr>
                <w:p w14:paraId="7CD8CDD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类型</w:t>
                  </w:r>
                </w:p>
              </w:tc>
              <w:tc>
                <w:tcPr>
                  <w:tcW w:w="1632" w:type="dxa"/>
                  <w:noWrap w:val="0"/>
                  <w:vAlign w:val="center"/>
                </w:tcPr>
                <w:p w14:paraId="3F8E8055">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编号</w:t>
                  </w:r>
                </w:p>
              </w:tc>
              <w:tc>
                <w:tcPr>
                  <w:tcW w:w="3399" w:type="dxa"/>
                  <w:noWrap w:val="0"/>
                  <w:vAlign w:val="center"/>
                </w:tcPr>
                <w:p w14:paraId="3ADCF9A1">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污染源</w:t>
                  </w:r>
                </w:p>
              </w:tc>
              <w:tc>
                <w:tcPr>
                  <w:tcW w:w="2245" w:type="dxa"/>
                  <w:noWrap w:val="0"/>
                  <w:vAlign w:val="center"/>
                </w:tcPr>
                <w:p w14:paraId="65C4DED9">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主要污染物</w:t>
                  </w:r>
                </w:p>
              </w:tc>
            </w:tr>
            <w:tr w14:paraId="3485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restart"/>
                  <w:noWrap w:val="0"/>
                  <w:vAlign w:val="center"/>
                </w:tcPr>
                <w:p w14:paraId="07E49C5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废水</w:t>
                  </w:r>
                </w:p>
              </w:tc>
              <w:tc>
                <w:tcPr>
                  <w:tcW w:w="1632" w:type="dxa"/>
                  <w:noWrap w:val="0"/>
                  <w:vAlign w:val="center"/>
                </w:tcPr>
                <w:p w14:paraId="7C968456">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W1医疗废水</w:t>
                  </w:r>
                </w:p>
              </w:tc>
              <w:tc>
                <w:tcPr>
                  <w:tcW w:w="3399" w:type="dxa"/>
                  <w:noWrap w:val="0"/>
                  <w:vAlign w:val="center"/>
                </w:tcPr>
                <w:p w14:paraId="04468D01">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来自就诊、治疗、住院产生的医疗废水</w:t>
                  </w:r>
                </w:p>
              </w:tc>
              <w:tc>
                <w:tcPr>
                  <w:tcW w:w="2245" w:type="dxa"/>
                  <w:noWrap w:val="0"/>
                  <w:vAlign w:val="center"/>
                </w:tcPr>
                <w:p w14:paraId="125C994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pH、COD、BOD</w:t>
                  </w:r>
                  <w:r>
                    <w:rPr>
                      <w:rFonts w:hint="default" w:ascii="Times New Roman" w:hAnsi="Times New Roman" w:eastAsia="宋体" w:cs="Times New Roman"/>
                      <w:color w:val="auto"/>
                      <w:sz w:val="18"/>
                      <w:szCs w:val="18"/>
                      <w:highlight w:val="none"/>
                      <w:vertAlign w:val="subscript"/>
                      <w:lang w:val="en-US" w:eastAsia="zh-CN"/>
                    </w:rPr>
                    <w:t>5</w:t>
                  </w:r>
                  <w:r>
                    <w:rPr>
                      <w:rFonts w:hint="default" w:ascii="Times New Roman" w:hAnsi="Times New Roman" w:eastAsia="宋体" w:cs="Times New Roman"/>
                      <w:color w:val="auto"/>
                      <w:sz w:val="18"/>
                      <w:szCs w:val="18"/>
                      <w:highlight w:val="none"/>
                      <w:lang w:val="en-US" w:eastAsia="zh-CN"/>
                    </w:rPr>
                    <w:t>、NH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-N、SS、总余氯、粪大肠菌群</w:t>
                  </w:r>
                </w:p>
              </w:tc>
            </w:tr>
            <w:tr w14:paraId="13FF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7E0A3AB8">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6E2FB051">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W2生活污水</w:t>
                  </w:r>
                </w:p>
              </w:tc>
              <w:tc>
                <w:tcPr>
                  <w:tcW w:w="3399" w:type="dxa"/>
                  <w:shd w:val="clear" w:color="auto" w:fill="auto"/>
                  <w:noWrap w:val="0"/>
                  <w:vAlign w:val="center"/>
                </w:tcPr>
                <w:p w14:paraId="5870A6FE">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来自员工、顾客产生的生活污水</w:t>
                  </w:r>
                </w:p>
              </w:tc>
              <w:tc>
                <w:tcPr>
                  <w:tcW w:w="2245" w:type="dxa"/>
                  <w:shd w:val="clear" w:color="auto" w:fill="auto"/>
                  <w:noWrap w:val="0"/>
                  <w:vAlign w:val="center"/>
                </w:tcPr>
                <w:p w14:paraId="26B16EA9">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pH、COD、BOD</w:t>
                  </w:r>
                  <w:r>
                    <w:rPr>
                      <w:rFonts w:hint="default" w:ascii="Times New Roman" w:hAnsi="Times New Roman" w:eastAsia="宋体" w:cs="Times New Roman"/>
                      <w:color w:val="auto"/>
                      <w:sz w:val="18"/>
                      <w:szCs w:val="18"/>
                      <w:highlight w:val="none"/>
                      <w:vertAlign w:val="subscript"/>
                      <w:lang w:val="en-US" w:eastAsia="zh-CN"/>
                    </w:rPr>
                    <w:t>5</w:t>
                  </w:r>
                  <w:r>
                    <w:rPr>
                      <w:rFonts w:hint="default" w:ascii="Times New Roman" w:hAnsi="Times New Roman" w:eastAsia="宋体" w:cs="Times New Roman"/>
                      <w:color w:val="auto"/>
                      <w:sz w:val="18"/>
                      <w:szCs w:val="18"/>
                      <w:highlight w:val="none"/>
                      <w:lang w:val="en-US" w:eastAsia="zh-CN"/>
                    </w:rPr>
                    <w:t>、NH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-N、SS</w:t>
                  </w:r>
                </w:p>
              </w:tc>
            </w:tr>
            <w:tr w14:paraId="2A94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326FBDFB">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2E046FCE">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w:t>
                  </w:r>
                  <w:r>
                    <w:rPr>
                      <w:rFonts w:hint="eastAsia" w:ascii="Times New Roman" w:hAnsi="Times New Roman" w:cs="Times New Roman"/>
                      <w:color w:val="auto"/>
                      <w:sz w:val="18"/>
                      <w:szCs w:val="18"/>
                      <w:highlight w:val="none"/>
                      <w:lang w:val="en-US" w:eastAsia="zh-CN"/>
                    </w:rPr>
                    <w:t>3洗浴</w:t>
                  </w:r>
                  <w:r>
                    <w:rPr>
                      <w:rFonts w:hint="eastAsia" w:ascii="Times New Roman" w:hAnsi="Times New Roman" w:eastAsia="宋体" w:cs="Times New Roman"/>
                      <w:color w:val="auto"/>
                      <w:sz w:val="18"/>
                      <w:szCs w:val="18"/>
                      <w:highlight w:val="none"/>
                      <w:lang w:val="en-US" w:eastAsia="zh-CN"/>
                    </w:rPr>
                    <w:t>废水</w:t>
                  </w:r>
                </w:p>
              </w:tc>
              <w:tc>
                <w:tcPr>
                  <w:tcW w:w="3399" w:type="dxa"/>
                  <w:shd w:val="clear" w:color="auto" w:fill="auto"/>
                  <w:noWrap w:val="0"/>
                  <w:vAlign w:val="center"/>
                </w:tcPr>
                <w:p w14:paraId="2C61002C">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来自宠物洗浴产生废水</w:t>
                  </w:r>
                </w:p>
              </w:tc>
              <w:tc>
                <w:tcPr>
                  <w:tcW w:w="2245" w:type="dxa"/>
                  <w:shd w:val="clear" w:color="auto" w:fill="auto"/>
                  <w:noWrap w:val="0"/>
                  <w:vAlign w:val="center"/>
                </w:tcPr>
                <w:p w14:paraId="617C9A25">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pH、COD、BOD</w:t>
                  </w:r>
                  <w:r>
                    <w:rPr>
                      <w:rFonts w:hint="default" w:ascii="Times New Roman" w:hAnsi="Times New Roman" w:eastAsia="宋体" w:cs="Times New Roman"/>
                      <w:color w:val="auto"/>
                      <w:sz w:val="18"/>
                      <w:szCs w:val="18"/>
                      <w:highlight w:val="none"/>
                      <w:vertAlign w:val="subscript"/>
                      <w:lang w:val="en-US" w:eastAsia="zh-CN"/>
                    </w:rPr>
                    <w:t>5</w:t>
                  </w:r>
                  <w:r>
                    <w:rPr>
                      <w:rFonts w:hint="default" w:ascii="Times New Roman" w:hAnsi="Times New Roman" w:eastAsia="宋体" w:cs="Times New Roman"/>
                      <w:color w:val="auto"/>
                      <w:sz w:val="18"/>
                      <w:szCs w:val="18"/>
                      <w:highlight w:val="none"/>
                      <w:lang w:val="en-US" w:eastAsia="zh-CN"/>
                    </w:rPr>
                    <w:t>、NH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-N、SS</w:t>
                  </w:r>
                  <w:r>
                    <w:rPr>
                      <w:rFonts w:hint="eastAsia" w:ascii="Times New Roman" w:hAnsi="Times New Roman" w:eastAsia="宋体" w:cs="Times New Roman"/>
                      <w:color w:val="auto"/>
                      <w:sz w:val="18"/>
                      <w:szCs w:val="18"/>
                      <w:highlight w:val="none"/>
                      <w:lang w:val="en-US" w:eastAsia="zh-CN"/>
                    </w:rPr>
                    <w:t>、LAS</w:t>
                  </w:r>
                </w:p>
              </w:tc>
            </w:tr>
            <w:tr w14:paraId="0E2E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32" w:type="dxa"/>
                  <w:noWrap w:val="0"/>
                  <w:vAlign w:val="center"/>
                </w:tcPr>
                <w:p w14:paraId="4D9535FB">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废气</w:t>
                  </w:r>
                </w:p>
              </w:tc>
              <w:tc>
                <w:tcPr>
                  <w:tcW w:w="1632" w:type="dxa"/>
                  <w:noWrap w:val="0"/>
                  <w:vAlign w:val="center"/>
                </w:tcPr>
                <w:p w14:paraId="724AE6A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G宠物臭气</w:t>
                  </w:r>
                </w:p>
              </w:tc>
              <w:tc>
                <w:tcPr>
                  <w:tcW w:w="3399" w:type="dxa"/>
                  <w:noWrap w:val="0"/>
                  <w:vAlign w:val="center"/>
                </w:tcPr>
                <w:p w14:paraId="6257E2A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住院</w:t>
                  </w:r>
                  <w:r>
                    <w:rPr>
                      <w:rFonts w:hint="eastAsia" w:ascii="Times New Roman" w:hAnsi="Times New Roman" w:eastAsia="宋体" w:cs="Times New Roman"/>
                      <w:color w:val="auto"/>
                      <w:sz w:val="18"/>
                      <w:szCs w:val="18"/>
                      <w:highlight w:val="none"/>
                      <w:lang w:val="en-US" w:eastAsia="zh-CN"/>
                    </w:rPr>
                    <w:t>等产生的臭气</w:t>
                  </w:r>
                </w:p>
              </w:tc>
              <w:tc>
                <w:tcPr>
                  <w:tcW w:w="2245" w:type="dxa"/>
                  <w:noWrap w:val="0"/>
                  <w:vAlign w:val="center"/>
                </w:tcPr>
                <w:p w14:paraId="3F044D1F">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臭气</w:t>
                  </w:r>
                </w:p>
              </w:tc>
            </w:tr>
            <w:tr w14:paraId="10DB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restart"/>
                  <w:noWrap w:val="0"/>
                  <w:vAlign w:val="center"/>
                </w:tcPr>
                <w:p w14:paraId="67EC2F40">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固废</w:t>
                  </w:r>
                </w:p>
              </w:tc>
              <w:tc>
                <w:tcPr>
                  <w:tcW w:w="1632" w:type="dxa"/>
                  <w:noWrap w:val="0"/>
                  <w:vAlign w:val="center"/>
                </w:tcPr>
                <w:p w14:paraId="0EF49EB9">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S1生活垃圾</w:t>
                  </w:r>
                </w:p>
              </w:tc>
              <w:tc>
                <w:tcPr>
                  <w:tcW w:w="3399" w:type="dxa"/>
                  <w:noWrap w:val="0"/>
                  <w:vAlign w:val="center"/>
                </w:tcPr>
                <w:p w14:paraId="3B6A3784">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来自治疗产生的生活垃圾</w:t>
                  </w:r>
                </w:p>
              </w:tc>
              <w:tc>
                <w:tcPr>
                  <w:tcW w:w="2245" w:type="dxa"/>
                  <w:noWrap w:val="0"/>
                  <w:vAlign w:val="center"/>
                </w:tcPr>
                <w:p w14:paraId="59C727C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生活垃圾</w:t>
                  </w:r>
                </w:p>
              </w:tc>
            </w:tr>
            <w:tr w14:paraId="502D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30F3692D">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3EDB9E91">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lang w:val="en-US" w:eastAsia="zh-CN"/>
                    </w:rPr>
                    <w:t>医疗废物</w:t>
                  </w:r>
                </w:p>
              </w:tc>
              <w:tc>
                <w:tcPr>
                  <w:tcW w:w="3399" w:type="dxa"/>
                  <w:shd w:val="clear" w:color="auto" w:fill="auto"/>
                  <w:noWrap w:val="0"/>
                  <w:vAlign w:val="center"/>
                </w:tcPr>
                <w:p w14:paraId="717360B8">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来自治疗产生的</w:t>
                  </w:r>
                  <w:r>
                    <w:rPr>
                      <w:rFonts w:hint="eastAsia" w:ascii="Times New Roman" w:hAnsi="Times New Roman" w:eastAsia="宋体" w:cs="Times New Roman"/>
                      <w:color w:val="auto"/>
                      <w:sz w:val="18"/>
                      <w:szCs w:val="18"/>
                      <w:highlight w:val="none"/>
                      <w:lang w:val="en-US" w:eastAsia="zh-CN"/>
                    </w:rPr>
                    <w:t>医疗废物</w:t>
                  </w:r>
                </w:p>
              </w:tc>
              <w:tc>
                <w:tcPr>
                  <w:tcW w:w="2245" w:type="dxa"/>
                  <w:shd w:val="clear" w:color="auto" w:fill="auto"/>
                  <w:noWrap w:val="0"/>
                  <w:vAlign w:val="center"/>
                </w:tcPr>
                <w:p w14:paraId="25884551">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医疗废物</w:t>
                  </w:r>
                </w:p>
              </w:tc>
            </w:tr>
            <w:tr w14:paraId="52F4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3679224A">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4A9D4B2F">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宠物粪污</w:t>
                  </w:r>
                </w:p>
              </w:tc>
              <w:tc>
                <w:tcPr>
                  <w:tcW w:w="3399" w:type="dxa"/>
                  <w:shd w:val="clear" w:color="auto" w:fill="auto"/>
                  <w:noWrap w:val="0"/>
                  <w:vAlign w:val="center"/>
                </w:tcPr>
                <w:p w14:paraId="50E2B169">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来自治疗、住院产生的宠物粪污</w:t>
                  </w:r>
                </w:p>
              </w:tc>
              <w:tc>
                <w:tcPr>
                  <w:tcW w:w="2245" w:type="dxa"/>
                  <w:shd w:val="clear" w:color="auto" w:fill="auto"/>
                  <w:noWrap w:val="0"/>
                  <w:vAlign w:val="center"/>
                </w:tcPr>
                <w:p w14:paraId="01A6FB38">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宠物粪污</w:t>
                  </w:r>
                </w:p>
              </w:tc>
            </w:tr>
            <w:tr w14:paraId="33C8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6966F6C7">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384CDE6B">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cs="Times New Roman"/>
                      <w:color w:val="auto"/>
                      <w:sz w:val="18"/>
                      <w:szCs w:val="18"/>
                      <w:highlight w:val="none"/>
                      <w:lang w:val="en-US" w:eastAsia="zh-CN"/>
                    </w:rPr>
                    <w:t>4</w:t>
                  </w:r>
                  <w:r>
                    <w:rPr>
                      <w:rFonts w:hint="eastAsia" w:ascii="Times New Roman" w:hAnsi="Times New Roman" w:eastAsia="宋体" w:cs="Times New Roman"/>
                      <w:color w:val="auto"/>
                      <w:sz w:val="18"/>
                      <w:szCs w:val="18"/>
                      <w:highlight w:val="none"/>
                      <w:lang w:val="en-US" w:eastAsia="zh-CN"/>
                    </w:rPr>
                    <w:t>动物尸体</w:t>
                  </w:r>
                </w:p>
              </w:tc>
              <w:tc>
                <w:tcPr>
                  <w:tcW w:w="3399" w:type="dxa"/>
                  <w:shd w:val="clear" w:color="auto" w:fill="auto"/>
                  <w:noWrap w:val="0"/>
                  <w:vAlign w:val="center"/>
                </w:tcPr>
                <w:p w14:paraId="1DE46053">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来自治疗产生的动物尸体</w:t>
                  </w:r>
                </w:p>
              </w:tc>
              <w:tc>
                <w:tcPr>
                  <w:tcW w:w="2245" w:type="dxa"/>
                  <w:shd w:val="clear" w:color="auto" w:fill="auto"/>
                  <w:noWrap w:val="0"/>
                  <w:vAlign w:val="center"/>
                </w:tcPr>
                <w:p w14:paraId="628F4843">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动物尸体</w:t>
                  </w:r>
                </w:p>
              </w:tc>
            </w:tr>
            <w:tr w14:paraId="5489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154086A0">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5CC4D3EC">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医疗废物</w:t>
                  </w:r>
                </w:p>
              </w:tc>
              <w:tc>
                <w:tcPr>
                  <w:tcW w:w="3399" w:type="dxa"/>
                  <w:shd w:val="clear" w:color="auto" w:fill="auto"/>
                  <w:noWrap w:val="0"/>
                  <w:vAlign w:val="center"/>
                </w:tcPr>
                <w:p w14:paraId="7E96ED97">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来自</w:t>
                  </w:r>
                  <w:r>
                    <w:rPr>
                      <w:rFonts w:hint="eastAsia" w:ascii="Times New Roman" w:hAnsi="Times New Roman" w:cs="Times New Roman"/>
                      <w:color w:val="auto"/>
                      <w:sz w:val="18"/>
                      <w:szCs w:val="18"/>
                      <w:highlight w:val="none"/>
                      <w:lang w:val="en-US" w:eastAsia="zh-CN"/>
                    </w:rPr>
                    <w:t>治疗</w:t>
                  </w:r>
                  <w:r>
                    <w:rPr>
                      <w:rFonts w:hint="default" w:ascii="Times New Roman" w:hAnsi="Times New Roman" w:eastAsia="宋体" w:cs="Times New Roman"/>
                      <w:color w:val="auto"/>
                      <w:sz w:val="18"/>
                      <w:szCs w:val="18"/>
                      <w:highlight w:val="none"/>
                      <w:lang w:val="en-US" w:eastAsia="zh-CN"/>
                    </w:rPr>
                    <w:t>、住院产生的</w:t>
                  </w:r>
                  <w:r>
                    <w:rPr>
                      <w:rFonts w:hint="eastAsia" w:ascii="Times New Roman" w:hAnsi="Times New Roman" w:cs="Times New Roman"/>
                      <w:color w:val="auto"/>
                      <w:sz w:val="18"/>
                      <w:szCs w:val="18"/>
                      <w:highlight w:val="none"/>
                      <w:lang w:val="en-US" w:eastAsia="zh-CN"/>
                    </w:rPr>
                    <w:t>医疗废物</w:t>
                  </w:r>
                </w:p>
              </w:tc>
              <w:tc>
                <w:tcPr>
                  <w:tcW w:w="2245" w:type="dxa"/>
                  <w:shd w:val="clear" w:color="auto" w:fill="auto"/>
                  <w:noWrap w:val="0"/>
                  <w:vAlign w:val="center"/>
                </w:tcPr>
                <w:p w14:paraId="5CBF6C72">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医疗废物</w:t>
                  </w:r>
                </w:p>
              </w:tc>
            </w:tr>
            <w:tr w14:paraId="0CA9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32" w:type="dxa"/>
                  <w:vMerge w:val="continue"/>
                  <w:noWrap w:val="0"/>
                  <w:vAlign w:val="center"/>
                </w:tcPr>
                <w:p w14:paraId="514D7BBE">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p>
              </w:tc>
              <w:tc>
                <w:tcPr>
                  <w:tcW w:w="1632" w:type="dxa"/>
                  <w:noWrap w:val="0"/>
                  <w:vAlign w:val="center"/>
                </w:tcPr>
                <w:p w14:paraId="280998E1">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S6 宠物废毛</w:t>
                  </w:r>
                </w:p>
              </w:tc>
              <w:tc>
                <w:tcPr>
                  <w:tcW w:w="3399" w:type="dxa"/>
                  <w:noWrap w:val="0"/>
                  <w:vAlign w:val="center"/>
                </w:tcPr>
                <w:p w14:paraId="657792D7">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来自宠物美容</w:t>
                  </w:r>
                </w:p>
              </w:tc>
              <w:tc>
                <w:tcPr>
                  <w:tcW w:w="2245" w:type="dxa"/>
                  <w:noWrap w:val="0"/>
                  <w:vAlign w:val="center"/>
                </w:tcPr>
                <w:p w14:paraId="681752FC">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宠物废毛</w:t>
                  </w:r>
                </w:p>
              </w:tc>
            </w:tr>
            <w:tr w14:paraId="5900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vMerge w:val="continue"/>
                  <w:noWrap w:val="0"/>
                  <w:vAlign w:val="center"/>
                </w:tcPr>
                <w:p w14:paraId="56E53340">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Times New Roman" w:hAnsi="Times New Roman" w:eastAsia="宋体" w:cs="Times New Roman"/>
                      <w:color w:val="auto"/>
                      <w:sz w:val="18"/>
                      <w:szCs w:val="18"/>
                      <w:highlight w:val="none"/>
                      <w:lang w:val="en-US" w:eastAsia="zh-CN"/>
                    </w:rPr>
                  </w:pPr>
                </w:p>
              </w:tc>
              <w:tc>
                <w:tcPr>
                  <w:tcW w:w="1632" w:type="dxa"/>
                  <w:shd w:val="clear" w:color="auto" w:fill="auto"/>
                  <w:noWrap w:val="0"/>
                  <w:vAlign w:val="center"/>
                </w:tcPr>
                <w:p w14:paraId="0FC94FE8">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lang w:val="en-US" w:eastAsia="zh-CN"/>
                    </w:rPr>
                    <w:t>废紫外线灯管</w:t>
                  </w:r>
                </w:p>
              </w:tc>
              <w:tc>
                <w:tcPr>
                  <w:tcW w:w="3399" w:type="dxa"/>
                  <w:shd w:val="clear" w:color="auto" w:fill="auto"/>
                  <w:noWrap w:val="0"/>
                  <w:vAlign w:val="center"/>
                </w:tcPr>
                <w:p w14:paraId="51B1B157">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来自手术室与病房紫外线消毒</w:t>
                  </w:r>
                </w:p>
              </w:tc>
              <w:tc>
                <w:tcPr>
                  <w:tcW w:w="2245" w:type="dxa"/>
                  <w:shd w:val="clear" w:color="auto" w:fill="auto"/>
                  <w:noWrap w:val="0"/>
                  <w:vAlign w:val="center"/>
                </w:tcPr>
                <w:p w14:paraId="7D21CF9C">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废紫外线灯管</w:t>
                  </w:r>
                </w:p>
              </w:tc>
            </w:tr>
            <w:tr w14:paraId="492D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732" w:type="dxa"/>
                  <w:noWrap w:val="0"/>
                  <w:vAlign w:val="center"/>
                </w:tcPr>
                <w:p w14:paraId="43F413E6">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噪声</w:t>
                  </w:r>
                </w:p>
              </w:tc>
              <w:tc>
                <w:tcPr>
                  <w:tcW w:w="1632" w:type="dxa"/>
                  <w:noWrap w:val="0"/>
                  <w:vAlign w:val="center"/>
                </w:tcPr>
                <w:p w14:paraId="68A96B5D">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N</w:t>
                  </w:r>
                  <w:r>
                    <w:rPr>
                      <w:rFonts w:hint="eastAsia" w:ascii="Times New Roman" w:hAnsi="Times New Roman" w:cs="Times New Roman"/>
                      <w:color w:val="auto"/>
                      <w:sz w:val="18"/>
                      <w:szCs w:val="18"/>
                      <w:highlight w:val="none"/>
                      <w:lang w:val="en-US" w:eastAsia="zh-CN"/>
                    </w:rPr>
                    <w:t>噪声</w:t>
                  </w:r>
                </w:p>
              </w:tc>
              <w:tc>
                <w:tcPr>
                  <w:tcW w:w="3399" w:type="dxa"/>
                  <w:noWrap w:val="0"/>
                  <w:vAlign w:val="center"/>
                </w:tcPr>
                <w:p w14:paraId="11579C42">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来自就诊、治疗、住院产生的宠物叫声</w:t>
                  </w:r>
                  <w:r>
                    <w:rPr>
                      <w:rFonts w:hint="eastAsia" w:ascii="Times New Roman" w:hAnsi="Times New Roman" w:cs="Times New Roman"/>
                      <w:color w:val="auto"/>
                      <w:sz w:val="18"/>
                      <w:szCs w:val="18"/>
                      <w:highlight w:val="none"/>
                      <w:lang w:val="en-US" w:eastAsia="zh-CN"/>
                    </w:rPr>
                    <w:t>以及空调运行产生的噪声</w:t>
                  </w:r>
                </w:p>
              </w:tc>
              <w:tc>
                <w:tcPr>
                  <w:tcW w:w="2245" w:type="dxa"/>
                  <w:noWrap w:val="0"/>
                  <w:vAlign w:val="center"/>
                </w:tcPr>
                <w:p w14:paraId="6EFC3380">
                  <w:pPr>
                    <w:pStyle w:val="73"/>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噪声</w:t>
                  </w:r>
                </w:p>
              </w:tc>
            </w:tr>
          </w:tbl>
          <w:p w14:paraId="7289D6B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cs="Times New Roman" w:eastAsiaTheme="majorEastAsia"/>
                <w:b w:val="0"/>
                <w:bCs/>
                <w:color w:val="auto"/>
                <w:szCs w:val="21"/>
                <w:lang w:val="en-US" w:eastAsia="zh-CN"/>
              </w:rPr>
            </w:pPr>
          </w:p>
        </w:tc>
      </w:tr>
      <w:tr w14:paraId="6A363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750" w:type="dxa"/>
            <w:noWrap w:val="0"/>
            <w:vAlign w:val="center"/>
          </w:tcPr>
          <w:p w14:paraId="644DBF67">
            <w:pPr>
              <w:pStyle w:val="19"/>
              <w:adjustRightInd w:val="0"/>
              <w:snapToGrid w:val="0"/>
              <w:spacing w:before="0" w:beforeAutospacing="0" w:after="0" w:afterAutospacing="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bCs/>
                <w:color w:val="auto"/>
                <w:kern w:val="2"/>
                <w:sz w:val="21"/>
                <w:szCs w:val="21"/>
              </w:rPr>
              <w:t>与项目有关的原有环境污染问题</w:t>
            </w:r>
          </w:p>
        </w:tc>
        <w:tc>
          <w:tcPr>
            <w:tcW w:w="8234" w:type="dxa"/>
            <w:noWrap w:val="0"/>
            <w:vAlign w:val="top"/>
          </w:tcPr>
          <w:p w14:paraId="3BE5E4E6">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b/>
                <w:bCs/>
                <w:color w:val="auto"/>
                <w:lang w:eastAsia="zh-CN"/>
              </w:rPr>
            </w:pPr>
            <w:r>
              <w:rPr>
                <w:rFonts w:hint="default"/>
                <w:b/>
                <w:bCs/>
                <w:color w:val="auto"/>
                <w:lang w:val="en-US" w:eastAsia="zh-CN"/>
              </w:rPr>
              <w:t>1</w:t>
            </w:r>
            <w:r>
              <w:rPr>
                <w:rFonts w:hint="eastAsia"/>
                <w:b/>
                <w:bCs/>
                <w:color w:val="auto"/>
                <w:lang w:val="en-US" w:eastAsia="zh-CN"/>
              </w:rPr>
              <w:t>、现有工程环保手续履行情况</w:t>
            </w:r>
          </w:p>
          <w:p w14:paraId="18596CE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b w:val="0"/>
                <w:bCs w:val="0"/>
                <w:color w:val="auto"/>
                <w:lang w:val="en-US" w:eastAsia="zh-CN"/>
              </w:rPr>
            </w:pPr>
            <w:r>
              <w:rPr>
                <w:rFonts w:hint="eastAsia"/>
                <w:b w:val="0"/>
                <w:bCs w:val="0"/>
                <w:color w:val="auto"/>
                <w:lang w:val="en-US" w:eastAsia="zh-CN"/>
              </w:rPr>
              <w:t>高新技术产业开发区安兴动物医院成立于2019年，</w:t>
            </w:r>
            <w:r>
              <w:rPr>
                <w:rFonts w:hint="eastAsia" w:ascii="Times New Roman" w:hAnsi="Times New Roman" w:cs="Times New Roman" w:eastAsiaTheme="majorEastAsia"/>
                <w:b w:val="0"/>
                <w:bCs/>
                <w:color w:val="auto"/>
                <w:szCs w:val="21"/>
                <w:lang w:val="en-US" w:eastAsia="zh-CN"/>
              </w:rPr>
              <w:t>购买九龙坡区经纬大道1305号远洋城二期19栋底商吊2-3商业用房</w:t>
            </w:r>
            <w:r>
              <w:rPr>
                <w:rFonts w:hint="eastAsia"/>
                <w:b w:val="0"/>
                <w:bCs w:val="0"/>
                <w:color w:val="auto"/>
                <w:lang w:val="en-US" w:eastAsia="zh-CN"/>
              </w:rPr>
              <w:t>，建筑面积129.14</w:t>
            </w:r>
            <w:r>
              <w:rPr>
                <w:rFonts w:hint="default"/>
                <w:b w:val="0"/>
                <w:bCs w:val="0"/>
                <w:color w:val="auto"/>
                <w:lang w:val="en-US" w:eastAsia="zh-CN"/>
              </w:rPr>
              <w:t>m</w:t>
            </w:r>
            <w:r>
              <w:rPr>
                <w:rFonts w:hint="default"/>
                <w:b w:val="0"/>
                <w:bCs w:val="0"/>
                <w:color w:val="auto"/>
                <w:vertAlign w:val="superscript"/>
                <w:lang w:val="en-US" w:eastAsia="zh-CN"/>
              </w:rPr>
              <w:t>2</w:t>
            </w:r>
            <w:r>
              <w:rPr>
                <w:rFonts w:hint="eastAsia"/>
                <w:b w:val="0"/>
                <w:bCs w:val="0"/>
                <w:color w:val="auto"/>
                <w:lang w:val="en-US" w:eastAsia="zh-CN"/>
              </w:rPr>
              <w:t>，</w:t>
            </w:r>
            <w:r>
              <w:rPr>
                <w:rFonts w:hint="eastAsia" w:ascii="Times New Roman" w:hAnsi="Times New Roman" w:cs="Times New Roman" w:eastAsiaTheme="majorEastAsia"/>
                <w:b w:val="0"/>
                <w:bCs/>
                <w:color w:val="auto"/>
                <w:szCs w:val="21"/>
                <w:lang w:val="en-US" w:eastAsia="zh-CN"/>
              </w:rPr>
              <w:t>从事猫犬的疾病预防、诊疗、治疗和手术，兼营宠物用品、宠物食品和宠物美容等项目。</w:t>
            </w:r>
            <w:r>
              <w:rPr>
                <w:rFonts w:hint="default" w:ascii="Times New Roman" w:hAnsi="Times New Roman" w:cs="Times New Roman" w:eastAsiaTheme="majorEastAsia"/>
                <w:b w:val="0"/>
                <w:bCs/>
                <w:color w:val="auto"/>
                <w:szCs w:val="21"/>
                <w:lang w:val="en-US" w:eastAsia="zh-CN"/>
              </w:rPr>
              <w:t>现有医院手术室主要进行美容手术（只做新生动物10d内断尾和趾间腺囊肿切除）、感觉器官手术、呼吸系统手术、泌尿生殖系统手术等，</w:t>
            </w:r>
            <w:r>
              <w:rPr>
                <w:rFonts w:hint="eastAsia"/>
                <w:b w:val="0"/>
                <w:bCs w:val="0"/>
                <w:color w:val="auto"/>
                <w:lang w:val="en-US" w:eastAsia="zh-CN"/>
              </w:rPr>
              <w:t>不具备动物颅腔、胸腔和腹腔手术能力。根据《关于宠物医院服务项目环境影响评价类有关问题的复函》（环办环评函〔</w:t>
            </w:r>
            <w:r>
              <w:rPr>
                <w:rFonts w:hint="default"/>
                <w:b w:val="0"/>
                <w:bCs w:val="0"/>
                <w:color w:val="auto"/>
                <w:lang w:val="en-US" w:eastAsia="zh-CN"/>
              </w:rPr>
              <w:t>2019</w:t>
            </w:r>
            <w:r>
              <w:rPr>
                <w:rFonts w:hint="eastAsia"/>
                <w:b w:val="0"/>
                <w:bCs w:val="0"/>
                <w:color w:val="auto"/>
                <w:lang w:val="en-US" w:eastAsia="zh-CN"/>
              </w:rPr>
              <w:t>〕</w:t>
            </w:r>
            <w:r>
              <w:rPr>
                <w:rFonts w:hint="default"/>
                <w:b w:val="0"/>
                <w:bCs w:val="0"/>
                <w:color w:val="auto"/>
                <w:lang w:val="en-US" w:eastAsia="zh-CN"/>
              </w:rPr>
              <w:t>168</w:t>
            </w:r>
            <w:r>
              <w:rPr>
                <w:rFonts w:hint="eastAsia"/>
                <w:b w:val="0"/>
                <w:bCs w:val="0"/>
                <w:color w:val="auto"/>
                <w:lang w:val="en-US" w:eastAsia="zh-CN"/>
              </w:rPr>
              <w:t>号）：“不具备从事动物颅腔、胸腔和腹腔手术能力的动物诊疗机构建设项目，不纳入建设项目环境影响评价管理”。 因此，现有项目无需开展环境影响评价工作。</w:t>
            </w:r>
          </w:p>
          <w:p w14:paraId="5841389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b w:val="0"/>
                <w:bCs w:val="0"/>
                <w:color w:val="auto"/>
                <w:lang w:val="en-US" w:eastAsia="zh-CN"/>
              </w:rPr>
            </w:pPr>
            <w:r>
              <w:rPr>
                <w:rFonts w:hint="default"/>
                <w:b w:val="0"/>
                <w:bCs w:val="0"/>
                <w:color w:val="auto"/>
                <w:lang w:val="en-US" w:eastAsia="zh-CN"/>
              </w:rPr>
              <w:t>根据《固定污染源排污许可分类管理名录（2019年版）》，项目不属于该名录规定的排污单位，无需纳入排污许可管理。</w:t>
            </w:r>
          </w:p>
          <w:p w14:paraId="54F310BE">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eastAsia="宋体"/>
                <w:b/>
                <w:bCs/>
                <w:color w:val="auto"/>
                <w:lang w:val="en-US" w:eastAsia="zh-CN"/>
              </w:rPr>
            </w:pPr>
            <w:r>
              <w:rPr>
                <w:rFonts w:hint="default" w:eastAsia="宋体"/>
                <w:b/>
                <w:bCs/>
                <w:color w:val="auto"/>
                <w:lang w:val="en-US" w:eastAsia="zh-CN"/>
              </w:rPr>
              <w:t>2、现有工程排污情况分析</w:t>
            </w:r>
          </w:p>
          <w:p w14:paraId="21254E2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①废水</w:t>
            </w:r>
          </w:p>
          <w:p w14:paraId="0009B86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现有项目主要排放的污废水包括医疗废水、宠物洗浴废水及生活污水。医疗废水主要来自住院和门诊使用排放的废水，动物洗浴废水主要来自美容室洗浴动物使用排放的废水，生活废水包括工作人员、顾客等使用排放的生活污水。主要污染物为COD、BOD</w:t>
            </w:r>
            <w:r>
              <w:rPr>
                <w:rFonts w:hint="default" w:eastAsia="宋体"/>
                <w:b w:val="0"/>
                <w:bCs w:val="0"/>
                <w:color w:val="auto"/>
                <w:vertAlign w:val="subscript"/>
                <w:lang w:val="en-US" w:eastAsia="zh-CN"/>
              </w:rPr>
              <w:t>5</w:t>
            </w:r>
            <w:r>
              <w:rPr>
                <w:rFonts w:hint="default" w:eastAsia="宋体"/>
                <w:b w:val="0"/>
                <w:bCs w:val="0"/>
                <w:color w:val="auto"/>
                <w:lang w:val="en-US" w:eastAsia="zh-CN"/>
              </w:rPr>
              <w:t>、NH</w:t>
            </w:r>
            <w:r>
              <w:rPr>
                <w:rFonts w:hint="default" w:eastAsia="宋体"/>
                <w:b w:val="0"/>
                <w:bCs w:val="0"/>
                <w:color w:val="auto"/>
                <w:vertAlign w:val="subscript"/>
                <w:lang w:val="en-US" w:eastAsia="zh-CN"/>
              </w:rPr>
              <w:t>3</w:t>
            </w:r>
            <w:r>
              <w:rPr>
                <w:rFonts w:hint="default" w:eastAsia="宋体"/>
                <w:b w:val="0"/>
                <w:bCs w:val="0"/>
                <w:color w:val="auto"/>
                <w:lang w:val="en-US" w:eastAsia="zh-CN"/>
              </w:rPr>
              <w:t>-N、SS、粪大肠菌群、LAS，医疗废水与生活污水、动物洗浴废水（经格栅处理后）一并排入小区已建生化池进行处理，处理后满足《污水综合排放标准》（GB8978-1996）三级排放标准，然后进入排入鸡冠石污水处理厂进一步处理达《城镇污水处理厂污染物排放标准》（GB18918-2002）一级A标准后排入长江。</w:t>
            </w:r>
          </w:p>
          <w:p w14:paraId="7A3CF76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②</w:t>
            </w:r>
            <w:r>
              <w:rPr>
                <w:rFonts w:hint="eastAsia" w:eastAsia="宋体"/>
                <w:b w:val="0"/>
                <w:bCs w:val="0"/>
                <w:color w:val="auto"/>
                <w:lang w:val="en-US" w:eastAsia="zh-CN"/>
              </w:rPr>
              <w:t>废气</w:t>
            </w:r>
          </w:p>
          <w:p w14:paraId="796491C9">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现有项目主要废气</w:t>
            </w:r>
            <w:r>
              <w:rPr>
                <w:rFonts w:hint="eastAsia"/>
                <w:b w:val="0"/>
                <w:bCs w:val="0"/>
                <w:color w:val="auto"/>
                <w:lang w:val="en-US" w:eastAsia="zh-CN"/>
              </w:rPr>
              <w:t>来自</w:t>
            </w:r>
            <w:r>
              <w:rPr>
                <w:rFonts w:hint="default" w:eastAsia="宋体"/>
                <w:b w:val="0"/>
                <w:bCs w:val="0"/>
                <w:color w:val="auto"/>
                <w:lang w:val="en-US" w:eastAsia="zh-CN"/>
              </w:rPr>
              <w:t>宠物臭气。根据踏勘，现有医院为正规动物医院，诊疗对象主要为猫、狗类动物，主要设备设施完善，通过及时更换清理猫砂和狗笼内的排便排尿盒，以及医院采用自然通风和单体式空调结合的形式进行通风，并且使用消毒剂和紫外线灯管进行消毒</w:t>
            </w:r>
            <w:r>
              <w:rPr>
                <w:rFonts w:hint="eastAsia" w:eastAsia="宋体"/>
                <w:b w:val="0"/>
                <w:bCs w:val="0"/>
                <w:color w:val="auto"/>
                <w:lang w:val="en-US" w:eastAsia="zh-CN"/>
              </w:rPr>
              <w:t>。</w:t>
            </w:r>
            <w:r>
              <w:rPr>
                <w:rFonts w:hint="default" w:eastAsia="宋体"/>
                <w:b w:val="0"/>
                <w:bCs w:val="0"/>
                <w:color w:val="auto"/>
                <w:lang w:val="en-US" w:eastAsia="zh-CN"/>
              </w:rPr>
              <w:t>因此，病房内产生的臭味较少，通过加强通风换气，减少恶臭污染</w:t>
            </w:r>
            <w:r>
              <w:rPr>
                <w:rFonts w:hint="eastAsia" w:eastAsia="宋体"/>
                <w:b w:val="0"/>
                <w:bCs w:val="0"/>
                <w:color w:val="auto"/>
                <w:lang w:val="en-US" w:eastAsia="zh-CN"/>
              </w:rPr>
              <w:t>。</w:t>
            </w:r>
          </w:p>
          <w:p w14:paraId="47C3642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 xml:space="preserve">③噪声 </w:t>
            </w:r>
          </w:p>
          <w:p w14:paraId="1C7C4CB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eastAsia" w:eastAsia="宋体"/>
                <w:b w:val="0"/>
                <w:bCs w:val="0"/>
                <w:color w:val="auto"/>
                <w:lang w:val="en-US" w:eastAsia="zh-CN"/>
              </w:rPr>
              <w:t>现有工程</w:t>
            </w:r>
            <w:r>
              <w:rPr>
                <w:rFonts w:hint="default" w:eastAsia="宋体"/>
                <w:b w:val="0"/>
                <w:bCs w:val="0"/>
                <w:color w:val="auto"/>
                <w:lang w:val="en-US" w:eastAsia="zh-CN"/>
              </w:rPr>
              <w:t>无高噪声设备，主要为空调外机噪声和动物日常偶发噪声</w:t>
            </w:r>
            <w:r>
              <w:rPr>
                <w:rFonts w:hint="eastAsia" w:eastAsia="宋体"/>
                <w:b w:val="0"/>
                <w:bCs w:val="0"/>
                <w:color w:val="auto"/>
                <w:lang w:val="en-US" w:eastAsia="zh-CN"/>
              </w:rPr>
              <w:t>，噪声源强较小，现有工程厂界</w:t>
            </w:r>
            <w:r>
              <w:rPr>
                <w:rFonts w:hint="default" w:eastAsia="宋体"/>
                <w:b w:val="0"/>
                <w:bCs w:val="0"/>
                <w:color w:val="auto"/>
                <w:lang w:val="en-US" w:eastAsia="zh-CN"/>
              </w:rPr>
              <w:t>昼夜噪声均满足</w:t>
            </w:r>
            <w:r>
              <w:rPr>
                <w:rFonts w:hint="eastAsia" w:eastAsia="宋体"/>
                <w:b w:val="0"/>
                <w:bCs w:val="0"/>
                <w:color w:val="auto"/>
                <w:lang w:val="en-US" w:eastAsia="zh-CN"/>
              </w:rPr>
              <w:t>《工业企业厂界环境噪声排放标准》（GB12348-2008）相应标准。</w:t>
            </w:r>
          </w:p>
          <w:p w14:paraId="38F3024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 xml:space="preserve">④固体废物 </w:t>
            </w:r>
          </w:p>
          <w:p w14:paraId="242BF6E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b w:val="0"/>
                <w:bCs w:val="0"/>
                <w:color w:val="auto"/>
                <w:lang w:val="en-US" w:eastAsia="zh-CN"/>
              </w:rPr>
            </w:pPr>
            <w:r>
              <w:rPr>
                <w:rFonts w:hint="eastAsia" w:eastAsia="宋体"/>
                <w:b w:val="0"/>
                <w:bCs w:val="0"/>
                <w:color w:val="auto"/>
                <w:lang w:val="en-US" w:eastAsia="zh-CN"/>
              </w:rPr>
              <w:t>现有工程产生的固体废物主要包括动物粪污（猫砂和其他动物粪污）、生活垃圾、动物尸体、医疗废物（主要包括感染性废物、损伤性废物、化学性废物、药物性废物、病理性废物等）。</w:t>
            </w:r>
          </w:p>
          <w:p w14:paraId="3DEFA51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b w:val="0"/>
                <w:bCs w:val="0"/>
                <w:color w:val="auto"/>
                <w:lang w:val="en-US" w:eastAsia="zh-CN"/>
              </w:rPr>
            </w:pPr>
            <w:r>
              <w:rPr>
                <w:rFonts w:hint="eastAsia" w:eastAsia="宋体"/>
                <w:b w:val="0"/>
                <w:bCs w:val="0"/>
                <w:color w:val="auto"/>
                <w:lang w:val="en-US" w:eastAsia="zh-CN"/>
              </w:rPr>
              <w:t>生活垃圾交环卫部门进行处置；</w:t>
            </w:r>
          </w:p>
          <w:p w14:paraId="02005F0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b w:val="0"/>
                <w:bCs w:val="0"/>
                <w:color w:val="auto"/>
                <w:lang w:val="en-US" w:eastAsia="zh-CN"/>
              </w:rPr>
            </w:pPr>
            <w:r>
              <w:rPr>
                <w:rFonts w:hint="eastAsia" w:eastAsia="宋体"/>
                <w:b w:val="0"/>
                <w:bCs w:val="0"/>
                <w:color w:val="auto"/>
                <w:lang w:val="en-US" w:eastAsia="zh-CN"/>
              </w:rPr>
              <w:t>猫砂及其他动物粪污经生石灰、消毒剂消毒后交市政环卫部门处置；</w:t>
            </w:r>
          </w:p>
          <w:p w14:paraId="331D54B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b w:val="0"/>
                <w:bCs w:val="0"/>
                <w:color w:val="auto"/>
                <w:lang w:val="en-US" w:eastAsia="zh-CN"/>
              </w:rPr>
            </w:pPr>
            <w:r>
              <w:rPr>
                <w:rFonts w:hint="default" w:eastAsia="宋体"/>
                <w:b w:val="0"/>
                <w:bCs w:val="0"/>
                <w:color w:val="auto"/>
                <w:lang w:val="en-US" w:eastAsia="zh-CN"/>
              </w:rPr>
              <w:t>动物尸体</w:t>
            </w:r>
            <w:r>
              <w:rPr>
                <w:rFonts w:hint="eastAsia" w:eastAsia="宋体"/>
                <w:b w:val="0"/>
                <w:bCs w:val="0"/>
                <w:color w:val="auto"/>
                <w:lang w:val="en-US" w:eastAsia="zh-CN"/>
              </w:rPr>
              <w:t>由顾客自行委托第三方单位</w:t>
            </w:r>
            <w:r>
              <w:rPr>
                <w:rFonts w:hint="default" w:eastAsia="宋体"/>
                <w:b w:val="0"/>
                <w:bCs w:val="0"/>
                <w:color w:val="auto"/>
                <w:lang w:val="en-US" w:eastAsia="zh-CN"/>
              </w:rPr>
              <w:t>进行无害化处置</w:t>
            </w:r>
            <w:r>
              <w:rPr>
                <w:rFonts w:hint="eastAsia" w:eastAsia="宋体"/>
                <w:b w:val="0"/>
                <w:bCs w:val="0"/>
                <w:color w:val="auto"/>
                <w:lang w:val="en-US" w:eastAsia="zh-CN"/>
              </w:rPr>
              <w:t>；</w:t>
            </w:r>
          </w:p>
          <w:p w14:paraId="7A34E32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b w:val="0"/>
                <w:bCs w:val="0"/>
                <w:color w:val="auto"/>
                <w:lang w:val="en-US" w:eastAsia="zh-CN"/>
              </w:rPr>
            </w:pPr>
            <w:r>
              <w:rPr>
                <w:rFonts w:hint="eastAsia" w:eastAsia="宋体"/>
                <w:b w:val="0"/>
                <w:bCs w:val="0"/>
                <w:color w:val="auto"/>
                <w:lang w:val="en-US" w:eastAsia="zh-CN"/>
              </w:rPr>
              <w:t>医疗废物产生环节由不同加盖医疗废物垃圾桶收集，后将其暂存于医废贮存点（采取防渗漏、防鼠、防蚊蝇、防蟑螂、防儿童接触、防盗等措施），定期交由重庆可厚德环保技术有限公司处置。项目医疗废物分类暂存于医废间加盖医疗废物收集桶内，且医废间地面采用坚固、防渗、耐腐蚀的钢筋混凝土材料铺设，并敷设瓷砖。医疗废物垃圾袋如若破损造成医疗废物外泄，可由收集桶临时性收集。单位后续将完善医疗废物管理制度和应急措施。</w:t>
            </w:r>
          </w:p>
          <w:p w14:paraId="4E89845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现有项目产生的废水、固废等污染物经治理后排放，对周边环境影响较小。</w:t>
            </w:r>
          </w:p>
          <w:p w14:paraId="4F5121E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现有污染物情况汇总详见表2-</w:t>
            </w:r>
            <w:r>
              <w:rPr>
                <w:rFonts w:hint="eastAsia" w:eastAsia="宋体"/>
                <w:b w:val="0"/>
                <w:bCs w:val="0"/>
                <w:color w:val="auto"/>
                <w:lang w:val="en-US" w:eastAsia="zh-CN"/>
              </w:rPr>
              <w:t>8</w:t>
            </w:r>
            <w:r>
              <w:rPr>
                <w:rFonts w:hint="default" w:eastAsia="宋体"/>
                <w:b w:val="0"/>
                <w:bCs w:val="0"/>
                <w:color w:val="auto"/>
                <w:lang w:val="en-US" w:eastAsia="zh-CN"/>
              </w:rPr>
              <w:t>。</w:t>
            </w:r>
          </w:p>
          <w:p w14:paraId="6ACC36C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b/>
                <w:bCs/>
                <w:color w:val="auto"/>
                <w:lang w:val="en-US" w:eastAsia="zh-CN"/>
              </w:rPr>
            </w:pPr>
            <w:r>
              <w:rPr>
                <w:rFonts w:hint="eastAsia" w:eastAsia="宋体"/>
                <w:b/>
                <w:bCs/>
                <w:color w:val="auto"/>
                <w:lang w:val="en-US" w:eastAsia="zh-CN"/>
              </w:rPr>
              <w:t>表2-8  现有项目污染物排放统计一览表</w:t>
            </w:r>
          </w:p>
          <w:tbl>
            <w:tblPr>
              <w:tblStyle w:val="23"/>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83"/>
              <w:gridCol w:w="1727"/>
              <w:gridCol w:w="1587"/>
              <w:gridCol w:w="1587"/>
            </w:tblGrid>
            <w:tr w14:paraId="75E4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14:paraId="48F1840B">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类型</w:t>
                  </w:r>
                </w:p>
              </w:tc>
              <w:tc>
                <w:tcPr>
                  <w:tcW w:w="2183" w:type="dxa"/>
                  <w:noWrap w:val="0"/>
                  <w:vAlign w:val="center"/>
                </w:tcPr>
                <w:p w14:paraId="749B61E4">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污染源</w:t>
                  </w:r>
                </w:p>
              </w:tc>
              <w:tc>
                <w:tcPr>
                  <w:tcW w:w="1727" w:type="dxa"/>
                  <w:noWrap w:val="0"/>
                  <w:vAlign w:val="center"/>
                </w:tcPr>
                <w:p w14:paraId="6F58B2A8">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排放量</w:t>
                  </w:r>
                </w:p>
              </w:tc>
              <w:tc>
                <w:tcPr>
                  <w:tcW w:w="1587" w:type="dxa"/>
                  <w:noWrap w:val="0"/>
                  <w:vAlign w:val="center"/>
                </w:tcPr>
                <w:p w14:paraId="6D64411B">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污染物</w:t>
                  </w:r>
                </w:p>
              </w:tc>
              <w:tc>
                <w:tcPr>
                  <w:tcW w:w="1587" w:type="dxa"/>
                  <w:noWrap w:val="0"/>
                  <w:vAlign w:val="center"/>
                </w:tcPr>
                <w:p w14:paraId="29145DF5">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排放总量</w:t>
                  </w:r>
                </w:p>
              </w:tc>
            </w:tr>
            <w:tr w14:paraId="4079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noWrap w:val="0"/>
                  <w:vAlign w:val="center"/>
                </w:tcPr>
                <w:p w14:paraId="29CBDE48">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废水</w:t>
                  </w:r>
                </w:p>
              </w:tc>
              <w:tc>
                <w:tcPr>
                  <w:tcW w:w="2183" w:type="dxa"/>
                  <w:vMerge w:val="restart"/>
                  <w:noWrap w:val="0"/>
                  <w:vAlign w:val="center"/>
                </w:tcPr>
                <w:p w14:paraId="626D16E1">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医疗废水、生活污水、</w:t>
                  </w:r>
                  <w:r>
                    <w:rPr>
                      <w:rFonts w:hint="eastAsia" w:ascii="Times New Roman" w:hAnsi="Times New Roman" w:eastAsia="宋体" w:cs="Times New Roman"/>
                      <w:color w:val="auto"/>
                      <w:sz w:val="18"/>
                      <w:szCs w:val="18"/>
                      <w:highlight w:val="none"/>
                      <w:lang w:val="en-US" w:eastAsia="zh-CN"/>
                    </w:rPr>
                    <w:t>其他</w:t>
                  </w:r>
                  <w:r>
                    <w:rPr>
                      <w:rFonts w:hint="default" w:ascii="Times New Roman" w:hAnsi="Times New Roman" w:eastAsia="宋体" w:cs="Times New Roman"/>
                      <w:color w:val="auto"/>
                      <w:sz w:val="18"/>
                      <w:szCs w:val="18"/>
                      <w:highlight w:val="none"/>
                      <w:lang w:val="en-US" w:eastAsia="zh-CN"/>
                    </w:rPr>
                    <w:t>废水</w:t>
                  </w:r>
                </w:p>
              </w:tc>
              <w:tc>
                <w:tcPr>
                  <w:tcW w:w="1727" w:type="dxa"/>
                  <w:vMerge w:val="restart"/>
                  <w:noWrap w:val="0"/>
                  <w:vAlign w:val="center"/>
                </w:tcPr>
                <w:p w14:paraId="3320B1E7">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424.583</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/a</w:t>
                  </w:r>
                </w:p>
              </w:tc>
              <w:tc>
                <w:tcPr>
                  <w:tcW w:w="1587" w:type="dxa"/>
                  <w:shd w:val="clear" w:color="auto" w:fill="auto"/>
                  <w:noWrap w:val="0"/>
                  <w:vAlign w:val="center"/>
                </w:tcPr>
                <w:p w14:paraId="603F8959">
                  <w:pPr>
                    <w:pStyle w:val="35"/>
                    <w:spacing w:line="310" w:lineRule="exact"/>
                    <w:rPr>
                      <w:rFonts w:hint="default" w:ascii="宋体" w:hAnsi="宋体" w:eastAsia="宋体" w:cs="宋体"/>
                      <w:color w:val="auto"/>
                      <w:kern w:val="0"/>
                      <w:sz w:val="18"/>
                      <w:szCs w:val="18"/>
                      <w:lang w:val="en-US" w:eastAsia="zh-CN" w:bidi="ar-SA"/>
                    </w:rPr>
                  </w:pPr>
                  <w:r>
                    <w:rPr>
                      <w:rFonts w:ascii="Times New Roman" w:hAnsi="Times New Roman" w:cs="Times New Roman"/>
                      <w:color w:val="auto"/>
                      <w:sz w:val="18"/>
                      <w:szCs w:val="18"/>
                    </w:rPr>
                    <w:t>COD</w:t>
                  </w:r>
                </w:p>
              </w:tc>
              <w:tc>
                <w:tcPr>
                  <w:tcW w:w="1587" w:type="dxa"/>
                  <w:shd w:val="clear" w:color="auto" w:fill="auto"/>
                  <w:noWrap w:val="0"/>
                  <w:vAlign w:val="center"/>
                </w:tcPr>
                <w:p w14:paraId="52DA8601">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0.021 </w:t>
                  </w:r>
                </w:p>
              </w:tc>
            </w:tr>
            <w:tr w14:paraId="2CBF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09F1A730">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vMerge w:val="continue"/>
                  <w:noWrap w:val="0"/>
                  <w:vAlign w:val="center"/>
                </w:tcPr>
                <w:p w14:paraId="7FEDB956">
                  <w:pPr>
                    <w:pStyle w:val="73"/>
                    <w:ind w:firstLine="0" w:firstLineChars="0"/>
                    <w:rPr>
                      <w:rFonts w:hint="default" w:ascii="Times New Roman" w:hAnsi="Times New Roman" w:eastAsia="宋体" w:cs="Times New Roman"/>
                      <w:color w:val="auto"/>
                      <w:sz w:val="18"/>
                      <w:szCs w:val="18"/>
                      <w:highlight w:val="none"/>
                      <w:lang w:val="en-US" w:eastAsia="zh-CN"/>
                    </w:rPr>
                  </w:pPr>
                </w:p>
              </w:tc>
              <w:tc>
                <w:tcPr>
                  <w:tcW w:w="1727" w:type="dxa"/>
                  <w:vMerge w:val="continue"/>
                  <w:noWrap w:val="0"/>
                  <w:vAlign w:val="center"/>
                </w:tcPr>
                <w:p w14:paraId="017B41C6">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587" w:type="dxa"/>
                  <w:shd w:val="clear" w:color="auto" w:fill="auto"/>
                  <w:noWrap w:val="0"/>
                  <w:vAlign w:val="center"/>
                </w:tcPr>
                <w:p w14:paraId="02AB938D">
                  <w:pPr>
                    <w:pStyle w:val="35"/>
                    <w:spacing w:line="310" w:lineRule="exact"/>
                    <w:rPr>
                      <w:rFonts w:hint="default" w:ascii="宋体" w:hAnsi="宋体" w:eastAsia="宋体" w:cs="宋体"/>
                      <w:color w:val="auto"/>
                      <w:kern w:val="0"/>
                      <w:sz w:val="18"/>
                      <w:szCs w:val="18"/>
                      <w:lang w:val="en-US" w:eastAsia="zh-CN" w:bidi="ar-SA"/>
                    </w:rPr>
                  </w:pPr>
                  <w:r>
                    <w:rPr>
                      <w:rFonts w:ascii="Times New Roman" w:hAnsi="Times New Roman" w:cs="Times New Roman"/>
                      <w:color w:val="auto"/>
                      <w:sz w:val="18"/>
                      <w:szCs w:val="18"/>
                    </w:rPr>
                    <w:t>BOD</w:t>
                  </w:r>
                  <w:r>
                    <w:rPr>
                      <w:rFonts w:ascii="Times New Roman" w:hAnsi="Times New Roman" w:cs="Times New Roman"/>
                      <w:color w:val="auto"/>
                      <w:sz w:val="18"/>
                      <w:szCs w:val="18"/>
                      <w:vertAlign w:val="subscript"/>
                    </w:rPr>
                    <w:t>5</w:t>
                  </w:r>
                </w:p>
              </w:tc>
              <w:tc>
                <w:tcPr>
                  <w:tcW w:w="1587" w:type="dxa"/>
                  <w:shd w:val="clear" w:color="auto" w:fill="auto"/>
                  <w:noWrap w:val="0"/>
                  <w:vAlign w:val="center"/>
                </w:tcPr>
                <w:p w14:paraId="5CB669D3">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r>
            <w:tr w14:paraId="497D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0B655048">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vMerge w:val="continue"/>
                  <w:noWrap w:val="0"/>
                  <w:vAlign w:val="center"/>
                </w:tcPr>
                <w:p w14:paraId="76F578E5">
                  <w:pPr>
                    <w:pStyle w:val="73"/>
                    <w:ind w:firstLine="0" w:firstLineChars="0"/>
                    <w:rPr>
                      <w:rFonts w:hint="default" w:ascii="Times New Roman" w:hAnsi="Times New Roman" w:eastAsia="宋体" w:cs="Times New Roman"/>
                      <w:color w:val="auto"/>
                      <w:sz w:val="18"/>
                      <w:szCs w:val="18"/>
                      <w:highlight w:val="none"/>
                      <w:lang w:val="en-US" w:eastAsia="zh-CN"/>
                    </w:rPr>
                  </w:pPr>
                </w:p>
              </w:tc>
              <w:tc>
                <w:tcPr>
                  <w:tcW w:w="1727" w:type="dxa"/>
                  <w:vMerge w:val="continue"/>
                  <w:noWrap w:val="0"/>
                  <w:vAlign w:val="center"/>
                </w:tcPr>
                <w:p w14:paraId="3E365848">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587" w:type="dxa"/>
                  <w:shd w:val="clear" w:color="auto" w:fill="auto"/>
                  <w:noWrap w:val="0"/>
                  <w:vAlign w:val="center"/>
                </w:tcPr>
                <w:p w14:paraId="7A71A136">
                  <w:pPr>
                    <w:pStyle w:val="35"/>
                    <w:spacing w:line="310" w:lineRule="exact"/>
                    <w:rPr>
                      <w:rFonts w:hint="default" w:ascii="宋体" w:hAnsi="宋体" w:eastAsia="宋体" w:cs="宋体"/>
                      <w:color w:val="auto"/>
                      <w:kern w:val="0"/>
                      <w:sz w:val="18"/>
                      <w:szCs w:val="18"/>
                      <w:lang w:val="en-US" w:eastAsia="zh-CN" w:bidi="ar-SA"/>
                    </w:rPr>
                  </w:pPr>
                  <w:r>
                    <w:rPr>
                      <w:rFonts w:ascii="Times New Roman" w:hAnsi="Times New Roman" w:cs="Times New Roman"/>
                      <w:color w:val="auto"/>
                      <w:sz w:val="18"/>
                      <w:szCs w:val="18"/>
                    </w:rPr>
                    <w:t>NH</w:t>
                  </w:r>
                  <w:r>
                    <w:rPr>
                      <w:rFonts w:ascii="Times New Roman" w:hAnsi="Times New Roman" w:cs="Times New Roman"/>
                      <w:color w:val="auto"/>
                      <w:sz w:val="18"/>
                      <w:szCs w:val="18"/>
                      <w:vertAlign w:val="subscript"/>
                    </w:rPr>
                    <w:t>3</w:t>
                  </w:r>
                  <w:r>
                    <w:rPr>
                      <w:rFonts w:ascii="Times New Roman" w:hAnsi="Times New Roman" w:cs="Times New Roman"/>
                      <w:color w:val="auto"/>
                      <w:sz w:val="18"/>
                      <w:szCs w:val="18"/>
                    </w:rPr>
                    <w:t>-N</w:t>
                  </w:r>
                </w:p>
              </w:tc>
              <w:tc>
                <w:tcPr>
                  <w:tcW w:w="1587" w:type="dxa"/>
                  <w:shd w:val="clear" w:color="auto" w:fill="auto"/>
                  <w:noWrap w:val="0"/>
                  <w:vAlign w:val="center"/>
                </w:tcPr>
                <w:p w14:paraId="3C8A1EC1">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0.002 </w:t>
                  </w:r>
                </w:p>
              </w:tc>
            </w:tr>
            <w:tr w14:paraId="0AFF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6F51B7EE">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vMerge w:val="continue"/>
                  <w:noWrap w:val="0"/>
                  <w:vAlign w:val="center"/>
                </w:tcPr>
                <w:p w14:paraId="7C7DA9A8">
                  <w:pPr>
                    <w:pStyle w:val="73"/>
                    <w:ind w:firstLine="0" w:firstLineChars="0"/>
                    <w:rPr>
                      <w:rFonts w:hint="default" w:ascii="Times New Roman" w:hAnsi="Times New Roman" w:eastAsia="宋体" w:cs="Times New Roman"/>
                      <w:color w:val="auto"/>
                      <w:sz w:val="18"/>
                      <w:szCs w:val="18"/>
                      <w:highlight w:val="none"/>
                      <w:lang w:val="en-US" w:eastAsia="zh-CN"/>
                    </w:rPr>
                  </w:pPr>
                </w:p>
              </w:tc>
              <w:tc>
                <w:tcPr>
                  <w:tcW w:w="1727" w:type="dxa"/>
                  <w:vMerge w:val="continue"/>
                  <w:noWrap w:val="0"/>
                  <w:vAlign w:val="center"/>
                </w:tcPr>
                <w:p w14:paraId="0EC882CE">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587" w:type="dxa"/>
                  <w:shd w:val="clear" w:color="auto" w:fill="auto"/>
                  <w:noWrap w:val="0"/>
                  <w:vAlign w:val="center"/>
                </w:tcPr>
                <w:p w14:paraId="340FF11A">
                  <w:pPr>
                    <w:pStyle w:val="35"/>
                    <w:spacing w:line="310" w:lineRule="exact"/>
                    <w:rPr>
                      <w:rFonts w:hint="default"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SS</w:t>
                  </w:r>
                </w:p>
              </w:tc>
              <w:tc>
                <w:tcPr>
                  <w:tcW w:w="1587" w:type="dxa"/>
                  <w:shd w:val="clear" w:color="auto" w:fill="auto"/>
                  <w:noWrap w:val="0"/>
                  <w:vAlign w:val="center"/>
                </w:tcPr>
                <w:p w14:paraId="79D0DD83">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r>
            <w:tr w14:paraId="71C9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763BA06E">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vMerge w:val="continue"/>
                  <w:noWrap w:val="0"/>
                  <w:vAlign w:val="center"/>
                </w:tcPr>
                <w:p w14:paraId="20AD0EEF">
                  <w:pPr>
                    <w:pStyle w:val="73"/>
                    <w:ind w:firstLine="0" w:firstLineChars="0"/>
                    <w:rPr>
                      <w:rFonts w:hint="default" w:ascii="Times New Roman" w:hAnsi="Times New Roman" w:eastAsia="宋体" w:cs="Times New Roman"/>
                      <w:color w:val="auto"/>
                      <w:sz w:val="18"/>
                      <w:szCs w:val="18"/>
                      <w:highlight w:val="none"/>
                      <w:lang w:val="en-US" w:eastAsia="zh-CN"/>
                    </w:rPr>
                  </w:pPr>
                </w:p>
              </w:tc>
              <w:tc>
                <w:tcPr>
                  <w:tcW w:w="1727" w:type="dxa"/>
                  <w:vMerge w:val="continue"/>
                  <w:noWrap w:val="0"/>
                  <w:vAlign w:val="center"/>
                </w:tcPr>
                <w:p w14:paraId="4266FDC6">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587" w:type="dxa"/>
                  <w:shd w:val="clear" w:color="auto" w:fill="auto"/>
                  <w:noWrap w:val="0"/>
                  <w:vAlign w:val="center"/>
                </w:tcPr>
                <w:p w14:paraId="7F746D2F">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总余氯</w:t>
                  </w:r>
                </w:p>
              </w:tc>
              <w:tc>
                <w:tcPr>
                  <w:tcW w:w="1587" w:type="dxa"/>
                  <w:shd w:val="clear" w:color="auto" w:fill="auto"/>
                  <w:noWrap w:val="0"/>
                  <w:vAlign w:val="center"/>
                </w:tcPr>
                <w:p w14:paraId="53648000">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r>
            <w:tr w14:paraId="3DA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381CE2A0">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vMerge w:val="continue"/>
                  <w:noWrap w:val="0"/>
                  <w:vAlign w:val="center"/>
                </w:tcPr>
                <w:p w14:paraId="20F18631">
                  <w:pPr>
                    <w:pStyle w:val="73"/>
                    <w:ind w:firstLine="0" w:firstLineChars="0"/>
                    <w:rPr>
                      <w:rFonts w:hint="default" w:ascii="Times New Roman" w:hAnsi="Times New Roman" w:eastAsia="宋体" w:cs="Times New Roman"/>
                      <w:color w:val="auto"/>
                      <w:sz w:val="18"/>
                      <w:szCs w:val="18"/>
                      <w:highlight w:val="none"/>
                      <w:lang w:val="en-US" w:eastAsia="zh-CN"/>
                    </w:rPr>
                  </w:pPr>
                </w:p>
              </w:tc>
              <w:tc>
                <w:tcPr>
                  <w:tcW w:w="1727" w:type="dxa"/>
                  <w:vMerge w:val="continue"/>
                  <w:noWrap w:val="0"/>
                  <w:vAlign w:val="center"/>
                </w:tcPr>
                <w:p w14:paraId="52AC1F24">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587" w:type="dxa"/>
                  <w:shd w:val="clear" w:color="auto" w:fill="auto"/>
                  <w:noWrap w:val="0"/>
                  <w:vAlign w:val="center"/>
                </w:tcPr>
                <w:p w14:paraId="3F416246">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粪大肠菌群</w:t>
                  </w:r>
                </w:p>
              </w:tc>
              <w:tc>
                <w:tcPr>
                  <w:tcW w:w="1587" w:type="dxa"/>
                  <w:shd w:val="clear" w:color="auto" w:fill="auto"/>
                  <w:noWrap w:val="0"/>
                  <w:vAlign w:val="center"/>
                </w:tcPr>
                <w:p w14:paraId="5E3BB9B7">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1.59</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r>
            <w:tr w14:paraId="311C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7C24D985">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vMerge w:val="continue"/>
                  <w:noWrap w:val="0"/>
                  <w:vAlign w:val="center"/>
                </w:tcPr>
                <w:p w14:paraId="469A1622">
                  <w:pPr>
                    <w:pStyle w:val="73"/>
                    <w:ind w:firstLine="0" w:firstLineChars="0"/>
                    <w:rPr>
                      <w:rFonts w:hint="default" w:ascii="Times New Roman" w:hAnsi="Times New Roman" w:eastAsia="宋体" w:cs="Times New Roman"/>
                      <w:color w:val="auto"/>
                      <w:sz w:val="18"/>
                      <w:szCs w:val="18"/>
                      <w:highlight w:val="none"/>
                      <w:lang w:val="en-US" w:eastAsia="zh-CN"/>
                    </w:rPr>
                  </w:pPr>
                </w:p>
              </w:tc>
              <w:tc>
                <w:tcPr>
                  <w:tcW w:w="1727" w:type="dxa"/>
                  <w:vMerge w:val="continue"/>
                  <w:noWrap w:val="0"/>
                  <w:vAlign w:val="center"/>
                </w:tcPr>
                <w:p w14:paraId="4A024CA1">
                  <w:pPr>
                    <w:pStyle w:val="73"/>
                    <w:ind w:firstLine="0" w:firstLineChars="0"/>
                    <w:rPr>
                      <w:rFonts w:hint="eastAsia" w:ascii="Times New Roman" w:hAnsi="Times New Roman" w:eastAsia="宋体" w:cs="Times New Roman"/>
                      <w:color w:val="auto"/>
                      <w:kern w:val="2"/>
                      <w:sz w:val="18"/>
                      <w:szCs w:val="18"/>
                      <w:highlight w:val="none"/>
                      <w:lang w:val="en-US" w:eastAsia="zh-CN" w:bidi="ar-SA"/>
                    </w:rPr>
                  </w:pPr>
                </w:p>
              </w:tc>
              <w:tc>
                <w:tcPr>
                  <w:tcW w:w="1587" w:type="dxa"/>
                  <w:shd w:val="clear" w:color="auto" w:fill="auto"/>
                  <w:noWrap w:val="0"/>
                  <w:vAlign w:val="center"/>
                </w:tcPr>
                <w:p w14:paraId="2939EB94">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LAS</w:t>
                  </w:r>
                </w:p>
              </w:tc>
              <w:tc>
                <w:tcPr>
                  <w:tcW w:w="1587" w:type="dxa"/>
                  <w:shd w:val="clear" w:color="auto" w:fill="auto"/>
                  <w:noWrap w:val="0"/>
                  <w:vAlign w:val="center"/>
                </w:tcPr>
                <w:p w14:paraId="6DC84298">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0.0002</w:t>
                  </w:r>
                </w:p>
              </w:tc>
            </w:tr>
            <w:tr w14:paraId="0929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noWrap w:val="0"/>
                  <w:vAlign w:val="center"/>
                </w:tcPr>
                <w:p w14:paraId="690609D4">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噪声</w:t>
                  </w:r>
                </w:p>
              </w:tc>
              <w:tc>
                <w:tcPr>
                  <w:tcW w:w="2183" w:type="dxa"/>
                  <w:noWrap w:val="0"/>
                  <w:vAlign w:val="center"/>
                </w:tcPr>
                <w:p w14:paraId="410AB582">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宠物叫声</w:t>
                  </w:r>
                </w:p>
              </w:tc>
              <w:tc>
                <w:tcPr>
                  <w:tcW w:w="1727" w:type="dxa"/>
                  <w:noWrap w:val="0"/>
                  <w:vAlign w:val="center"/>
                </w:tcPr>
                <w:p w14:paraId="5E8712DC">
                  <w:pPr>
                    <w:pStyle w:val="73"/>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狗70</w:t>
                  </w:r>
                  <w:r>
                    <w:rPr>
                      <w:rFonts w:hint="default" w:ascii="Times New Roman" w:hAnsi="Times New Roman" w:cs="Times New Roman"/>
                      <w:color w:val="auto"/>
                      <w:sz w:val="18"/>
                      <w:szCs w:val="18"/>
                      <w:highlight w:val="none"/>
                    </w:rPr>
                    <w:t>dB（A）</w:t>
                  </w:r>
                </w:p>
                <w:p w14:paraId="519C7FBC">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猫55</w:t>
                  </w:r>
                  <w:r>
                    <w:rPr>
                      <w:rFonts w:hint="default" w:ascii="Times New Roman" w:hAnsi="Times New Roman" w:cs="Times New Roman"/>
                      <w:color w:val="auto"/>
                      <w:sz w:val="18"/>
                      <w:szCs w:val="18"/>
                      <w:highlight w:val="none"/>
                    </w:rPr>
                    <w:t>dB（A）</w:t>
                  </w:r>
                </w:p>
              </w:tc>
              <w:tc>
                <w:tcPr>
                  <w:tcW w:w="3174" w:type="dxa"/>
                  <w:gridSpan w:val="2"/>
                  <w:vMerge w:val="restart"/>
                  <w:noWrap w:val="0"/>
                  <w:vAlign w:val="center"/>
                </w:tcPr>
                <w:p w14:paraId="4EC335FB">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昼：</w:t>
                  </w:r>
                  <w:r>
                    <w:rPr>
                      <w:rFonts w:hint="eastAsia" w:ascii="Times New Roman" w:hAnsi="Times New Roman" w:cs="Times New Roman"/>
                      <w:color w:val="auto"/>
                      <w:sz w:val="18"/>
                      <w:szCs w:val="18"/>
                      <w:highlight w:val="none"/>
                      <w:lang w:val="en-US" w:eastAsia="zh-CN"/>
                    </w:rPr>
                    <w:t>60</w:t>
                  </w:r>
                  <w:r>
                    <w:rPr>
                      <w:rFonts w:hint="default" w:ascii="Times New Roman" w:hAnsi="Times New Roman" w:eastAsia="宋体" w:cs="Times New Roman"/>
                      <w:color w:val="auto"/>
                      <w:sz w:val="18"/>
                      <w:szCs w:val="18"/>
                      <w:highlight w:val="none"/>
                      <w:lang w:val="en-US" w:eastAsia="zh-CN"/>
                    </w:rPr>
                    <w:t>dB（A）；夜</w:t>
                  </w:r>
                  <w:r>
                    <w:rPr>
                      <w:rFonts w:hint="eastAsia" w:ascii="Times New Roman" w:hAnsi="Times New Roman" w:cs="Times New Roman"/>
                      <w:color w:val="auto"/>
                      <w:sz w:val="18"/>
                      <w:szCs w:val="18"/>
                      <w:highlight w:val="none"/>
                      <w:lang w:val="en-US" w:eastAsia="zh-CN"/>
                    </w:rPr>
                    <w:t>50</w:t>
                  </w:r>
                  <w:r>
                    <w:rPr>
                      <w:rFonts w:hint="default" w:ascii="Times New Roman" w:hAnsi="Times New Roman" w:eastAsia="宋体" w:cs="Times New Roman"/>
                      <w:color w:val="auto"/>
                      <w:sz w:val="18"/>
                      <w:szCs w:val="18"/>
                      <w:highlight w:val="none"/>
                      <w:lang w:val="en-US" w:eastAsia="zh-CN"/>
                    </w:rPr>
                    <w:t>dB（A</w:t>
                  </w:r>
                  <w:r>
                    <w:rPr>
                      <w:rFonts w:hint="eastAsia" w:ascii="Times New Roman" w:hAnsi="Times New Roman" w:cs="Times New Roman"/>
                      <w:color w:val="auto"/>
                      <w:sz w:val="18"/>
                      <w:szCs w:val="18"/>
                      <w:highlight w:val="none"/>
                      <w:lang w:val="en-US" w:eastAsia="zh-CN"/>
                    </w:rPr>
                    <w:t>）</w:t>
                  </w:r>
                </w:p>
              </w:tc>
            </w:tr>
            <w:tr w14:paraId="487C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720F6508">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noWrap w:val="0"/>
                  <w:vAlign w:val="center"/>
                </w:tcPr>
                <w:p w14:paraId="2DA27424">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color w:val="auto"/>
                      <w:sz w:val="18"/>
                      <w:szCs w:val="18"/>
                      <w:lang w:val="en-US" w:eastAsia="zh-CN"/>
                    </w:rPr>
                    <w:t>空调（室外机组）</w:t>
                  </w:r>
                </w:p>
              </w:tc>
              <w:tc>
                <w:tcPr>
                  <w:tcW w:w="1727" w:type="dxa"/>
                  <w:noWrap w:val="0"/>
                  <w:vAlign w:val="center"/>
                </w:tcPr>
                <w:p w14:paraId="1B465B77">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52</w:t>
                  </w:r>
                  <w:r>
                    <w:rPr>
                      <w:rFonts w:hint="default" w:ascii="Times New Roman" w:hAnsi="Times New Roman" w:cs="Times New Roman"/>
                      <w:color w:val="auto"/>
                      <w:sz w:val="18"/>
                      <w:szCs w:val="18"/>
                      <w:highlight w:val="none"/>
                    </w:rPr>
                    <w:t>dB（A）</w:t>
                  </w:r>
                </w:p>
              </w:tc>
              <w:tc>
                <w:tcPr>
                  <w:tcW w:w="3174" w:type="dxa"/>
                  <w:gridSpan w:val="2"/>
                  <w:vMerge w:val="continue"/>
                  <w:noWrap w:val="0"/>
                  <w:vAlign w:val="center"/>
                </w:tcPr>
                <w:p w14:paraId="6225756F">
                  <w:pPr>
                    <w:pStyle w:val="73"/>
                    <w:ind w:firstLine="0" w:firstLineChars="0"/>
                    <w:rPr>
                      <w:rFonts w:hint="default" w:ascii="Times New Roman" w:hAnsi="Times New Roman" w:eastAsia="宋体" w:cs="Times New Roman"/>
                      <w:color w:val="auto"/>
                      <w:sz w:val="18"/>
                      <w:szCs w:val="18"/>
                      <w:highlight w:val="none"/>
                      <w:lang w:val="en-US" w:eastAsia="zh-CN"/>
                    </w:rPr>
                  </w:pPr>
                </w:p>
              </w:tc>
            </w:tr>
            <w:tr w14:paraId="5D59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noWrap w:val="0"/>
                  <w:vAlign w:val="center"/>
                </w:tcPr>
                <w:p w14:paraId="71E9F822">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固体废物</w:t>
                  </w:r>
                </w:p>
              </w:tc>
              <w:tc>
                <w:tcPr>
                  <w:tcW w:w="2183" w:type="dxa"/>
                  <w:noWrap w:val="0"/>
                  <w:vAlign w:val="center"/>
                </w:tcPr>
                <w:p w14:paraId="69ACA721">
                  <w:pPr>
                    <w:pStyle w:val="73"/>
                    <w:ind w:firstLine="0" w:firstLineChars="0"/>
                    <w:rPr>
                      <w:rFonts w:hint="eastAsia"/>
                      <w:color w:val="auto"/>
                      <w:sz w:val="18"/>
                      <w:szCs w:val="18"/>
                    </w:rPr>
                  </w:pPr>
                  <w:r>
                    <w:rPr>
                      <w:rFonts w:hint="eastAsia"/>
                      <w:color w:val="auto"/>
                      <w:sz w:val="18"/>
                      <w:szCs w:val="18"/>
                    </w:rPr>
                    <w:t>一般固废</w:t>
                  </w:r>
                </w:p>
              </w:tc>
              <w:tc>
                <w:tcPr>
                  <w:tcW w:w="3314" w:type="dxa"/>
                  <w:gridSpan w:val="2"/>
                  <w:noWrap w:val="0"/>
                  <w:vAlign w:val="center"/>
                </w:tcPr>
                <w:p w14:paraId="325C4116">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动物粪污</w:t>
                  </w:r>
                </w:p>
              </w:tc>
              <w:tc>
                <w:tcPr>
                  <w:tcW w:w="1587" w:type="dxa"/>
                  <w:noWrap w:val="0"/>
                  <w:vAlign w:val="center"/>
                </w:tcPr>
                <w:p w14:paraId="0D60AFDC">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6.93</w:t>
                  </w:r>
                  <w:r>
                    <w:rPr>
                      <w:rFonts w:hint="default" w:ascii="Times New Roman" w:hAnsi="Times New Roman" w:cs="Times New Roman"/>
                      <w:color w:val="auto"/>
                      <w:sz w:val="18"/>
                      <w:szCs w:val="18"/>
                      <w:highlight w:val="none"/>
                    </w:rPr>
                    <w:t>t/a</w:t>
                  </w:r>
                </w:p>
              </w:tc>
            </w:tr>
            <w:tr w14:paraId="5D09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1FD98AFF">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2183" w:type="dxa"/>
                  <w:noWrap w:val="0"/>
                  <w:vAlign w:val="center"/>
                </w:tcPr>
                <w:p w14:paraId="746226C4">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危险废物</w:t>
                  </w:r>
                </w:p>
              </w:tc>
              <w:tc>
                <w:tcPr>
                  <w:tcW w:w="3314" w:type="dxa"/>
                  <w:gridSpan w:val="2"/>
                  <w:noWrap w:val="0"/>
                  <w:vAlign w:val="center"/>
                </w:tcPr>
                <w:p w14:paraId="469D0090">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医疗废物</w:t>
                  </w:r>
                </w:p>
              </w:tc>
              <w:tc>
                <w:tcPr>
                  <w:tcW w:w="1587" w:type="dxa"/>
                  <w:noWrap w:val="0"/>
                  <w:vAlign w:val="center"/>
                </w:tcPr>
                <w:p w14:paraId="674E064E">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0.7</w:t>
                  </w:r>
                  <w:r>
                    <w:rPr>
                      <w:rFonts w:hint="default" w:ascii="Times New Roman" w:hAnsi="Times New Roman" w:cs="Times New Roman"/>
                      <w:color w:val="auto"/>
                      <w:sz w:val="18"/>
                      <w:szCs w:val="18"/>
                      <w:highlight w:val="none"/>
                    </w:rPr>
                    <w:t>t/a</w:t>
                  </w:r>
                </w:p>
              </w:tc>
            </w:tr>
            <w:tr w14:paraId="35C0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4B2FE72B">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5497" w:type="dxa"/>
                  <w:gridSpan w:val="3"/>
                  <w:noWrap w:val="0"/>
                  <w:vAlign w:val="center"/>
                </w:tcPr>
                <w:p w14:paraId="3D09EBA8">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动物尸体</w:t>
                  </w:r>
                </w:p>
              </w:tc>
              <w:tc>
                <w:tcPr>
                  <w:tcW w:w="1587" w:type="dxa"/>
                  <w:noWrap w:val="0"/>
                  <w:vAlign w:val="center"/>
                </w:tcPr>
                <w:p w14:paraId="71240426">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少量</w:t>
                  </w:r>
                </w:p>
              </w:tc>
            </w:tr>
            <w:tr w14:paraId="198D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noWrap w:val="0"/>
                  <w:vAlign w:val="center"/>
                </w:tcPr>
                <w:p w14:paraId="54ECCA27">
                  <w:pPr>
                    <w:pStyle w:val="73"/>
                    <w:ind w:firstLine="0" w:firstLineChars="0"/>
                    <w:rPr>
                      <w:rFonts w:hint="eastAsia" w:ascii="Times New Roman" w:hAnsi="Times New Roman" w:eastAsia="宋体" w:cs="Times New Roman"/>
                      <w:color w:val="auto"/>
                      <w:sz w:val="18"/>
                      <w:szCs w:val="18"/>
                      <w:highlight w:val="none"/>
                      <w:lang w:val="en-US" w:eastAsia="zh-CN"/>
                    </w:rPr>
                  </w:pPr>
                </w:p>
              </w:tc>
              <w:tc>
                <w:tcPr>
                  <w:tcW w:w="5497" w:type="dxa"/>
                  <w:gridSpan w:val="3"/>
                  <w:noWrap w:val="0"/>
                  <w:vAlign w:val="center"/>
                </w:tcPr>
                <w:p w14:paraId="5D902B28">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eastAsia"/>
                      <w:color w:val="auto"/>
                      <w:sz w:val="18"/>
                      <w:szCs w:val="18"/>
                    </w:rPr>
                    <w:t>生活</w:t>
                  </w:r>
                  <w:r>
                    <w:rPr>
                      <w:color w:val="auto"/>
                      <w:sz w:val="18"/>
                      <w:szCs w:val="18"/>
                    </w:rPr>
                    <w:t>垃圾</w:t>
                  </w:r>
                </w:p>
              </w:tc>
              <w:tc>
                <w:tcPr>
                  <w:tcW w:w="1587" w:type="dxa"/>
                  <w:noWrap w:val="0"/>
                  <w:vAlign w:val="center"/>
                </w:tcPr>
                <w:p w14:paraId="790EC25F">
                  <w:pPr>
                    <w:pStyle w:val="73"/>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3.325</w:t>
                  </w:r>
                  <w:r>
                    <w:rPr>
                      <w:rFonts w:hint="default" w:ascii="Times New Roman" w:hAnsi="Times New Roman" w:cs="Times New Roman"/>
                      <w:color w:val="auto"/>
                      <w:sz w:val="18"/>
                      <w:szCs w:val="18"/>
                      <w:highlight w:val="none"/>
                    </w:rPr>
                    <w:t>t/a</w:t>
                  </w:r>
                </w:p>
              </w:tc>
            </w:tr>
          </w:tbl>
          <w:p w14:paraId="47D8EFFE">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eastAsia="宋体"/>
                <w:b w:val="0"/>
                <w:bCs w:val="0"/>
                <w:color w:val="auto"/>
                <w:lang w:val="en-US" w:eastAsia="zh-CN"/>
              </w:rPr>
            </w:pPr>
            <w:r>
              <w:rPr>
                <w:rFonts w:hint="eastAsia" w:eastAsia="宋体"/>
                <w:b/>
                <w:bCs/>
                <w:color w:val="auto"/>
                <w:lang w:val="en-US" w:eastAsia="zh-CN"/>
              </w:rPr>
              <w:t>3、</w:t>
            </w:r>
            <w:r>
              <w:rPr>
                <w:rFonts w:hint="default" w:eastAsia="宋体"/>
                <w:b/>
                <w:bCs/>
                <w:color w:val="auto"/>
                <w:lang w:val="en-US" w:eastAsia="zh-CN"/>
              </w:rPr>
              <w:t>现有环保投诉及主要环保问题</w:t>
            </w:r>
            <w:r>
              <w:rPr>
                <w:rFonts w:hint="default" w:eastAsia="宋体"/>
                <w:b w:val="0"/>
                <w:bCs w:val="0"/>
                <w:color w:val="auto"/>
                <w:lang w:val="en-US" w:eastAsia="zh-CN"/>
              </w:rPr>
              <w:t xml:space="preserve"> </w:t>
            </w:r>
          </w:p>
          <w:p w14:paraId="4995478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 xml:space="preserve">（1）环保投诉情况 </w:t>
            </w:r>
          </w:p>
          <w:p w14:paraId="1218231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本项目位于</w:t>
            </w:r>
            <w:r>
              <w:rPr>
                <w:rFonts w:hint="default" w:ascii="Times New Roman" w:hAnsi="Times New Roman" w:cs="Times New Roman" w:eastAsiaTheme="majorEastAsia"/>
                <w:bCs/>
                <w:color w:val="auto"/>
                <w:szCs w:val="21"/>
                <w:lang w:val="en-US" w:eastAsia="zh-CN"/>
              </w:rPr>
              <w:t>重庆市九龙坡区经纬大道1305号19幢吊2-3商业（</w:t>
            </w:r>
            <w:r>
              <w:rPr>
                <w:rFonts w:hint="eastAsia" w:ascii="Times New Roman" w:hAnsi="Times New Roman" w:cs="Times New Roman" w:eastAsiaTheme="majorEastAsia"/>
                <w:b w:val="0"/>
                <w:bCs/>
                <w:color w:val="auto"/>
                <w:szCs w:val="21"/>
                <w:lang w:val="en-US" w:eastAsia="zh-CN"/>
              </w:rPr>
              <w:t>远洋城二期19栋底商吊2-3商业用房</w:t>
            </w:r>
            <w:r>
              <w:rPr>
                <w:rFonts w:hint="default" w:ascii="Times New Roman" w:hAnsi="Times New Roman" w:cs="Times New Roman" w:eastAsiaTheme="majorEastAsia"/>
                <w:bCs/>
                <w:color w:val="auto"/>
                <w:szCs w:val="21"/>
                <w:lang w:val="en-US" w:eastAsia="zh-CN"/>
              </w:rPr>
              <w:t>）</w:t>
            </w:r>
            <w:r>
              <w:rPr>
                <w:rFonts w:hint="default" w:eastAsia="宋体"/>
                <w:b w:val="0"/>
                <w:bCs w:val="0"/>
                <w:color w:val="auto"/>
                <w:lang w:val="en-US" w:eastAsia="zh-CN"/>
              </w:rPr>
              <w:t>，经调查，企业运行至今未发生环境污染和环保投诉问题。</w:t>
            </w:r>
          </w:p>
          <w:p w14:paraId="14A6911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 xml:space="preserve">（2）与项目有关的主要环境问题 </w:t>
            </w:r>
          </w:p>
          <w:p w14:paraId="132D532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①医疗废水未消毒预处理，直接依托小区已建生化池进行达标处理，不符合《医疗机构水污染物排放标准》（GB18466-2005）相关要求。</w:t>
            </w:r>
          </w:p>
          <w:p w14:paraId="584F339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②医废间标识标牌暂未进行更新</w:t>
            </w:r>
            <w:r>
              <w:rPr>
                <w:rFonts w:hint="eastAsia" w:eastAsia="宋体"/>
                <w:b w:val="0"/>
                <w:bCs w:val="0"/>
                <w:color w:val="auto"/>
                <w:lang w:val="en-US" w:eastAsia="zh-CN"/>
              </w:rPr>
              <w:t>，</w:t>
            </w:r>
            <w:r>
              <w:rPr>
                <w:rFonts w:hint="default" w:eastAsia="宋体"/>
                <w:b w:val="0"/>
                <w:bCs w:val="0"/>
                <w:color w:val="auto"/>
                <w:lang w:val="en-US" w:eastAsia="zh-CN"/>
              </w:rPr>
              <w:t>医废暂存间管理制度不完善</w:t>
            </w:r>
            <w:r>
              <w:rPr>
                <w:rFonts w:hint="eastAsia" w:eastAsia="宋体"/>
                <w:b w:val="0"/>
                <w:bCs w:val="0"/>
                <w:color w:val="auto"/>
                <w:lang w:val="en-US" w:eastAsia="zh-CN"/>
              </w:rPr>
              <w:t>。</w:t>
            </w:r>
          </w:p>
          <w:p w14:paraId="4745130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ascii="Dutch801 Rm BT" w:hAnsi="Dutch801 Rm BT" w:eastAsia="宋体" w:cs="Dutch801 Rm BT"/>
                <w:b w:val="0"/>
                <w:bCs w:val="0"/>
                <w:color w:val="auto"/>
                <w:kern w:val="2"/>
                <w:sz w:val="21"/>
                <w:szCs w:val="24"/>
                <w:lang w:val="en-US" w:eastAsia="zh-CN" w:bidi="ar-SA"/>
              </w:rPr>
              <w:t>（3）</w:t>
            </w:r>
            <w:r>
              <w:rPr>
                <w:rFonts w:hint="default" w:eastAsia="宋体"/>
                <w:b w:val="0"/>
                <w:bCs w:val="0"/>
                <w:color w:val="auto"/>
                <w:lang w:val="en-US" w:eastAsia="zh-CN"/>
              </w:rPr>
              <w:t>整改措施</w:t>
            </w:r>
          </w:p>
          <w:p w14:paraId="7E5F149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①</w:t>
            </w:r>
            <w:r>
              <w:rPr>
                <w:rFonts w:hint="eastAsia" w:eastAsia="宋体"/>
                <w:b w:val="0"/>
                <w:bCs w:val="0"/>
                <w:color w:val="auto"/>
                <w:lang w:val="en-US" w:eastAsia="zh-CN"/>
              </w:rPr>
              <w:t>在</w:t>
            </w:r>
            <w:r>
              <w:rPr>
                <w:rFonts w:hint="default" w:eastAsia="宋体"/>
                <w:b w:val="0"/>
                <w:bCs w:val="0"/>
                <w:color w:val="auto"/>
                <w:lang w:val="en-US" w:eastAsia="zh-CN"/>
              </w:rPr>
              <w:t>手术室洗手台下设置一个消毒设施，用于收集处理</w:t>
            </w:r>
            <w:r>
              <w:rPr>
                <w:rFonts w:hint="eastAsia" w:eastAsia="宋体"/>
                <w:b w:val="0"/>
                <w:bCs w:val="0"/>
                <w:color w:val="auto"/>
                <w:lang w:val="en-US" w:eastAsia="zh-CN"/>
              </w:rPr>
              <w:t>医院内</w:t>
            </w:r>
            <w:r>
              <w:rPr>
                <w:rFonts w:hint="default" w:eastAsia="宋体"/>
                <w:b w:val="0"/>
                <w:bCs w:val="0"/>
                <w:color w:val="auto"/>
                <w:lang w:val="en-US" w:eastAsia="zh-CN"/>
              </w:rPr>
              <w:t>化验室、手术室</w:t>
            </w:r>
            <w:r>
              <w:rPr>
                <w:rFonts w:hint="eastAsia" w:eastAsia="宋体"/>
                <w:b w:val="0"/>
                <w:bCs w:val="0"/>
                <w:color w:val="auto"/>
                <w:lang w:val="en-US" w:eastAsia="zh-CN"/>
              </w:rPr>
              <w:t>等</w:t>
            </w:r>
            <w:r>
              <w:rPr>
                <w:rFonts w:hint="default" w:eastAsia="宋体"/>
                <w:b w:val="0"/>
                <w:bCs w:val="0"/>
                <w:color w:val="auto"/>
                <w:lang w:val="en-US" w:eastAsia="zh-CN"/>
              </w:rPr>
              <w:t>产生的医疗废水，处理能力约</w:t>
            </w:r>
            <w:r>
              <w:rPr>
                <w:rFonts w:hint="eastAsia"/>
                <w:b w:val="0"/>
                <w:bCs w:val="0"/>
                <w:color w:val="auto"/>
                <w:lang w:val="en-US" w:eastAsia="zh-CN"/>
              </w:rPr>
              <w:t>0.5</w:t>
            </w:r>
            <w:r>
              <w:rPr>
                <w:rFonts w:hint="default" w:eastAsia="宋体"/>
                <w:b w:val="0"/>
                <w:bCs w:val="0"/>
                <w:color w:val="auto"/>
                <w:lang w:val="en-US" w:eastAsia="zh-CN"/>
              </w:rPr>
              <w:t>m</w:t>
            </w:r>
            <w:r>
              <w:rPr>
                <w:rFonts w:hint="default" w:eastAsia="宋体"/>
                <w:b w:val="0"/>
                <w:bCs w:val="0"/>
                <w:color w:val="auto"/>
                <w:vertAlign w:val="superscript"/>
                <w:lang w:val="en-US" w:eastAsia="zh-CN"/>
              </w:rPr>
              <w:t>3</w:t>
            </w:r>
            <w:r>
              <w:rPr>
                <w:rFonts w:hint="default" w:eastAsia="宋体"/>
                <w:b w:val="0"/>
                <w:bCs w:val="0"/>
                <w:color w:val="auto"/>
                <w:lang w:val="en-US" w:eastAsia="zh-CN"/>
              </w:rPr>
              <w:t>/d，对医疗废水进行消毒预处理，日常人工投加氯片进行消毒，氯片为外购。</w:t>
            </w:r>
          </w:p>
          <w:p w14:paraId="5454624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eastAsia="宋体"/>
                <w:b w:val="0"/>
                <w:bCs w:val="0"/>
                <w:color w:val="auto"/>
                <w:lang w:val="en-US" w:eastAsia="zh-CN"/>
              </w:rPr>
            </w:pPr>
            <w:r>
              <w:rPr>
                <w:rFonts w:hint="default" w:eastAsia="宋体"/>
                <w:b w:val="0"/>
                <w:bCs w:val="0"/>
                <w:color w:val="auto"/>
                <w:lang w:val="en-US" w:eastAsia="zh-CN"/>
              </w:rPr>
              <w:t>②</w:t>
            </w:r>
            <w:r>
              <w:rPr>
                <w:rFonts w:hint="eastAsia" w:eastAsia="宋体"/>
                <w:b w:val="0"/>
                <w:bCs w:val="0"/>
                <w:color w:val="auto"/>
                <w:lang w:val="en-US" w:eastAsia="zh-CN"/>
              </w:rPr>
              <w:t>完善</w:t>
            </w:r>
            <w:r>
              <w:rPr>
                <w:rFonts w:hint="default" w:eastAsia="宋体"/>
                <w:b w:val="0"/>
                <w:bCs w:val="0"/>
                <w:color w:val="auto"/>
                <w:lang w:val="en-US" w:eastAsia="zh-CN"/>
              </w:rPr>
              <w:t>医废间标识标牌</w:t>
            </w:r>
            <w:r>
              <w:rPr>
                <w:rFonts w:hint="eastAsia" w:eastAsia="宋体"/>
                <w:b w:val="0"/>
                <w:bCs w:val="0"/>
                <w:color w:val="auto"/>
                <w:lang w:val="en-US" w:eastAsia="zh-CN"/>
              </w:rPr>
              <w:t>，</w:t>
            </w:r>
            <w:r>
              <w:rPr>
                <w:rFonts w:hint="default" w:eastAsia="宋体"/>
                <w:b w:val="0"/>
                <w:bCs w:val="0"/>
                <w:color w:val="auto"/>
                <w:lang w:val="en-US" w:eastAsia="zh-CN"/>
              </w:rPr>
              <w:t>建立医废暂存间安全管理制度，增强工作人员的安全防范意识。</w:t>
            </w:r>
          </w:p>
          <w:p w14:paraId="49714448">
            <w:pPr>
              <w:pStyle w:val="2"/>
              <w:rPr>
                <w:rFonts w:hint="default"/>
                <w:color w:val="auto"/>
                <w:lang w:eastAsia="zh-CN"/>
              </w:rPr>
            </w:pPr>
          </w:p>
          <w:p w14:paraId="416A0C0F">
            <w:pPr>
              <w:rPr>
                <w:rFonts w:hint="default"/>
                <w:color w:val="auto"/>
                <w:lang w:eastAsia="zh-CN"/>
              </w:rPr>
            </w:pPr>
          </w:p>
          <w:p w14:paraId="31DB5A40">
            <w:pPr>
              <w:pStyle w:val="2"/>
              <w:ind w:left="0" w:leftChars="0" w:firstLine="0" w:firstLineChars="0"/>
              <w:rPr>
                <w:rFonts w:hint="default"/>
                <w:color w:val="auto"/>
                <w:lang w:eastAsia="zh-CN"/>
              </w:rPr>
            </w:pPr>
          </w:p>
          <w:p w14:paraId="3C3C2557">
            <w:pPr>
              <w:rPr>
                <w:rFonts w:hint="default" w:ascii="Times New Roman" w:hAnsi="Times New Roman" w:cs="Times New Roman" w:eastAsiaTheme="majorEastAsia"/>
                <w:color w:val="auto"/>
                <w:lang w:eastAsia="zh-CN"/>
              </w:rPr>
            </w:pPr>
          </w:p>
          <w:p w14:paraId="7F406DAB">
            <w:pPr>
              <w:rPr>
                <w:rFonts w:hint="default" w:ascii="Times New Roman" w:hAnsi="Times New Roman" w:cs="Times New Roman" w:eastAsiaTheme="majorEastAsia"/>
                <w:color w:val="auto"/>
                <w:lang w:eastAsia="zh-CN"/>
              </w:rPr>
            </w:pPr>
          </w:p>
          <w:p w14:paraId="5CF1A6A6">
            <w:pPr>
              <w:rPr>
                <w:rFonts w:hint="default" w:ascii="Times New Roman" w:hAnsi="Times New Roman" w:cs="Times New Roman" w:eastAsiaTheme="majorEastAsia"/>
                <w:color w:val="auto"/>
                <w:lang w:eastAsia="zh-CN"/>
              </w:rPr>
            </w:pPr>
          </w:p>
          <w:p w14:paraId="1849934D">
            <w:pPr>
              <w:rPr>
                <w:rFonts w:hint="default" w:ascii="Times New Roman" w:hAnsi="Times New Roman" w:cs="Times New Roman" w:eastAsiaTheme="majorEastAsia"/>
                <w:color w:val="auto"/>
                <w:lang w:eastAsia="zh-CN"/>
              </w:rPr>
            </w:pPr>
          </w:p>
          <w:p w14:paraId="4332B674">
            <w:pPr>
              <w:rPr>
                <w:rFonts w:hint="default" w:ascii="Times New Roman" w:hAnsi="Times New Roman" w:cs="Times New Roman" w:eastAsiaTheme="majorEastAsia"/>
                <w:color w:val="auto"/>
                <w:lang w:eastAsia="zh-CN"/>
              </w:rPr>
            </w:pPr>
          </w:p>
          <w:p w14:paraId="22B7725C">
            <w:pPr>
              <w:rPr>
                <w:rFonts w:hint="default" w:ascii="Times New Roman" w:hAnsi="Times New Roman" w:cs="Times New Roman" w:eastAsiaTheme="majorEastAsia"/>
                <w:color w:val="auto"/>
                <w:lang w:eastAsia="zh-CN"/>
              </w:rPr>
            </w:pPr>
          </w:p>
          <w:p w14:paraId="7B1AD915">
            <w:pPr>
              <w:rPr>
                <w:rFonts w:hint="default" w:ascii="Times New Roman" w:hAnsi="Times New Roman" w:cs="Times New Roman" w:eastAsiaTheme="majorEastAsia"/>
                <w:color w:val="auto"/>
                <w:lang w:eastAsia="zh-CN"/>
              </w:rPr>
            </w:pPr>
          </w:p>
          <w:p w14:paraId="19FE2872">
            <w:pPr>
              <w:rPr>
                <w:rFonts w:hint="default" w:ascii="Times New Roman" w:hAnsi="Times New Roman" w:cs="Times New Roman" w:eastAsiaTheme="majorEastAsia"/>
                <w:color w:val="auto"/>
                <w:lang w:eastAsia="zh-CN"/>
              </w:rPr>
            </w:pPr>
          </w:p>
          <w:p w14:paraId="180930CF">
            <w:pPr>
              <w:rPr>
                <w:rFonts w:hint="default" w:ascii="Times New Roman" w:hAnsi="Times New Roman" w:cs="Times New Roman" w:eastAsiaTheme="majorEastAsia"/>
                <w:color w:val="auto"/>
                <w:lang w:eastAsia="zh-CN"/>
              </w:rPr>
            </w:pPr>
          </w:p>
          <w:p w14:paraId="023C9525">
            <w:pPr>
              <w:rPr>
                <w:rFonts w:hint="default" w:ascii="Times New Roman" w:hAnsi="Times New Roman" w:cs="Times New Roman" w:eastAsiaTheme="majorEastAsia"/>
                <w:color w:val="auto"/>
                <w:lang w:eastAsia="zh-CN"/>
              </w:rPr>
            </w:pPr>
          </w:p>
          <w:p w14:paraId="6A61E2A2">
            <w:pPr>
              <w:rPr>
                <w:rFonts w:hint="default" w:ascii="Times New Roman" w:hAnsi="Times New Roman" w:cs="Times New Roman" w:eastAsiaTheme="majorEastAsia"/>
                <w:color w:val="auto"/>
                <w:lang w:eastAsia="zh-CN"/>
              </w:rPr>
            </w:pPr>
          </w:p>
        </w:tc>
      </w:tr>
    </w:tbl>
    <w:p w14:paraId="1B88C0B5">
      <w:pPr>
        <w:pStyle w:val="19"/>
        <w:jc w:val="cente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E8E21DB">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18544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800" w:type="dxa"/>
            <w:noWrap w:val="0"/>
            <w:vAlign w:val="center"/>
          </w:tcPr>
          <w:p w14:paraId="746678A0">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132B2BC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369DEAED">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4693C07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190" w:type="dxa"/>
            <w:noWrap w:val="0"/>
            <w:vAlign w:val="center"/>
          </w:tcPr>
          <w:p w14:paraId="48407ACB">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b/>
                <w:bCs/>
                <w:color w:val="auto"/>
                <w:kern w:val="0"/>
                <w:szCs w:val="21"/>
                <w:lang w:val="en-US" w:eastAsia="zh-CN"/>
              </w:rPr>
              <w:t>3.1环境空气质量现状</w:t>
            </w:r>
          </w:p>
          <w:p w14:paraId="7774AA3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根据《重庆市环境空气质量功能区划分规定》（渝府发</w:t>
            </w:r>
            <w:r>
              <w:rPr>
                <w:rFonts w:hint="eastAsia" w:ascii="宋体" w:hAnsi="宋体" w:eastAsia="宋体" w:cs="宋体"/>
                <w:color w:val="auto"/>
                <w:kern w:val="0"/>
                <w:szCs w:val="21"/>
                <w:lang w:eastAsia="zh-CN"/>
              </w:rPr>
              <w:t>〔</w:t>
            </w:r>
            <w:r>
              <w:rPr>
                <w:rFonts w:hint="default" w:ascii="Times New Roman" w:hAnsi="Times New Roman" w:eastAsia="宋体" w:cs="Times New Roman"/>
                <w:color w:val="auto"/>
                <w:kern w:val="0"/>
                <w:szCs w:val="21"/>
                <w:lang w:eastAsia="zh-CN"/>
              </w:rPr>
              <w:t>2016</w:t>
            </w:r>
            <w:r>
              <w:rPr>
                <w:rFonts w:hint="eastAsia" w:ascii="宋体" w:hAnsi="宋体" w:eastAsia="宋体" w:cs="宋体"/>
                <w:color w:val="auto"/>
                <w:kern w:val="0"/>
                <w:szCs w:val="21"/>
                <w:lang w:eastAsia="zh-CN"/>
              </w:rPr>
              <w:t>〕</w:t>
            </w:r>
            <w:r>
              <w:rPr>
                <w:rFonts w:hint="default" w:ascii="Times New Roman" w:hAnsi="Times New Roman" w:eastAsia="宋体" w:cs="Times New Roman"/>
                <w:color w:val="auto"/>
                <w:kern w:val="0"/>
                <w:szCs w:val="21"/>
                <w:lang w:eastAsia="zh-CN"/>
              </w:rPr>
              <w:t>19号）规定，项目所在地属二类区域，环境空气质量执行《环境空气质量标准》（GB3095-2012）中二级标准。</w:t>
            </w:r>
          </w:p>
          <w:p w14:paraId="216C9E9B">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lang w:eastAsia="zh-CN"/>
              </w:rPr>
              <w:t>区域环境空气质量达标区判断</w:t>
            </w:r>
          </w:p>
          <w:p w14:paraId="6AE8E5AA">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本项目所在区域环境空气质量现状数据引用重庆市生态环境局公布的《20</w:t>
            </w:r>
            <w:r>
              <w:rPr>
                <w:rFonts w:hint="default" w:ascii="Times New Roman" w:hAnsi="Times New Roman" w:eastAsia="宋体" w:cs="Times New Roman"/>
                <w:color w:val="auto"/>
                <w:kern w:val="0"/>
                <w:szCs w:val="21"/>
                <w:lang w:val="en-US" w:eastAsia="zh-CN"/>
              </w:rPr>
              <w:t>2</w:t>
            </w:r>
            <w:r>
              <w:rPr>
                <w:rFonts w:hint="eastAsia" w:ascii="Times New Roman" w:hAnsi="Times New Roman" w:cs="Times New Roman"/>
                <w:color w:val="auto"/>
                <w:kern w:val="0"/>
                <w:szCs w:val="21"/>
                <w:lang w:val="en-US" w:eastAsia="zh-CN"/>
              </w:rPr>
              <w:t>4</w:t>
            </w:r>
            <w:r>
              <w:rPr>
                <w:rFonts w:hint="default" w:ascii="Times New Roman" w:hAnsi="Times New Roman" w:eastAsia="宋体" w:cs="Times New Roman"/>
                <w:color w:val="auto"/>
                <w:kern w:val="0"/>
                <w:szCs w:val="21"/>
                <w:lang w:eastAsia="zh-CN"/>
              </w:rPr>
              <w:t>年重庆市生态环境状况公报》中关于</w:t>
            </w:r>
            <w:r>
              <w:rPr>
                <w:rFonts w:hint="eastAsia" w:ascii="Times New Roman" w:hAnsi="Times New Roman" w:cs="Times New Roman"/>
                <w:color w:val="auto"/>
                <w:kern w:val="0"/>
                <w:szCs w:val="21"/>
                <w:lang w:val="en-US" w:eastAsia="zh-CN"/>
              </w:rPr>
              <w:t>九龙坡区</w:t>
            </w:r>
            <w:r>
              <w:rPr>
                <w:rFonts w:hint="default" w:ascii="Times New Roman" w:hAnsi="Times New Roman" w:eastAsia="宋体" w:cs="Times New Roman"/>
                <w:color w:val="auto"/>
                <w:kern w:val="0"/>
                <w:szCs w:val="21"/>
                <w:lang w:eastAsia="zh-CN"/>
              </w:rPr>
              <w:t>的空气综合质量数据对区域基本污染物环境质量现状进行评价。</w:t>
            </w:r>
          </w:p>
          <w:p w14:paraId="3620695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基本污染物环境质量现状评价方法：评价采用污染物浓度占标率评价环境空气质量。评价公式如下：</w:t>
            </w:r>
          </w:p>
          <w:p w14:paraId="2B48FAA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P</w:t>
            </w:r>
            <w:r>
              <w:rPr>
                <w:rFonts w:hint="default" w:ascii="Times New Roman" w:hAnsi="Times New Roman" w:eastAsia="宋体" w:cs="Times New Roman"/>
                <w:color w:val="auto"/>
                <w:kern w:val="0"/>
                <w:szCs w:val="21"/>
                <w:vertAlign w:val="subscript"/>
                <w:lang w:eastAsia="zh-CN"/>
              </w:rPr>
              <w:t>i</w:t>
            </w:r>
            <w:r>
              <w:rPr>
                <w:rFonts w:hint="default" w:ascii="Times New Roman" w:hAnsi="Times New Roman" w:eastAsia="宋体" w:cs="Times New Roman"/>
                <w:color w:val="auto"/>
                <w:kern w:val="0"/>
                <w:szCs w:val="21"/>
                <w:lang w:eastAsia="zh-CN"/>
              </w:rPr>
              <w:t xml:space="preserve"> = C</w:t>
            </w:r>
            <w:r>
              <w:rPr>
                <w:rFonts w:hint="default" w:ascii="Times New Roman" w:hAnsi="Times New Roman" w:eastAsia="宋体" w:cs="Times New Roman"/>
                <w:color w:val="auto"/>
                <w:kern w:val="0"/>
                <w:szCs w:val="21"/>
                <w:vertAlign w:val="subscript"/>
                <w:lang w:eastAsia="zh-CN"/>
              </w:rPr>
              <w:t>i</w:t>
            </w:r>
            <w:r>
              <w:rPr>
                <w:rFonts w:hint="default" w:ascii="Times New Roman" w:hAnsi="Times New Roman" w:eastAsia="宋体" w:cs="Times New Roman"/>
                <w:color w:val="auto"/>
                <w:kern w:val="0"/>
                <w:szCs w:val="21"/>
                <w:lang w:eastAsia="zh-CN"/>
              </w:rPr>
              <w:t>/C</w:t>
            </w:r>
            <w:r>
              <w:rPr>
                <w:rFonts w:hint="default" w:ascii="Times New Roman" w:hAnsi="Times New Roman" w:eastAsia="宋体" w:cs="Times New Roman"/>
                <w:color w:val="auto"/>
                <w:kern w:val="0"/>
                <w:szCs w:val="21"/>
                <w:vertAlign w:val="subscript"/>
                <w:lang w:eastAsia="zh-CN"/>
              </w:rPr>
              <w:t>oi</w:t>
            </w:r>
            <w:r>
              <w:rPr>
                <w:rFonts w:hint="default" w:ascii="Times New Roman" w:hAnsi="Times New Roman" w:eastAsia="宋体" w:cs="Times New Roman"/>
                <w:color w:val="auto"/>
                <w:kern w:val="0"/>
                <w:szCs w:val="21"/>
                <w:lang w:eastAsia="zh-CN"/>
              </w:rPr>
              <w:t>×100%</w:t>
            </w:r>
          </w:p>
          <w:p w14:paraId="540FCED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式中，P</w:t>
            </w:r>
            <w:r>
              <w:rPr>
                <w:rFonts w:hint="default" w:ascii="Times New Roman" w:hAnsi="Times New Roman" w:eastAsia="宋体" w:cs="Times New Roman"/>
                <w:color w:val="auto"/>
                <w:kern w:val="0"/>
                <w:szCs w:val="21"/>
                <w:vertAlign w:val="subscript"/>
                <w:lang w:eastAsia="zh-CN"/>
              </w:rPr>
              <w:t>i</w:t>
            </w:r>
            <w:r>
              <w:rPr>
                <w:rFonts w:hint="default" w:ascii="Times New Roman" w:hAnsi="Times New Roman" w:eastAsia="宋体" w:cs="Times New Roman"/>
                <w:color w:val="auto"/>
                <w:kern w:val="0"/>
                <w:szCs w:val="21"/>
                <w:vertAlign w:val="subscript"/>
                <w:lang w:val="en-US" w:eastAsia="zh-CN"/>
              </w:rPr>
              <w:t xml:space="preserve"> </w:t>
            </w:r>
            <w:r>
              <w:rPr>
                <w:rFonts w:hint="default" w:ascii="Times New Roman" w:hAnsi="Times New Roman" w:eastAsia="宋体" w:cs="Times New Roman"/>
                <w:color w:val="auto"/>
                <w:kern w:val="0"/>
                <w:szCs w:val="21"/>
                <w:lang w:eastAsia="zh-CN"/>
              </w:rPr>
              <w:t>—第i个污染物的浓度占标率，%；</w:t>
            </w:r>
          </w:p>
          <w:p w14:paraId="3B773313">
            <w:pPr>
              <w:keepNext w:val="0"/>
              <w:keepLines w:val="0"/>
              <w:pageBreakBefore w:val="0"/>
              <w:widowControl w:val="0"/>
              <w:kinsoku/>
              <w:wordWrap/>
              <w:overflowPunct/>
              <w:topLinePunct w:val="0"/>
              <w:autoSpaceDE/>
              <w:autoSpaceDN/>
              <w:bidi w:val="0"/>
              <w:adjustRightInd w:val="0"/>
              <w:snapToGrid w:val="0"/>
              <w:spacing w:line="400" w:lineRule="exact"/>
              <w:ind w:firstLine="1050" w:firstLineChars="5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C</w:t>
            </w:r>
            <w:r>
              <w:rPr>
                <w:rFonts w:hint="default" w:ascii="Times New Roman" w:hAnsi="Times New Roman" w:eastAsia="宋体" w:cs="Times New Roman"/>
                <w:color w:val="auto"/>
                <w:kern w:val="0"/>
                <w:szCs w:val="21"/>
                <w:vertAlign w:val="subscript"/>
                <w:lang w:eastAsia="zh-CN"/>
              </w:rPr>
              <w:t>i</w:t>
            </w:r>
            <w:r>
              <w:rPr>
                <w:rFonts w:hint="default" w:ascii="Times New Roman" w:hAnsi="Times New Roman" w:eastAsia="宋体" w:cs="Times New Roman"/>
                <w:color w:val="auto"/>
                <w:kern w:val="0"/>
                <w:szCs w:val="21"/>
                <w:vertAlign w:val="subscript"/>
                <w:lang w:val="en-US" w:eastAsia="zh-CN"/>
              </w:rPr>
              <w:t xml:space="preserve"> </w:t>
            </w:r>
            <w:r>
              <w:rPr>
                <w:rFonts w:hint="default" w:ascii="Times New Roman" w:hAnsi="Times New Roman" w:eastAsia="宋体" w:cs="Times New Roman"/>
                <w:color w:val="auto"/>
                <w:kern w:val="0"/>
                <w:szCs w:val="21"/>
                <w:lang w:eastAsia="zh-CN"/>
              </w:rPr>
              <w:t>—第i种污染物的实测浓度（mg/m</w:t>
            </w:r>
            <w:r>
              <w:rPr>
                <w:rFonts w:hint="default" w:ascii="Times New Roman" w:hAnsi="Times New Roman" w:eastAsia="宋体" w:cs="Times New Roman"/>
                <w:color w:val="auto"/>
                <w:kern w:val="0"/>
                <w:szCs w:val="21"/>
                <w:vertAlign w:val="superscript"/>
                <w:lang w:eastAsia="zh-CN"/>
              </w:rPr>
              <w:t>3</w:t>
            </w:r>
            <w:r>
              <w:rPr>
                <w:rFonts w:hint="default" w:ascii="Times New Roman" w:hAnsi="Times New Roman" w:eastAsia="宋体" w:cs="Times New Roman"/>
                <w:color w:val="auto"/>
                <w:kern w:val="0"/>
                <w:szCs w:val="21"/>
                <w:lang w:eastAsia="zh-CN"/>
              </w:rPr>
              <w:t>）；</w:t>
            </w:r>
          </w:p>
          <w:p w14:paraId="18A8DD2D">
            <w:pPr>
              <w:keepNext w:val="0"/>
              <w:keepLines w:val="0"/>
              <w:pageBreakBefore w:val="0"/>
              <w:widowControl w:val="0"/>
              <w:kinsoku/>
              <w:wordWrap/>
              <w:overflowPunct/>
              <w:topLinePunct w:val="0"/>
              <w:autoSpaceDE/>
              <w:autoSpaceDN/>
              <w:bidi w:val="0"/>
              <w:adjustRightInd w:val="0"/>
              <w:snapToGrid w:val="0"/>
              <w:spacing w:line="400" w:lineRule="exact"/>
              <w:ind w:firstLine="1050" w:firstLineChars="5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C</w:t>
            </w:r>
            <w:r>
              <w:rPr>
                <w:rFonts w:hint="default" w:ascii="Times New Roman" w:hAnsi="Times New Roman" w:eastAsia="宋体" w:cs="Times New Roman"/>
                <w:color w:val="auto"/>
                <w:kern w:val="0"/>
                <w:szCs w:val="21"/>
                <w:vertAlign w:val="subscript"/>
                <w:lang w:eastAsia="zh-CN"/>
              </w:rPr>
              <w:t>oi</w:t>
            </w:r>
            <w:r>
              <w:rPr>
                <w:rFonts w:hint="default" w:ascii="Times New Roman" w:hAnsi="Times New Roman" w:eastAsia="宋体" w:cs="Times New Roman"/>
                <w:color w:val="auto"/>
                <w:kern w:val="0"/>
                <w:szCs w:val="21"/>
                <w:lang w:eastAsia="zh-CN"/>
              </w:rPr>
              <w:t>—第i种污染物的评价标准（mg/m</w:t>
            </w:r>
            <w:r>
              <w:rPr>
                <w:rFonts w:hint="default" w:ascii="Times New Roman" w:hAnsi="Times New Roman" w:eastAsia="宋体" w:cs="Times New Roman"/>
                <w:color w:val="auto"/>
                <w:kern w:val="0"/>
                <w:szCs w:val="21"/>
                <w:vertAlign w:val="superscript"/>
                <w:lang w:eastAsia="zh-CN"/>
              </w:rPr>
              <w:t>3</w:t>
            </w:r>
            <w:r>
              <w:rPr>
                <w:rFonts w:hint="default" w:ascii="Times New Roman" w:hAnsi="Times New Roman" w:eastAsia="宋体" w:cs="Times New Roman"/>
                <w:color w:val="auto"/>
                <w:kern w:val="0"/>
                <w:szCs w:val="21"/>
                <w:lang w:eastAsia="zh-CN"/>
              </w:rPr>
              <w:t>）。</w:t>
            </w:r>
          </w:p>
          <w:p w14:paraId="22F5A62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九龙坡区</w:t>
            </w:r>
            <w:r>
              <w:rPr>
                <w:rFonts w:hint="default" w:ascii="Times New Roman" w:hAnsi="Times New Roman" w:eastAsia="宋体" w:cs="Times New Roman"/>
                <w:color w:val="auto"/>
                <w:kern w:val="0"/>
                <w:szCs w:val="21"/>
                <w:lang w:eastAsia="zh-CN"/>
              </w:rPr>
              <w:t>20</w:t>
            </w:r>
            <w:r>
              <w:rPr>
                <w:rFonts w:hint="default" w:ascii="Times New Roman" w:hAnsi="Times New Roman" w:eastAsia="宋体" w:cs="Times New Roman"/>
                <w:color w:val="auto"/>
                <w:kern w:val="0"/>
                <w:szCs w:val="21"/>
                <w:lang w:val="en-US" w:eastAsia="zh-CN"/>
              </w:rPr>
              <w:t>2</w:t>
            </w:r>
            <w:r>
              <w:rPr>
                <w:rFonts w:hint="eastAsia" w:ascii="Times New Roman" w:hAnsi="Times New Roman" w:cs="Times New Roman"/>
                <w:color w:val="auto"/>
                <w:kern w:val="0"/>
                <w:szCs w:val="21"/>
                <w:lang w:val="en-US" w:eastAsia="zh-CN"/>
              </w:rPr>
              <w:t>3</w:t>
            </w:r>
            <w:r>
              <w:rPr>
                <w:rFonts w:hint="default" w:ascii="Times New Roman" w:hAnsi="Times New Roman" w:eastAsia="宋体" w:cs="Times New Roman"/>
                <w:color w:val="auto"/>
                <w:kern w:val="0"/>
                <w:szCs w:val="21"/>
                <w:lang w:eastAsia="zh-CN"/>
              </w:rPr>
              <w:t>年环境空气现状质量见表</w:t>
            </w:r>
            <w:r>
              <w:rPr>
                <w:rFonts w:hint="default" w:ascii="Times New Roman" w:hAnsi="Times New Roman" w:eastAsia="宋体" w:cs="Times New Roman"/>
                <w:color w:val="auto"/>
                <w:kern w:val="0"/>
                <w:szCs w:val="21"/>
                <w:lang w:val="en-US" w:eastAsia="zh-CN"/>
              </w:rPr>
              <w:t>3-</w:t>
            </w:r>
            <w:r>
              <w:rPr>
                <w:rFonts w:hint="default" w:ascii="Times New Roman" w:hAnsi="Times New Roman" w:eastAsia="宋体" w:cs="Times New Roman"/>
                <w:color w:val="auto"/>
                <w:kern w:val="0"/>
                <w:szCs w:val="21"/>
                <w:lang w:eastAsia="zh-CN"/>
              </w:rPr>
              <w:t>1。</w:t>
            </w:r>
          </w:p>
          <w:p w14:paraId="3D4BC67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eastAsia="zh-CN"/>
              </w:rPr>
              <w:t>表</w:t>
            </w:r>
            <w:r>
              <w:rPr>
                <w:rFonts w:hint="default"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lang w:eastAsia="zh-CN"/>
              </w:rPr>
              <w:t>1   环境空气质量监测结果一览表</w:t>
            </w:r>
          </w:p>
          <w:tbl>
            <w:tblPr>
              <w:tblStyle w:val="22"/>
              <w:tblW w:w="4995"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108" w:type="dxa"/>
                <w:bottom w:w="0" w:type="dxa"/>
                <w:right w:w="108" w:type="dxa"/>
              </w:tblCellMar>
            </w:tblPr>
            <w:tblGrid>
              <w:gridCol w:w="913"/>
              <w:gridCol w:w="2278"/>
              <w:gridCol w:w="1235"/>
              <w:gridCol w:w="1166"/>
              <w:gridCol w:w="1160"/>
              <w:gridCol w:w="1209"/>
            </w:tblGrid>
            <w:tr w14:paraId="4D461F0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auto" w:sz="4" w:space="0"/>
                    <w:left w:val="single" w:color="000000" w:sz="2" w:space="0"/>
                    <w:bottom w:val="single" w:color="000000" w:sz="6" w:space="0"/>
                    <w:right w:val="single" w:color="000000" w:sz="6" w:space="0"/>
                  </w:tcBorders>
                  <w:noWrap w:val="0"/>
                  <w:vAlign w:val="center"/>
                </w:tcPr>
                <w:p w14:paraId="73720FD1">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279" w:type="dxa"/>
                  <w:tcBorders>
                    <w:top w:val="single" w:color="000000" w:sz="2" w:space="0"/>
                    <w:left w:val="single" w:color="000000" w:sz="6" w:space="0"/>
                    <w:bottom w:val="single" w:color="000000" w:sz="6" w:space="0"/>
                    <w:right w:val="single" w:color="auto" w:sz="4" w:space="0"/>
                  </w:tcBorders>
                  <w:noWrap w:val="0"/>
                  <w:vAlign w:val="center"/>
                </w:tcPr>
                <w:p w14:paraId="1BB63B33">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评价指标</w:t>
                  </w:r>
                </w:p>
              </w:tc>
              <w:tc>
                <w:tcPr>
                  <w:tcW w:w="1235" w:type="dxa"/>
                  <w:tcBorders>
                    <w:top w:val="single" w:color="000000" w:sz="2" w:space="0"/>
                    <w:left w:val="single" w:color="auto" w:sz="4" w:space="0"/>
                    <w:bottom w:val="single" w:color="000000" w:sz="6" w:space="0"/>
                    <w:right w:val="single" w:color="000000" w:sz="6" w:space="0"/>
                  </w:tcBorders>
                  <w:noWrap w:val="0"/>
                  <w:vAlign w:val="center"/>
                </w:tcPr>
                <w:p w14:paraId="390CE1E1">
                  <w:pPr>
                    <w:pStyle w:val="35"/>
                    <w:spacing w:line="252"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现状浓度/</w:t>
                  </w:r>
                </w:p>
                <w:p w14:paraId="6DD1701A">
                  <w:pPr>
                    <w:pStyle w:val="35"/>
                    <w:spacing w:line="252"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（μg/m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166" w:type="dxa"/>
                  <w:tcBorders>
                    <w:top w:val="single" w:color="000000" w:sz="2" w:space="0"/>
                    <w:left w:val="single" w:color="000000" w:sz="6" w:space="0"/>
                    <w:bottom w:val="single" w:color="000000" w:sz="6" w:space="0"/>
                    <w:right w:val="single" w:color="000000" w:sz="6" w:space="0"/>
                  </w:tcBorders>
                  <w:noWrap w:val="0"/>
                  <w:vAlign w:val="center"/>
                </w:tcPr>
                <w:p w14:paraId="16C354D6">
                  <w:pPr>
                    <w:pStyle w:val="35"/>
                    <w:spacing w:line="252"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标准值/</w:t>
                  </w:r>
                </w:p>
                <w:p w14:paraId="50707DE1">
                  <w:pPr>
                    <w:pStyle w:val="35"/>
                    <w:spacing w:line="252"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（μg/m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160" w:type="dxa"/>
                  <w:tcBorders>
                    <w:top w:val="single" w:color="auto" w:sz="4" w:space="0"/>
                    <w:left w:val="single" w:color="000000" w:sz="6" w:space="0"/>
                    <w:bottom w:val="single" w:color="000000" w:sz="6" w:space="0"/>
                    <w:right w:val="single" w:color="000000" w:sz="6" w:space="0"/>
                  </w:tcBorders>
                  <w:noWrap w:val="0"/>
                  <w:vAlign w:val="center"/>
                </w:tcPr>
                <w:p w14:paraId="7F3BAE67">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占标率</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eastAsia="zh-CN"/>
                    </w:rPr>
                    <w:t>）</w:t>
                  </w:r>
                </w:p>
              </w:tc>
              <w:tc>
                <w:tcPr>
                  <w:tcW w:w="1209" w:type="dxa"/>
                  <w:tcBorders>
                    <w:top w:val="single" w:color="auto" w:sz="4" w:space="0"/>
                    <w:left w:val="single" w:color="000000" w:sz="6" w:space="0"/>
                    <w:bottom w:val="single" w:color="000000" w:sz="6" w:space="0"/>
                    <w:right w:val="single" w:color="000000" w:sz="2" w:space="0"/>
                  </w:tcBorders>
                  <w:noWrap w:val="0"/>
                  <w:vAlign w:val="center"/>
                </w:tcPr>
                <w:p w14:paraId="33738C4E">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7D5E3C11">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000000" w:sz="6" w:space="0"/>
                    <w:left w:val="single" w:color="000000" w:sz="2" w:space="0"/>
                    <w:bottom w:val="single" w:color="000000" w:sz="6" w:space="0"/>
                    <w:right w:val="single" w:color="000000" w:sz="6" w:space="0"/>
                  </w:tcBorders>
                  <w:noWrap w:val="0"/>
                  <w:vAlign w:val="center"/>
                </w:tcPr>
                <w:p w14:paraId="782B0075">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p>
              </w:tc>
              <w:tc>
                <w:tcPr>
                  <w:tcW w:w="2279" w:type="dxa"/>
                  <w:tcBorders>
                    <w:top w:val="single" w:color="000000" w:sz="6" w:space="0"/>
                    <w:left w:val="single" w:color="000000" w:sz="6" w:space="0"/>
                    <w:bottom w:val="single" w:color="000000" w:sz="6" w:space="0"/>
                    <w:right w:val="single" w:color="000000" w:sz="6" w:space="0"/>
                  </w:tcBorders>
                  <w:noWrap w:val="0"/>
                  <w:vAlign w:val="center"/>
                </w:tcPr>
                <w:p w14:paraId="30CDB525">
                  <w:pPr>
                    <w:pStyle w:val="35"/>
                    <w:spacing w:line="252"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1235" w:type="dxa"/>
                  <w:tcBorders>
                    <w:top w:val="single" w:color="000000" w:sz="6" w:space="0"/>
                    <w:left w:val="single" w:color="000000" w:sz="6" w:space="0"/>
                    <w:bottom w:val="single" w:color="000000" w:sz="6" w:space="0"/>
                    <w:right w:val="single" w:color="000000" w:sz="6" w:space="0"/>
                  </w:tcBorders>
                  <w:noWrap w:val="0"/>
                  <w:vAlign w:val="center"/>
                </w:tcPr>
                <w:p w14:paraId="003596C5">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51</w:t>
                  </w:r>
                </w:p>
              </w:tc>
              <w:tc>
                <w:tcPr>
                  <w:tcW w:w="1166" w:type="dxa"/>
                  <w:tcBorders>
                    <w:top w:val="single" w:color="000000" w:sz="6" w:space="0"/>
                    <w:left w:val="single" w:color="000000" w:sz="6" w:space="0"/>
                    <w:bottom w:val="single" w:color="000000" w:sz="6" w:space="0"/>
                    <w:right w:val="single" w:color="000000" w:sz="6" w:space="0"/>
                  </w:tcBorders>
                  <w:noWrap w:val="0"/>
                  <w:vAlign w:val="center"/>
                </w:tcPr>
                <w:p w14:paraId="5E638B1C">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70</w:t>
                  </w:r>
                </w:p>
              </w:tc>
              <w:tc>
                <w:tcPr>
                  <w:tcW w:w="1160" w:type="dxa"/>
                  <w:tcBorders>
                    <w:top w:val="single" w:color="000000" w:sz="6" w:space="0"/>
                    <w:left w:val="single" w:color="000000" w:sz="6" w:space="0"/>
                    <w:bottom w:val="single" w:color="000000" w:sz="6" w:space="0"/>
                    <w:right w:val="single" w:color="000000" w:sz="6" w:space="0"/>
                  </w:tcBorders>
                  <w:noWrap w:val="0"/>
                  <w:vAlign w:val="center"/>
                </w:tcPr>
                <w:p w14:paraId="41E4E866">
                  <w:pPr>
                    <w:pStyle w:val="77"/>
                    <w:rPr>
                      <w:rFonts w:hint="default" w:ascii="Times New Roman" w:hAnsi="Times New Roman" w:cs="Times New Roman"/>
                      <w:color w:val="auto"/>
                      <w:kern w:val="0"/>
                      <w:sz w:val="18"/>
                      <w:szCs w:val="18"/>
                    </w:rPr>
                  </w:pPr>
                  <w:r>
                    <w:rPr>
                      <w:rFonts w:hint="default" w:ascii="Times New Roman" w:hAnsi="Times New Roman" w:eastAsia="宋体" w:cs="Times New Roman"/>
                      <w:color w:val="auto"/>
                      <w:sz w:val="18"/>
                      <w:szCs w:val="18"/>
                      <w:lang w:val="en-US" w:eastAsia="zh-CN"/>
                    </w:rPr>
                    <w:t>72.86</w:t>
                  </w:r>
                </w:p>
              </w:tc>
              <w:tc>
                <w:tcPr>
                  <w:tcW w:w="1209" w:type="dxa"/>
                  <w:tcBorders>
                    <w:top w:val="single" w:color="000000" w:sz="6" w:space="0"/>
                    <w:left w:val="single" w:color="000000" w:sz="6" w:space="0"/>
                    <w:bottom w:val="single" w:color="000000" w:sz="6" w:space="0"/>
                    <w:right w:val="single" w:color="000000" w:sz="2" w:space="0"/>
                  </w:tcBorders>
                  <w:noWrap w:val="0"/>
                  <w:vAlign w:val="center"/>
                </w:tcPr>
                <w:p w14:paraId="7E28A510">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AF8F90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000000" w:sz="6" w:space="0"/>
                    <w:left w:val="single" w:color="000000" w:sz="2" w:space="0"/>
                    <w:bottom w:val="single" w:color="000000" w:sz="6" w:space="0"/>
                    <w:right w:val="single" w:color="000000" w:sz="6" w:space="0"/>
                  </w:tcBorders>
                  <w:noWrap w:val="0"/>
                  <w:vAlign w:val="center"/>
                </w:tcPr>
                <w:p w14:paraId="233E5851">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2.5</w:t>
                  </w:r>
                </w:p>
              </w:tc>
              <w:tc>
                <w:tcPr>
                  <w:tcW w:w="2279" w:type="dxa"/>
                  <w:tcBorders>
                    <w:top w:val="single" w:color="000000" w:sz="6" w:space="0"/>
                    <w:left w:val="single" w:color="000000" w:sz="6" w:space="0"/>
                    <w:bottom w:val="single" w:color="000000" w:sz="6" w:space="0"/>
                    <w:right w:val="single" w:color="000000" w:sz="6" w:space="0"/>
                  </w:tcBorders>
                  <w:noWrap w:val="0"/>
                  <w:vAlign w:val="center"/>
                </w:tcPr>
                <w:p w14:paraId="77C09C39">
                  <w:pPr>
                    <w:pStyle w:val="35"/>
                    <w:adjustRightInd w:val="0"/>
                    <w:snapToGrid w:val="0"/>
                    <w:spacing w:before="80"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1235" w:type="dxa"/>
                  <w:tcBorders>
                    <w:top w:val="single" w:color="000000" w:sz="6" w:space="0"/>
                    <w:left w:val="single" w:color="000000" w:sz="6" w:space="0"/>
                    <w:bottom w:val="single" w:color="000000" w:sz="6" w:space="0"/>
                    <w:right w:val="single" w:color="000000" w:sz="6" w:space="0"/>
                  </w:tcBorders>
                  <w:noWrap w:val="0"/>
                  <w:vAlign w:val="center"/>
                </w:tcPr>
                <w:p w14:paraId="58421A1C">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32.3</w:t>
                  </w:r>
                </w:p>
              </w:tc>
              <w:tc>
                <w:tcPr>
                  <w:tcW w:w="1166" w:type="dxa"/>
                  <w:tcBorders>
                    <w:top w:val="single" w:color="000000" w:sz="6" w:space="0"/>
                    <w:left w:val="single" w:color="000000" w:sz="6" w:space="0"/>
                    <w:bottom w:val="single" w:color="000000" w:sz="6" w:space="0"/>
                    <w:right w:val="single" w:color="000000" w:sz="6" w:space="0"/>
                  </w:tcBorders>
                  <w:noWrap w:val="0"/>
                  <w:vAlign w:val="center"/>
                </w:tcPr>
                <w:p w14:paraId="13347ED5">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35</w:t>
                  </w:r>
                </w:p>
              </w:tc>
              <w:tc>
                <w:tcPr>
                  <w:tcW w:w="1160" w:type="dxa"/>
                  <w:tcBorders>
                    <w:top w:val="single" w:color="000000" w:sz="6" w:space="0"/>
                    <w:left w:val="single" w:color="000000" w:sz="6" w:space="0"/>
                    <w:bottom w:val="single" w:color="000000" w:sz="6" w:space="0"/>
                    <w:right w:val="single" w:color="000000" w:sz="6" w:space="0"/>
                  </w:tcBorders>
                  <w:noWrap w:val="0"/>
                  <w:vAlign w:val="center"/>
                </w:tcPr>
                <w:p w14:paraId="390D817A">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92.29</w:t>
                  </w:r>
                </w:p>
              </w:tc>
              <w:tc>
                <w:tcPr>
                  <w:tcW w:w="1209" w:type="dxa"/>
                  <w:tcBorders>
                    <w:top w:val="single" w:color="000000" w:sz="6" w:space="0"/>
                    <w:left w:val="single" w:color="000000" w:sz="6" w:space="0"/>
                    <w:bottom w:val="single" w:color="000000" w:sz="6" w:space="0"/>
                    <w:right w:val="single" w:color="000000" w:sz="2" w:space="0"/>
                  </w:tcBorders>
                  <w:noWrap w:val="0"/>
                  <w:vAlign w:val="center"/>
                </w:tcPr>
                <w:p w14:paraId="47D63ED7">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66053E19">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000000" w:sz="6" w:space="0"/>
                    <w:left w:val="single" w:color="000000" w:sz="2" w:space="0"/>
                    <w:bottom w:val="single" w:color="000000" w:sz="6" w:space="0"/>
                    <w:right w:val="single" w:color="000000" w:sz="6" w:space="0"/>
                  </w:tcBorders>
                  <w:noWrap w:val="0"/>
                  <w:vAlign w:val="center"/>
                </w:tcPr>
                <w:p w14:paraId="201B1171">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2279" w:type="dxa"/>
                  <w:tcBorders>
                    <w:top w:val="single" w:color="000000" w:sz="6" w:space="0"/>
                    <w:left w:val="single" w:color="000000" w:sz="6" w:space="0"/>
                    <w:bottom w:val="single" w:color="000000" w:sz="6" w:space="0"/>
                    <w:right w:val="single" w:color="000000" w:sz="6" w:space="0"/>
                  </w:tcBorders>
                  <w:noWrap w:val="0"/>
                  <w:vAlign w:val="center"/>
                </w:tcPr>
                <w:p w14:paraId="387CA844">
                  <w:pPr>
                    <w:pStyle w:val="35"/>
                    <w:adjustRightInd w:val="0"/>
                    <w:snapToGrid w:val="0"/>
                    <w:spacing w:before="80"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1235" w:type="dxa"/>
                  <w:tcBorders>
                    <w:top w:val="single" w:color="000000" w:sz="6" w:space="0"/>
                    <w:left w:val="single" w:color="000000" w:sz="6" w:space="0"/>
                    <w:bottom w:val="single" w:color="000000" w:sz="6" w:space="0"/>
                    <w:right w:val="single" w:color="000000" w:sz="6" w:space="0"/>
                  </w:tcBorders>
                  <w:noWrap w:val="0"/>
                  <w:vAlign w:val="center"/>
                </w:tcPr>
                <w:p w14:paraId="20F18913">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8</w:t>
                  </w:r>
                </w:p>
              </w:tc>
              <w:tc>
                <w:tcPr>
                  <w:tcW w:w="1166" w:type="dxa"/>
                  <w:tcBorders>
                    <w:top w:val="single" w:color="000000" w:sz="6" w:space="0"/>
                    <w:left w:val="single" w:color="000000" w:sz="6" w:space="0"/>
                    <w:bottom w:val="single" w:color="000000" w:sz="6" w:space="0"/>
                    <w:right w:val="single" w:color="000000" w:sz="6" w:space="0"/>
                  </w:tcBorders>
                  <w:noWrap w:val="0"/>
                  <w:vAlign w:val="center"/>
                </w:tcPr>
                <w:p w14:paraId="46444EB6">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60</w:t>
                  </w:r>
                </w:p>
              </w:tc>
              <w:tc>
                <w:tcPr>
                  <w:tcW w:w="1160" w:type="dxa"/>
                  <w:tcBorders>
                    <w:top w:val="single" w:color="000000" w:sz="6" w:space="0"/>
                    <w:left w:val="single" w:color="000000" w:sz="6" w:space="0"/>
                    <w:bottom w:val="single" w:color="000000" w:sz="6" w:space="0"/>
                    <w:right w:val="single" w:color="000000" w:sz="6" w:space="0"/>
                  </w:tcBorders>
                  <w:noWrap w:val="0"/>
                  <w:vAlign w:val="center"/>
                </w:tcPr>
                <w:p w14:paraId="2F06ACE8">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13.33</w:t>
                  </w:r>
                </w:p>
              </w:tc>
              <w:tc>
                <w:tcPr>
                  <w:tcW w:w="1209" w:type="dxa"/>
                  <w:tcBorders>
                    <w:top w:val="single" w:color="000000" w:sz="6" w:space="0"/>
                    <w:left w:val="single" w:color="000000" w:sz="6" w:space="0"/>
                    <w:bottom w:val="single" w:color="000000" w:sz="6" w:space="0"/>
                    <w:right w:val="single" w:color="000000" w:sz="2" w:space="0"/>
                  </w:tcBorders>
                  <w:noWrap w:val="0"/>
                  <w:vAlign w:val="center"/>
                </w:tcPr>
                <w:p w14:paraId="4DD66DF6">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3E842250">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000000" w:sz="6" w:space="0"/>
                    <w:left w:val="single" w:color="000000" w:sz="2" w:space="0"/>
                    <w:bottom w:val="single" w:color="000000" w:sz="6" w:space="0"/>
                    <w:right w:val="single" w:color="000000" w:sz="6" w:space="0"/>
                  </w:tcBorders>
                  <w:noWrap w:val="0"/>
                  <w:vAlign w:val="center"/>
                </w:tcPr>
                <w:p w14:paraId="7EADA257">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2</w:t>
                  </w:r>
                </w:p>
              </w:tc>
              <w:tc>
                <w:tcPr>
                  <w:tcW w:w="2279" w:type="dxa"/>
                  <w:tcBorders>
                    <w:top w:val="single" w:color="000000" w:sz="6" w:space="0"/>
                    <w:left w:val="single" w:color="000000" w:sz="6" w:space="0"/>
                    <w:bottom w:val="single" w:color="000000" w:sz="6" w:space="0"/>
                    <w:right w:val="single" w:color="000000" w:sz="6" w:space="0"/>
                  </w:tcBorders>
                  <w:noWrap w:val="0"/>
                  <w:vAlign w:val="center"/>
                </w:tcPr>
                <w:p w14:paraId="1ADDB915">
                  <w:pPr>
                    <w:pStyle w:val="35"/>
                    <w:adjustRightInd w:val="0"/>
                    <w:snapToGrid w:val="0"/>
                    <w:spacing w:before="80"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1235" w:type="dxa"/>
                  <w:tcBorders>
                    <w:top w:val="single" w:color="000000" w:sz="6" w:space="0"/>
                    <w:left w:val="single" w:color="000000" w:sz="6" w:space="0"/>
                    <w:bottom w:val="single" w:color="000000" w:sz="6" w:space="0"/>
                    <w:right w:val="single" w:color="000000" w:sz="6" w:space="0"/>
                  </w:tcBorders>
                  <w:noWrap w:val="0"/>
                  <w:vAlign w:val="center"/>
                </w:tcPr>
                <w:p w14:paraId="160F6C83">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34</w:t>
                  </w:r>
                </w:p>
              </w:tc>
              <w:tc>
                <w:tcPr>
                  <w:tcW w:w="1166" w:type="dxa"/>
                  <w:tcBorders>
                    <w:top w:val="single" w:color="000000" w:sz="6" w:space="0"/>
                    <w:left w:val="single" w:color="000000" w:sz="6" w:space="0"/>
                    <w:bottom w:val="single" w:color="000000" w:sz="6" w:space="0"/>
                    <w:right w:val="single" w:color="000000" w:sz="6" w:space="0"/>
                  </w:tcBorders>
                  <w:noWrap w:val="0"/>
                  <w:vAlign w:val="center"/>
                </w:tcPr>
                <w:p w14:paraId="6EC86C04">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40</w:t>
                  </w:r>
                </w:p>
              </w:tc>
              <w:tc>
                <w:tcPr>
                  <w:tcW w:w="1160" w:type="dxa"/>
                  <w:tcBorders>
                    <w:top w:val="single" w:color="000000" w:sz="6" w:space="0"/>
                    <w:left w:val="single" w:color="000000" w:sz="6" w:space="0"/>
                    <w:bottom w:val="single" w:color="000000" w:sz="6" w:space="0"/>
                    <w:right w:val="single" w:color="000000" w:sz="6" w:space="0"/>
                  </w:tcBorders>
                  <w:noWrap w:val="0"/>
                  <w:vAlign w:val="center"/>
                </w:tcPr>
                <w:p w14:paraId="1193B76E">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85</w:t>
                  </w:r>
                </w:p>
              </w:tc>
              <w:tc>
                <w:tcPr>
                  <w:tcW w:w="1209" w:type="dxa"/>
                  <w:tcBorders>
                    <w:top w:val="single" w:color="000000" w:sz="6" w:space="0"/>
                    <w:left w:val="single" w:color="000000" w:sz="6" w:space="0"/>
                    <w:bottom w:val="single" w:color="000000" w:sz="6" w:space="0"/>
                    <w:right w:val="single" w:color="000000" w:sz="2" w:space="0"/>
                  </w:tcBorders>
                  <w:noWrap w:val="0"/>
                  <w:vAlign w:val="center"/>
                </w:tcPr>
                <w:p w14:paraId="1DA51A92">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9900F06">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000000" w:sz="6" w:space="0"/>
                    <w:left w:val="single" w:color="000000" w:sz="2" w:space="0"/>
                    <w:bottom w:val="single" w:color="000000" w:sz="6" w:space="0"/>
                    <w:right w:val="single" w:color="000000" w:sz="6" w:space="0"/>
                  </w:tcBorders>
                  <w:noWrap w:val="0"/>
                  <w:vAlign w:val="center"/>
                </w:tcPr>
                <w:p w14:paraId="560EB94B">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O</w:t>
                  </w:r>
                  <w:r>
                    <w:rPr>
                      <w:rFonts w:hint="default" w:ascii="Times New Roman" w:hAnsi="Times New Roman" w:cs="Times New Roman"/>
                      <w:color w:val="auto"/>
                      <w:sz w:val="18"/>
                      <w:szCs w:val="18"/>
                      <w:vertAlign w:val="subscript"/>
                    </w:rPr>
                    <w:t>3</w:t>
                  </w:r>
                </w:p>
              </w:tc>
              <w:tc>
                <w:tcPr>
                  <w:tcW w:w="2279" w:type="dxa"/>
                  <w:tcBorders>
                    <w:top w:val="single" w:color="000000" w:sz="6" w:space="0"/>
                    <w:left w:val="single" w:color="000000" w:sz="6" w:space="0"/>
                    <w:bottom w:val="single" w:color="000000" w:sz="6" w:space="0"/>
                    <w:right w:val="single" w:color="000000" w:sz="6" w:space="0"/>
                  </w:tcBorders>
                  <w:noWrap w:val="0"/>
                  <w:vAlign w:val="center"/>
                </w:tcPr>
                <w:p w14:paraId="3B226A57">
                  <w:pPr>
                    <w:pStyle w:val="35"/>
                    <w:adjustRightInd w:val="0"/>
                    <w:snapToGrid w:val="0"/>
                    <w:spacing w:before="29"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日最大8h平均浓度第90百分位数</w:t>
                  </w:r>
                </w:p>
              </w:tc>
              <w:tc>
                <w:tcPr>
                  <w:tcW w:w="1235" w:type="dxa"/>
                  <w:tcBorders>
                    <w:top w:val="single" w:color="000000" w:sz="6" w:space="0"/>
                    <w:left w:val="single" w:color="000000" w:sz="6" w:space="0"/>
                    <w:bottom w:val="single" w:color="000000" w:sz="6" w:space="0"/>
                    <w:right w:val="single" w:color="000000" w:sz="6" w:space="0"/>
                  </w:tcBorders>
                  <w:noWrap w:val="0"/>
                  <w:vAlign w:val="center"/>
                </w:tcPr>
                <w:p w14:paraId="22BFDE83">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140</w:t>
                  </w:r>
                </w:p>
              </w:tc>
              <w:tc>
                <w:tcPr>
                  <w:tcW w:w="1166" w:type="dxa"/>
                  <w:tcBorders>
                    <w:top w:val="single" w:color="000000" w:sz="6" w:space="0"/>
                    <w:left w:val="single" w:color="000000" w:sz="6" w:space="0"/>
                    <w:bottom w:val="single" w:color="000000" w:sz="6" w:space="0"/>
                    <w:right w:val="single" w:color="000000" w:sz="6" w:space="0"/>
                  </w:tcBorders>
                  <w:noWrap w:val="0"/>
                  <w:vAlign w:val="center"/>
                </w:tcPr>
                <w:p w14:paraId="0077D82D">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160</w:t>
                  </w:r>
                </w:p>
              </w:tc>
              <w:tc>
                <w:tcPr>
                  <w:tcW w:w="1160" w:type="dxa"/>
                  <w:tcBorders>
                    <w:top w:val="single" w:color="000000" w:sz="6" w:space="0"/>
                    <w:left w:val="single" w:color="000000" w:sz="6" w:space="0"/>
                    <w:bottom w:val="single" w:color="000000" w:sz="6" w:space="0"/>
                    <w:right w:val="single" w:color="000000" w:sz="6" w:space="0"/>
                  </w:tcBorders>
                  <w:noWrap w:val="0"/>
                  <w:vAlign w:val="center"/>
                </w:tcPr>
                <w:p w14:paraId="24BA855C">
                  <w:pPr>
                    <w:pStyle w:val="77"/>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87.5</w:t>
                  </w:r>
                </w:p>
              </w:tc>
              <w:tc>
                <w:tcPr>
                  <w:tcW w:w="1209" w:type="dxa"/>
                  <w:tcBorders>
                    <w:top w:val="single" w:color="000000" w:sz="6" w:space="0"/>
                    <w:left w:val="single" w:color="000000" w:sz="6" w:space="0"/>
                    <w:bottom w:val="single" w:color="000000" w:sz="6" w:space="0"/>
                    <w:right w:val="single" w:color="000000" w:sz="2" w:space="0"/>
                  </w:tcBorders>
                  <w:noWrap w:val="0"/>
                  <w:vAlign w:val="center"/>
                </w:tcPr>
                <w:p w14:paraId="0126F4E1">
                  <w:pPr>
                    <w:pStyle w:val="77"/>
                    <w:spacing w:line="20" w:lineRule="atLeas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D9D21AE">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14" w:type="dxa"/>
                  <w:tcBorders>
                    <w:top w:val="single" w:color="000000" w:sz="6" w:space="0"/>
                    <w:left w:val="single" w:color="000000" w:sz="2" w:space="0"/>
                    <w:bottom w:val="single" w:color="000000" w:sz="2" w:space="0"/>
                    <w:right w:val="single" w:color="000000" w:sz="6" w:space="0"/>
                  </w:tcBorders>
                  <w:noWrap w:val="0"/>
                  <w:vAlign w:val="center"/>
                </w:tcPr>
                <w:p w14:paraId="2BCE197A">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w:t>
                  </w:r>
                </w:p>
              </w:tc>
              <w:tc>
                <w:tcPr>
                  <w:tcW w:w="2279" w:type="dxa"/>
                  <w:tcBorders>
                    <w:top w:val="single" w:color="000000" w:sz="6" w:space="0"/>
                    <w:left w:val="single" w:color="000000" w:sz="6" w:space="0"/>
                    <w:bottom w:val="single" w:color="000000" w:sz="2" w:space="0"/>
                    <w:right w:val="single" w:color="000000" w:sz="6" w:space="0"/>
                  </w:tcBorders>
                  <w:noWrap w:val="0"/>
                  <w:vAlign w:val="center"/>
                </w:tcPr>
                <w:p w14:paraId="02C53304">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pacing w:val="6"/>
                      <w:sz w:val="18"/>
                      <w:szCs w:val="18"/>
                    </w:rPr>
                    <w:t>24h平均值的第95百分位数</w:t>
                  </w:r>
                </w:p>
              </w:tc>
              <w:tc>
                <w:tcPr>
                  <w:tcW w:w="1235" w:type="dxa"/>
                  <w:tcBorders>
                    <w:top w:val="single" w:color="000000" w:sz="6" w:space="0"/>
                    <w:left w:val="single" w:color="000000" w:sz="6" w:space="0"/>
                    <w:bottom w:val="single" w:color="000000" w:sz="2" w:space="0"/>
                    <w:right w:val="single" w:color="000000" w:sz="6" w:space="0"/>
                  </w:tcBorders>
                  <w:noWrap w:val="0"/>
                  <w:vAlign w:val="center"/>
                </w:tcPr>
                <w:p w14:paraId="2640C0CF">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1.2</w:t>
                  </w:r>
                  <w:r>
                    <w:rPr>
                      <w:rFonts w:hint="default" w:ascii="Times New Roman" w:hAnsi="Times New Roman" w:eastAsia="宋体" w:cs="Times New Roman"/>
                      <w:color w:val="auto"/>
                      <w:sz w:val="18"/>
                      <w:szCs w:val="18"/>
                      <w:lang w:val="en-US" w:eastAsia="zh-CN"/>
                    </w:rPr>
                    <w:t>mg/m</w:t>
                  </w:r>
                  <w:r>
                    <w:rPr>
                      <w:rFonts w:hint="default" w:ascii="Times New Roman" w:hAnsi="Times New Roman" w:eastAsia="宋体" w:cs="Times New Roman"/>
                      <w:color w:val="auto"/>
                      <w:sz w:val="18"/>
                      <w:szCs w:val="18"/>
                      <w:vertAlign w:val="superscript"/>
                      <w:lang w:val="en-US" w:eastAsia="zh-CN"/>
                    </w:rPr>
                    <w:t>3</w:t>
                  </w:r>
                </w:p>
              </w:tc>
              <w:tc>
                <w:tcPr>
                  <w:tcW w:w="1166" w:type="dxa"/>
                  <w:tcBorders>
                    <w:top w:val="single" w:color="000000" w:sz="6" w:space="0"/>
                    <w:left w:val="single" w:color="000000" w:sz="6" w:space="0"/>
                    <w:bottom w:val="single" w:color="000000" w:sz="2" w:space="0"/>
                    <w:right w:val="single" w:color="000000" w:sz="6" w:space="0"/>
                  </w:tcBorders>
                  <w:noWrap w:val="0"/>
                  <w:vAlign w:val="center"/>
                </w:tcPr>
                <w:p w14:paraId="015DB108">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4</w:t>
                  </w:r>
                  <w:r>
                    <w:rPr>
                      <w:rFonts w:hint="default" w:ascii="Times New Roman" w:hAnsi="Times New Roman" w:eastAsia="宋体" w:cs="Times New Roman"/>
                      <w:color w:val="auto"/>
                      <w:sz w:val="18"/>
                      <w:szCs w:val="18"/>
                      <w:lang w:val="en-US" w:eastAsia="zh-CN"/>
                    </w:rPr>
                    <w:t>.0mg/m</w:t>
                  </w:r>
                  <w:r>
                    <w:rPr>
                      <w:rFonts w:hint="default" w:ascii="Times New Roman" w:hAnsi="Times New Roman" w:eastAsia="宋体" w:cs="Times New Roman"/>
                      <w:color w:val="auto"/>
                      <w:sz w:val="18"/>
                      <w:szCs w:val="18"/>
                      <w:vertAlign w:val="superscript"/>
                      <w:lang w:val="en-US" w:eastAsia="zh-CN"/>
                    </w:rPr>
                    <w:t>3</w:t>
                  </w:r>
                </w:p>
              </w:tc>
              <w:tc>
                <w:tcPr>
                  <w:tcW w:w="1160" w:type="dxa"/>
                  <w:tcBorders>
                    <w:top w:val="single" w:color="000000" w:sz="6" w:space="0"/>
                    <w:left w:val="single" w:color="000000" w:sz="6" w:space="0"/>
                    <w:bottom w:val="single" w:color="000000" w:sz="2" w:space="0"/>
                    <w:right w:val="single" w:color="000000" w:sz="6" w:space="0"/>
                  </w:tcBorders>
                  <w:noWrap w:val="0"/>
                  <w:vAlign w:val="center"/>
                </w:tcPr>
                <w:p w14:paraId="5378D02F">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30</w:t>
                  </w:r>
                </w:p>
              </w:tc>
              <w:tc>
                <w:tcPr>
                  <w:tcW w:w="1209" w:type="dxa"/>
                  <w:tcBorders>
                    <w:top w:val="single" w:color="000000" w:sz="6" w:space="0"/>
                    <w:left w:val="single" w:color="000000" w:sz="6" w:space="0"/>
                    <w:bottom w:val="single" w:color="000000" w:sz="2" w:space="0"/>
                    <w:right w:val="single" w:color="000000" w:sz="2" w:space="0"/>
                  </w:tcBorders>
                  <w:noWrap w:val="0"/>
                  <w:vAlign w:val="center"/>
                </w:tcPr>
                <w:p w14:paraId="79345D22">
                  <w:pPr>
                    <w:keepNext w:val="0"/>
                    <w:keepLines w:val="0"/>
                    <w:pageBreakBefore w:val="0"/>
                    <w:kinsoku/>
                    <w:wordWrap/>
                    <w:overflowPunct/>
                    <w:topLinePunct w:val="0"/>
                    <w:autoSpaceDE/>
                    <w:autoSpaceDN/>
                    <w:bidi w:val="0"/>
                    <w:adjustRightInd/>
                    <w:snapToGrid/>
                    <w:spacing w:line="240" w:lineRule="exact"/>
                    <w:ind w:firstLine="1" w:firstLineChars="1"/>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达标</w:t>
                  </w:r>
                </w:p>
              </w:tc>
            </w:tr>
          </w:tbl>
          <w:p w14:paraId="78C7F714">
            <w:pPr>
              <w:keepNext w:val="0"/>
              <w:keepLines w:val="0"/>
              <w:pageBreakBefore w:val="0"/>
              <w:widowControl w:val="0"/>
              <w:kinsoku/>
              <w:wordWrap/>
              <w:overflowPunct/>
              <w:topLinePunct w:val="0"/>
              <w:autoSpaceDE/>
              <w:autoSpaceDN/>
              <w:bidi w:val="0"/>
              <w:spacing w:line="400" w:lineRule="exact"/>
              <w:ind w:firstLine="420" w:firstLineChars="200"/>
              <w:textAlignment w:val="auto"/>
              <w:rPr>
                <w:color w:val="auto"/>
                <w:szCs w:val="21"/>
              </w:rPr>
            </w:pPr>
            <w:r>
              <w:rPr>
                <w:color w:val="auto"/>
                <w:szCs w:val="21"/>
              </w:rPr>
              <w:t>由上表可知，</w:t>
            </w:r>
            <w:r>
              <w:rPr>
                <w:rFonts w:hint="eastAsia"/>
                <w:color w:val="auto"/>
                <w:szCs w:val="21"/>
                <w:lang w:val="en-US" w:eastAsia="zh-CN"/>
              </w:rPr>
              <w:t>各评价因子均达标</w:t>
            </w:r>
            <w:r>
              <w:rPr>
                <w:bCs/>
                <w:color w:val="auto"/>
                <w:szCs w:val="21"/>
              </w:rPr>
              <w:t>，因此</w:t>
            </w:r>
            <w:r>
              <w:rPr>
                <w:rFonts w:hint="eastAsia"/>
                <w:bCs/>
                <w:color w:val="auto"/>
                <w:szCs w:val="21"/>
                <w:lang w:eastAsia="zh-CN"/>
              </w:rPr>
              <w:t>，</w:t>
            </w:r>
            <w:r>
              <w:rPr>
                <w:bCs/>
                <w:color w:val="auto"/>
                <w:szCs w:val="21"/>
              </w:rPr>
              <w:t>判定项目所在区域空气质量为达标区域。</w:t>
            </w:r>
          </w:p>
          <w:p w14:paraId="187DF9D1">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val="en-US" w:eastAsia="zh-CN"/>
              </w:rPr>
              <w:t>3.2</w:t>
            </w:r>
            <w:r>
              <w:rPr>
                <w:rFonts w:hint="default" w:ascii="Times New Roman" w:hAnsi="Times New Roman" w:eastAsia="宋体" w:cs="Times New Roman"/>
                <w:b/>
                <w:bCs/>
                <w:color w:val="auto"/>
                <w:kern w:val="0"/>
                <w:szCs w:val="21"/>
                <w:lang w:eastAsia="zh-CN"/>
              </w:rPr>
              <w:t>地表水环境质量现状</w:t>
            </w:r>
          </w:p>
          <w:p w14:paraId="07692E7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项目</w:t>
            </w:r>
            <w:r>
              <w:rPr>
                <w:rFonts w:hint="default" w:ascii="Times New Roman" w:hAnsi="Times New Roman" w:eastAsia="宋体" w:cs="Times New Roman"/>
                <w:color w:val="auto"/>
                <w:kern w:val="0"/>
                <w:szCs w:val="21"/>
                <w:lang w:val="en-US" w:eastAsia="zh-CN"/>
              </w:rPr>
              <w:t>最终受纳</w:t>
            </w:r>
            <w:r>
              <w:rPr>
                <w:rFonts w:hint="default" w:ascii="Times New Roman" w:hAnsi="Times New Roman" w:eastAsia="宋体" w:cs="Times New Roman"/>
                <w:color w:val="auto"/>
                <w:kern w:val="0"/>
                <w:szCs w:val="21"/>
                <w:lang w:eastAsia="zh-CN"/>
              </w:rPr>
              <w:t>地表水体为</w:t>
            </w:r>
            <w:r>
              <w:rPr>
                <w:rFonts w:hint="default" w:ascii="Times New Roman" w:hAnsi="Times New Roman" w:eastAsia="宋体" w:cs="Times New Roman"/>
                <w:color w:val="auto"/>
                <w:kern w:val="0"/>
                <w:szCs w:val="21"/>
                <w:lang w:val="en-US" w:eastAsia="zh-CN"/>
              </w:rPr>
              <w:t>长江</w:t>
            </w:r>
            <w:r>
              <w:rPr>
                <w:rFonts w:hint="default" w:ascii="Times New Roman" w:hAnsi="Times New Roman" w:eastAsia="宋体" w:cs="Times New Roman"/>
                <w:color w:val="auto"/>
                <w:kern w:val="0"/>
                <w:szCs w:val="21"/>
                <w:lang w:eastAsia="zh-CN"/>
              </w:rPr>
              <w:t>，根据</w:t>
            </w:r>
            <w:r>
              <w:rPr>
                <w:rFonts w:hint="default" w:ascii="Times New Roman" w:hAnsi="Times New Roman" w:eastAsia="宋体" w:cs="Times New Roman"/>
                <w:color w:val="auto"/>
                <w:kern w:val="0"/>
                <w:szCs w:val="21"/>
                <w:lang w:val="en-US" w:eastAsia="zh-CN"/>
              </w:rPr>
              <w:t>《重庆市人民政府批转重庆市地表水环境功能类别调整方案的通知》（渝府发</w:t>
            </w:r>
            <w:r>
              <w:rPr>
                <w:rFonts w:hint="eastAsia" w:ascii="Times New Roman" w:hAnsi="Times New Roman" w:cs="Times New Roman"/>
                <w:color w:val="auto"/>
                <w:kern w:val="0"/>
                <w:szCs w:val="21"/>
                <w:lang w:val="en-US" w:eastAsia="zh-CN"/>
              </w:rPr>
              <w:t>〔2012〕4号</w:t>
            </w:r>
            <w:r>
              <w:rPr>
                <w:rFonts w:hint="default" w:ascii="Times New Roman" w:hAnsi="Times New Roman" w:eastAsia="宋体" w:cs="Times New Roman"/>
                <w:color w:val="auto"/>
                <w:kern w:val="0"/>
                <w:szCs w:val="21"/>
                <w:lang w:val="en-US" w:eastAsia="zh-CN"/>
              </w:rPr>
              <w:t>），项目受纳水域的长江干流段属于《地表水环境质量标准》（GB3838-2002）中Ⅲ类水域环境功能区。</w:t>
            </w:r>
          </w:p>
          <w:p w14:paraId="52FAAE1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根据《建设项目环境影响报告表编制技术指南（污染影响类）（试行）》：</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区域环境质量现状：地表水环境。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本次评价地表水环境质量引用重庆市生态环境局于202</w:t>
            </w:r>
            <w:r>
              <w:rPr>
                <w:rFonts w:hint="eastAsia" w:ascii="Times New Roman" w:hAnsi="Times New Roman" w:cs="Times New Roman"/>
                <w:color w:val="auto"/>
                <w:kern w:val="0"/>
                <w:szCs w:val="21"/>
                <w:lang w:val="en-US" w:eastAsia="zh-CN"/>
              </w:rPr>
              <w:t>5</w:t>
            </w:r>
            <w:r>
              <w:rPr>
                <w:rFonts w:hint="default" w:ascii="Times New Roman" w:hAnsi="Times New Roman" w:eastAsia="宋体" w:cs="Times New Roman"/>
                <w:color w:val="auto"/>
                <w:kern w:val="0"/>
                <w:szCs w:val="21"/>
                <w:lang w:val="en-US" w:eastAsia="zh-CN"/>
              </w:rPr>
              <w:t>年6月发布的《202</w:t>
            </w:r>
            <w:r>
              <w:rPr>
                <w:rFonts w:hint="eastAsia" w:ascii="Times New Roman" w:hAnsi="Times New Roman" w:cs="Times New Roman"/>
                <w:color w:val="auto"/>
                <w:kern w:val="0"/>
                <w:szCs w:val="21"/>
                <w:lang w:val="en-US" w:eastAsia="zh-CN"/>
              </w:rPr>
              <w:t>4</w:t>
            </w:r>
            <w:r>
              <w:rPr>
                <w:rFonts w:hint="default" w:ascii="Times New Roman" w:hAnsi="Times New Roman" w:eastAsia="宋体" w:cs="Times New Roman"/>
                <w:color w:val="auto"/>
                <w:kern w:val="0"/>
                <w:szCs w:val="21"/>
                <w:lang w:val="en-US" w:eastAsia="zh-CN"/>
              </w:rPr>
              <w:t>年重庆市生态环境状况公报》，</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长江干流重庆段水质为优。20个监测断面水质均为Ⅱ类。</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地表水环境质量总体较好。</w:t>
            </w:r>
          </w:p>
          <w:p w14:paraId="0747F90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3.3声环境质量现状</w:t>
            </w:r>
          </w:p>
          <w:p w14:paraId="45D8D54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drawing>
                <wp:anchor distT="0" distB="0" distL="114300" distR="114300" simplePos="0" relativeHeight="251662336" behindDoc="0" locked="0" layoutInCell="1" allowOverlap="1">
                  <wp:simplePos x="0" y="0"/>
                  <wp:positionH relativeFrom="column">
                    <wp:posOffset>5715</wp:posOffset>
                  </wp:positionH>
                  <wp:positionV relativeFrom="paragraph">
                    <wp:posOffset>1002665</wp:posOffset>
                  </wp:positionV>
                  <wp:extent cx="5060950" cy="3569970"/>
                  <wp:effectExtent l="0" t="0" r="13970" b="11430"/>
                  <wp:wrapNone/>
                  <wp:docPr id="162" name="图片 162" descr="173993330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1739933307135"/>
                          <pic:cNvPicPr>
                            <a:picLocks noChangeAspect="1"/>
                          </pic:cNvPicPr>
                        </pic:nvPicPr>
                        <pic:blipFill>
                          <a:blip r:embed="rId8"/>
                          <a:stretch>
                            <a:fillRect/>
                          </a:stretch>
                        </pic:blipFill>
                        <pic:spPr>
                          <a:xfrm>
                            <a:off x="0" y="0"/>
                            <a:ext cx="5060950" cy="3569970"/>
                          </a:xfrm>
                          <a:prstGeom prst="rect">
                            <a:avLst/>
                          </a:prstGeom>
                        </pic:spPr>
                      </pic:pic>
                    </a:graphicData>
                  </a:graphic>
                </wp:anchor>
              </w:drawing>
            </w:r>
            <w:r>
              <w:rPr>
                <w:rFonts w:hint="default" w:ascii="Times New Roman" w:hAnsi="Times New Roman" w:eastAsia="宋体" w:cs="Times New Roman"/>
                <w:color w:val="auto"/>
                <w:kern w:val="0"/>
                <w:szCs w:val="21"/>
                <w:lang w:val="en-US" w:eastAsia="zh-CN"/>
              </w:rPr>
              <w:t>项目位于</w:t>
            </w:r>
            <w:r>
              <w:rPr>
                <w:rFonts w:hint="default" w:ascii="Times New Roman" w:hAnsi="Times New Roman" w:cs="Times New Roman" w:eastAsiaTheme="majorEastAsia"/>
                <w:bCs/>
                <w:color w:val="auto"/>
                <w:szCs w:val="21"/>
                <w:lang w:val="en-US" w:eastAsia="zh-CN"/>
              </w:rPr>
              <w:t>重庆市九龙坡区经纬大道1305号</w:t>
            </w:r>
            <w:r>
              <w:rPr>
                <w:rFonts w:hint="eastAsia" w:ascii="Times New Roman" w:hAnsi="Times New Roman" w:cs="Times New Roman" w:eastAsiaTheme="majorEastAsia"/>
                <w:b w:val="0"/>
                <w:bCs/>
                <w:color w:val="auto"/>
                <w:szCs w:val="21"/>
                <w:lang w:val="en-US" w:eastAsia="zh-CN"/>
              </w:rPr>
              <w:t>远洋城二期19栋底商吊2-3商业用房</w:t>
            </w:r>
            <w:r>
              <w:rPr>
                <w:rFonts w:hint="default" w:ascii="Times New Roman" w:hAnsi="Times New Roman" w:eastAsia="宋体" w:cs="Times New Roman"/>
                <w:color w:val="auto"/>
                <w:kern w:val="0"/>
                <w:szCs w:val="21"/>
                <w:lang w:val="en-US" w:eastAsia="zh-CN"/>
              </w:rPr>
              <w:t>，依据《重庆市中心城区声环境功能区划分方案（2023年）》（渝环〔2023〕61号）</w:t>
            </w:r>
            <w:r>
              <w:rPr>
                <w:rFonts w:hint="eastAsia" w:ascii="Times New Roman" w:hAnsi="Times New Roman" w:cs="Times New Roman"/>
                <w:color w:val="auto"/>
                <w:kern w:val="0"/>
                <w:szCs w:val="21"/>
                <w:lang w:val="en-US" w:eastAsia="zh-CN"/>
              </w:rPr>
              <w:t>可知，项目所在区域</w:t>
            </w:r>
            <w:r>
              <w:rPr>
                <w:rFonts w:hint="default" w:ascii="Times New Roman" w:hAnsi="Times New Roman" w:eastAsia="宋体" w:cs="Times New Roman"/>
                <w:color w:val="auto"/>
                <w:kern w:val="0"/>
                <w:szCs w:val="21"/>
                <w:lang w:val="en-US" w:eastAsia="zh-CN"/>
              </w:rPr>
              <w:t>声功能区划为2类，应执行《声环境质量标准》（GB3096-2008）2类标准</w:t>
            </w:r>
            <w:r>
              <w:rPr>
                <w:rFonts w:hint="eastAsia" w:ascii="Times New Roman" w:hAnsi="Times New Roman" w:cs="Times New Roman"/>
                <w:color w:val="auto"/>
                <w:kern w:val="0"/>
                <w:szCs w:val="21"/>
                <w:lang w:val="en-US" w:eastAsia="zh-CN"/>
              </w:rPr>
              <w:t>。九龙坡区</w:t>
            </w:r>
            <w:r>
              <w:rPr>
                <w:rFonts w:hint="default" w:ascii="Times New Roman" w:hAnsi="Times New Roman" w:eastAsia="宋体" w:cs="Times New Roman"/>
                <w:color w:val="auto"/>
                <w:kern w:val="0"/>
                <w:szCs w:val="21"/>
                <w:lang w:val="en-US" w:eastAsia="zh-CN"/>
              </w:rPr>
              <w:t>声环境功能区划分见图3-1。</w:t>
            </w:r>
          </w:p>
          <w:p w14:paraId="553C9EC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lang w:val="en-US" w:eastAsia="zh-CN"/>
              </w:rPr>
            </w:pPr>
          </w:p>
          <w:p w14:paraId="73B6069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lang w:val="en-US" w:eastAsia="zh-CN"/>
              </w:rPr>
            </w:pPr>
          </w:p>
          <w:p w14:paraId="09127C8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lang w:val="en-US" w:eastAsia="zh-CN"/>
              </w:rPr>
            </w:pPr>
          </w:p>
          <w:p w14:paraId="5968A78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61C7899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02E549A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2DD7E49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4398B4F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395DEDF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2399665</wp:posOffset>
                      </wp:positionH>
                      <wp:positionV relativeFrom="paragraph">
                        <wp:posOffset>1270</wp:posOffset>
                      </wp:positionV>
                      <wp:extent cx="790575" cy="298450"/>
                      <wp:effectExtent l="5080" t="1469390" r="12065" b="15240"/>
                      <wp:wrapNone/>
                      <wp:docPr id="163" name="圆角矩形标注 163"/>
                      <wp:cNvGraphicFramePr/>
                      <a:graphic xmlns:a="http://schemas.openxmlformats.org/drawingml/2006/main">
                        <a:graphicData uri="http://schemas.microsoft.com/office/word/2010/wordprocessingShape">
                          <wps:wsp>
                            <wps:cNvSpPr/>
                            <wps:spPr>
                              <a:xfrm>
                                <a:off x="3902075" y="4408170"/>
                                <a:ext cx="790575" cy="298450"/>
                              </a:xfrm>
                              <a:prstGeom prst="wedgeRoundRectCallout">
                                <a:avLst>
                                  <a:gd name="adj1" fmla="val -5903"/>
                                  <a:gd name="adj2" fmla="val -540851"/>
                                  <a:gd name="adj3" fmla="val 16667"/>
                                </a:avLst>
                              </a:prstGeom>
                              <a:noFill/>
                              <a:ln w="317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18A89B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8.95pt;margin-top:0.1pt;height:23.5pt;width:62.25pt;z-index:251663360;v-text-anchor:middle;mso-width-relative:page;mso-height-relative:page;" filled="f" stroked="t" coordsize="21600,21600" o:gfxdata="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v213vVAAAABwEAAA8AAAAA&#10;AAAAAQAgAAAAIgAAAGRycy9kb3ducmV2LnhtbFBLAQIUABQAAAAIAIdO4kAKjO11wgIAAGEFAAAO&#10;AAAAAAAAAAEAIAAAACQBAABkcnMvZTJvRG9jLnhtbFBLBQYAAAAABgAGAFkBAABYBgAAAAA=&#10;" adj="9525,-106024,14400">
                      <v:fill on="f" focussize="0,0"/>
                      <v:stroke weight="0.25pt" color="#000000 [3213]" joinstyle="round"/>
                      <v:imagedata o:title=""/>
                      <o:lock v:ext="edit" aspectratio="f"/>
                      <v:textbox>
                        <w:txbxContent>
                          <w:p w14:paraId="218A89B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p>
          <w:p w14:paraId="4625844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6345BCC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5A23A33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32FB58B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6041442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Cs w:val="21"/>
              </w:rPr>
            </w:pPr>
          </w:p>
          <w:p w14:paraId="323D09F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图3-1  九龙坡区声环境功能区划</w:t>
            </w:r>
          </w:p>
          <w:p w14:paraId="6F8DEB6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imes New Roman" w:hAnsi="Times New Roman" w:cs="Times New Roman"/>
                <w:color w:val="auto"/>
                <w:szCs w:val="21"/>
                <w:lang w:val="en-US" w:eastAsia="zh-CN"/>
              </w:rPr>
            </w:pPr>
            <w:r>
              <w:rPr>
                <w:rFonts w:hint="default" w:ascii="Times New Roman" w:hAnsi="Times New Roman" w:eastAsia="宋体" w:cs="Times New Roman"/>
                <w:color w:val="auto"/>
                <w:kern w:val="0"/>
                <w:szCs w:val="21"/>
              </w:rPr>
              <w:t>根据《建设项目环境影响报告表编制技术指南（污染影响类）（试行）》可知，声环境质量现状应监测项目</w:t>
            </w:r>
            <w:r>
              <w:rPr>
                <w:rFonts w:hint="eastAsia" w:ascii="Times New Roman" w:hAnsi="Times New Roman" w:cs="Times New Roman"/>
                <w:color w:val="auto"/>
                <w:kern w:val="0"/>
                <w:szCs w:val="21"/>
                <w:lang w:val="en-US" w:eastAsia="zh-CN"/>
              </w:rPr>
              <w:t>厂界</w:t>
            </w:r>
            <w:r>
              <w:rPr>
                <w:rFonts w:hint="default" w:ascii="Times New Roman" w:hAnsi="Times New Roman" w:eastAsia="宋体" w:cs="Times New Roman"/>
                <w:color w:val="auto"/>
                <w:kern w:val="0"/>
                <w:szCs w:val="21"/>
              </w:rPr>
              <w:t>外周边50米范围内的声环境保护目标。根据调查，本项目</w:t>
            </w:r>
            <w:r>
              <w:rPr>
                <w:rFonts w:hint="eastAsia" w:ascii="Times New Roman" w:hAnsi="Times New Roman" w:cs="Times New Roman"/>
                <w:color w:val="auto"/>
                <w:kern w:val="0"/>
                <w:szCs w:val="21"/>
                <w:lang w:val="en-US" w:eastAsia="zh-CN"/>
              </w:rPr>
              <w:t>针对</w:t>
            </w:r>
            <w:r>
              <w:rPr>
                <w:rFonts w:hint="default" w:ascii="Times New Roman" w:hAnsi="Times New Roman" w:eastAsia="宋体" w:cs="Times New Roman"/>
                <w:color w:val="auto"/>
                <w:kern w:val="0"/>
                <w:szCs w:val="21"/>
              </w:rPr>
              <w:t>厂界外50m范围</w:t>
            </w:r>
            <w:r>
              <w:rPr>
                <w:rFonts w:hint="eastAsia" w:ascii="Times New Roman" w:hAnsi="Times New Roman" w:cs="Times New Roman"/>
                <w:color w:val="auto"/>
                <w:kern w:val="0"/>
                <w:szCs w:val="21"/>
                <w:lang w:val="en-US" w:eastAsia="zh-CN"/>
              </w:rPr>
              <w:t>内的</w:t>
            </w:r>
            <w:r>
              <w:rPr>
                <w:rFonts w:hint="default" w:ascii="Times New Roman" w:hAnsi="Times New Roman" w:cs="Times New Roman"/>
                <w:color w:val="auto"/>
                <w:szCs w:val="21"/>
              </w:rPr>
              <w:t>声环境保护目标</w:t>
            </w:r>
            <w:r>
              <w:rPr>
                <w:rFonts w:hint="eastAsia" w:ascii="Times New Roman" w:hAnsi="Times New Roman" w:cs="Times New Roman"/>
                <w:color w:val="auto"/>
                <w:szCs w:val="21"/>
                <w:lang w:val="en-US" w:eastAsia="zh-CN"/>
              </w:rPr>
              <w:t>进行了声环境现状监测，项目</w:t>
            </w:r>
            <w:r>
              <w:rPr>
                <w:rFonts w:hint="default" w:ascii="Times New Roman" w:hAnsi="Times New Roman" w:eastAsia="宋体" w:cs="Times New Roman"/>
                <w:color w:val="auto"/>
                <w:kern w:val="0"/>
                <w:szCs w:val="21"/>
              </w:rPr>
              <w:t>厂界外50m范围</w:t>
            </w:r>
            <w:r>
              <w:rPr>
                <w:rFonts w:hint="eastAsia" w:ascii="Times New Roman" w:hAnsi="Times New Roman" w:cs="Times New Roman"/>
                <w:color w:val="auto"/>
                <w:kern w:val="0"/>
                <w:szCs w:val="21"/>
                <w:lang w:val="en-US" w:eastAsia="zh-CN"/>
              </w:rPr>
              <w:t>内</w:t>
            </w:r>
            <w:r>
              <w:rPr>
                <w:rFonts w:hint="eastAsia" w:ascii="Times New Roman" w:hAnsi="Times New Roman" w:cs="Times New Roman"/>
                <w:color w:val="auto"/>
                <w:szCs w:val="21"/>
                <w:lang w:val="en-US" w:eastAsia="zh-CN"/>
              </w:rPr>
              <w:t>声环境保护目标主要为项目所在的远洋城二期19栋住宅楼以及项目西侧不远的远洋城二期20栋住宅楼，具体如下所示：</w:t>
            </w:r>
          </w:p>
          <w:p w14:paraId="62F14FC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监测时间：202</w:t>
            </w:r>
            <w:r>
              <w:rPr>
                <w:rFonts w:hint="eastAsia" w:ascii="Times New Roman" w:hAnsi="Times New Roman" w:cs="Times New Roman"/>
                <w:color w:val="auto"/>
                <w:szCs w:val="21"/>
                <w:lang w:val="en-US" w:eastAsia="zh-CN"/>
              </w:rPr>
              <w:t>5</w:t>
            </w:r>
            <w:r>
              <w:rPr>
                <w:rFonts w:hint="eastAsia" w:ascii="Times New Roman" w:hAnsi="Times New Roman" w:eastAsia="宋体" w:cs="Times New Roman"/>
                <w:color w:val="auto"/>
                <w:szCs w:val="21"/>
                <w:lang w:val="en-US" w:eastAsia="zh-CN"/>
              </w:rPr>
              <w:t>年</w:t>
            </w:r>
            <w:r>
              <w:rPr>
                <w:rFonts w:hint="eastAsia" w:ascii="Times New Roman" w:hAnsi="Times New Roman" w:cs="Times New Roman"/>
                <w:color w:val="auto"/>
                <w:szCs w:val="21"/>
                <w:lang w:val="en-US" w:eastAsia="zh-CN"/>
              </w:rPr>
              <w:t>3</w:t>
            </w:r>
            <w:r>
              <w:rPr>
                <w:rFonts w:hint="eastAsia" w:ascii="Times New Roman" w:hAnsi="Times New Roman" w:eastAsia="宋体" w:cs="Times New Roman"/>
                <w:color w:val="auto"/>
                <w:szCs w:val="21"/>
                <w:lang w:val="en-US" w:eastAsia="zh-CN"/>
              </w:rPr>
              <w:t>月</w:t>
            </w:r>
            <w:r>
              <w:rPr>
                <w:rFonts w:hint="eastAsia" w:ascii="Times New Roman" w:hAnsi="Times New Roman" w:cs="Times New Roman"/>
                <w:color w:val="auto"/>
                <w:szCs w:val="21"/>
                <w:lang w:val="en-US" w:eastAsia="zh-CN"/>
              </w:rPr>
              <w:t>12</w:t>
            </w:r>
            <w:r>
              <w:rPr>
                <w:rFonts w:hint="eastAsia" w:ascii="Times New Roman" w:hAnsi="Times New Roman" w:eastAsia="宋体" w:cs="Times New Roman"/>
                <w:color w:val="auto"/>
                <w:szCs w:val="21"/>
                <w:lang w:val="en-US" w:eastAsia="zh-CN"/>
              </w:rPr>
              <w:t>日</w:t>
            </w:r>
          </w:p>
          <w:p w14:paraId="189A3D6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监测频率：昼</w:t>
            </w:r>
            <w:r>
              <w:rPr>
                <w:rFonts w:hint="eastAsia" w:ascii="Times New Roman" w:hAnsi="Times New Roman" w:cs="Times New Roman"/>
                <w:color w:val="auto"/>
                <w:szCs w:val="21"/>
                <w:lang w:val="en-US" w:eastAsia="zh-CN"/>
              </w:rPr>
              <w:t>夜各</w:t>
            </w:r>
            <w:r>
              <w:rPr>
                <w:rFonts w:hint="eastAsia" w:ascii="Times New Roman" w:hAnsi="Times New Roman" w:eastAsia="宋体" w:cs="Times New Roman"/>
                <w:color w:val="auto"/>
                <w:szCs w:val="21"/>
                <w:lang w:val="en-US" w:eastAsia="zh-CN"/>
              </w:rPr>
              <w:t>1次，监测1天</w:t>
            </w:r>
          </w:p>
          <w:p w14:paraId="114C599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监测项目：环境噪声</w:t>
            </w:r>
          </w:p>
          <w:p w14:paraId="017C117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监测点位：</w:t>
            </w:r>
            <w:r>
              <w:rPr>
                <w:rFonts w:hint="eastAsia" w:ascii="Times New Roman" w:hAnsi="Times New Roman" w:cs="Times New Roman"/>
                <w:color w:val="auto"/>
                <w:szCs w:val="21"/>
                <w:lang w:val="en-US" w:eastAsia="zh-CN"/>
              </w:rPr>
              <w:t>项目N1监测点位于</w:t>
            </w:r>
            <w:r>
              <w:rPr>
                <w:rFonts w:hint="eastAsia"/>
                <w:color w:val="auto"/>
              </w:rPr>
              <w:t>距离本项目最近的敏感</w:t>
            </w:r>
            <w:r>
              <w:rPr>
                <w:rFonts w:hint="eastAsia" w:ascii="Times New Roman" w:hAnsi="Times New Roman" w:cs="Times New Roman"/>
                <w:color w:val="auto"/>
                <w:szCs w:val="21"/>
                <w:lang w:val="en-US" w:eastAsia="zh-CN"/>
              </w:rPr>
              <w:t>目标19号楼，19号楼与20号楼两栋住宅楼相隔不远，所处声环境相似，具有代表性。</w:t>
            </w:r>
          </w:p>
          <w:p w14:paraId="58F2C9DD">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监测结果如下所示。</w:t>
            </w:r>
          </w:p>
          <w:p w14:paraId="776CC147">
            <w:pPr>
              <w:pStyle w:val="9"/>
              <w:keepNext w:val="0"/>
              <w:keepLines w:val="0"/>
              <w:pageBreakBefore w:val="0"/>
              <w:widowControl w:val="0"/>
              <w:kinsoku/>
              <w:wordWrap/>
              <w:overflowPunct/>
              <w:topLinePunct w:val="0"/>
              <w:bidi w:val="0"/>
              <w:adjustRightInd w:val="0"/>
              <w:snapToGrid w:val="0"/>
              <w:spacing w:after="0" w:line="4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声环境现状监测结果一览表 单位：mg/L</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471"/>
              <w:gridCol w:w="1681"/>
              <w:gridCol w:w="1709"/>
              <w:gridCol w:w="1403"/>
            </w:tblGrid>
            <w:tr w14:paraId="2756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700" w:type="dxa"/>
                  <w:vMerge w:val="restart"/>
                  <w:noWrap w:val="0"/>
                  <w:vAlign w:val="center"/>
                </w:tcPr>
                <w:p w14:paraId="001DCC52">
                  <w:pPr>
                    <w:pStyle w:val="9"/>
                    <w:adjustRightInd w:val="0"/>
                    <w:snapToGrid w:val="0"/>
                    <w:spacing w:after="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监测项</w:t>
                  </w:r>
                </w:p>
              </w:tc>
              <w:tc>
                <w:tcPr>
                  <w:tcW w:w="1471" w:type="dxa"/>
                  <w:vMerge w:val="restart"/>
                  <w:noWrap w:val="0"/>
                  <w:vAlign w:val="center"/>
                </w:tcPr>
                <w:p w14:paraId="6710C7FE">
                  <w:pPr>
                    <w:pStyle w:val="9"/>
                    <w:adjustRightInd w:val="0"/>
                    <w:snapToGrid w:val="0"/>
                    <w:spacing w:after="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检测点位</w:t>
                  </w:r>
                </w:p>
              </w:tc>
              <w:tc>
                <w:tcPr>
                  <w:tcW w:w="3390" w:type="dxa"/>
                  <w:gridSpan w:val="2"/>
                  <w:noWrap w:val="0"/>
                  <w:vAlign w:val="center"/>
                </w:tcPr>
                <w:p w14:paraId="210DD436">
                  <w:pPr>
                    <w:pStyle w:val="9"/>
                    <w:adjustRightInd w:val="0"/>
                    <w:snapToGrid w:val="0"/>
                    <w:spacing w:after="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检测结果dB(A)</w:t>
                  </w:r>
                </w:p>
              </w:tc>
              <w:tc>
                <w:tcPr>
                  <w:tcW w:w="1403" w:type="dxa"/>
                  <w:vMerge w:val="restart"/>
                  <w:noWrap w:val="0"/>
                  <w:vAlign w:val="center"/>
                </w:tcPr>
                <w:p w14:paraId="6DE75720">
                  <w:pPr>
                    <w:pStyle w:val="9"/>
                    <w:adjustRightInd w:val="0"/>
                    <w:snapToGrid w:val="0"/>
                    <w:spacing w:after="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备注</w:t>
                  </w:r>
                </w:p>
              </w:tc>
            </w:tr>
            <w:tr w14:paraId="7096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700" w:type="dxa"/>
                  <w:vMerge w:val="continue"/>
                  <w:noWrap w:val="0"/>
                  <w:vAlign w:val="center"/>
                </w:tcPr>
                <w:p w14:paraId="06023F65">
                  <w:pPr>
                    <w:pStyle w:val="9"/>
                    <w:adjustRightInd w:val="0"/>
                    <w:snapToGrid w:val="0"/>
                    <w:spacing w:after="0"/>
                    <w:jc w:val="center"/>
                    <w:rPr>
                      <w:rFonts w:hint="default" w:ascii="Times New Roman" w:hAnsi="Times New Roman" w:cs="Times New Roman"/>
                      <w:color w:val="auto"/>
                      <w:sz w:val="18"/>
                      <w:szCs w:val="18"/>
                    </w:rPr>
                  </w:pPr>
                </w:p>
              </w:tc>
              <w:tc>
                <w:tcPr>
                  <w:tcW w:w="1471" w:type="dxa"/>
                  <w:vMerge w:val="continue"/>
                  <w:noWrap w:val="0"/>
                  <w:vAlign w:val="center"/>
                </w:tcPr>
                <w:p w14:paraId="1D95535C">
                  <w:pPr>
                    <w:pStyle w:val="9"/>
                    <w:adjustRightInd w:val="0"/>
                    <w:snapToGrid w:val="0"/>
                    <w:spacing w:after="0"/>
                    <w:jc w:val="center"/>
                    <w:rPr>
                      <w:rFonts w:hint="default" w:ascii="Times New Roman" w:hAnsi="Times New Roman" w:cs="Times New Roman"/>
                      <w:color w:val="auto"/>
                      <w:sz w:val="18"/>
                      <w:szCs w:val="18"/>
                    </w:rPr>
                  </w:pPr>
                </w:p>
              </w:tc>
              <w:tc>
                <w:tcPr>
                  <w:tcW w:w="1681" w:type="dxa"/>
                  <w:noWrap w:val="0"/>
                  <w:vAlign w:val="center"/>
                </w:tcPr>
                <w:p w14:paraId="7639922B">
                  <w:pPr>
                    <w:pStyle w:val="9"/>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昼间</w:t>
                  </w:r>
                </w:p>
              </w:tc>
              <w:tc>
                <w:tcPr>
                  <w:tcW w:w="1709" w:type="dxa"/>
                  <w:noWrap w:val="0"/>
                  <w:vAlign w:val="center"/>
                </w:tcPr>
                <w:p w14:paraId="41A24157">
                  <w:pPr>
                    <w:pStyle w:val="9"/>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夜间</w:t>
                  </w:r>
                </w:p>
              </w:tc>
              <w:tc>
                <w:tcPr>
                  <w:tcW w:w="1403" w:type="dxa"/>
                  <w:vMerge w:val="continue"/>
                  <w:noWrap w:val="0"/>
                  <w:vAlign w:val="center"/>
                </w:tcPr>
                <w:p w14:paraId="392D46B6">
                  <w:pPr>
                    <w:pStyle w:val="9"/>
                    <w:adjustRightInd w:val="0"/>
                    <w:snapToGrid w:val="0"/>
                    <w:spacing w:after="0"/>
                    <w:jc w:val="center"/>
                    <w:rPr>
                      <w:rFonts w:hint="default" w:ascii="Times New Roman" w:hAnsi="Times New Roman" w:cs="Times New Roman"/>
                      <w:color w:val="auto"/>
                      <w:sz w:val="18"/>
                      <w:szCs w:val="18"/>
                    </w:rPr>
                  </w:pPr>
                </w:p>
              </w:tc>
            </w:tr>
            <w:tr w14:paraId="0A38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00" w:type="dxa"/>
                  <w:noWrap w:val="0"/>
                  <w:vAlign w:val="center"/>
                </w:tcPr>
                <w:p w14:paraId="7CEF6928">
                  <w:pPr>
                    <w:pStyle w:val="9"/>
                    <w:adjustRightInd w:val="0"/>
                    <w:snapToGrid w:val="0"/>
                    <w:spacing w:after="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环境噪声</w:t>
                  </w:r>
                </w:p>
              </w:tc>
              <w:tc>
                <w:tcPr>
                  <w:tcW w:w="1471" w:type="dxa"/>
                  <w:noWrap w:val="0"/>
                  <w:vAlign w:val="center"/>
                </w:tcPr>
                <w:p w14:paraId="08B9C12B">
                  <w:pPr>
                    <w:pStyle w:val="9"/>
                    <w:keepNext w:val="0"/>
                    <w:keepLines w:val="0"/>
                    <w:pageBreakBefore w:val="0"/>
                    <w:widowControl w:val="0"/>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西侧，</w:t>
                  </w:r>
                  <w:r>
                    <w:rPr>
                      <w:rFonts w:hint="default" w:ascii="Times New Roman" w:hAnsi="Times New Roman" w:eastAsia="宋体" w:cs="Times New Roman"/>
                      <w:color w:val="auto"/>
                      <w:sz w:val="18"/>
                      <w:szCs w:val="18"/>
                      <w:lang w:val="en-US" w:eastAsia="zh-CN"/>
                    </w:rPr>
                    <w:t>N1</w:t>
                  </w:r>
                </w:p>
              </w:tc>
              <w:tc>
                <w:tcPr>
                  <w:tcW w:w="1681" w:type="dxa"/>
                  <w:noWrap w:val="0"/>
                  <w:vAlign w:val="center"/>
                </w:tcPr>
                <w:p w14:paraId="79EBB0FB">
                  <w:pPr>
                    <w:keepNext w:val="0"/>
                    <w:keepLines w:val="0"/>
                    <w:pageBreakBefore w:val="0"/>
                    <w:widowControl w:val="0"/>
                    <w:kinsoku/>
                    <w:wordWrap/>
                    <w:overflowPunct/>
                    <w:topLinePunct w:val="0"/>
                    <w:autoSpaceDE/>
                    <w:autoSpaceDN/>
                    <w:bidi w:val="0"/>
                    <w:spacing w:line="240" w:lineRule="exact"/>
                    <w:ind w:left="-67" w:leftChars="-32"/>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48</w:t>
                  </w:r>
                </w:p>
              </w:tc>
              <w:tc>
                <w:tcPr>
                  <w:tcW w:w="1709" w:type="dxa"/>
                  <w:noWrap w:val="0"/>
                  <w:vAlign w:val="center"/>
                </w:tcPr>
                <w:p w14:paraId="116BBFC9">
                  <w:pPr>
                    <w:keepNext w:val="0"/>
                    <w:keepLines w:val="0"/>
                    <w:pageBreakBefore w:val="0"/>
                    <w:widowControl w:val="0"/>
                    <w:kinsoku/>
                    <w:wordWrap/>
                    <w:overflowPunct/>
                    <w:topLinePunct w:val="0"/>
                    <w:autoSpaceDE/>
                    <w:autoSpaceDN/>
                    <w:bidi w:val="0"/>
                    <w:spacing w:line="240" w:lineRule="exact"/>
                    <w:ind w:left="-67" w:leftChars="-32"/>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47</w:t>
                  </w:r>
                </w:p>
              </w:tc>
              <w:tc>
                <w:tcPr>
                  <w:tcW w:w="1403" w:type="dxa"/>
                  <w:noWrap w:val="0"/>
                  <w:vAlign w:val="center"/>
                </w:tcPr>
                <w:p w14:paraId="295EB97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p>
              </w:tc>
            </w:tr>
          </w:tbl>
          <w:p w14:paraId="15DC96D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color w:val="auto"/>
                <w:lang w:val="en-US" w:eastAsia="zh-CN"/>
              </w:rPr>
            </w:pPr>
            <w:r>
              <w:rPr>
                <w:rFonts w:hint="eastAsia"/>
                <w:b w:val="0"/>
                <w:bCs/>
                <w:color w:val="auto"/>
                <w:szCs w:val="21"/>
                <w:lang w:val="en-US" w:eastAsia="zh-CN"/>
              </w:rPr>
              <w:t>根据监测结果可知，该声环境保护目标声环境质量现状满足《声环境质量标准》（GB 3096-2008）2类标准要求。</w:t>
            </w:r>
          </w:p>
          <w:p w14:paraId="45C7AA4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b/>
                <w:color w:val="auto"/>
                <w:szCs w:val="21"/>
              </w:rPr>
            </w:pPr>
            <w:r>
              <w:rPr>
                <w:rFonts w:hint="default" w:ascii="Times New Roman" w:hAnsi="Times New Roman" w:eastAsia="宋体" w:cs="Times New Roman"/>
                <w:b/>
                <w:bCs/>
                <w:color w:val="auto"/>
                <w:kern w:val="0"/>
                <w:szCs w:val="21"/>
                <w:lang w:val="en-US" w:eastAsia="zh-CN"/>
              </w:rPr>
              <w:t>3.</w:t>
            </w:r>
            <w:r>
              <w:rPr>
                <w:rFonts w:hint="eastAsia" w:ascii="Times New Roman" w:hAnsi="Times New Roman" w:eastAsia="宋体" w:cs="Times New Roman"/>
                <w:b/>
                <w:bCs/>
                <w:color w:val="auto"/>
                <w:kern w:val="0"/>
                <w:szCs w:val="21"/>
                <w:lang w:val="en-US" w:eastAsia="zh-CN"/>
              </w:rPr>
              <w:t>4</w:t>
            </w:r>
            <w:r>
              <w:rPr>
                <w:rFonts w:hint="eastAsia"/>
                <w:b/>
                <w:color w:val="auto"/>
                <w:szCs w:val="21"/>
              </w:rPr>
              <w:t>生态环境、电磁辐射</w:t>
            </w:r>
          </w:p>
          <w:p w14:paraId="0CF6B65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lang w:eastAsia="zh-CN"/>
              </w:rPr>
            </w:pPr>
            <w:r>
              <w:rPr>
                <w:rFonts w:hint="default" w:ascii="Times New Roman" w:hAnsi="Times New Roman" w:eastAsia="宋体" w:cs="Times New Roman"/>
                <w:color w:val="auto"/>
                <w:kern w:val="0"/>
                <w:szCs w:val="21"/>
                <w:lang w:val="en-US" w:eastAsia="zh-CN"/>
              </w:rPr>
              <w:t>项目位于</w:t>
            </w:r>
            <w:r>
              <w:rPr>
                <w:rFonts w:hint="default" w:ascii="Times New Roman" w:hAnsi="Times New Roman" w:cs="Times New Roman" w:eastAsiaTheme="majorEastAsia"/>
                <w:bCs/>
                <w:color w:val="auto"/>
                <w:szCs w:val="21"/>
                <w:lang w:val="en-US" w:eastAsia="zh-CN"/>
              </w:rPr>
              <w:t>重庆市九龙坡区经纬大道1305号</w:t>
            </w:r>
            <w:r>
              <w:rPr>
                <w:rFonts w:hint="eastAsia" w:ascii="Times New Roman" w:hAnsi="Times New Roman" w:cs="Times New Roman" w:eastAsiaTheme="majorEastAsia"/>
                <w:b w:val="0"/>
                <w:bCs/>
                <w:color w:val="auto"/>
                <w:szCs w:val="21"/>
                <w:lang w:val="en-US" w:eastAsia="zh-CN"/>
              </w:rPr>
              <w:t>远洋城二期19栋底商吊2-3商业用房</w:t>
            </w:r>
            <w:r>
              <w:rPr>
                <w:rFonts w:hint="default" w:ascii="Times New Roman" w:hAnsi="Times New Roman" w:eastAsia="宋体" w:cs="Times New Roman"/>
                <w:color w:val="auto"/>
                <w:kern w:val="0"/>
                <w:szCs w:val="21"/>
                <w:lang w:val="en-US" w:eastAsia="zh-CN"/>
              </w:rPr>
              <w:t>开展经营活动，不新增占地。周边已建设住宅区、商业区和道路。周围不含有生态环境保护目标，不涉及生态红线范围，对生态环境的影响较小。</w:t>
            </w:r>
            <w:r>
              <w:rPr>
                <w:rFonts w:hint="eastAsia"/>
                <w:color w:val="auto"/>
                <w:szCs w:val="21"/>
              </w:rPr>
              <w:t>根据《建设项目环境影响报告表编制技术指南（污染影响类）（试行）》</w:t>
            </w:r>
            <w:r>
              <w:rPr>
                <w:rFonts w:hint="eastAsia"/>
                <w:color w:val="auto"/>
                <w:szCs w:val="21"/>
                <w:lang w:val="en-US" w:eastAsia="zh-CN"/>
              </w:rPr>
              <w:t>可知，</w:t>
            </w:r>
            <w:r>
              <w:rPr>
                <w:rFonts w:hint="eastAsia"/>
                <w:color w:val="auto"/>
                <w:szCs w:val="21"/>
              </w:rPr>
              <w:t>可不</w:t>
            </w:r>
            <w:r>
              <w:rPr>
                <w:rFonts w:hint="eastAsia"/>
                <w:color w:val="auto"/>
                <w:szCs w:val="21"/>
                <w:lang w:val="en-US" w:eastAsia="zh-CN"/>
              </w:rPr>
              <w:t>进行</w:t>
            </w:r>
            <w:r>
              <w:rPr>
                <w:rFonts w:hint="eastAsia"/>
                <w:color w:val="auto"/>
                <w:szCs w:val="21"/>
              </w:rPr>
              <w:t>生态现状调查</w:t>
            </w:r>
            <w:r>
              <w:rPr>
                <w:rFonts w:hint="eastAsia"/>
                <w:color w:val="auto"/>
                <w:szCs w:val="21"/>
                <w:lang w:eastAsia="zh-CN"/>
              </w:rPr>
              <w:t>。</w:t>
            </w:r>
          </w:p>
          <w:p w14:paraId="51E2F3A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rPr>
            </w:pPr>
            <w:r>
              <w:rPr>
                <w:rFonts w:hint="eastAsia"/>
                <w:color w:val="auto"/>
                <w:szCs w:val="21"/>
                <w:lang w:val="en-US" w:eastAsia="zh-CN"/>
              </w:rPr>
              <w:t>项目不属于</w:t>
            </w:r>
            <w:r>
              <w:rPr>
                <w:rFonts w:hint="eastAsia"/>
                <w:color w:val="auto"/>
                <w:szCs w:val="21"/>
              </w:rPr>
              <w:t>《建设项目环境影响报告表编制技术指南（污染影响类）（试行）》</w:t>
            </w:r>
            <w:r>
              <w:rPr>
                <w:rFonts w:hint="eastAsia"/>
                <w:color w:val="auto"/>
                <w:szCs w:val="21"/>
                <w:lang w:val="en-US" w:eastAsia="zh-CN"/>
              </w:rPr>
              <w:t>中所列的差转台等电磁辐射类项目，</w:t>
            </w:r>
            <w:r>
              <w:rPr>
                <w:rFonts w:hint="eastAsia"/>
                <w:color w:val="auto"/>
                <w:szCs w:val="21"/>
              </w:rPr>
              <w:t>可不开展电磁辐射类现状监测</w:t>
            </w:r>
            <w:r>
              <w:rPr>
                <w:rFonts w:hint="eastAsia"/>
                <w:color w:val="auto"/>
                <w:szCs w:val="21"/>
                <w:lang w:val="en-US" w:eastAsia="zh-CN"/>
              </w:rPr>
              <w:t>与评价</w:t>
            </w:r>
            <w:r>
              <w:rPr>
                <w:rFonts w:hint="eastAsia"/>
                <w:color w:val="auto"/>
                <w:szCs w:val="21"/>
              </w:rPr>
              <w:t>。</w:t>
            </w:r>
          </w:p>
          <w:p w14:paraId="766508A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lang w:val="en-US" w:eastAsia="zh-CN"/>
              </w:rPr>
            </w:pPr>
            <w:r>
              <w:rPr>
                <w:rFonts w:hint="eastAsia"/>
                <w:color w:val="auto"/>
                <w:szCs w:val="21"/>
                <w:lang w:val="en-US" w:eastAsia="zh-CN"/>
              </w:rPr>
              <w:t>项目DR室配备一台DR机，属于III类射线装置，业主已取得辐射安全许可证，证书编号：渝环辐证[15145]。</w:t>
            </w:r>
          </w:p>
          <w:p w14:paraId="5BD25D67">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3.</w:t>
            </w:r>
            <w:r>
              <w:rPr>
                <w:rFonts w:hint="eastAsia" w:ascii="Times New Roman" w:hAnsi="Times New Roman" w:eastAsia="宋体" w:cs="Times New Roman"/>
                <w:b/>
                <w:bCs/>
                <w:color w:val="auto"/>
                <w:kern w:val="0"/>
                <w:szCs w:val="21"/>
                <w:lang w:val="en-US" w:eastAsia="zh-CN"/>
              </w:rPr>
              <w:t>5</w:t>
            </w:r>
            <w:r>
              <w:rPr>
                <w:rFonts w:hint="default" w:ascii="Times New Roman" w:hAnsi="Times New Roman" w:eastAsia="宋体" w:cs="Times New Roman"/>
                <w:b/>
                <w:bCs/>
                <w:color w:val="auto"/>
                <w:kern w:val="0"/>
                <w:szCs w:val="21"/>
                <w:lang w:val="en-US" w:eastAsia="zh-CN"/>
              </w:rPr>
              <w:t>地下水、土壤环境质量现状</w:t>
            </w:r>
          </w:p>
          <w:p w14:paraId="06DA22B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根据《建设项目环境影响报告表编制技术指南（污染影响类）（试行）》可知，地下水原则上不开展环境质量现状调查。建设项目存在地下水环境污染途径的，应结合污染源、保护目标分布情况开展现状调查以留作背景样。</w:t>
            </w:r>
          </w:p>
          <w:p w14:paraId="2944373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本项目周边均为</w:t>
            </w:r>
            <w:r>
              <w:rPr>
                <w:rFonts w:hint="eastAsia" w:ascii="Times New Roman" w:hAnsi="Times New Roman" w:eastAsia="宋体" w:cs="Times New Roman"/>
                <w:color w:val="auto"/>
                <w:kern w:val="0"/>
                <w:szCs w:val="21"/>
                <w:lang w:val="en-US" w:eastAsia="zh-CN"/>
              </w:rPr>
              <w:t>居住小区</w:t>
            </w:r>
            <w:r>
              <w:rPr>
                <w:rFonts w:hint="default" w:ascii="Times New Roman" w:hAnsi="Times New Roman" w:eastAsia="宋体" w:cs="Times New Roman"/>
                <w:color w:val="auto"/>
                <w:kern w:val="0"/>
                <w:szCs w:val="21"/>
                <w:lang w:val="en-US" w:eastAsia="zh-CN"/>
              </w:rPr>
              <w:t>，500m范围内不存在地下水环境敏感目标，</w:t>
            </w:r>
            <w:r>
              <w:rPr>
                <w:rFonts w:hint="eastAsia" w:ascii="Times New Roman" w:hAnsi="Times New Roman" w:eastAsia="宋体" w:cs="Times New Roman"/>
                <w:color w:val="auto"/>
                <w:kern w:val="0"/>
                <w:szCs w:val="21"/>
                <w:lang w:val="en-US" w:eastAsia="zh-CN"/>
              </w:rPr>
              <w:t>项目医疗废物按照《医疗废物管理条例》、参照</w:t>
            </w:r>
            <w:r>
              <w:rPr>
                <w:rFonts w:hint="default" w:ascii="Times New Roman" w:hAnsi="Times New Roman" w:eastAsia="宋体" w:cs="Times New Roman"/>
                <w:color w:val="auto"/>
                <w:kern w:val="0"/>
                <w:szCs w:val="21"/>
                <w:lang w:val="en-US" w:eastAsia="zh-CN"/>
              </w:rPr>
              <w:t>《危险废物贮存污染控制标准》（GB 18597-2023）</w:t>
            </w:r>
            <w:r>
              <w:rPr>
                <w:rFonts w:hint="eastAsia" w:ascii="Times New Roman" w:hAnsi="Times New Roman" w:eastAsia="宋体" w:cs="Times New Roman"/>
                <w:color w:val="auto"/>
                <w:kern w:val="0"/>
                <w:szCs w:val="21"/>
                <w:lang w:val="en-US" w:eastAsia="zh-CN"/>
              </w:rPr>
              <w:t>等</w:t>
            </w:r>
            <w:r>
              <w:rPr>
                <w:rFonts w:hint="default" w:ascii="Times New Roman" w:hAnsi="Times New Roman" w:eastAsia="宋体" w:cs="Times New Roman"/>
                <w:color w:val="auto"/>
                <w:kern w:val="0"/>
                <w:szCs w:val="21"/>
                <w:lang w:val="en-US" w:eastAsia="zh-CN"/>
              </w:rPr>
              <w:t>的要求，地面采用坚固、防渗、耐腐蚀的钢筋混凝土材料铺设</w:t>
            </w:r>
            <w:r>
              <w:rPr>
                <w:rFonts w:hint="eastAsia" w:ascii="Times New Roman" w:hAnsi="Times New Roman" w:eastAsia="宋体" w:cs="Times New Roman"/>
                <w:color w:val="auto"/>
                <w:kern w:val="0"/>
                <w:szCs w:val="21"/>
                <w:lang w:val="en-US" w:eastAsia="zh-CN"/>
              </w:rPr>
              <w:t xml:space="preserve">。运营期仅病房内产生少量臭气，医疗废水收集消毒预处理后和生活污水一并排入小区已建生化池处理。 </w:t>
            </w:r>
          </w:p>
          <w:p w14:paraId="7C7F08E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因此，项目不存在土壤、地下水环境污染途径，无需开展地下水、土壤环境质量调查。</w:t>
            </w:r>
          </w:p>
        </w:tc>
      </w:tr>
      <w:tr w14:paraId="6211E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00" w:type="dxa"/>
            <w:noWrap w:val="0"/>
            <w:vAlign w:val="center"/>
          </w:tcPr>
          <w:p w14:paraId="521FE7AD">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01AADA5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14:paraId="0C570C00">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目标</w:t>
            </w:r>
          </w:p>
        </w:tc>
        <w:tc>
          <w:tcPr>
            <w:tcW w:w="8190" w:type="dxa"/>
            <w:noWrap w:val="0"/>
            <w:vAlign w:val="center"/>
          </w:tcPr>
          <w:p w14:paraId="0E022004">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3.5环境保护目标</w:t>
            </w:r>
          </w:p>
          <w:p w14:paraId="405383C6">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①声环境</w:t>
            </w:r>
          </w:p>
          <w:p w14:paraId="4947E5D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Times New Roman" w:hAnsi="Times New Roman" w:cs="Times New Roman"/>
                <w:color w:val="auto"/>
                <w:szCs w:val="21"/>
                <w:lang w:val="en-US" w:eastAsia="zh-CN"/>
              </w:rPr>
            </w:pPr>
            <w:r>
              <w:rPr>
                <w:rFonts w:hint="default" w:ascii="Times New Roman" w:hAnsi="Times New Roman" w:eastAsia="宋体" w:cs="Times New Roman"/>
                <w:color w:val="auto"/>
                <w:szCs w:val="21"/>
              </w:rPr>
              <w:t>根据现场调查，项目厂界外周边50米范围内声环境保护目标</w:t>
            </w:r>
            <w:r>
              <w:rPr>
                <w:rFonts w:hint="eastAsia" w:ascii="Times New Roman" w:hAnsi="Times New Roman" w:cs="Times New Roman"/>
                <w:color w:val="auto"/>
                <w:szCs w:val="21"/>
                <w:lang w:val="en-US" w:eastAsia="zh-CN"/>
              </w:rPr>
              <w:t>见下表所示。</w:t>
            </w:r>
          </w:p>
          <w:p w14:paraId="6398778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color w:val="auto"/>
                <w:szCs w:val="21"/>
              </w:rPr>
            </w:pPr>
          </w:p>
          <w:p w14:paraId="3617DBF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color w:val="auto"/>
                <w:szCs w:val="21"/>
              </w:rPr>
            </w:pPr>
          </w:p>
          <w:p w14:paraId="5031F37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color w:val="auto"/>
                <w:szCs w:val="21"/>
              </w:rPr>
            </w:pPr>
            <w:r>
              <w:rPr>
                <w:b/>
                <w:color w:val="auto"/>
                <w:szCs w:val="21"/>
              </w:rPr>
              <w:t>表3-</w:t>
            </w:r>
            <w:r>
              <w:rPr>
                <w:rFonts w:hint="eastAsia"/>
                <w:b/>
                <w:color w:val="auto"/>
                <w:szCs w:val="21"/>
                <w:lang w:val="en-US" w:eastAsia="zh-CN"/>
              </w:rPr>
              <w:t xml:space="preserve">3  </w:t>
            </w:r>
            <w:r>
              <w:rPr>
                <w:b/>
                <w:color w:val="auto"/>
                <w:szCs w:val="21"/>
              </w:rPr>
              <w:t xml:space="preserve"> </w:t>
            </w:r>
            <w:r>
              <w:rPr>
                <w:rFonts w:hint="eastAsia"/>
                <w:b/>
                <w:color w:val="auto"/>
                <w:szCs w:val="21"/>
                <w:lang w:val="en-US" w:eastAsia="zh-CN"/>
              </w:rPr>
              <w:t>声</w:t>
            </w:r>
            <w:r>
              <w:rPr>
                <w:b/>
                <w:color w:val="auto"/>
                <w:szCs w:val="21"/>
              </w:rPr>
              <w:t>环境保护目标一览表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523"/>
              <w:gridCol w:w="1455"/>
              <w:gridCol w:w="1490"/>
              <w:gridCol w:w="1490"/>
              <w:gridCol w:w="1256"/>
            </w:tblGrid>
            <w:tr w14:paraId="0427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noWrap w:val="0"/>
                  <w:vAlign w:val="center"/>
                </w:tcPr>
                <w:p w14:paraId="78A50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序号</w:t>
                  </w:r>
                </w:p>
              </w:tc>
              <w:tc>
                <w:tcPr>
                  <w:tcW w:w="956" w:type="pct"/>
                  <w:noWrap w:val="0"/>
                  <w:vAlign w:val="center"/>
                </w:tcPr>
                <w:p w14:paraId="7EEE6D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声环境保护目标</w:t>
                  </w:r>
                </w:p>
              </w:tc>
              <w:tc>
                <w:tcPr>
                  <w:tcW w:w="913" w:type="pct"/>
                  <w:noWrap w:val="0"/>
                  <w:vAlign w:val="center"/>
                </w:tcPr>
                <w:p w14:paraId="08EAC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方位</w:t>
                  </w:r>
                </w:p>
              </w:tc>
              <w:tc>
                <w:tcPr>
                  <w:tcW w:w="935" w:type="pct"/>
                  <w:shd w:val="clear" w:color="auto" w:fill="auto"/>
                  <w:noWrap w:val="0"/>
                  <w:vAlign w:val="center"/>
                </w:tcPr>
                <w:p w14:paraId="157AC8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与项目厂界距离m</w:t>
                  </w:r>
                </w:p>
              </w:tc>
              <w:tc>
                <w:tcPr>
                  <w:tcW w:w="935" w:type="pct"/>
                  <w:noWrap w:val="0"/>
                  <w:vAlign w:val="center"/>
                </w:tcPr>
                <w:p w14:paraId="77F16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高差</w:t>
                  </w:r>
                </w:p>
                <w:p w14:paraId="29A5F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m</w:t>
                  </w:r>
                </w:p>
              </w:tc>
              <w:tc>
                <w:tcPr>
                  <w:tcW w:w="788" w:type="pct"/>
                  <w:noWrap w:val="0"/>
                  <w:vAlign w:val="center"/>
                </w:tcPr>
                <w:p w14:paraId="522E3A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备注</w:t>
                  </w:r>
                </w:p>
              </w:tc>
            </w:tr>
            <w:tr w14:paraId="2648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69" w:type="pct"/>
                  <w:noWrap w:val="0"/>
                  <w:vAlign w:val="center"/>
                </w:tcPr>
                <w:p w14:paraId="35BF1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w:t>
                  </w:r>
                </w:p>
              </w:tc>
              <w:tc>
                <w:tcPr>
                  <w:tcW w:w="956" w:type="pct"/>
                  <w:shd w:val="clear" w:color="auto" w:fill="auto"/>
                  <w:noWrap w:val="0"/>
                  <w:vAlign w:val="center"/>
                </w:tcPr>
                <w:p w14:paraId="65415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远洋城二期19号楼</w:t>
                  </w:r>
                </w:p>
              </w:tc>
              <w:tc>
                <w:tcPr>
                  <w:tcW w:w="913" w:type="pct"/>
                  <w:noWrap w:val="0"/>
                  <w:vAlign w:val="center"/>
                </w:tcPr>
                <w:p w14:paraId="2C69BE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项目所在商业楼上</w:t>
                  </w:r>
                </w:p>
              </w:tc>
              <w:tc>
                <w:tcPr>
                  <w:tcW w:w="935" w:type="pct"/>
                  <w:shd w:val="clear" w:color="auto" w:fill="auto"/>
                  <w:noWrap w:val="0"/>
                  <w:vAlign w:val="center"/>
                </w:tcPr>
                <w:p w14:paraId="6E23D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w:t>
                  </w:r>
                </w:p>
              </w:tc>
              <w:tc>
                <w:tcPr>
                  <w:tcW w:w="935" w:type="pct"/>
                  <w:noWrap w:val="0"/>
                  <w:vAlign w:val="center"/>
                </w:tcPr>
                <w:p w14:paraId="5FBA0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6</w:t>
                  </w:r>
                </w:p>
              </w:tc>
              <w:tc>
                <w:tcPr>
                  <w:tcW w:w="788" w:type="pct"/>
                  <w:noWrap w:val="0"/>
                  <w:vAlign w:val="center"/>
                </w:tcPr>
                <w:p w14:paraId="2933C3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约420户</w:t>
                  </w:r>
                </w:p>
              </w:tc>
            </w:tr>
            <w:tr w14:paraId="4ABF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69" w:type="pct"/>
                  <w:noWrap w:val="0"/>
                  <w:vAlign w:val="center"/>
                </w:tcPr>
                <w:p w14:paraId="123B2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2</w:t>
                  </w:r>
                </w:p>
              </w:tc>
              <w:tc>
                <w:tcPr>
                  <w:tcW w:w="956" w:type="pct"/>
                  <w:shd w:val="clear" w:color="auto" w:fill="auto"/>
                  <w:noWrap w:val="0"/>
                  <w:vAlign w:val="center"/>
                </w:tcPr>
                <w:p w14:paraId="5A621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远洋城二期20号楼</w:t>
                  </w:r>
                </w:p>
              </w:tc>
              <w:tc>
                <w:tcPr>
                  <w:tcW w:w="913" w:type="pct"/>
                  <w:noWrap w:val="0"/>
                  <w:vAlign w:val="center"/>
                </w:tcPr>
                <w:p w14:paraId="4E3F9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W</w:t>
                  </w:r>
                </w:p>
              </w:tc>
              <w:tc>
                <w:tcPr>
                  <w:tcW w:w="935" w:type="pct"/>
                  <w:shd w:val="clear" w:color="auto" w:fill="auto"/>
                  <w:noWrap w:val="0"/>
                  <w:vAlign w:val="center"/>
                </w:tcPr>
                <w:p w14:paraId="2394B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12</w:t>
                  </w:r>
                </w:p>
              </w:tc>
              <w:tc>
                <w:tcPr>
                  <w:tcW w:w="935" w:type="pct"/>
                  <w:noWrap w:val="0"/>
                  <w:vAlign w:val="center"/>
                </w:tcPr>
                <w:p w14:paraId="5BF3B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6</w:t>
                  </w:r>
                </w:p>
              </w:tc>
              <w:tc>
                <w:tcPr>
                  <w:tcW w:w="788" w:type="pct"/>
                  <w:noWrap w:val="0"/>
                  <w:vAlign w:val="center"/>
                </w:tcPr>
                <w:p w14:paraId="730F95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约420户</w:t>
                  </w:r>
                </w:p>
              </w:tc>
            </w:tr>
          </w:tbl>
          <w:p w14:paraId="0A7A82C9">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②大气环境</w:t>
            </w:r>
          </w:p>
          <w:p w14:paraId="31A6A0F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根据现场勘查，厂界外500m范围内的大气环境保护目标见下表，除此之外无其他自然保护区、风景名胜区、居住区、文化区和农村地区中人群较集中的区域等保护目标。</w:t>
            </w:r>
          </w:p>
          <w:p w14:paraId="4C0331FD">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default" w:ascii="Times New Roman" w:hAnsi="Times New Roman" w:cs="Times New Roman"/>
                <w:b/>
                <w:color w:val="auto"/>
                <w:szCs w:val="21"/>
              </w:rPr>
            </w:pPr>
            <w:r>
              <w:rPr>
                <w:rFonts w:hint="eastAsia" w:ascii="Times New Roman" w:hAnsi="Times New Roman" w:cs="Times New Roman"/>
                <w:b/>
                <w:color w:val="auto"/>
                <w:szCs w:val="21"/>
                <w:lang w:eastAsia="zh-CN"/>
              </w:rPr>
              <w:t>表</w:t>
            </w:r>
            <w:r>
              <w:rPr>
                <w:rFonts w:hint="eastAsia" w:ascii="Times New Roman" w:hAnsi="Times New Roman" w:cs="Times New Roman"/>
                <w:b/>
                <w:color w:val="auto"/>
                <w:szCs w:val="21"/>
                <w:lang w:val="en-US" w:eastAsia="zh-CN"/>
              </w:rPr>
              <w:t xml:space="preserve">3-4   </w:t>
            </w:r>
            <w:r>
              <w:rPr>
                <w:rFonts w:hint="default" w:ascii="Times New Roman" w:hAnsi="Times New Roman" w:cs="Times New Roman"/>
                <w:b/>
                <w:color w:val="auto"/>
                <w:szCs w:val="21"/>
              </w:rPr>
              <w:t>大气环境保护目标一览表</w:t>
            </w:r>
          </w:p>
          <w:tbl>
            <w:tblPr>
              <w:tblStyle w:val="22"/>
              <w:tblW w:w="7957" w:type="dxa"/>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8"/>
              <w:gridCol w:w="1690"/>
              <w:gridCol w:w="696"/>
              <w:gridCol w:w="1403"/>
              <w:gridCol w:w="1415"/>
              <w:gridCol w:w="970"/>
              <w:gridCol w:w="1335"/>
            </w:tblGrid>
            <w:tr w14:paraId="00C0A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8" w:type="dxa"/>
                  <w:vMerge w:val="restart"/>
                  <w:tcBorders>
                    <w:tl2br w:val="nil"/>
                    <w:tr2bl w:val="nil"/>
                  </w:tcBorders>
                  <w:noWrap w:val="0"/>
                  <w:vAlign w:val="center"/>
                </w:tcPr>
                <w:p w14:paraId="6491E7D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690" w:type="dxa"/>
                  <w:vMerge w:val="restart"/>
                  <w:tcBorders>
                    <w:tl2br w:val="nil"/>
                    <w:tr2bl w:val="nil"/>
                  </w:tcBorders>
                  <w:noWrap w:val="0"/>
                  <w:vAlign w:val="center"/>
                </w:tcPr>
                <w:p w14:paraId="19B600A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保护目标名称</w:t>
                  </w:r>
                </w:p>
              </w:tc>
              <w:tc>
                <w:tcPr>
                  <w:tcW w:w="696" w:type="dxa"/>
                  <w:vMerge w:val="restart"/>
                  <w:tcBorders>
                    <w:tl2br w:val="nil"/>
                    <w:tr2bl w:val="nil"/>
                  </w:tcBorders>
                  <w:noWrap w:val="0"/>
                  <w:vAlign w:val="center"/>
                </w:tcPr>
                <w:p w14:paraId="7AF30DB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方位</w:t>
                  </w:r>
                </w:p>
              </w:tc>
              <w:tc>
                <w:tcPr>
                  <w:tcW w:w="2818" w:type="dxa"/>
                  <w:gridSpan w:val="2"/>
                  <w:tcBorders>
                    <w:tl2br w:val="nil"/>
                    <w:tr2bl w:val="nil"/>
                  </w:tcBorders>
                  <w:noWrap w:val="0"/>
                  <w:vAlign w:val="center"/>
                </w:tcPr>
                <w:p w14:paraId="5B9519B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坐标</w:t>
                  </w:r>
                </w:p>
              </w:tc>
              <w:tc>
                <w:tcPr>
                  <w:tcW w:w="970" w:type="dxa"/>
                  <w:vMerge w:val="restart"/>
                  <w:tcBorders>
                    <w:tl2br w:val="nil"/>
                    <w:tr2bl w:val="nil"/>
                  </w:tcBorders>
                  <w:noWrap w:val="0"/>
                  <w:vAlign w:val="center"/>
                </w:tcPr>
                <w:p w14:paraId="20ACA26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w:t>
                  </w:r>
                  <w:r>
                    <w:rPr>
                      <w:rFonts w:hint="eastAsia" w:ascii="Times New Roman" w:hAnsi="Times New Roman" w:cs="Times New Roman"/>
                      <w:color w:val="auto"/>
                      <w:sz w:val="18"/>
                      <w:szCs w:val="18"/>
                      <w:lang w:val="en-US" w:eastAsia="zh-CN"/>
                    </w:rPr>
                    <w:t>场</w:t>
                  </w:r>
                  <w:r>
                    <w:rPr>
                      <w:rFonts w:hint="default" w:ascii="Times New Roman" w:hAnsi="Times New Roman" w:cs="Times New Roman"/>
                      <w:color w:val="auto"/>
                      <w:sz w:val="18"/>
                      <w:szCs w:val="18"/>
                    </w:rPr>
                    <w:t>界距离（m）</w:t>
                  </w:r>
                </w:p>
              </w:tc>
              <w:tc>
                <w:tcPr>
                  <w:tcW w:w="1335" w:type="dxa"/>
                  <w:vMerge w:val="restart"/>
                  <w:tcBorders>
                    <w:tl2br w:val="nil"/>
                    <w:tr2bl w:val="nil"/>
                  </w:tcBorders>
                  <w:noWrap w:val="0"/>
                  <w:vAlign w:val="center"/>
                </w:tcPr>
                <w:p w14:paraId="5FA4CE0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3C05C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448" w:type="dxa"/>
                  <w:vMerge w:val="continue"/>
                  <w:tcBorders>
                    <w:tl2br w:val="nil"/>
                    <w:tr2bl w:val="nil"/>
                  </w:tcBorders>
                  <w:noWrap w:val="0"/>
                  <w:vAlign w:val="center"/>
                </w:tcPr>
                <w:p w14:paraId="76C77E9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p>
              </w:tc>
              <w:tc>
                <w:tcPr>
                  <w:tcW w:w="1690" w:type="dxa"/>
                  <w:vMerge w:val="continue"/>
                  <w:tcBorders>
                    <w:tl2br w:val="nil"/>
                    <w:tr2bl w:val="nil"/>
                  </w:tcBorders>
                  <w:noWrap w:val="0"/>
                  <w:vAlign w:val="center"/>
                </w:tcPr>
                <w:p w14:paraId="4635490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p>
              </w:tc>
              <w:tc>
                <w:tcPr>
                  <w:tcW w:w="696" w:type="dxa"/>
                  <w:vMerge w:val="continue"/>
                  <w:tcBorders>
                    <w:tl2br w:val="nil"/>
                    <w:tr2bl w:val="nil"/>
                  </w:tcBorders>
                  <w:noWrap w:val="0"/>
                  <w:vAlign w:val="center"/>
                </w:tcPr>
                <w:p w14:paraId="3561F14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p>
              </w:tc>
              <w:tc>
                <w:tcPr>
                  <w:tcW w:w="1403" w:type="dxa"/>
                  <w:tcBorders>
                    <w:tl2br w:val="nil"/>
                    <w:tr2bl w:val="nil"/>
                  </w:tcBorders>
                  <w:noWrap w:val="0"/>
                  <w:vAlign w:val="center"/>
                </w:tcPr>
                <w:p w14:paraId="3AAE8EB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东经</w:t>
                  </w:r>
                </w:p>
              </w:tc>
              <w:tc>
                <w:tcPr>
                  <w:tcW w:w="1415" w:type="dxa"/>
                  <w:tcBorders>
                    <w:tl2br w:val="nil"/>
                    <w:tr2bl w:val="nil"/>
                  </w:tcBorders>
                  <w:noWrap w:val="0"/>
                  <w:vAlign w:val="center"/>
                </w:tcPr>
                <w:p w14:paraId="0B5F9C7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北纬</w:t>
                  </w:r>
                </w:p>
              </w:tc>
              <w:tc>
                <w:tcPr>
                  <w:tcW w:w="970" w:type="dxa"/>
                  <w:vMerge w:val="continue"/>
                  <w:tcBorders>
                    <w:tl2br w:val="nil"/>
                    <w:tr2bl w:val="nil"/>
                  </w:tcBorders>
                  <w:noWrap w:val="0"/>
                  <w:vAlign w:val="center"/>
                </w:tcPr>
                <w:p w14:paraId="00F4709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p>
              </w:tc>
              <w:tc>
                <w:tcPr>
                  <w:tcW w:w="1335" w:type="dxa"/>
                  <w:vMerge w:val="continue"/>
                  <w:tcBorders>
                    <w:tl2br w:val="nil"/>
                    <w:tr2bl w:val="nil"/>
                  </w:tcBorders>
                  <w:noWrap w:val="0"/>
                  <w:vAlign w:val="center"/>
                </w:tcPr>
                <w:p w14:paraId="64F53C2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p>
              </w:tc>
            </w:tr>
            <w:tr w14:paraId="1D5B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20EB755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w:t>
                  </w:r>
                </w:p>
              </w:tc>
              <w:tc>
                <w:tcPr>
                  <w:tcW w:w="1690" w:type="dxa"/>
                  <w:tcBorders>
                    <w:tl2br w:val="nil"/>
                    <w:tr2bl w:val="nil"/>
                  </w:tcBorders>
                  <w:shd w:val="clear" w:color="auto" w:fill="auto"/>
                  <w:noWrap w:val="0"/>
                  <w:vAlign w:val="center"/>
                </w:tcPr>
                <w:p w14:paraId="48750938">
                  <w:pPr>
                    <w:spacing w:line="300" w:lineRule="exact"/>
                    <w:jc w:val="center"/>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远洋城二期19号楼</w:t>
                  </w:r>
                </w:p>
              </w:tc>
              <w:tc>
                <w:tcPr>
                  <w:tcW w:w="696" w:type="dxa"/>
                  <w:tcBorders>
                    <w:tl2br w:val="nil"/>
                    <w:tr2bl w:val="nil"/>
                  </w:tcBorders>
                  <w:shd w:val="clear" w:color="auto" w:fill="auto"/>
                  <w:noWrap w:val="0"/>
                  <w:vAlign w:val="center"/>
                </w:tcPr>
                <w:p w14:paraId="4663966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NW</w:t>
                  </w:r>
                </w:p>
              </w:tc>
              <w:tc>
                <w:tcPr>
                  <w:tcW w:w="1403" w:type="dxa"/>
                  <w:tcBorders>
                    <w:tl2br w:val="nil"/>
                    <w:tr2bl w:val="nil"/>
                  </w:tcBorders>
                  <w:noWrap w:val="0"/>
                  <w:vAlign w:val="center"/>
                </w:tcPr>
                <w:p w14:paraId="4457FA70">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106°28′2.593″</w:t>
                  </w:r>
                </w:p>
              </w:tc>
              <w:tc>
                <w:tcPr>
                  <w:tcW w:w="1415" w:type="dxa"/>
                  <w:tcBorders>
                    <w:tl2br w:val="nil"/>
                    <w:tr2bl w:val="nil"/>
                  </w:tcBorders>
                  <w:noWrap w:val="0"/>
                  <w:vAlign w:val="center"/>
                </w:tcPr>
                <w:p w14:paraId="27122C7F">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29°31′56.284″</w:t>
                  </w:r>
                </w:p>
              </w:tc>
              <w:tc>
                <w:tcPr>
                  <w:tcW w:w="970" w:type="dxa"/>
                  <w:tcBorders>
                    <w:tl2br w:val="nil"/>
                    <w:tr2bl w:val="nil"/>
                  </w:tcBorders>
                  <w:shd w:val="clear" w:color="auto" w:fill="auto"/>
                  <w:noWrap w:val="0"/>
                  <w:vAlign w:val="center"/>
                </w:tcPr>
                <w:p w14:paraId="3962629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default" w:ascii="Times New Roman" w:hAnsi="Times New Roman" w:eastAsia="宋体" w:cs="Dutch801 Rm BT"/>
                      <w:color w:val="auto"/>
                      <w:kern w:val="2"/>
                      <w:sz w:val="18"/>
                      <w:szCs w:val="18"/>
                      <w:lang w:val="en-US" w:eastAsia="zh-CN" w:bidi="ar-SA"/>
                    </w:rPr>
                    <w:t>项目所在楼上</w:t>
                  </w:r>
                </w:p>
              </w:tc>
              <w:tc>
                <w:tcPr>
                  <w:tcW w:w="1335" w:type="dxa"/>
                  <w:tcBorders>
                    <w:tl2br w:val="nil"/>
                    <w:tr2bl w:val="nil"/>
                  </w:tcBorders>
                  <w:shd w:val="clear" w:color="auto" w:fill="auto"/>
                  <w:noWrap w:val="0"/>
                  <w:vAlign w:val="center"/>
                </w:tcPr>
                <w:p w14:paraId="783EDCAC">
                  <w:pPr>
                    <w:spacing w:line="300" w:lineRule="exact"/>
                    <w:jc w:val="center"/>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住宅楼，约420户，1344人</w:t>
                  </w:r>
                </w:p>
              </w:tc>
            </w:tr>
            <w:tr w14:paraId="181A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48" w:type="dxa"/>
                  <w:tcBorders>
                    <w:tl2br w:val="nil"/>
                    <w:tr2bl w:val="nil"/>
                  </w:tcBorders>
                  <w:noWrap w:val="0"/>
                  <w:vAlign w:val="center"/>
                </w:tcPr>
                <w:p w14:paraId="3DA52A5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690" w:type="dxa"/>
                  <w:tcBorders>
                    <w:tl2br w:val="nil"/>
                    <w:tr2bl w:val="nil"/>
                  </w:tcBorders>
                  <w:shd w:val="clear" w:color="auto" w:fill="auto"/>
                  <w:noWrap w:val="0"/>
                  <w:vAlign w:val="center"/>
                </w:tcPr>
                <w:p w14:paraId="5B7F3DF6">
                  <w:pPr>
                    <w:spacing w:line="300" w:lineRule="exact"/>
                    <w:jc w:val="center"/>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远洋城二期20号楼</w:t>
                  </w:r>
                </w:p>
              </w:tc>
              <w:tc>
                <w:tcPr>
                  <w:tcW w:w="696" w:type="dxa"/>
                  <w:tcBorders>
                    <w:tl2br w:val="nil"/>
                    <w:tr2bl w:val="nil"/>
                  </w:tcBorders>
                  <w:shd w:val="clear" w:color="auto" w:fill="auto"/>
                  <w:noWrap w:val="0"/>
                  <w:vAlign w:val="center"/>
                </w:tcPr>
                <w:p w14:paraId="0B2AE29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NW、W</w:t>
                  </w:r>
                </w:p>
              </w:tc>
              <w:tc>
                <w:tcPr>
                  <w:tcW w:w="1403" w:type="dxa"/>
                  <w:tcBorders>
                    <w:tl2br w:val="nil"/>
                    <w:tr2bl w:val="nil"/>
                  </w:tcBorders>
                  <w:noWrap w:val="0"/>
                  <w:vAlign w:val="center"/>
                </w:tcPr>
                <w:p w14:paraId="377A0768">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106°28′0.855″</w:t>
                  </w:r>
                </w:p>
              </w:tc>
              <w:tc>
                <w:tcPr>
                  <w:tcW w:w="1415" w:type="dxa"/>
                  <w:tcBorders>
                    <w:tl2br w:val="nil"/>
                    <w:tr2bl w:val="nil"/>
                  </w:tcBorders>
                  <w:noWrap w:val="0"/>
                  <w:vAlign w:val="center"/>
                </w:tcPr>
                <w:p w14:paraId="61643634">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29°31′57.935″</w:t>
                  </w:r>
                </w:p>
              </w:tc>
              <w:tc>
                <w:tcPr>
                  <w:tcW w:w="970" w:type="dxa"/>
                  <w:tcBorders>
                    <w:tl2br w:val="nil"/>
                    <w:tr2bl w:val="nil"/>
                  </w:tcBorders>
                  <w:shd w:val="clear" w:color="auto" w:fill="auto"/>
                  <w:noWrap w:val="0"/>
                  <w:vAlign w:val="center"/>
                </w:tcPr>
                <w:p w14:paraId="5CAFB14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12</w:t>
                  </w:r>
                </w:p>
              </w:tc>
              <w:tc>
                <w:tcPr>
                  <w:tcW w:w="1335" w:type="dxa"/>
                  <w:tcBorders>
                    <w:tl2br w:val="nil"/>
                    <w:tr2bl w:val="nil"/>
                  </w:tcBorders>
                  <w:shd w:val="clear" w:color="auto" w:fill="auto"/>
                  <w:noWrap w:val="0"/>
                  <w:vAlign w:val="center"/>
                </w:tcPr>
                <w:p w14:paraId="4EB81F7A">
                  <w:pPr>
                    <w:spacing w:line="300" w:lineRule="exact"/>
                    <w:jc w:val="center"/>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住宅楼，约420户，1344人</w:t>
                  </w:r>
                </w:p>
              </w:tc>
            </w:tr>
            <w:tr w14:paraId="001AB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524F393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1690" w:type="dxa"/>
                  <w:tcBorders>
                    <w:tl2br w:val="nil"/>
                    <w:tr2bl w:val="nil"/>
                  </w:tcBorders>
                  <w:shd w:val="clear" w:color="auto" w:fill="auto"/>
                  <w:noWrap w:val="0"/>
                  <w:vAlign w:val="center"/>
                </w:tcPr>
                <w:p w14:paraId="58058FF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远洋城二期14~18号楼</w:t>
                  </w:r>
                </w:p>
              </w:tc>
              <w:tc>
                <w:tcPr>
                  <w:tcW w:w="696" w:type="dxa"/>
                  <w:tcBorders>
                    <w:tl2br w:val="nil"/>
                    <w:tr2bl w:val="nil"/>
                  </w:tcBorders>
                  <w:shd w:val="clear" w:color="auto" w:fill="auto"/>
                  <w:noWrap w:val="0"/>
                  <w:vAlign w:val="center"/>
                </w:tcPr>
                <w:p w14:paraId="46FD420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SW、S</w:t>
                  </w:r>
                </w:p>
              </w:tc>
              <w:tc>
                <w:tcPr>
                  <w:tcW w:w="1403" w:type="dxa"/>
                  <w:tcBorders>
                    <w:tl2br w:val="nil"/>
                    <w:tr2bl w:val="nil"/>
                  </w:tcBorders>
                  <w:noWrap w:val="0"/>
                  <w:vAlign w:val="center"/>
                </w:tcPr>
                <w:p w14:paraId="4DD695C9">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106°28′1.637″</w:t>
                  </w:r>
                </w:p>
              </w:tc>
              <w:tc>
                <w:tcPr>
                  <w:tcW w:w="1415" w:type="dxa"/>
                  <w:tcBorders>
                    <w:tl2br w:val="nil"/>
                    <w:tr2bl w:val="nil"/>
                  </w:tcBorders>
                  <w:noWrap w:val="0"/>
                  <w:vAlign w:val="center"/>
                </w:tcPr>
                <w:p w14:paraId="50A20179">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29°31′54.478″</w:t>
                  </w:r>
                </w:p>
              </w:tc>
              <w:tc>
                <w:tcPr>
                  <w:tcW w:w="970" w:type="dxa"/>
                  <w:tcBorders>
                    <w:tl2br w:val="nil"/>
                    <w:tr2bl w:val="nil"/>
                  </w:tcBorders>
                  <w:shd w:val="clear" w:color="auto" w:fill="auto"/>
                  <w:noWrap w:val="0"/>
                  <w:vAlign w:val="center"/>
                </w:tcPr>
                <w:p w14:paraId="2CF91FC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60</w:t>
                  </w:r>
                </w:p>
              </w:tc>
              <w:tc>
                <w:tcPr>
                  <w:tcW w:w="1335" w:type="dxa"/>
                  <w:tcBorders>
                    <w:tl2br w:val="nil"/>
                    <w:tr2bl w:val="nil"/>
                  </w:tcBorders>
                  <w:shd w:val="clear" w:color="auto" w:fill="auto"/>
                  <w:noWrap w:val="0"/>
                  <w:vAlign w:val="center"/>
                </w:tcPr>
                <w:p w14:paraId="07ABB66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5栋住宅楼，约2100户，6720人</w:t>
                  </w:r>
                </w:p>
              </w:tc>
            </w:tr>
            <w:tr w14:paraId="12B33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3AEF024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690" w:type="dxa"/>
                  <w:tcBorders>
                    <w:tl2br w:val="nil"/>
                    <w:tr2bl w:val="nil"/>
                  </w:tcBorders>
                  <w:shd w:val="clear" w:color="auto" w:fill="auto"/>
                  <w:noWrap w:val="0"/>
                  <w:vAlign w:val="center"/>
                </w:tcPr>
                <w:p w14:paraId="25F2377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远洋城岭墅小区</w:t>
                  </w:r>
                </w:p>
              </w:tc>
              <w:tc>
                <w:tcPr>
                  <w:tcW w:w="696" w:type="dxa"/>
                  <w:tcBorders>
                    <w:tl2br w:val="nil"/>
                    <w:tr2bl w:val="nil"/>
                  </w:tcBorders>
                  <w:shd w:val="clear" w:color="auto" w:fill="auto"/>
                  <w:noWrap w:val="0"/>
                  <w:vAlign w:val="center"/>
                </w:tcPr>
                <w:p w14:paraId="2C927A01">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N</w:t>
                  </w:r>
                </w:p>
              </w:tc>
              <w:tc>
                <w:tcPr>
                  <w:tcW w:w="1403" w:type="dxa"/>
                  <w:tcBorders>
                    <w:tl2br w:val="nil"/>
                    <w:tr2bl w:val="nil"/>
                  </w:tcBorders>
                  <w:shd w:val="clear" w:color="auto" w:fill="auto"/>
                  <w:noWrap w:val="0"/>
                  <w:vAlign w:val="top"/>
                </w:tcPr>
                <w:p w14:paraId="6696125F">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kern w:val="0"/>
                      <w:sz w:val="18"/>
                      <w:szCs w:val="18"/>
                      <w:u w:val="none"/>
                      <w:lang w:val="en-US" w:eastAsia="zh-CN" w:bidi="ar-SA"/>
                    </w:rPr>
                    <w:t>106°28′4.090″</w:t>
                  </w:r>
                </w:p>
              </w:tc>
              <w:tc>
                <w:tcPr>
                  <w:tcW w:w="1415" w:type="dxa"/>
                  <w:tcBorders>
                    <w:tl2br w:val="nil"/>
                    <w:tr2bl w:val="nil"/>
                  </w:tcBorders>
                  <w:shd w:val="clear" w:color="auto" w:fill="auto"/>
                  <w:noWrap w:val="0"/>
                  <w:vAlign w:val="top"/>
                </w:tcPr>
                <w:p w14:paraId="1D3E1C57">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kern w:val="0"/>
                      <w:sz w:val="18"/>
                      <w:szCs w:val="18"/>
                      <w:u w:val="none"/>
                      <w:lang w:val="en-US" w:eastAsia="zh-CN" w:bidi="ar-SA"/>
                    </w:rPr>
                    <w:t>29°32′1.372″</w:t>
                  </w:r>
                </w:p>
              </w:tc>
              <w:tc>
                <w:tcPr>
                  <w:tcW w:w="970" w:type="dxa"/>
                  <w:tcBorders>
                    <w:tl2br w:val="nil"/>
                    <w:tr2bl w:val="nil"/>
                  </w:tcBorders>
                  <w:shd w:val="clear" w:color="auto" w:fill="auto"/>
                  <w:noWrap w:val="0"/>
                  <w:vAlign w:val="center"/>
                </w:tcPr>
                <w:p w14:paraId="2F18934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65</w:t>
                  </w:r>
                </w:p>
              </w:tc>
              <w:tc>
                <w:tcPr>
                  <w:tcW w:w="1335" w:type="dxa"/>
                  <w:tcBorders>
                    <w:tl2br w:val="nil"/>
                    <w:tr2bl w:val="nil"/>
                  </w:tcBorders>
                  <w:shd w:val="clear" w:color="auto" w:fill="auto"/>
                  <w:noWrap w:val="0"/>
                  <w:vAlign w:val="center"/>
                </w:tcPr>
                <w:p w14:paraId="633910EB">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13栋住宅楼，约280户，896人</w:t>
                  </w:r>
                </w:p>
              </w:tc>
            </w:tr>
            <w:tr w14:paraId="114AB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1680FE6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690" w:type="dxa"/>
                  <w:tcBorders>
                    <w:tl2br w:val="nil"/>
                    <w:tr2bl w:val="nil"/>
                  </w:tcBorders>
                  <w:shd w:val="clear" w:color="auto" w:fill="auto"/>
                  <w:noWrap w:val="0"/>
                  <w:vAlign w:val="center"/>
                </w:tcPr>
                <w:p w14:paraId="30E2ECD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奇峰自由湾</w:t>
                  </w:r>
                  <w:r>
                    <w:rPr>
                      <w:rFonts w:hint="eastAsia" w:ascii="Times New Roman" w:hAnsi="Times New Roman"/>
                      <w:color w:val="auto"/>
                      <w:sz w:val="18"/>
                      <w:szCs w:val="18"/>
                      <w:lang w:val="en-US" w:eastAsia="zh-CN"/>
                    </w:rPr>
                    <w:t>小区</w:t>
                  </w:r>
                </w:p>
              </w:tc>
              <w:tc>
                <w:tcPr>
                  <w:tcW w:w="696" w:type="dxa"/>
                  <w:tcBorders>
                    <w:tl2br w:val="nil"/>
                    <w:tr2bl w:val="nil"/>
                  </w:tcBorders>
                  <w:shd w:val="clear" w:color="auto" w:fill="auto"/>
                  <w:noWrap w:val="0"/>
                  <w:vAlign w:val="center"/>
                </w:tcPr>
                <w:p w14:paraId="7A5AD3F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NE</w:t>
                  </w:r>
                </w:p>
              </w:tc>
              <w:tc>
                <w:tcPr>
                  <w:tcW w:w="1403" w:type="dxa"/>
                  <w:tcBorders>
                    <w:tl2br w:val="nil"/>
                    <w:tr2bl w:val="nil"/>
                  </w:tcBorders>
                  <w:noWrap w:val="0"/>
                  <w:vAlign w:val="center"/>
                </w:tcPr>
                <w:p w14:paraId="75A99AB4">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106°28′10.88″</w:t>
                  </w:r>
                </w:p>
              </w:tc>
              <w:tc>
                <w:tcPr>
                  <w:tcW w:w="1415" w:type="dxa"/>
                  <w:tcBorders>
                    <w:tl2br w:val="nil"/>
                    <w:tr2bl w:val="nil"/>
                  </w:tcBorders>
                  <w:noWrap w:val="0"/>
                  <w:vAlign w:val="center"/>
                </w:tcPr>
                <w:p w14:paraId="2B50895E">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29°32′1.913″</w:t>
                  </w:r>
                </w:p>
              </w:tc>
              <w:tc>
                <w:tcPr>
                  <w:tcW w:w="970" w:type="dxa"/>
                  <w:tcBorders>
                    <w:tl2br w:val="nil"/>
                    <w:tr2bl w:val="nil"/>
                  </w:tcBorders>
                  <w:shd w:val="clear" w:color="auto" w:fill="auto"/>
                  <w:noWrap w:val="0"/>
                  <w:vAlign w:val="center"/>
                </w:tcPr>
                <w:p w14:paraId="15862877">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240</w:t>
                  </w:r>
                </w:p>
              </w:tc>
              <w:tc>
                <w:tcPr>
                  <w:tcW w:w="1335" w:type="dxa"/>
                  <w:tcBorders>
                    <w:tl2br w:val="nil"/>
                    <w:tr2bl w:val="nil"/>
                  </w:tcBorders>
                  <w:shd w:val="clear" w:color="auto" w:fill="auto"/>
                  <w:noWrap w:val="0"/>
                  <w:vAlign w:val="center"/>
                </w:tcPr>
                <w:p w14:paraId="47B4DCC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3栋住宅楼，约773户，2474人</w:t>
                  </w:r>
                </w:p>
              </w:tc>
            </w:tr>
            <w:tr w14:paraId="26D80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53AF523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690" w:type="dxa"/>
                  <w:tcBorders>
                    <w:tl2br w:val="nil"/>
                    <w:tr2bl w:val="nil"/>
                  </w:tcBorders>
                  <w:shd w:val="clear" w:color="auto" w:fill="auto"/>
                  <w:noWrap w:val="0"/>
                  <w:vAlign w:val="center"/>
                </w:tcPr>
                <w:p w14:paraId="5B3E7878">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荣鼎新苑小区</w:t>
                  </w:r>
                </w:p>
              </w:tc>
              <w:tc>
                <w:tcPr>
                  <w:tcW w:w="696" w:type="dxa"/>
                  <w:tcBorders>
                    <w:tl2br w:val="nil"/>
                    <w:tr2bl w:val="nil"/>
                  </w:tcBorders>
                  <w:shd w:val="clear" w:color="auto" w:fill="auto"/>
                  <w:noWrap w:val="0"/>
                  <w:vAlign w:val="center"/>
                </w:tcPr>
                <w:p w14:paraId="3454AA8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N</w:t>
                  </w:r>
                </w:p>
              </w:tc>
              <w:tc>
                <w:tcPr>
                  <w:tcW w:w="1403" w:type="dxa"/>
                  <w:tcBorders>
                    <w:tl2br w:val="nil"/>
                    <w:tr2bl w:val="nil"/>
                  </w:tcBorders>
                  <w:noWrap w:val="0"/>
                  <w:vAlign w:val="center"/>
                </w:tcPr>
                <w:p w14:paraId="61B429FA">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106°28′0.614″</w:t>
                  </w:r>
                </w:p>
              </w:tc>
              <w:tc>
                <w:tcPr>
                  <w:tcW w:w="1415" w:type="dxa"/>
                  <w:tcBorders>
                    <w:tl2br w:val="nil"/>
                    <w:tr2bl w:val="nil"/>
                  </w:tcBorders>
                  <w:noWrap w:val="0"/>
                  <w:vAlign w:val="center"/>
                </w:tcPr>
                <w:p w14:paraId="78757D85">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29°32′12.612″</w:t>
                  </w:r>
                </w:p>
              </w:tc>
              <w:tc>
                <w:tcPr>
                  <w:tcW w:w="970" w:type="dxa"/>
                  <w:tcBorders>
                    <w:tl2br w:val="nil"/>
                    <w:tr2bl w:val="nil"/>
                  </w:tcBorders>
                  <w:shd w:val="clear" w:color="auto" w:fill="auto"/>
                  <w:noWrap w:val="0"/>
                  <w:vAlign w:val="center"/>
                </w:tcPr>
                <w:p w14:paraId="262D714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380</w:t>
                  </w:r>
                </w:p>
              </w:tc>
              <w:tc>
                <w:tcPr>
                  <w:tcW w:w="1335" w:type="dxa"/>
                  <w:tcBorders>
                    <w:tl2br w:val="nil"/>
                    <w:tr2bl w:val="nil"/>
                  </w:tcBorders>
                  <w:shd w:val="clear" w:color="auto" w:fill="auto"/>
                  <w:noWrap w:val="0"/>
                  <w:vAlign w:val="center"/>
                </w:tcPr>
                <w:p w14:paraId="7E8237B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3栋住宅楼，约94户，300人</w:t>
                  </w:r>
                </w:p>
              </w:tc>
            </w:tr>
            <w:tr w14:paraId="0CD7C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2A10128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1690" w:type="dxa"/>
                  <w:tcBorders>
                    <w:tl2br w:val="nil"/>
                    <w:tr2bl w:val="nil"/>
                  </w:tcBorders>
                  <w:shd w:val="clear" w:color="auto" w:fill="auto"/>
                  <w:noWrap w:val="0"/>
                  <w:vAlign w:val="center"/>
                </w:tcPr>
                <w:p w14:paraId="2458257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远洋香派小区</w:t>
                  </w:r>
                </w:p>
              </w:tc>
              <w:tc>
                <w:tcPr>
                  <w:tcW w:w="696" w:type="dxa"/>
                  <w:tcBorders>
                    <w:tl2br w:val="nil"/>
                    <w:tr2bl w:val="nil"/>
                  </w:tcBorders>
                  <w:shd w:val="clear" w:color="auto" w:fill="auto"/>
                  <w:noWrap w:val="0"/>
                  <w:vAlign w:val="center"/>
                </w:tcPr>
                <w:p w14:paraId="6ACE381B">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NW</w:t>
                  </w:r>
                </w:p>
              </w:tc>
              <w:tc>
                <w:tcPr>
                  <w:tcW w:w="1403" w:type="dxa"/>
                  <w:tcBorders>
                    <w:tl2br w:val="nil"/>
                    <w:tr2bl w:val="nil"/>
                  </w:tcBorders>
                  <w:noWrap w:val="0"/>
                  <w:vAlign w:val="center"/>
                </w:tcPr>
                <w:p w14:paraId="70E595ED">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106°27′54.511″</w:t>
                  </w:r>
                </w:p>
              </w:tc>
              <w:tc>
                <w:tcPr>
                  <w:tcW w:w="1415" w:type="dxa"/>
                  <w:tcBorders>
                    <w:tl2br w:val="nil"/>
                    <w:tr2bl w:val="nil"/>
                  </w:tcBorders>
                  <w:noWrap w:val="0"/>
                  <w:vAlign w:val="center"/>
                </w:tcPr>
                <w:p w14:paraId="5B6CA1A4">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29°32′8.383″</w:t>
                  </w:r>
                </w:p>
              </w:tc>
              <w:tc>
                <w:tcPr>
                  <w:tcW w:w="970" w:type="dxa"/>
                  <w:tcBorders>
                    <w:tl2br w:val="nil"/>
                    <w:tr2bl w:val="nil"/>
                  </w:tcBorders>
                  <w:shd w:val="clear" w:color="auto" w:fill="auto"/>
                  <w:noWrap w:val="0"/>
                  <w:vAlign w:val="center"/>
                </w:tcPr>
                <w:p w14:paraId="7DF26A0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380</w:t>
                  </w:r>
                </w:p>
              </w:tc>
              <w:tc>
                <w:tcPr>
                  <w:tcW w:w="1335" w:type="dxa"/>
                  <w:tcBorders>
                    <w:tl2br w:val="nil"/>
                    <w:tr2bl w:val="nil"/>
                  </w:tcBorders>
                  <w:shd w:val="clear" w:color="auto" w:fill="auto"/>
                  <w:noWrap w:val="0"/>
                  <w:vAlign w:val="center"/>
                </w:tcPr>
                <w:p w14:paraId="18237DA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3栋住宅楼，约852户，约2726人</w:t>
                  </w:r>
                </w:p>
              </w:tc>
            </w:tr>
            <w:tr w14:paraId="60F9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5B7ECE2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690" w:type="dxa"/>
                  <w:tcBorders>
                    <w:tl2br w:val="nil"/>
                    <w:tr2bl w:val="nil"/>
                  </w:tcBorders>
                  <w:shd w:val="clear" w:color="auto" w:fill="auto"/>
                  <w:noWrap w:val="0"/>
                  <w:vAlign w:val="center"/>
                </w:tcPr>
                <w:p w14:paraId="0BD37ED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default" w:ascii="Times New Roman" w:hAnsi="Times New Roman" w:eastAsia="宋体" w:cs="Dutch801 Rm BT"/>
                      <w:color w:val="auto"/>
                      <w:kern w:val="2"/>
                      <w:sz w:val="18"/>
                      <w:szCs w:val="18"/>
                      <w:lang w:val="en-US" w:eastAsia="zh-CN" w:bidi="ar-SA"/>
                    </w:rPr>
                    <w:t>成都城投锦樾峰境</w:t>
                  </w:r>
                  <w:r>
                    <w:rPr>
                      <w:rFonts w:hint="eastAsia" w:ascii="Times New Roman" w:hAnsi="Times New Roman" w:cs="Dutch801 Rm BT"/>
                      <w:color w:val="auto"/>
                      <w:kern w:val="2"/>
                      <w:sz w:val="18"/>
                      <w:szCs w:val="18"/>
                      <w:lang w:val="en-US" w:eastAsia="zh-CN" w:bidi="ar-SA"/>
                    </w:rPr>
                    <w:t>小区</w:t>
                  </w:r>
                </w:p>
              </w:tc>
              <w:tc>
                <w:tcPr>
                  <w:tcW w:w="696" w:type="dxa"/>
                  <w:tcBorders>
                    <w:tl2br w:val="nil"/>
                    <w:tr2bl w:val="nil"/>
                  </w:tcBorders>
                  <w:shd w:val="clear" w:color="auto" w:fill="auto"/>
                  <w:noWrap w:val="0"/>
                  <w:vAlign w:val="center"/>
                </w:tcPr>
                <w:p w14:paraId="7470816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W</w:t>
                  </w:r>
                </w:p>
              </w:tc>
              <w:tc>
                <w:tcPr>
                  <w:tcW w:w="1403" w:type="dxa"/>
                  <w:tcBorders>
                    <w:tl2br w:val="nil"/>
                    <w:tr2bl w:val="nil"/>
                  </w:tcBorders>
                  <w:shd w:val="clear" w:color="auto" w:fill="auto"/>
                  <w:noWrap w:val="0"/>
                  <w:vAlign w:val="top"/>
                </w:tcPr>
                <w:p w14:paraId="648B4C15">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kern w:val="0"/>
                      <w:sz w:val="18"/>
                      <w:szCs w:val="18"/>
                      <w:u w:val="none"/>
                      <w:lang w:val="en-US" w:eastAsia="zh-CN" w:bidi="ar-SA"/>
                    </w:rPr>
                    <w:t>106°27′49.027″</w:t>
                  </w:r>
                </w:p>
              </w:tc>
              <w:tc>
                <w:tcPr>
                  <w:tcW w:w="1415" w:type="dxa"/>
                  <w:tcBorders>
                    <w:tl2br w:val="nil"/>
                    <w:tr2bl w:val="nil"/>
                  </w:tcBorders>
                  <w:shd w:val="clear" w:color="auto" w:fill="auto"/>
                  <w:noWrap w:val="0"/>
                  <w:vAlign w:val="top"/>
                </w:tcPr>
                <w:p w14:paraId="61FF7B2A">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kern w:val="0"/>
                      <w:sz w:val="18"/>
                      <w:szCs w:val="18"/>
                      <w:u w:val="none"/>
                      <w:lang w:val="en-US" w:eastAsia="zh-CN" w:bidi="ar-SA"/>
                    </w:rPr>
                    <w:t>29°31′57.722″</w:t>
                  </w:r>
                </w:p>
              </w:tc>
              <w:tc>
                <w:tcPr>
                  <w:tcW w:w="970" w:type="dxa"/>
                  <w:tcBorders>
                    <w:tl2br w:val="nil"/>
                    <w:tr2bl w:val="nil"/>
                  </w:tcBorders>
                  <w:shd w:val="clear" w:color="auto" w:fill="auto"/>
                  <w:noWrap w:val="0"/>
                  <w:vAlign w:val="center"/>
                </w:tcPr>
                <w:p w14:paraId="27478CB7">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250</w:t>
                  </w:r>
                </w:p>
              </w:tc>
              <w:tc>
                <w:tcPr>
                  <w:tcW w:w="1335" w:type="dxa"/>
                  <w:tcBorders>
                    <w:tl2br w:val="nil"/>
                    <w:tr2bl w:val="nil"/>
                  </w:tcBorders>
                  <w:shd w:val="clear" w:color="auto" w:fill="auto"/>
                  <w:noWrap w:val="0"/>
                  <w:vAlign w:val="center"/>
                </w:tcPr>
                <w:p w14:paraId="0612A35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Dutch801 Rm BT"/>
                      <w:color w:val="auto"/>
                      <w:kern w:val="2"/>
                      <w:sz w:val="18"/>
                      <w:szCs w:val="18"/>
                      <w:lang w:val="en-US" w:eastAsia="zh-CN" w:bidi="ar-SA"/>
                    </w:rPr>
                  </w:pPr>
                  <w:r>
                    <w:rPr>
                      <w:rFonts w:hint="eastAsia" w:ascii="Times New Roman" w:hAnsi="Times New Roman"/>
                      <w:color w:val="auto"/>
                      <w:sz w:val="18"/>
                      <w:szCs w:val="18"/>
                      <w:lang w:val="en-US" w:eastAsia="zh-CN"/>
                    </w:rPr>
                    <w:t>5栋住宅楼，约930户，2976人</w:t>
                  </w:r>
                </w:p>
              </w:tc>
            </w:tr>
            <w:tr w14:paraId="3443D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41B4AD0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1690" w:type="dxa"/>
                  <w:tcBorders>
                    <w:tl2br w:val="nil"/>
                    <w:tr2bl w:val="nil"/>
                  </w:tcBorders>
                  <w:shd w:val="clear" w:color="auto" w:fill="auto"/>
                  <w:noWrap w:val="0"/>
                  <w:vAlign w:val="center"/>
                </w:tcPr>
                <w:p w14:paraId="3C12C4B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天骄美茵河谷</w:t>
                  </w:r>
                  <w:r>
                    <w:rPr>
                      <w:rFonts w:hint="eastAsia" w:ascii="Times New Roman" w:hAnsi="Times New Roman"/>
                      <w:color w:val="auto"/>
                      <w:sz w:val="18"/>
                      <w:szCs w:val="18"/>
                      <w:lang w:val="en-US" w:eastAsia="zh-CN"/>
                    </w:rPr>
                    <w:t>北侧部分楼栋</w:t>
                  </w:r>
                </w:p>
              </w:tc>
              <w:tc>
                <w:tcPr>
                  <w:tcW w:w="696" w:type="dxa"/>
                  <w:tcBorders>
                    <w:tl2br w:val="nil"/>
                    <w:tr2bl w:val="nil"/>
                  </w:tcBorders>
                  <w:shd w:val="clear" w:color="auto" w:fill="auto"/>
                  <w:noWrap w:val="0"/>
                  <w:vAlign w:val="center"/>
                </w:tcPr>
                <w:p w14:paraId="00A27EB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SW</w:t>
                  </w:r>
                </w:p>
              </w:tc>
              <w:tc>
                <w:tcPr>
                  <w:tcW w:w="1403" w:type="dxa"/>
                  <w:tcBorders>
                    <w:tl2br w:val="nil"/>
                    <w:tr2bl w:val="nil"/>
                  </w:tcBorders>
                  <w:noWrap w:val="0"/>
                  <w:vAlign w:val="center"/>
                </w:tcPr>
                <w:p w14:paraId="2DC2E2AF">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106°27′45.666″</w:t>
                  </w:r>
                </w:p>
              </w:tc>
              <w:tc>
                <w:tcPr>
                  <w:tcW w:w="1415" w:type="dxa"/>
                  <w:tcBorders>
                    <w:tl2br w:val="nil"/>
                    <w:tr2bl w:val="nil"/>
                  </w:tcBorders>
                  <w:noWrap w:val="0"/>
                  <w:vAlign w:val="center"/>
                </w:tcPr>
                <w:p w14:paraId="11488DE6">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29°31′53.860″</w:t>
                  </w:r>
                </w:p>
              </w:tc>
              <w:tc>
                <w:tcPr>
                  <w:tcW w:w="970" w:type="dxa"/>
                  <w:tcBorders>
                    <w:tl2br w:val="nil"/>
                    <w:tr2bl w:val="nil"/>
                  </w:tcBorders>
                  <w:shd w:val="clear" w:color="auto" w:fill="auto"/>
                  <w:noWrap w:val="0"/>
                  <w:vAlign w:val="center"/>
                </w:tcPr>
                <w:p w14:paraId="4FA7F77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370</w:t>
                  </w:r>
                </w:p>
              </w:tc>
              <w:tc>
                <w:tcPr>
                  <w:tcW w:w="1335" w:type="dxa"/>
                  <w:tcBorders>
                    <w:tl2br w:val="nil"/>
                    <w:tr2bl w:val="nil"/>
                  </w:tcBorders>
                  <w:shd w:val="clear" w:color="auto" w:fill="auto"/>
                  <w:noWrap w:val="0"/>
                  <w:vAlign w:val="center"/>
                </w:tcPr>
                <w:p w14:paraId="19BE592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约12栋住宅楼，约1000户，3200人</w:t>
                  </w:r>
                </w:p>
              </w:tc>
            </w:tr>
            <w:tr w14:paraId="51827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71D7B20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690" w:type="dxa"/>
                  <w:tcBorders>
                    <w:tl2br w:val="nil"/>
                    <w:tr2bl w:val="nil"/>
                  </w:tcBorders>
                  <w:shd w:val="clear" w:color="auto" w:fill="auto"/>
                  <w:noWrap w:val="0"/>
                  <w:vAlign w:val="center"/>
                </w:tcPr>
                <w:p w14:paraId="74DEBEBC">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保利中交云上雅集</w:t>
                  </w:r>
                </w:p>
              </w:tc>
              <w:tc>
                <w:tcPr>
                  <w:tcW w:w="696" w:type="dxa"/>
                  <w:tcBorders>
                    <w:tl2br w:val="nil"/>
                    <w:tr2bl w:val="nil"/>
                  </w:tcBorders>
                  <w:shd w:val="clear" w:color="auto" w:fill="auto"/>
                  <w:noWrap w:val="0"/>
                  <w:vAlign w:val="center"/>
                </w:tcPr>
                <w:p w14:paraId="73D0B79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S</w:t>
                  </w:r>
                </w:p>
              </w:tc>
              <w:tc>
                <w:tcPr>
                  <w:tcW w:w="1403" w:type="dxa"/>
                  <w:tcBorders>
                    <w:tl2br w:val="nil"/>
                    <w:tr2bl w:val="nil"/>
                  </w:tcBorders>
                  <w:noWrap w:val="0"/>
                  <w:vAlign w:val="center"/>
                </w:tcPr>
                <w:p w14:paraId="7D36A14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106°27′55.651″</w:t>
                  </w:r>
                </w:p>
              </w:tc>
              <w:tc>
                <w:tcPr>
                  <w:tcW w:w="1415" w:type="dxa"/>
                  <w:tcBorders>
                    <w:tl2br w:val="nil"/>
                    <w:tr2bl w:val="nil"/>
                  </w:tcBorders>
                  <w:noWrap w:val="0"/>
                  <w:vAlign w:val="center"/>
                </w:tcPr>
                <w:p w14:paraId="3D8FA5BE">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29°31′53.068″</w:t>
                  </w:r>
                </w:p>
              </w:tc>
              <w:tc>
                <w:tcPr>
                  <w:tcW w:w="970" w:type="dxa"/>
                  <w:tcBorders>
                    <w:tl2br w:val="nil"/>
                    <w:tr2bl w:val="nil"/>
                  </w:tcBorders>
                  <w:shd w:val="clear" w:color="auto" w:fill="auto"/>
                  <w:noWrap w:val="0"/>
                  <w:vAlign w:val="center"/>
                </w:tcPr>
                <w:p w14:paraId="2C67F93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120</w:t>
                  </w:r>
                </w:p>
              </w:tc>
              <w:tc>
                <w:tcPr>
                  <w:tcW w:w="1335" w:type="dxa"/>
                  <w:tcBorders>
                    <w:tl2br w:val="nil"/>
                    <w:tr2bl w:val="nil"/>
                  </w:tcBorders>
                  <w:shd w:val="clear" w:color="auto" w:fill="auto"/>
                  <w:noWrap w:val="0"/>
                  <w:vAlign w:val="center"/>
                </w:tcPr>
                <w:p w14:paraId="4171DE3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21栋住宅楼，约</w:t>
                  </w:r>
                  <w:r>
                    <w:rPr>
                      <w:rFonts w:hint="default" w:ascii="Times New Roman" w:hAnsi="Times New Roman"/>
                      <w:color w:val="auto"/>
                      <w:sz w:val="18"/>
                      <w:szCs w:val="18"/>
                      <w:lang w:val="en-US" w:eastAsia="zh-CN"/>
                    </w:rPr>
                    <w:t>1158户</w:t>
                  </w:r>
                  <w:r>
                    <w:rPr>
                      <w:rFonts w:hint="eastAsia" w:ascii="Times New Roman" w:hAnsi="Times New Roman"/>
                      <w:color w:val="auto"/>
                      <w:sz w:val="18"/>
                      <w:szCs w:val="18"/>
                      <w:lang w:val="en-US" w:eastAsia="zh-CN"/>
                    </w:rPr>
                    <w:t>，3706人</w:t>
                  </w:r>
                </w:p>
              </w:tc>
            </w:tr>
            <w:tr w14:paraId="37C1C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001407D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c>
                <w:tcPr>
                  <w:tcW w:w="1690" w:type="dxa"/>
                  <w:tcBorders>
                    <w:tl2br w:val="nil"/>
                    <w:tr2bl w:val="nil"/>
                  </w:tcBorders>
                  <w:shd w:val="clear" w:color="auto" w:fill="auto"/>
                  <w:noWrap w:val="0"/>
                  <w:vAlign w:val="center"/>
                </w:tcPr>
                <w:p w14:paraId="5F2EA55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重庆象屿公园悦府</w:t>
                  </w:r>
                </w:p>
              </w:tc>
              <w:tc>
                <w:tcPr>
                  <w:tcW w:w="696" w:type="dxa"/>
                  <w:tcBorders>
                    <w:tl2br w:val="nil"/>
                    <w:tr2bl w:val="nil"/>
                  </w:tcBorders>
                  <w:shd w:val="clear" w:color="auto" w:fill="auto"/>
                  <w:noWrap w:val="0"/>
                  <w:vAlign w:val="center"/>
                </w:tcPr>
                <w:p w14:paraId="6B0EA0B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S</w:t>
                  </w:r>
                </w:p>
              </w:tc>
              <w:tc>
                <w:tcPr>
                  <w:tcW w:w="1403" w:type="dxa"/>
                  <w:tcBorders>
                    <w:tl2br w:val="nil"/>
                    <w:tr2bl w:val="nil"/>
                  </w:tcBorders>
                  <w:noWrap w:val="0"/>
                  <w:vAlign w:val="center"/>
                </w:tcPr>
                <w:p w14:paraId="46A2F08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106°28′2.120″</w:t>
                  </w:r>
                </w:p>
              </w:tc>
              <w:tc>
                <w:tcPr>
                  <w:tcW w:w="1415" w:type="dxa"/>
                  <w:tcBorders>
                    <w:tl2br w:val="nil"/>
                    <w:tr2bl w:val="nil"/>
                  </w:tcBorders>
                  <w:noWrap w:val="0"/>
                  <w:vAlign w:val="center"/>
                </w:tcPr>
                <w:p w14:paraId="300F697D">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29°31′50.538″</w:t>
                  </w:r>
                </w:p>
              </w:tc>
              <w:tc>
                <w:tcPr>
                  <w:tcW w:w="970" w:type="dxa"/>
                  <w:tcBorders>
                    <w:tl2br w:val="nil"/>
                    <w:tr2bl w:val="nil"/>
                  </w:tcBorders>
                  <w:shd w:val="clear" w:color="auto" w:fill="auto"/>
                  <w:noWrap w:val="0"/>
                  <w:vAlign w:val="center"/>
                </w:tcPr>
                <w:p w14:paraId="30E4CBC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130</w:t>
                  </w:r>
                </w:p>
              </w:tc>
              <w:tc>
                <w:tcPr>
                  <w:tcW w:w="1335" w:type="dxa"/>
                  <w:tcBorders>
                    <w:tl2br w:val="nil"/>
                    <w:tr2bl w:val="nil"/>
                  </w:tcBorders>
                  <w:shd w:val="clear" w:color="auto" w:fill="auto"/>
                  <w:noWrap w:val="0"/>
                  <w:vAlign w:val="center"/>
                </w:tcPr>
                <w:p w14:paraId="2987284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3栋住宅楼，约472户，1510人</w:t>
                  </w:r>
                </w:p>
              </w:tc>
            </w:tr>
            <w:tr w14:paraId="60241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1BD0423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c>
                <w:tcPr>
                  <w:tcW w:w="1690" w:type="dxa"/>
                  <w:tcBorders>
                    <w:tl2br w:val="nil"/>
                    <w:tr2bl w:val="nil"/>
                  </w:tcBorders>
                  <w:shd w:val="clear" w:color="auto" w:fill="auto"/>
                  <w:noWrap w:val="0"/>
                  <w:vAlign w:val="center"/>
                </w:tcPr>
                <w:p w14:paraId="314C3D7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岭秀枫景</w:t>
                  </w:r>
                  <w:r>
                    <w:rPr>
                      <w:rFonts w:hint="eastAsia" w:ascii="Times New Roman" w:hAnsi="Times New Roman"/>
                      <w:color w:val="auto"/>
                      <w:sz w:val="18"/>
                      <w:szCs w:val="18"/>
                      <w:lang w:val="en-US" w:eastAsia="zh-CN"/>
                    </w:rPr>
                    <w:t>小区</w:t>
                  </w:r>
                </w:p>
              </w:tc>
              <w:tc>
                <w:tcPr>
                  <w:tcW w:w="696" w:type="dxa"/>
                  <w:tcBorders>
                    <w:tl2br w:val="nil"/>
                    <w:tr2bl w:val="nil"/>
                  </w:tcBorders>
                  <w:shd w:val="clear" w:color="auto" w:fill="auto"/>
                  <w:noWrap w:val="0"/>
                  <w:vAlign w:val="center"/>
                </w:tcPr>
                <w:p w14:paraId="4A81034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E</w:t>
                  </w:r>
                </w:p>
              </w:tc>
              <w:tc>
                <w:tcPr>
                  <w:tcW w:w="1403" w:type="dxa"/>
                  <w:tcBorders>
                    <w:tl2br w:val="nil"/>
                    <w:tr2bl w:val="nil"/>
                  </w:tcBorders>
                  <w:noWrap w:val="0"/>
                  <w:vAlign w:val="center"/>
                </w:tcPr>
                <w:p w14:paraId="66EA1248">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106°28′15.001″</w:t>
                  </w:r>
                </w:p>
              </w:tc>
              <w:tc>
                <w:tcPr>
                  <w:tcW w:w="1415" w:type="dxa"/>
                  <w:tcBorders>
                    <w:tl2br w:val="nil"/>
                    <w:tr2bl w:val="nil"/>
                  </w:tcBorders>
                  <w:noWrap w:val="0"/>
                  <w:vAlign w:val="center"/>
                </w:tcPr>
                <w:p w14:paraId="3BA66F65">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29°31′54.787″</w:t>
                  </w:r>
                </w:p>
              </w:tc>
              <w:tc>
                <w:tcPr>
                  <w:tcW w:w="970" w:type="dxa"/>
                  <w:tcBorders>
                    <w:tl2br w:val="nil"/>
                    <w:tr2bl w:val="nil"/>
                  </w:tcBorders>
                  <w:shd w:val="clear" w:color="auto" w:fill="auto"/>
                  <w:noWrap w:val="0"/>
                  <w:vAlign w:val="center"/>
                </w:tcPr>
                <w:p w14:paraId="23227BD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280</w:t>
                  </w:r>
                </w:p>
              </w:tc>
              <w:tc>
                <w:tcPr>
                  <w:tcW w:w="1335" w:type="dxa"/>
                  <w:tcBorders>
                    <w:tl2br w:val="nil"/>
                    <w:tr2bl w:val="nil"/>
                  </w:tcBorders>
                  <w:shd w:val="clear" w:color="auto" w:fill="auto"/>
                  <w:noWrap w:val="0"/>
                  <w:vAlign w:val="center"/>
                </w:tcPr>
                <w:p w14:paraId="4A8A3E43">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4栋住宅楼，约761户，2435人</w:t>
                  </w:r>
                </w:p>
              </w:tc>
            </w:tr>
            <w:tr w14:paraId="55D5C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036934B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13</w:t>
                  </w:r>
                </w:p>
              </w:tc>
              <w:tc>
                <w:tcPr>
                  <w:tcW w:w="1690" w:type="dxa"/>
                  <w:tcBorders>
                    <w:tl2br w:val="nil"/>
                    <w:tr2bl w:val="nil"/>
                  </w:tcBorders>
                  <w:shd w:val="clear" w:color="auto" w:fill="auto"/>
                  <w:noWrap w:val="0"/>
                  <w:vAlign w:val="center"/>
                </w:tcPr>
                <w:p w14:paraId="15D1A8D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default" w:ascii="Times New Roman" w:hAnsi="Times New Roman"/>
                      <w:color w:val="auto"/>
                      <w:sz w:val="18"/>
                      <w:szCs w:val="18"/>
                      <w:lang w:val="en-US" w:eastAsia="zh-CN"/>
                    </w:rPr>
                    <w:t>维利家园</w:t>
                  </w:r>
                  <w:r>
                    <w:rPr>
                      <w:rFonts w:hint="eastAsia" w:ascii="Times New Roman" w:hAnsi="Times New Roman"/>
                      <w:color w:val="auto"/>
                      <w:sz w:val="18"/>
                      <w:szCs w:val="18"/>
                      <w:lang w:val="en-US" w:eastAsia="zh-CN"/>
                    </w:rPr>
                    <w:t>小区</w:t>
                  </w:r>
                </w:p>
              </w:tc>
              <w:tc>
                <w:tcPr>
                  <w:tcW w:w="696" w:type="dxa"/>
                  <w:tcBorders>
                    <w:tl2br w:val="nil"/>
                    <w:tr2bl w:val="nil"/>
                  </w:tcBorders>
                  <w:shd w:val="clear" w:color="auto" w:fill="auto"/>
                  <w:noWrap w:val="0"/>
                  <w:vAlign w:val="center"/>
                </w:tcPr>
                <w:p w14:paraId="5D673E19">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E</w:t>
                  </w:r>
                </w:p>
              </w:tc>
              <w:tc>
                <w:tcPr>
                  <w:tcW w:w="1403" w:type="dxa"/>
                  <w:tcBorders>
                    <w:tl2br w:val="nil"/>
                    <w:tr2bl w:val="nil"/>
                  </w:tcBorders>
                  <w:noWrap w:val="0"/>
                  <w:vAlign w:val="center"/>
                </w:tcPr>
                <w:p w14:paraId="39DC6EAA">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106°28′19.404″</w:t>
                  </w:r>
                </w:p>
              </w:tc>
              <w:tc>
                <w:tcPr>
                  <w:tcW w:w="1415" w:type="dxa"/>
                  <w:tcBorders>
                    <w:tl2br w:val="nil"/>
                    <w:tr2bl w:val="nil"/>
                  </w:tcBorders>
                  <w:noWrap w:val="0"/>
                  <w:vAlign w:val="center"/>
                </w:tcPr>
                <w:p w14:paraId="52A4A31D">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29°31′55.212″</w:t>
                  </w:r>
                </w:p>
              </w:tc>
              <w:tc>
                <w:tcPr>
                  <w:tcW w:w="970" w:type="dxa"/>
                  <w:tcBorders>
                    <w:tl2br w:val="nil"/>
                    <w:tr2bl w:val="nil"/>
                  </w:tcBorders>
                  <w:shd w:val="clear" w:color="auto" w:fill="auto"/>
                  <w:noWrap w:val="0"/>
                  <w:vAlign w:val="center"/>
                </w:tcPr>
                <w:p w14:paraId="43B6792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410</w:t>
                  </w:r>
                </w:p>
              </w:tc>
              <w:tc>
                <w:tcPr>
                  <w:tcW w:w="1335" w:type="dxa"/>
                  <w:tcBorders>
                    <w:tl2br w:val="nil"/>
                    <w:tr2bl w:val="nil"/>
                  </w:tcBorders>
                  <w:shd w:val="clear" w:color="auto" w:fill="auto"/>
                  <w:noWrap w:val="0"/>
                  <w:vAlign w:val="center"/>
                </w:tcPr>
                <w:p w14:paraId="4571124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6栋住宅楼，约198户，634人</w:t>
                  </w:r>
                </w:p>
              </w:tc>
            </w:tr>
            <w:tr w14:paraId="48DF2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7BD63D3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w:t>
                  </w:r>
                </w:p>
              </w:tc>
              <w:tc>
                <w:tcPr>
                  <w:tcW w:w="1690" w:type="dxa"/>
                  <w:tcBorders>
                    <w:tl2br w:val="nil"/>
                    <w:tr2bl w:val="nil"/>
                  </w:tcBorders>
                  <w:shd w:val="clear" w:color="auto" w:fill="auto"/>
                  <w:noWrap w:val="0"/>
                  <w:vAlign w:val="center"/>
                </w:tcPr>
                <w:p w14:paraId="7D527C2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白马凼住宅楼</w:t>
                  </w:r>
                </w:p>
              </w:tc>
              <w:tc>
                <w:tcPr>
                  <w:tcW w:w="696" w:type="dxa"/>
                  <w:tcBorders>
                    <w:tl2br w:val="nil"/>
                    <w:tr2bl w:val="nil"/>
                  </w:tcBorders>
                  <w:shd w:val="clear" w:color="auto" w:fill="auto"/>
                  <w:noWrap w:val="0"/>
                  <w:vAlign w:val="center"/>
                </w:tcPr>
                <w:p w14:paraId="645B097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E</w:t>
                  </w:r>
                </w:p>
              </w:tc>
              <w:tc>
                <w:tcPr>
                  <w:tcW w:w="1403" w:type="dxa"/>
                  <w:tcBorders>
                    <w:tl2br w:val="nil"/>
                    <w:tr2bl w:val="nil"/>
                  </w:tcBorders>
                  <w:noWrap w:val="0"/>
                  <w:vAlign w:val="center"/>
                </w:tcPr>
                <w:p w14:paraId="1257E62C">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106°28′20.563″</w:t>
                  </w:r>
                </w:p>
              </w:tc>
              <w:tc>
                <w:tcPr>
                  <w:tcW w:w="1415" w:type="dxa"/>
                  <w:tcBorders>
                    <w:tl2br w:val="nil"/>
                    <w:tr2bl w:val="nil"/>
                  </w:tcBorders>
                  <w:noWrap w:val="0"/>
                  <w:vAlign w:val="center"/>
                </w:tcPr>
                <w:p w14:paraId="2AC572F3">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29°31′58.707″</w:t>
                  </w:r>
                </w:p>
              </w:tc>
              <w:tc>
                <w:tcPr>
                  <w:tcW w:w="970" w:type="dxa"/>
                  <w:tcBorders>
                    <w:tl2br w:val="nil"/>
                    <w:tr2bl w:val="nil"/>
                  </w:tcBorders>
                  <w:shd w:val="clear" w:color="auto" w:fill="auto"/>
                  <w:noWrap w:val="0"/>
                  <w:vAlign w:val="center"/>
                </w:tcPr>
                <w:p w14:paraId="552AB1C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480</w:t>
                  </w:r>
                </w:p>
              </w:tc>
              <w:tc>
                <w:tcPr>
                  <w:tcW w:w="1335" w:type="dxa"/>
                  <w:tcBorders>
                    <w:tl2br w:val="nil"/>
                    <w:tr2bl w:val="nil"/>
                  </w:tcBorders>
                  <w:shd w:val="clear" w:color="auto" w:fill="auto"/>
                  <w:noWrap w:val="0"/>
                  <w:vAlign w:val="center"/>
                </w:tcPr>
                <w:p w14:paraId="4B640F6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4栋住宅楼，约100户，320人</w:t>
                  </w:r>
                </w:p>
              </w:tc>
            </w:tr>
            <w:tr w14:paraId="435B9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365D686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1690" w:type="dxa"/>
                  <w:tcBorders>
                    <w:tl2br w:val="nil"/>
                    <w:tr2bl w:val="nil"/>
                  </w:tcBorders>
                  <w:shd w:val="clear" w:color="auto" w:fill="auto"/>
                  <w:noWrap w:val="0"/>
                  <w:vAlign w:val="center"/>
                </w:tcPr>
                <w:p w14:paraId="0D27FA6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上方新人居小区</w:t>
                  </w:r>
                </w:p>
              </w:tc>
              <w:tc>
                <w:tcPr>
                  <w:tcW w:w="696" w:type="dxa"/>
                  <w:tcBorders>
                    <w:tl2br w:val="nil"/>
                    <w:tr2bl w:val="nil"/>
                  </w:tcBorders>
                  <w:shd w:val="clear" w:color="auto" w:fill="auto"/>
                  <w:noWrap w:val="0"/>
                  <w:vAlign w:val="center"/>
                </w:tcPr>
                <w:p w14:paraId="1CE1829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NE</w:t>
                  </w:r>
                </w:p>
              </w:tc>
              <w:tc>
                <w:tcPr>
                  <w:tcW w:w="1403" w:type="dxa"/>
                  <w:tcBorders>
                    <w:tl2br w:val="nil"/>
                    <w:tr2bl w:val="nil"/>
                  </w:tcBorders>
                  <w:noWrap w:val="0"/>
                  <w:vAlign w:val="center"/>
                </w:tcPr>
                <w:p w14:paraId="3B87B3FB">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106°28′16.508″</w:t>
                  </w:r>
                </w:p>
              </w:tc>
              <w:tc>
                <w:tcPr>
                  <w:tcW w:w="1415" w:type="dxa"/>
                  <w:tcBorders>
                    <w:tl2br w:val="nil"/>
                    <w:tr2bl w:val="nil"/>
                  </w:tcBorders>
                  <w:noWrap w:val="0"/>
                  <w:vAlign w:val="center"/>
                </w:tcPr>
                <w:p w14:paraId="35968554">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29°32′4.733″</w:t>
                  </w:r>
                </w:p>
              </w:tc>
              <w:tc>
                <w:tcPr>
                  <w:tcW w:w="970" w:type="dxa"/>
                  <w:tcBorders>
                    <w:tl2br w:val="nil"/>
                    <w:tr2bl w:val="nil"/>
                  </w:tcBorders>
                  <w:shd w:val="clear" w:color="auto" w:fill="auto"/>
                  <w:noWrap w:val="0"/>
                  <w:vAlign w:val="center"/>
                </w:tcPr>
                <w:p w14:paraId="728ED1D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440</w:t>
                  </w:r>
                </w:p>
              </w:tc>
              <w:tc>
                <w:tcPr>
                  <w:tcW w:w="1335" w:type="dxa"/>
                  <w:tcBorders>
                    <w:tl2br w:val="nil"/>
                    <w:tr2bl w:val="nil"/>
                  </w:tcBorders>
                  <w:shd w:val="clear" w:color="auto" w:fill="auto"/>
                  <w:noWrap w:val="0"/>
                  <w:vAlign w:val="center"/>
                </w:tcPr>
                <w:p w14:paraId="21D4D0C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2栋住宅楼，约813户，2659人</w:t>
                  </w:r>
                </w:p>
              </w:tc>
            </w:tr>
            <w:tr w14:paraId="1D1AD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448" w:type="dxa"/>
                  <w:tcBorders>
                    <w:tl2br w:val="nil"/>
                    <w:tr2bl w:val="nil"/>
                  </w:tcBorders>
                  <w:noWrap w:val="0"/>
                  <w:vAlign w:val="center"/>
                </w:tcPr>
                <w:p w14:paraId="3F6063A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16</w:t>
                  </w:r>
                </w:p>
              </w:tc>
              <w:tc>
                <w:tcPr>
                  <w:tcW w:w="1690" w:type="dxa"/>
                  <w:tcBorders>
                    <w:tl2br w:val="nil"/>
                    <w:tr2bl w:val="nil"/>
                  </w:tcBorders>
                  <w:shd w:val="clear" w:color="auto" w:fill="auto"/>
                  <w:noWrap w:val="0"/>
                  <w:vAlign w:val="center"/>
                </w:tcPr>
                <w:p w14:paraId="08306E4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康德城市小区5号楼</w:t>
                  </w:r>
                </w:p>
              </w:tc>
              <w:tc>
                <w:tcPr>
                  <w:tcW w:w="696" w:type="dxa"/>
                  <w:tcBorders>
                    <w:tl2br w:val="nil"/>
                    <w:tr2bl w:val="nil"/>
                  </w:tcBorders>
                  <w:shd w:val="clear" w:color="auto" w:fill="auto"/>
                  <w:noWrap w:val="0"/>
                  <w:vAlign w:val="center"/>
                </w:tcPr>
                <w:p w14:paraId="5190C8E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NE</w:t>
                  </w:r>
                </w:p>
              </w:tc>
              <w:tc>
                <w:tcPr>
                  <w:tcW w:w="1403" w:type="dxa"/>
                  <w:tcBorders>
                    <w:tl2br w:val="nil"/>
                    <w:tr2bl w:val="nil"/>
                  </w:tcBorders>
                  <w:noWrap w:val="0"/>
                  <w:vAlign w:val="center"/>
                </w:tcPr>
                <w:p w14:paraId="4878C574">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106°28′16.527″</w:t>
                  </w:r>
                </w:p>
              </w:tc>
              <w:tc>
                <w:tcPr>
                  <w:tcW w:w="1415" w:type="dxa"/>
                  <w:tcBorders>
                    <w:tl2br w:val="nil"/>
                    <w:tr2bl w:val="nil"/>
                  </w:tcBorders>
                  <w:noWrap w:val="0"/>
                  <w:vAlign w:val="center"/>
                </w:tcPr>
                <w:p w14:paraId="07C61BB7">
                  <w:pPr>
                    <w:pStyle w:val="35"/>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29°32′8.247″</w:t>
                  </w:r>
                </w:p>
              </w:tc>
              <w:tc>
                <w:tcPr>
                  <w:tcW w:w="970" w:type="dxa"/>
                  <w:tcBorders>
                    <w:tl2br w:val="nil"/>
                    <w:tr2bl w:val="nil"/>
                  </w:tcBorders>
                  <w:shd w:val="clear" w:color="auto" w:fill="auto"/>
                  <w:noWrap w:val="0"/>
                  <w:vAlign w:val="center"/>
                </w:tcPr>
                <w:p w14:paraId="534856B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490</w:t>
                  </w:r>
                </w:p>
              </w:tc>
              <w:tc>
                <w:tcPr>
                  <w:tcW w:w="1335" w:type="dxa"/>
                  <w:tcBorders>
                    <w:tl2br w:val="nil"/>
                    <w:tr2bl w:val="nil"/>
                  </w:tcBorders>
                  <w:shd w:val="clear" w:color="auto" w:fill="auto"/>
                  <w:noWrap w:val="0"/>
                  <w:vAlign w:val="center"/>
                </w:tcPr>
                <w:p w14:paraId="7104F0F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1栋住宅楼，约322户，1030人</w:t>
                  </w:r>
                </w:p>
              </w:tc>
            </w:tr>
          </w:tbl>
          <w:p w14:paraId="514F86DF">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③地下水</w:t>
            </w:r>
          </w:p>
          <w:p w14:paraId="25AF2D0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根据现场调查，项目厂界外500m范围内无地下水集中式饮用水水源和热水、矿泉水、温泉等特殊地下水资源等。</w:t>
            </w:r>
          </w:p>
          <w:p w14:paraId="25FA2DDD">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④生态环境</w:t>
            </w:r>
          </w:p>
          <w:p w14:paraId="2CFF53C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both"/>
              <w:textAlignment w:val="auto"/>
              <w:rPr>
                <w:rFonts w:hint="default" w:ascii="Times New Roman" w:hAnsi="Times New Roman" w:eastAsia="宋体" w:cs="Times New Roman"/>
                <w:color w:val="auto"/>
                <w:kern w:val="0"/>
                <w:szCs w:val="21"/>
              </w:rPr>
            </w:pPr>
            <w:r>
              <w:rPr>
                <w:rFonts w:hint="eastAsia" w:ascii="Times New Roman" w:hAnsi="Times New Roman" w:cs="Times New Roman"/>
                <w:b w:val="0"/>
                <w:bCs w:val="0"/>
                <w:color w:val="auto"/>
                <w:kern w:val="0"/>
                <w:sz w:val="21"/>
                <w:szCs w:val="21"/>
                <w:highlight w:val="none"/>
                <w:lang w:val="en-US" w:eastAsia="zh-CN"/>
              </w:rPr>
              <w:t>本项目</w:t>
            </w:r>
            <w:r>
              <w:rPr>
                <w:rFonts w:hint="eastAsia" w:ascii="Times New Roman" w:hAnsi="Times New Roman" w:eastAsia="宋体" w:cs="Times New Roman"/>
                <w:b w:val="0"/>
                <w:bCs w:val="0"/>
                <w:color w:val="auto"/>
                <w:kern w:val="0"/>
                <w:sz w:val="21"/>
                <w:szCs w:val="21"/>
                <w:highlight w:val="none"/>
                <w:lang w:val="en-US" w:eastAsia="zh-CN"/>
              </w:rPr>
              <w:t>针对现有宠物医院手术室进行改造，不新增用地，周边区域生态结构较简单、植被稀疏、无珍稀野生动植物分布，无生态环境保护目标。</w:t>
            </w:r>
          </w:p>
        </w:tc>
      </w:tr>
      <w:tr w14:paraId="14A00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00" w:type="dxa"/>
            <w:noWrap w:val="0"/>
            <w:tcMar>
              <w:left w:w="28" w:type="dxa"/>
              <w:right w:w="28" w:type="dxa"/>
            </w:tcMar>
            <w:vAlign w:val="center"/>
          </w:tcPr>
          <w:p w14:paraId="3594AEA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w:t>
            </w:r>
          </w:p>
          <w:p w14:paraId="57821161">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物排</w:t>
            </w:r>
          </w:p>
          <w:p w14:paraId="22F7A2D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放控</w:t>
            </w:r>
          </w:p>
          <w:p w14:paraId="628180F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制标</w:t>
            </w:r>
          </w:p>
          <w:p w14:paraId="5C3034D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准</w:t>
            </w:r>
          </w:p>
        </w:tc>
        <w:tc>
          <w:tcPr>
            <w:tcW w:w="8190" w:type="dxa"/>
            <w:noWrap w:val="0"/>
            <w:vAlign w:val="center"/>
          </w:tcPr>
          <w:p w14:paraId="47466CF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3.6污染物排放控制标准</w:t>
            </w:r>
          </w:p>
          <w:p w14:paraId="1BD491B8">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val="en-US" w:eastAsia="zh-CN"/>
              </w:rPr>
              <w:t>3.6.1</w:t>
            </w:r>
            <w:r>
              <w:rPr>
                <w:rFonts w:hint="default" w:ascii="Times New Roman" w:hAnsi="Times New Roman" w:eastAsia="宋体" w:cs="Times New Roman"/>
                <w:b/>
                <w:bCs/>
                <w:color w:val="auto"/>
                <w:kern w:val="0"/>
                <w:szCs w:val="21"/>
                <w:lang w:eastAsia="zh-CN"/>
              </w:rPr>
              <w:t>废气</w:t>
            </w:r>
          </w:p>
          <w:p w14:paraId="670F3EC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项目臭气主要来自动物就诊、住院过程，产生的臭气量较小，执行《恶臭污染物排放标准》（GB14554-93），具体标准值见表3-5。</w:t>
            </w:r>
          </w:p>
          <w:p w14:paraId="56B96185">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eastAsia="zh-CN"/>
              </w:rPr>
              <w:t>表3</w:t>
            </w:r>
            <w:r>
              <w:rPr>
                <w:rFonts w:hint="eastAsia" w:ascii="Times New Roman" w:hAnsi="Times New Roman" w:eastAsia="宋体" w:cs="Times New Roman"/>
                <w:b/>
                <w:color w:val="auto"/>
                <w:szCs w:val="21"/>
                <w:lang w:val="en-US" w:eastAsia="zh-CN"/>
              </w:rPr>
              <w:t>-5</w:t>
            </w:r>
            <w:r>
              <w:rPr>
                <w:rFonts w:hint="default" w:ascii="Times New Roman" w:hAnsi="Times New Roman" w:eastAsia="宋体" w:cs="Times New Roman"/>
                <w:b/>
                <w:color w:val="auto"/>
                <w:szCs w:val="21"/>
                <w:lang w:eastAsia="zh-CN"/>
              </w:rPr>
              <w:t xml:space="preserve">  </w:t>
            </w:r>
            <w:r>
              <w:rPr>
                <w:rFonts w:hint="default" w:ascii="Times New Roman" w:hAnsi="Times New Roman" w:eastAsia="宋体" w:cs="Times New Roman"/>
                <w:b/>
                <w:color w:val="auto"/>
                <w:szCs w:val="21"/>
                <w:lang w:val="en-US" w:eastAsia="zh-CN"/>
              </w:rPr>
              <w:t>恶臭污染物排放标准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3342"/>
              <w:gridCol w:w="3380"/>
            </w:tblGrid>
            <w:tr w14:paraId="0CBF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noWrap w:val="0"/>
                  <w:tcMar>
                    <w:top w:w="0" w:type="dxa"/>
                    <w:left w:w="0" w:type="dxa"/>
                    <w:bottom w:w="0" w:type="dxa"/>
                    <w:right w:w="0" w:type="dxa"/>
                  </w:tcMar>
                  <w:vAlign w:val="center"/>
                </w:tcPr>
                <w:p w14:paraId="1EE93076">
                  <w:pPr>
                    <w:pStyle w:val="72"/>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序号</w:t>
                  </w:r>
                </w:p>
              </w:tc>
              <w:tc>
                <w:tcPr>
                  <w:tcW w:w="2098" w:type="pct"/>
                  <w:noWrap w:val="0"/>
                  <w:vAlign w:val="center"/>
                </w:tcPr>
                <w:p w14:paraId="4E01A335">
                  <w:pPr>
                    <w:pStyle w:val="72"/>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污染物名称</w:t>
                  </w:r>
                </w:p>
              </w:tc>
              <w:tc>
                <w:tcPr>
                  <w:tcW w:w="2122" w:type="pct"/>
                  <w:noWrap w:val="0"/>
                  <w:vAlign w:val="center"/>
                </w:tcPr>
                <w:p w14:paraId="3FB4E0A0">
                  <w:pPr>
                    <w:pStyle w:val="72"/>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标准值（二级）</w:t>
                  </w:r>
                </w:p>
              </w:tc>
            </w:tr>
            <w:tr w14:paraId="0F53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noWrap w:val="0"/>
                  <w:tcMar>
                    <w:top w:w="0" w:type="dxa"/>
                    <w:left w:w="0" w:type="dxa"/>
                    <w:bottom w:w="0" w:type="dxa"/>
                    <w:right w:w="0" w:type="dxa"/>
                  </w:tcMar>
                  <w:vAlign w:val="center"/>
                </w:tcPr>
                <w:p w14:paraId="121796F3">
                  <w:pPr>
                    <w:pStyle w:val="72"/>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2098" w:type="pct"/>
                  <w:noWrap w:val="0"/>
                  <w:vAlign w:val="center"/>
                </w:tcPr>
                <w:p w14:paraId="03CD4A06">
                  <w:pPr>
                    <w:pStyle w:val="72"/>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臭气浓度</w:t>
                  </w:r>
                </w:p>
              </w:tc>
              <w:tc>
                <w:tcPr>
                  <w:tcW w:w="2122" w:type="pct"/>
                  <w:noWrap w:val="0"/>
                  <w:vAlign w:val="center"/>
                </w:tcPr>
                <w:p w14:paraId="11049973">
                  <w:pPr>
                    <w:pStyle w:val="72"/>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20（无量纲）</w:t>
                  </w:r>
                </w:p>
              </w:tc>
            </w:tr>
          </w:tbl>
          <w:p w14:paraId="19FE878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val="en-US" w:eastAsia="zh-CN"/>
              </w:rPr>
              <w:t>3.6.2</w:t>
            </w:r>
            <w:r>
              <w:rPr>
                <w:rFonts w:hint="default" w:ascii="Times New Roman" w:hAnsi="Times New Roman" w:eastAsia="宋体" w:cs="Times New Roman"/>
                <w:b/>
                <w:bCs/>
                <w:color w:val="auto"/>
                <w:kern w:val="0"/>
                <w:szCs w:val="21"/>
                <w:lang w:eastAsia="zh-CN"/>
              </w:rPr>
              <w:t>废水</w:t>
            </w:r>
          </w:p>
          <w:p w14:paraId="5000D36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项目为动物医院，门诊量较小，医疗废水排放参照执行《医疗机构水污染物排放标准》（GB18466-2005）4.1.3</w:t>
            </w:r>
            <w:r>
              <w:rPr>
                <w:rFonts w:hint="eastAsia" w:ascii="Times New Roman" w:hAnsi="Times New Roman"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县级以下或 20 张床位以下的综合医疗机构和其他所有医疗机构污水经消毒后方可排放</w:t>
            </w:r>
            <w:r>
              <w:rPr>
                <w:rFonts w:hint="eastAsia" w:ascii="Times New Roman" w:hAnsi="Times New Roman"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。因此，项目医疗废水仅进行消毒处理即可，项目采用氯片消毒。</w:t>
            </w:r>
          </w:p>
          <w:p w14:paraId="68102EE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经消毒处理的医疗废水</w:t>
            </w:r>
            <w:r>
              <w:rPr>
                <w:rFonts w:hint="eastAsia" w:ascii="Times New Roman" w:hAnsi="Times New Roman" w:eastAsia="宋体" w:cs="Times New Roman"/>
                <w:color w:val="auto"/>
                <w:kern w:val="0"/>
                <w:szCs w:val="21"/>
                <w:lang w:val="en-US" w:eastAsia="zh-CN"/>
              </w:rPr>
              <w:t>与生活污水、其他废水一并依托</w:t>
            </w:r>
            <w:r>
              <w:rPr>
                <w:rFonts w:hint="eastAsia" w:ascii="Times New Roman" w:hAnsi="Times New Roman" w:cs="Times New Roman"/>
                <w:color w:val="auto"/>
                <w:kern w:val="0"/>
                <w:szCs w:val="21"/>
                <w:lang w:val="en-US" w:eastAsia="zh-CN"/>
              </w:rPr>
              <w:t>小区已建</w:t>
            </w:r>
            <w:r>
              <w:rPr>
                <w:rFonts w:hint="eastAsia" w:ascii="Times New Roman" w:hAnsi="Times New Roman" w:eastAsia="宋体" w:cs="Times New Roman"/>
                <w:color w:val="auto"/>
                <w:kern w:val="0"/>
                <w:szCs w:val="21"/>
                <w:lang w:val="en-US" w:eastAsia="zh-CN"/>
              </w:rPr>
              <w:t>生化池处理达到《污水综合排放标准》（GB8978-1996）三级标准，汇入市政污水管网进入鸡冠石污水处理厂深度处理达《城镇污水处理厂污染物排放标准》（GB 18918—2002）一级A标，最终排入长江。污水排放标准详见表3-</w:t>
            </w:r>
            <w:r>
              <w:rPr>
                <w:rFonts w:hint="eastAsia" w:ascii="Times New Roman" w:hAnsi="Times New Roman" w:cs="Times New Roman"/>
                <w:color w:val="auto"/>
                <w:kern w:val="0"/>
                <w:szCs w:val="21"/>
                <w:lang w:val="en-US" w:eastAsia="zh-CN"/>
              </w:rPr>
              <w:t>6</w:t>
            </w:r>
            <w:r>
              <w:rPr>
                <w:rFonts w:hint="eastAsia" w:ascii="Times New Roman" w:hAnsi="Times New Roman" w:eastAsia="宋体" w:cs="Times New Roman"/>
                <w:color w:val="auto"/>
                <w:kern w:val="0"/>
                <w:szCs w:val="21"/>
                <w:lang w:val="en-US" w:eastAsia="zh-CN"/>
              </w:rPr>
              <w:t>。</w:t>
            </w:r>
          </w:p>
          <w:p w14:paraId="03C1564F">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default" w:ascii="Times New Roman" w:hAnsi="Times New Roman" w:eastAsia="宋体" w:cs="Times New Roman"/>
                <w:b/>
                <w:color w:val="auto"/>
                <w:szCs w:val="21"/>
                <w:lang w:val="en-US" w:eastAsia="zh-CN"/>
              </w:rPr>
            </w:pPr>
          </w:p>
          <w:p w14:paraId="01EC5081">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default" w:ascii="Times New Roman" w:hAnsi="Times New Roman" w:eastAsia="宋体" w:cs="Times New Roman"/>
                <w:b/>
                <w:color w:val="auto"/>
                <w:szCs w:val="21"/>
                <w:lang w:val="en-US" w:eastAsia="zh-CN"/>
              </w:rPr>
            </w:pPr>
          </w:p>
          <w:p w14:paraId="5E06C5BD">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default" w:ascii="Times New Roman" w:hAnsi="Times New Roman" w:eastAsia="宋体" w:cs="Times New Roman"/>
                <w:b/>
                <w:color w:val="auto"/>
                <w:szCs w:val="21"/>
                <w:lang w:val="en-US" w:eastAsia="zh-CN"/>
              </w:rPr>
            </w:pPr>
          </w:p>
          <w:p w14:paraId="24384FDA">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表</w:t>
            </w:r>
            <w:r>
              <w:rPr>
                <w:rFonts w:hint="eastAsia" w:ascii="Times New Roman" w:hAnsi="Times New Roman" w:eastAsia="宋体" w:cs="Times New Roman"/>
                <w:b/>
                <w:color w:val="auto"/>
                <w:szCs w:val="21"/>
                <w:lang w:val="en-US" w:eastAsia="zh-CN"/>
              </w:rPr>
              <w:t>3-</w:t>
            </w:r>
            <w:r>
              <w:rPr>
                <w:rFonts w:hint="eastAsia" w:ascii="Times New Roman" w:hAnsi="Times New Roman" w:cs="Times New Roman"/>
                <w:b/>
                <w:color w:val="auto"/>
                <w:szCs w:val="21"/>
                <w:lang w:val="en-US" w:eastAsia="zh-CN"/>
              </w:rPr>
              <w:t>6</w:t>
            </w:r>
            <w:r>
              <w:rPr>
                <w:rFonts w:hint="default" w:ascii="Times New Roman" w:hAnsi="Times New Roman" w:eastAsia="宋体" w:cs="Times New Roman"/>
                <w:b/>
                <w:color w:val="auto"/>
                <w:szCs w:val="21"/>
                <w:lang w:val="en-US" w:eastAsia="zh-CN"/>
              </w:rPr>
              <w:t xml:space="preserve">  废水污染物排放限值  单位mg/L</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554"/>
              <w:gridCol w:w="675"/>
              <w:gridCol w:w="749"/>
              <w:gridCol w:w="548"/>
              <w:gridCol w:w="838"/>
              <w:gridCol w:w="792"/>
              <w:gridCol w:w="1139"/>
              <w:gridCol w:w="737"/>
            </w:tblGrid>
            <w:tr w14:paraId="0E89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noWrap w:val="0"/>
                  <w:vAlign w:val="center"/>
                </w:tcPr>
                <w:p w14:paraId="07D5F1E0">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内容</w:t>
                  </w:r>
                </w:p>
              </w:tc>
              <w:tc>
                <w:tcPr>
                  <w:tcW w:w="348" w:type="pct"/>
                  <w:noWrap w:val="0"/>
                  <w:vAlign w:val="center"/>
                </w:tcPr>
                <w:p w14:paraId="3FBD3008">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pH</w:t>
                  </w:r>
                </w:p>
              </w:tc>
              <w:tc>
                <w:tcPr>
                  <w:tcW w:w="424" w:type="pct"/>
                  <w:noWrap w:val="0"/>
                  <w:vAlign w:val="center"/>
                </w:tcPr>
                <w:p w14:paraId="3E94B9BD">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COD</w:t>
                  </w:r>
                </w:p>
              </w:tc>
              <w:tc>
                <w:tcPr>
                  <w:tcW w:w="470" w:type="pct"/>
                  <w:noWrap w:val="0"/>
                  <w:vAlign w:val="center"/>
                </w:tcPr>
                <w:p w14:paraId="33B05442">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BOD</w:t>
                  </w:r>
                  <w:r>
                    <w:rPr>
                      <w:rFonts w:hint="default" w:ascii="Times New Roman" w:hAnsi="Times New Roman" w:cs="Times New Roman"/>
                      <w:color w:val="auto"/>
                      <w:sz w:val="18"/>
                      <w:szCs w:val="18"/>
                      <w:highlight w:val="none"/>
                      <w:vertAlign w:val="subscript"/>
                    </w:rPr>
                    <w:t>5</w:t>
                  </w:r>
                </w:p>
              </w:tc>
              <w:tc>
                <w:tcPr>
                  <w:tcW w:w="344" w:type="pct"/>
                  <w:noWrap w:val="0"/>
                  <w:vAlign w:val="center"/>
                </w:tcPr>
                <w:p w14:paraId="3C67F1E7">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SS</w:t>
                  </w:r>
                </w:p>
              </w:tc>
              <w:tc>
                <w:tcPr>
                  <w:tcW w:w="526" w:type="pct"/>
                  <w:noWrap w:val="0"/>
                  <w:vAlign w:val="center"/>
                </w:tcPr>
                <w:p w14:paraId="6B4DEC5D">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w:t>
                  </w:r>
                </w:p>
              </w:tc>
              <w:tc>
                <w:tcPr>
                  <w:tcW w:w="497" w:type="pct"/>
                  <w:shd w:val="clear" w:color="auto" w:fill="auto"/>
                  <w:noWrap w:val="0"/>
                  <w:vAlign w:val="center"/>
                </w:tcPr>
                <w:p w14:paraId="761C48B9">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ind w:firstLine="0" w:firstLineChars="0"/>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LAS</w:t>
                  </w:r>
                </w:p>
              </w:tc>
              <w:tc>
                <w:tcPr>
                  <w:tcW w:w="715" w:type="pct"/>
                  <w:noWrap w:val="0"/>
                  <w:vAlign w:val="center"/>
                </w:tcPr>
                <w:p w14:paraId="6DFC4C21">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粪大肠菌群</w:t>
                  </w:r>
                </w:p>
              </w:tc>
              <w:tc>
                <w:tcPr>
                  <w:tcW w:w="459" w:type="pct"/>
                  <w:noWrap w:val="0"/>
                  <w:vAlign w:val="center"/>
                </w:tcPr>
                <w:p w14:paraId="0081F03E">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总余氯</w:t>
                  </w:r>
                </w:p>
              </w:tc>
            </w:tr>
            <w:tr w14:paraId="2400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213" w:type="pct"/>
                  <w:noWrap w:val="0"/>
                  <w:vAlign w:val="center"/>
                </w:tcPr>
                <w:p w14:paraId="1EF863E2">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《污水综合排放标准》（GB8978-1996）三级标准</w:t>
                  </w:r>
                </w:p>
              </w:tc>
              <w:tc>
                <w:tcPr>
                  <w:tcW w:w="348" w:type="pct"/>
                  <w:noWrap w:val="0"/>
                  <w:vAlign w:val="center"/>
                </w:tcPr>
                <w:p w14:paraId="34F29A21">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6~9</w:t>
                  </w:r>
                </w:p>
              </w:tc>
              <w:tc>
                <w:tcPr>
                  <w:tcW w:w="424" w:type="pct"/>
                  <w:noWrap w:val="0"/>
                  <w:vAlign w:val="center"/>
                </w:tcPr>
                <w:p w14:paraId="04901EDF">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500</w:t>
                  </w:r>
                </w:p>
              </w:tc>
              <w:tc>
                <w:tcPr>
                  <w:tcW w:w="470" w:type="pct"/>
                  <w:noWrap w:val="0"/>
                  <w:vAlign w:val="center"/>
                </w:tcPr>
                <w:p w14:paraId="41375859">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300</w:t>
                  </w:r>
                </w:p>
              </w:tc>
              <w:tc>
                <w:tcPr>
                  <w:tcW w:w="344" w:type="pct"/>
                  <w:noWrap w:val="0"/>
                  <w:vAlign w:val="center"/>
                </w:tcPr>
                <w:p w14:paraId="718ED9C0">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400</w:t>
                  </w:r>
                </w:p>
              </w:tc>
              <w:tc>
                <w:tcPr>
                  <w:tcW w:w="526" w:type="pct"/>
                  <w:noWrap w:val="0"/>
                  <w:vAlign w:val="center"/>
                </w:tcPr>
                <w:p w14:paraId="34AD50C5">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45*</w:t>
                  </w:r>
                </w:p>
              </w:tc>
              <w:tc>
                <w:tcPr>
                  <w:tcW w:w="497" w:type="pct"/>
                  <w:shd w:val="clear" w:color="auto" w:fill="auto"/>
                  <w:noWrap w:val="0"/>
                  <w:vAlign w:val="center"/>
                </w:tcPr>
                <w:p w14:paraId="040D46B0">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ind w:firstLine="0" w:firstLineChars="0"/>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20</w:t>
                  </w:r>
                </w:p>
              </w:tc>
              <w:tc>
                <w:tcPr>
                  <w:tcW w:w="715" w:type="pct"/>
                  <w:noWrap w:val="0"/>
                  <w:vAlign w:val="center"/>
                </w:tcPr>
                <w:p w14:paraId="553D7B0F">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5000个/L</w:t>
                  </w:r>
                </w:p>
              </w:tc>
              <w:tc>
                <w:tcPr>
                  <w:tcW w:w="459" w:type="pct"/>
                  <w:noWrap w:val="0"/>
                  <w:vAlign w:val="center"/>
                </w:tcPr>
                <w:p w14:paraId="3616D024">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2（接触时间≥1h）</w:t>
                  </w:r>
                </w:p>
              </w:tc>
            </w:tr>
            <w:tr w14:paraId="6140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noWrap w:val="0"/>
                  <w:vAlign w:val="center"/>
                </w:tcPr>
                <w:p w14:paraId="391E8DF6">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《城镇污水处理厂污染物排放标准》(GB18918-2002)一级A标</w:t>
                  </w:r>
                </w:p>
              </w:tc>
              <w:tc>
                <w:tcPr>
                  <w:tcW w:w="348" w:type="pct"/>
                  <w:noWrap w:val="0"/>
                  <w:vAlign w:val="center"/>
                </w:tcPr>
                <w:p w14:paraId="05756E7A">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6~9</w:t>
                  </w:r>
                </w:p>
              </w:tc>
              <w:tc>
                <w:tcPr>
                  <w:tcW w:w="424" w:type="pct"/>
                  <w:noWrap w:val="0"/>
                  <w:vAlign w:val="center"/>
                </w:tcPr>
                <w:p w14:paraId="7C01EFB8">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470" w:type="pct"/>
                  <w:noWrap w:val="0"/>
                  <w:vAlign w:val="center"/>
                </w:tcPr>
                <w:p w14:paraId="358DBEB5">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344" w:type="pct"/>
                  <w:noWrap w:val="0"/>
                  <w:vAlign w:val="center"/>
                </w:tcPr>
                <w:p w14:paraId="4E844EE1">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26" w:type="pct"/>
                  <w:noWrap w:val="0"/>
                  <w:vAlign w:val="center"/>
                </w:tcPr>
                <w:p w14:paraId="1364799C">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5（8）</w:t>
                  </w:r>
                </w:p>
              </w:tc>
              <w:tc>
                <w:tcPr>
                  <w:tcW w:w="497" w:type="pct"/>
                  <w:shd w:val="clear" w:color="auto" w:fill="auto"/>
                  <w:noWrap w:val="0"/>
                  <w:vAlign w:val="center"/>
                </w:tcPr>
                <w:p w14:paraId="211E42B7">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ind w:firstLine="0" w:firstLineChars="0"/>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0.5</w:t>
                  </w:r>
                </w:p>
              </w:tc>
              <w:tc>
                <w:tcPr>
                  <w:tcW w:w="715" w:type="pct"/>
                  <w:noWrap w:val="0"/>
                  <w:vAlign w:val="center"/>
                </w:tcPr>
                <w:p w14:paraId="7149CA6D">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1000个/L</w:t>
                  </w:r>
                </w:p>
              </w:tc>
              <w:tc>
                <w:tcPr>
                  <w:tcW w:w="459" w:type="pct"/>
                  <w:noWrap w:val="0"/>
                  <w:vAlign w:val="center"/>
                </w:tcPr>
                <w:p w14:paraId="6BFF9006">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061D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noWrap w:val="0"/>
                  <w:vAlign w:val="center"/>
                </w:tcPr>
                <w:p w14:paraId="19F3A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注：①</w:t>
                  </w:r>
                  <w:r>
                    <w:rPr>
                      <w:rFonts w:hint="eastAsia" w:ascii="Times New Roman" w:hAnsi="Times New Roman" w:cs="Times New Roman"/>
                      <w:bCs/>
                      <w:color w:val="auto"/>
                      <w:sz w:val="15"/>
                      <w:szCs w:val="15"/>
                      <w:highlight w:val="none"/>
                      <w:lang w:val="en-US" w:eastAsia="zh-CN"/>
                    </w:rPr>
                    <w:t>“*”</w:t>
                  </w:r>
                  <w:r>
                    <w:rPr>
                      <w:rFonts w:hint="default" w:ascii="Times New Roman" w:hAnsi="Times New Roman" w:cs="Times New Roman"/>
                      <w:bCs/>
                      <w:color w:val="auto"/>
                      <w:sz w:val="15"/>
                      <w:szCs w:val="15"/>
                      <w:highlight w:val="none"/>
                    </w:rPr>
                    <w:t>：</w:t>
                  </w:r>
                  <w:r>
                    <w:rPr>
                      <w:rFonts w:hint="default" w:ascii="Times New Roman" w:hAnsi="Times New Roman" w:cs="Times New Roman"/>
                      <w:color w:val="auto"/>
                      <w:sz w:val="15"/>
                      <w:szCs w:val="15"/>
                      <w:highlight w:val="none"/>
                    </w:rPr>
                    <w:t>NH</w:t>
                  </w:r>
                  <w:r>
                    <w:rPr>
                      <w:rFonts w:hint="default" w:ascii="Times New Roman" w:hAnsi="Times New Roman" w:cs="Times New Roman"/>
                      <w:color w:val="auto"/>
                      <w:sz w:val="15"/>
                      <w:szCs w:val="15"/>
                      <w:highlight w:val="none"/>
                      <w:vertAlign w:val="subscript"/>
                    </w:rPr>
                    <w:t>3</w:t>
                  </w:r>
                  <w:r>
                    <w:rPr>
                      <w:rFonts w:hint="default" w:ascii="Times New Roman" w:hAnsi="Times New Roman" w:cs="Times New Roman"/>
                      <w:color w:val="auto"/>
                      <w:sz w:val="15"/>
                      <w:szCs w:val="15"/>
                      <w:highlight w:val="none"/>
                    </w:rPr>
                    <w:t>-N执行《污水排入城镇下水道水质标准》</w:t>
                  </w:r>
                  <w:r>
                    <w:rPr>
                      <w:rFonts w:hint="default" w:ascii="Times New Roman" w:hAnsi="Times New Roman" w:cs="Times New Roman"/>
                      <w:color w:val="auto"/>
                      <w:sz w:val="15"/>
                      <w:szCs w:val="15"/>
                      <w:highlight w:val="none"/>
                      <w:lang w:bidi="ar"/>
                    </w:rPr>
                    <w:t>（GB/T31962-2015）</w:t>
                  </w:r>
                  <w:r>
                    <w:rPr>
                      <w:rFonts w:hint="default" w:ascii="Times New Roman" w:hAnsi="Times New Roman" w:cs="Times New Roman"/>
                      <w:color w:val="auto"/>
                      <w:sz w:val="15"/>
                      <w:szCs w:val="15"/>
                      <w:highlight w:val="none"/>
                    </w:rPr>
                    <w:t>B级标准；</w:t>
                  </w:r>
                </w:p>
                <w:p w14:paraId="15907244">
                  <w:pPr>
                    <w:pStyle w:val="64"/>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before="0" w:after="0" w:line="240" w:lineRule="auto"/>
                    <w:ind w:firstLine="300" w:firstLineChars="200"/>
                    <w:jc w:val="left"/>
                    <w:textAlignment w:val="auto"/>
                    <w:rPr>
                      <w:rFonts w:hint="eastAsia" w:ascii="Times New Roman" w:hAnsi="Times New Roman" w:cs="Times New Roman"/>
                      <w:color w:val="auto"/>
                      <w:sz w:val="15"/>
                      <w:szCs w:val="15"/>
                      <w:highlight w:val="none"/>
                      <w:lang w:eastAsia="zh-CN"/>
                    </w:rPr>
                  </w:pPr>
                  <w:r>
                    <w:rPr>
                      <w:rFonts w:hint="default" w:ascii="Times New Roman" w:hAnsi="Times New Roman" w:cs="Times New Roman"/>
                      <w:color w:val="auto"/>
                      <w:sz w:val="15"/>
                      <w:szCs w:val="15"/>
                      <w:highlight w:val="none"/>
                    </w:rPr>
                    <w:t>②括号外数值为水温＞12℃时的控制指标，括号内数值为水温≤12℃时的控制指标</w:t>
                  </w:r>
                  <w:r>
                    <w:rPr>
                      <w:rFonts w:hint="eastAsia" w:ascii="Times New Roman" w:hAnsi="Times New Roman" w:cs="Times New Roman"/>
                      <w:color w:val="auto"/>
                      <w:sz w:val="15"/>
                      <w:szCs w:val="15"/>
                      <w:highlight w:val="none"/>
                      <w:lang w:eastAsia="zh-CN"/>
                    </w:rPr>
                    <w:t>。</w:t>
                  </w:r>
                </w:p>
                <w:p w14:paraId="4E997D55">
                  <w:pPr>
                    <w:ind w:firstLine="300" w:firstLineChars="200"/>
                    <w:rPr>
                      <w:rFonts w:hint="eastAsia" w:ascii="Times New Roman" w:hAnsi="Times New Roman" w:cs="Times New Roman"/>
                      <w:color w:val="auto"/>
                      <w:sz w:val="15"/>
                      <w:szCs w:val="15"/>
                      <w:highlight w:val="none"/>
                      <w:lang w:val="en-US" w:eastAsia="zh-CN"/>
                    </w:rPr>
                  </w:pPr>
                  <w:r>
                    <w:rPr>
                      <w:rFonts w:hint="eastAsia" w:ascii="Times New Roman" w:hAnsi="Times New Roman" w:cs="Times New Roman"/>
                      <w:color w:val="auto"/>
                      <w:sz w:val="15"/>
                      <w:szCs w:val="15"/>
                      <w:highlight w:val="none"/>
                      <w:lang w:val="en-US" w:eastAsia="zh-CN"/>
                    </w:rPr>
                    <w:t>③采用含氯消毒剂消毒的工艺控制要求为：排放标准：消毒接触池接触时间≥1h，接触池出口总余氯3~10mgL。预处理标准：消毒接触池接触时间≥1h，接触池出口总余氯2~8mgL。</w:t>
                  </w:r>
                </w:p>
                <w:p w14:paraId="5BA46E3E">
                  <w:pPr>
                    <w:ind w:firstLine="300" w:firstLineChars="20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15"/>
                      <w:szCs w:val="15"/>
                      <w:highlight w:val="none"/>
                      <w:lang w:val="en-US" w:eastAsia="zh-CN"/>
                    </w:rPr>
                    <w:t>采用其他消毒剂对总余氯不作要求。</w:t>
                  </w:r>
                </w:p>
              </w:tc>
            </w:tr>
          </w:tbl>
          <w:p w14:paraId="01EC937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val="en-US" w:eastAsia="zh-CN"/>
              </w:rPr>
              <w:t>3.6.3</w:t>
            </w:r>
            <w:r>
              <w:rPr>
                <w:rFonts w:hint="default" w:ascii="Times New Roman" w:hAnsi="Times New Roman" w:eastAsia="宋体" w:cs="Times New Roman"/>
                <w:b/>
                <w:bCs/>
                <w:color w:val="auto"/>
                <w:kern w:val="0"/>
                <w:szCs w:val="21"/>
                <w:lang w:eastAsia="zh-CN"/>
              </w:rPr>
              <w:t>噪声</w:t>
            </w:r>
          </w:p>
          <w:p w14:paraId="0B18C9B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color w:val="auto"/>
                <w:lang w:val="en-US" w:eastAsia="zh-CN"/>
              </w:rPr>
            </w:pPr>
            <w:r>
              <w:rPr>
                <w:rFonts w:hint="default" w:ascii="Times New Roman" w:hAnsi="Times New Roman" w:eastAsia="宋体" w:cs="Times New Roman"/>
                <w:color w:val="auto"/>
                <w:kern w:val="0"/>
                <w:szCs w:val="21"/>
                <w:lang w:eastAsia="zh-CN"/>
              </w:rPr>
              <w:t>本项目</w:t>
            </w:r>
            <w:r>
              <w:rPr>
                <w:rFonts w:hint="default" w:ascii="Times New Roman" w:hAnsi="Times New Roman" w:eastAsia="宋体" w:cs="Times New Roman"/>
                <w:color w:val="auto"/>
                <w:kern w:val="0"/>
                <w:szCs w:val="21"/>
                <w:lang w:val="en-US" w:eastAsia="zh-CN"/>
              </w:rPr>
              <w:t>营运期厂界环境噪声执行《工业企业厂界环境噪声排放标准》（GB12348-2008）中</w:t>
            </w:r>
            <w:r>
              <w:rPr>
                <w:rFonts w:hint="eastAsia" w:ascii="Times New Roman" w:hAnsi="Times New Roman" w:cs="Times New Roman"/>
                <w:color w:val="auto"/>
                <w:kern w:val="0"/>
                <w:szCs w:val="21"/>
                <w:lang w:val="en-US" w:eastAsia="zh-CN"/>
              </w:rPr>
              <w:t>2</w:t>
            </w:r>
            <w:r>
              <w:rPr>
                <w:rFonts w:hint="default" w:ascii="Times New Roman" w:hAnsi="Times New Roman" w:eastAsia="宋体" w:cs="Times New Roman"/>
                <w:color w:val="auto"/>
                <w:kern w:val="0"/>
                <w:szCs w:val="21"/>
                <w:lang w:val="en-US" w:eastAsia="zh-CN"/>
              </w:rPr>
              <w:t>类标准，具体标准限值见表3-</w:t>
            </w:r>
            <w:r>
              <w:rPr>
                <w:rFonts w:hint="eastAsia" w:ascii="Times New Roman" w:hAnsi="Times New Roman" w:cs="Times New Roman"/>
                <w:color w:val="auto"/>
                <w:kern w:val="0"/>
                <w:szCs w:val="21"/>
                <w:lang w:val="en-US" w:eastAsia="zh-CN"/>
              </w:rPr>
              <w:t>7</w:t>
            </w:r>
            <w:r>
              <w:rPr>
                <w:rFonts w:hint="default" w:ascii="Times New Roman" w:hAnsi="Times New Roman" w:eastAsia="宋体" w:cs="Times New Roman"/>
                <w:color w:val="auto"/>
                <w:kern w:val="0"/>
                <w:szCs w:val="21"/>
                <w:lang w:val="en-US" w:eastAsia="zh-CN"/>
              </w:rPr>
              <w:t>。</w:t>
            </w:r>
          </w:p>
          <w:p w14:paraId="015B1E3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表3-</w:t>
            </w:r>
            <w:r>
              <w:rPr>
                <w:rFonts w:hint="eastAsia" w:ascii="Times New Roman" w:hAnsi="Times New Roman" w:cs="Times New Roman"/>
                <w:b/>
                <w:bCs/>
                <w:color w:val="auto"/>
                <w:kern w:val="0"/>
                <w:szCs w:val="21"/>
                <w:lang w:val="en-US" w:eastAsia="zh-CN"/>
              </w:rPr>
              <w:t>7</w:t>
            </w:r>
            <w:r>
              <w:rPr>
                <w:rFonts w:hint="default" w:ascii="Times New Roman" w:hAnsi="Times New Roman" w:eastAsia="宋体" w:cs="Times New Roman"/>
                <w:b/>
                <w:bCs/>
                <w:color w:val="auto"/>
                <w:kern w:val="0"/>
                <w:szCs w:val="21"/>
                <w:lang w:val="en-US" w:eastAsia="zh-CN"/>
              </w:rPr>
              <w:t xml:space="preserve">   工业企业厂界环境噪声排放标准   单位：dB（A）</w:t>
            </w:r>
          </w:p>
          <w:tbl>
            <w:tblPr>
              <w:tblStyle w:val="22"/>
              <w:tblW w:w="793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093"/>
              <w:gridCol w:w="2996"/>
              <w:gridCol w:w="2848"/>
            </w:tblGrid>
            <w:tr w14:paraId="449D2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093" w:type="dxa"/>
                  <w:noWrap w:val="0"/>
                  <w:vAlign w:val="center"/>
                </w:tcPr>
                <w:p w14:paraId="0156EAE3">
                  <w:pPr>
                    <w:pStyle w:val="35"/>
                    <w:spacing w:line="262"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类别</w:t>
                  </w:r>
                </w:p>
              </w:tc>
              <w:tc>
                <w:tcPr>
                  <w:tcW w:w="2996" w:type="dxa"/>
                  <w:noWrap w:val="0"/>
                  <w:vAlign w:val="center"/>
                </w:tcPr>
                <w:p w14:paraId="65B9F584">
                  <w:pPr>
                    <w:pStyle w:val="35"/>
                    <w:spacing w:line="262"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w:t>
                  </w:r>
                </w:p>
              </w:tc>
              <w:tc>
                <w:tcPr>
                  <w:tcW w:w="2848" w:type="dxa"/>
                  <w:noWrap w:val="0"/>
                  <w:vAlign w:val="center"/>
                </w:tcPr>
                <w:p w14:paraId="0C224490">
                  <w:pPr>
                    <w:pStyle w:val="35"/>
                    <w:spacing w:line="262"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夜间</w:t>
                  </w:r>
                </w:p>
              </w:tc>
            </w:tr>
            <w:tr w14:paraId="55DF6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093" w:type="dxa"/>
                  <w:noWrap w:val="0"/>
                  <w:vAlign w:val="center"/>
                </w:tcPr>
                <w:p w14:paraId="66E5AA58">
                  <w:pPr>
                    <w:pStyle w:val="35"/>
                    <w:spacing w:line="262" w:lineRule="exac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类</w:t>
                  </w:r>
                </w:p>
              </w:tc>
              <w:tc>
                <w:tcPr>
                  <w:tcW w:w="2996" w:type="dxa"/>
                  <w:noWrap w:val="0"/>
                  <w:vAlign w:val="center"/>
                </w:tcPr>
                <w:p w14:paraId="3EEC043D">
                  <w:pPr>
                    <w:pStyle w:val="35"/>
                    <w:spacing w:line="262" w:lineRule="exact"/>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6</w:t>
                  </w:r>
                  <w:r>
                    <w:rPr>
                      <w:rFonts w:hint="eastAsia" w:ascii="Times New Roman" w:hAnsi="Times New Roman" w:cs="Times New Roman"/>
                      <w:color w:val="auto"/>
                      <w:sz w:val="18"/>
                      <w:szCs w:val="18"/>
                      <w:lang w:val="en-US" w:eastAsia="zh-CN"/>
                    </w:rPr>
                    <w:t>0</w:t>
                  </w:r>
                </w:p>
              </w:tc>
              <w:tc>
                <w:tcPr>
                  <w:tcW w:w="2848" w:type="dxa"/>
                  <w:noWrap w:val="0"/>
                  <w:vAlign w:val="center"/>
                </w:tcPr>
                <w:p w14:paraId="304B5D34">
                  <w:pPr>
                    <w:pStyle w:val="35"/>
                    <w:spacing w:line="262" w:lineRule="exact"/>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5</w:t>
                  </w:r>
                  <w:r>
                    <w:rPr>
                      <w:rFonts w:hint="eastAsia" w:ascii="Times New Roman" w:hAnsi="Times New Roman" w:cs="Times New Roman"/>
                      <w:color w:val="auto"/>
                      <w:sz w:val="18"/>
                      <w:szCs w:val="18"/>
                      <w:lang w:val="en-US" w:eastAsia="zh-CN"/>
                    </w:rPr>
                    <w:t>0</w:t>
                  </w:r>
                </w:p>
              </w:tc>
            </w:tr>
          </w:tbl>
          <w:p w14:paraId="73A83C2D">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val="en-US" w:eastAsia="zh-CN"/>
              </w:rPr>
              <w:t>3.6.4</w:t>
            </w:r>
            <w:r>
              <w:rPr>
                <w:rFonts w:hint="default" w:ascii="Times New Roman" w:hAnsi="Times New Roman" w:eastAsia="宋体" w:cs="Times New Roman"/>
                <w:b/>
                <w:bCs/>
                <w:color w:val="auto"/>
                <w:kern w:val="0"/>
                <w:szCs w:val="21"/>
                <w:lang w:eastAsia="zh-CN"/>
              </w:rPr>
              <w:t>固体废物</w:t>
            </w:r>
          </w:p>
          <w:p w14:paraId="66C850A6">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color w:val="auto"/>
                <w:szCs w:val="21"/>
                <w:lang w:val="en-US" w:eastAsia="zh-CN"/>
              </w:rPr>
            </w:pPr>
            <w:r>
              <w:rPr>
                <w:rFonts w:hint="eastAsia"/>
                <w:color w:val="auto"/>
                <w:szCs w:val="21"/>
                <w:lang w:val="en-US" w:eastAsia="zh-CN"/>
              </w:rPr>
              <w:t>运营期产生的一般工业固体废物其贮存过程应满足相应防渗漏、防雨淋、防扬尘等环境保护要求；</w:t>
            </w:r>
          </w:p>
          <w:p w14:paraId="106D21FE">
            <w:pPr>
              <w:pStyle w:val="3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line="400" w:lineRule="exact"/>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危险废物：按照《医疗废物专用包装袋、容器和警示标志标准》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HJ421-2008</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对危险废物进行包装</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按照《危险废物贮存污染控制标准》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GB 18597-2023</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、《危险废物识别标志设置技术规范》</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HI1276-2022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设置危险废物贮存点及相关标识牌</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按照《危险废物管理计划和管理台账制定技术导则》</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HJ1259-2022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建立危废管理计划和危废管理台账</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按照《危险废物收集贮存运输技术规范》</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HJ2025-2012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、《危险废物转移管理办法》</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生态环境部、公安部、交通运输部令第 23 号公布</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对危险废物进行收集和转移。</w:t>
            </w:r>
          </w:p>
          <w:p w14:paraId="005DF26D">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动物尸体和动物病理组织</w:t>
            </w:r>
            <w:r>
              <w:rPr>
                <w:rFonts w:hint="eastAsia"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lang w:val="en-US" w:eastAsia="zh-CN"/>
              </w:rPr>
              <w:t>《中华人民共和国动物防疫法》（2021 年）、《重庆市动物防疫条例》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《动物诊疗机构诊疗废弃物及动物尸体处置规范》（DB50/T 1668-2024）</w:t>
            </w:r>
            <w:r>
              <w:rPr>
                <w:rFonts w:hint="eastAsia" w:ascii="Times New Roman" w:hAnsi="Times New Roman" w:eastAsia="宋体" w:cs="Times New Roman"/>
                <w:color w:val="auto"/>
                <w:sz w:val="21"/>
                <w:szCs w:val="21"/>
                <w:highlight w:val="none"/>
                <w:lang w:val="en-US" w:eastAsia="zh-CN"/>
              </w:rPr>
              <w:t>进行处置</w:t>
            </w:r>
            <w:r>
              <w:rPr>
                <w:rFonts w:hint="default" w:ascii="Times New Roman" w:hAnsi="Times New Roman" w:eastAsia="宋体" w:cs="Times New Roman"/>
                <w:color w:val="auto"/>
                <w:sz w:val="21"/>
                <w:szCs w:val="21"/>
                <w:highlight w:val="none"/>
                <w:lang w:val="en-US" w:eastAsia="zh-CN"/>
              </w:rPr>
              <w:t>。</w:t>
            </w:r>
          </w:p>
          <w:p w14:paraId="06950C4B">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生活垃圾实行分类收集，由环卫部门统一收集处置。</w:t>
            </w:r>
          </w:p>
        </w:tc>
      </w:tr>
      <w:tr w14:paraId="291EE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7687B4C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总量</w:t>
            </w:r>
          </w:p>
          <w:p w14:paraId="7C112D92">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控制</w:t>
            </w:r>
          </w:p>
          <w:p w14:paraId="1303A4D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指标</w:t>
            </w:r>
          </w:p>
        </w:tc>
        <w:tc>
          <w:tcPr>
            <w:tcW w:w="8190" w:type="dxa"/>
            <w:noWrap w:val="0"/>
            <w:vAlign w:val="center"/>
          </w:tcPr>
          <w:p w14:paraId="4860181F">
            <w:pPr>
              <w:keepNext w:val="0"/>
              <w:keepLines w:val="0"/>
              <w:pageBreakBefore w:val="0"/>
              <w:widowControl w:val="0"/>
              <w:tabs>
                <w:tab w:val="left" w:pos="3960"/>
                <w:tab w:val="left" w:pos="4500"/>
              </w:tabs>
              <w:kinsoku/>
              <w:wordWrap/>
              <w:overflowPunct/>
              <w:topLinePunct w:val="0"/>
              <w:autoSpaceDE/>
              <w:autoSpaceDN/>
              <w:bidi w:val="0"/>
              <w:adjustRightInd/>
              <w:snapToGrid/>
              <w:spacing w:line="400" w:lineRule="exact"/>
              <w:ind w:firstLine="420" w:firstLineChars="200"/>
              <w:textAlignment w:val="auto"/>
              <w:rPr>
                <w:color w:val="auto"/>
              </w:rPr>
            </w:pPr>
            <w:r>
              <w:rPr>
                <w:color w:val="auto"/>
              </w:rPr>
              <w:t>项目总量控制见下表所示。</w:t>
            </w:r>
          </w:p>
          <w:p w14:paraId="318261B4">
            <w:pPr>
              <w:keepNext w:val="0"/>
              <w:keepLines w:val="0"/>
              <w:pageBreakBefore w:val="0"/>
              <w:widowControl w:val="0"/>
              <w:tabs>
                <w:tab w:val="left" w:pos="3960"/>
                <w:tab w:val="left" w:pos="4500"/>
              </w:tabs>
              <w:kinsoku/>
              <w:wordWrap/>
              <w:overflowPunct/>
              <w:topLinePunct w:val="0"/>
              <w:autoSpaceDE/>
              <w:autoSpaceDN/>
              <w:bidi w:val="0"/>
              <w:adjustRightInd/>
              <w:snapToGrid/>
              <w:spacing w:line="400" w:lineRule="exact"/>
              <w:ind w:firstLine="422" w:firstLineChars="200"/>
              <w:jc w:val="center"/>
              <w:textAlignment w:val="auto"/>
              <w:rPr>
                <w:b/>
                <w:bCs/>
                <w:color w:val="auto"/>
              </w:rPr>
            </w:pPr>
            <w:r>
              <w:rPr>
                <w:b/>
                <w:bCs/>
                <w:color w:val="auto"/>
              </w:rPr>
              <w:t>表3-</w:t>
            </w:r>
            <w:r>
              <w:rPr>
                <w:rFonts w:hint="eastAsia"/>
                <w:b/>
                <w:bCs/>
                <w:color w:val="auto"/>
                <w:lang w:val="en-US" w:eastAsia="zh-CN"/>
              </w:rPr>
              <w:t>8</w:t>
            </w:r>
            <w:r>
              <w:rPr>
                <w:b/>
                <w:bCs/>
                <w:color w:val="auto"/>
              </w:rPr>
              <w:t xml:space="preserve"> </w:t>
            </w:r>
            <w:r>
              <w:rPr>
                <w:rFonts w:hint="eastAsia"/>
                <w:b/>
                <w:bCs/>
                <w:color w:val="auto"/>
              </w:rPr>
              <w:t xml:space="preserve"> </w:t>
            </w:r>
            <w:r>
              <w:rPr>
                <w:b/>
                <w:bCs/>
                <w:color w:val="auto"/>
              </w:rPr>
              <w:t xml:space="preserve"> 项目总量指标汇总表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262"/>
              <w:gridCol w:w="5260"/>
            </w:tblGrid>
            <w:tr w14:paraId="31CC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2" w:type="dxa"/>
                  <w:noWrap w:val="0"/>
                  <w:vAlign w:val="center"/>
                </w:tcPr>
                <w:p w14:paraId="7F59F7AB">
                  <w:pPr>
                    <w:pStyle w:val="3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auto"/>
                      <w:sz w:val="18"/>
                      <w:szCs w:val="18"/>
                    </w:rPr>
                  </w:pPr>
                  <w:r>
                    <w:rPr>
                      <w:rFonts w:ascii="Times New Roman" w:hAnsi="Times New Roman" w:cs="Times New Roman"/>
                      <w:color w:val="auto"/>
                      <w:sz w:val="18"/>
                      <w:szCs w:val="18"/>
                    </w:rPr>
                    <w:t>类别</w:t>
                  </w:r>
                </w:p>
              </w:tc>
              <w:tc>
                <w:tcPr>
                  <w:tcW w:w="1262" w:type="dxa"/>
                  <w:noWrap w:val="0"/>
                  <w:vAlign w:val="center"/>
                </w:tcPr>
                <w:p w14:paraId="45A94D8C">
                  <w:pPr>
                    <w:pStyle w:val="3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auto"/>
                      <w:sz w:val="18"/>
                      <w:szCs w:val="18"/>
                    </w:rPr>
                  </w:pPr>
                  <w:r>
                    <w:rPr>
                      <w:rFonts w:ascii="Times New Roman" w:hAnsi="Times New Roman" w:cs="Times New Roman"/>
                      <w:color w:val="auto"/>
                      <w:sz w:val="18"/>
                      <w:szCs w:val="18"/>
                    </w:rPr>
                    <w:t>污染物</w:t>
                  </w:r>
                </w:p>
              </w:tc>
              <w:tc>
                <w:tcPr>
                  <w:tcW w:w="5260" w:type="dxa"/>
                  <w:noWrap w:val="0"/>
                  <w:vAlign w:val="top"/>
                </w:tcPr>
                <w:p w14:paraId="36EA1F9B">
                  <w:pPr>
                    <w:pStyle w:val="3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排放量t/a</w:t>
                  </w:r>
                </w:p>
              </w:tc>
            </w:tr>
            <w:tr w14:paraId="0137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2" w:type="dxa"/>
                  <w:noWrap w:val="0"/>
                  <w:vAlign w:val="center"/>
                </w:tcPr>
                <w:p w14:paraId="2AF15517">
                  <w:pPr>
                    <w:pStyle w:val="3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auto"/>
                      <w:sz w:val="18"/>
                      <w:szCs w:val="18"/>
                    </w:rPr>
                  </w:pPr>
                  <w:r>
                    <w:rPr>
                      <w:rFonts w:ascii="Times New Roman" w:hAnsi="Times New Roman" w:cs="Times New Roman"/>
                      <w:color w:val="auto"/>
                      <w:sz w:val="18"/>
                      <w:szCs w:val="18"/>
                    </w:rPr>
                    <w:t>废气</w:t>
                  </w:r>
                </w:p>
              </w:tc>
              <w:tc>
                <w:tcPr>
                  <w:tcW w:w="1262" w:type="dxa"/>
                  <w:noWrap w:val="0"/>
                  <w:vAlign w:val="center"/>
                </w:tcPr>
                <w:p w14:paraId="59AB4BC2">
                  <w:pPr>
                    <w:keepNext w:val="0"/>
                    <w:keepLines w:val="0"/>
                    <w:pageBreakBefore w:val="0"/>
                    <w:kinsoku/>
                    <w:wordWrap/>
                    <w:overflowPunct/>
                    <w:topLinePunct w:val="0"/>
                    <w:autoSpaceDE/>
                    <w:autoSpaceDN/>
                    <w:bidi w:val="0"/>
                    <w:adjustRightInd/>
                    <w:snapToGrid/>
                    <w:spacing w:line="300" w:lineRule="exact"/>
                    <w:ind w:right="-130"/>
                    <w:jc w:val="center"/>
                    <w:textAlignment w:val="auto"/>
                    <w:rPr>
                      <w:rFonts w:hint="eastAsia" w:eastAsia="宋体"/>
                      <w:color w:val="auto"/>
                      <w:sz w:val="18"/>
                      <w:szCs w:val="18"/>
                      <w:lang w:val="en-US" w:eastAsia="zh-CN"/>
                    </w:rPr>
                  </w:pPr>
                  <w:r>
                    <w:rPr>
                      <w:rFonts w:hint="eastAsia"/>
                      <w:color w:val="auto"/>
                      <w:sz w:val="18"/>
                      <w:szCs w:val="18"/>
                      <w:lang w:val="en-US" w:eastAsia="zh-CN"/>
                    </w:rPr>
                    <w:t>/</w:t>
                  </w:r>
                </w:p>
              </w:tc>
              <w:tc>
                <w:tcPr>
                  <w:tcW w:w="5260" w:type="dxa"/>
                  <w:noWrap w:val="0"/>
                  <w:vAlign w:val="center"/>
                </w:tcPr>
                <w:p w14:paraId="2F08FAD0">
                  <w:pPr>
                    <w:pStyle w:val="19"/>
                    <w:keepNext w:val="0"/>
                    <w:keepLines w:val="0"/>
                    <w:pageBreakBefore w:val="0"/>
                    <w:kinsoku/>
                    <w:wordWrap/>
                    <w:overflowPunct/>
                    <w:topLinePunct w:val="0"/>
                    <w:autoSpaceDE/>
                    <w:autoSpaceDN/>
                    <w:bidi w:val="0"/>
                    <w:adjustRightInd/>
                    <w:snapToGrid/>
                    <w:spacing w:line="30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w:t>
                  </w:r>
                </w:p>
              </w:tc>
            </w:tr>
            <w:tr w14:paraId="4B83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2" w:type="dxa"/>
                  <w:vMerge w:val="restart"/>
                  <w:noWrap w:val="0"/>
                  <w:vAlign w:val="center"/>
                </w:tcPr>
                <w:p w14:paraId="0E0F3B88">
                  <w:pPr>
                    <w:pStyle w:val="3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废水</w:t>
                  </w:r>
                </w:p>
              </w:tc>
              <w:tc>
                <w:tcPr>
                  <w:tcW w:w="1262" w:type="dxa"/>
                  <w:noWrap w:val="0"/>
                  <w:vAlign w:val="center"/>
                </w:tcPr>
                <w:p w14:paraId="2446B0D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p>
              </w:tc>
              <w:tc>
                <w:tcPr>
                  <w:tcW w:w="5260" w:type="dxa"/>
                  <w:noWrap w:val="0"/>
                  <w:vAlign w:val="center"/>
                </w:tcPr>
                <w:p w14:paraId="43505857">
                  <w:pPr>
                    <w:pStyle w:val="35"/>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0.021</w:t>
                  </w:r>
                </w:p>
              </w:tc>
            </w:tr>
            <w:tr w14:paraId="64A3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2" w:type="dxa"/>
                  <w:vMerge w:val="continue"/>
                  <w:noWrap w:val="0"/>
                  <w:vAlign w:val="center"/>
                </w:tcPr>
                <w:p w14:paraId="16225078">
                  <w:pPr>
                    <w:pStyle w:val="3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auto"/>
                      <w:sz w:val="18"/>
                      <w:szCs w:val="18"/>
                    </w:rPr>
                  </w:pPr>
                </w:p>
              </w:tc>
              <w:tc>
                <w:tcPr>
                  <w:tcW w:w="1262" w:type="dxa"/>
                  <w:noWrap w:val="0"/>
                  <w:vAlign w:val="center"/>
                </w:tcPr>
                <w:p w14:paraId="4254582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w:t>
                  </w:r>
                </w:p>
              </w:tc>
              <w:tc>
                <w:tcPr>
                  <w:tcW w:w="5260" w:type="dxa"/>
                  <w:noWrap w:val="0"/>
                  <w:vAlign w:val="center"/>
                </w:tcPr>
                <w:p w14:paraId="5D53BBAB">
                  <w:pPr>
                    <w:pStyle w:val="35"/>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 xml:space="preserve">0.002 </w:t>
                  </w:r>
                </w:p>
              </w:tc>
            </w:tr>
          </w:tbl>
          <w:p w14:paraId="4F2BFB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p>
          <w:p w14:paraId="76FD230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p>
          <w:p w14:paraId="30CC3738">
            <w:pPr>
              <w:pStyle w:val="21"/>
              <w:rPr>
                <w:rFonts w:hint="eastAsia"/>
                <w:color w:val="auto"/>
                <w:lang w:val="en-US" w:eastAsia="zh-CN"/>
              </w:rPr>
            </w:pPr>
          </w:p>
          <w:p w14:paraId="45571B49">
            <w:pPr>
              <w:pStyle w:val="21"/>
              <w:rPr>
                <w:rFonts w:hint="eastAsia"/>
                <w:color w:val="auto"/>
                <w:lang w:val="en-US" w:eastAsia="zh-CN"/>
              </w:rPr>
            </w:pPr>
          </w:p>
          <w:p w14:paraId="5B0D591F">
            <w:pPr>
              <w:pStyle w:val="21"/>
              <w:rPr>
                <w:rFonts w:hint="eastAsia"/>
                <w:color w:val="auto"/>
                <w:lang w:val="en-US" w:eastAsia="zh-CN"/>
              </w:rPr>
            </w:pPr>
          </w:p>
          <w:p w14:paraId="253E1BD8">
            <w:pPr>
              <w:pStyle w:val="21"/>
              <w:rPr>
                <w:rFonts w:hint="eastAsia"/>
                <w:color w:val="auto"/>
                <w:lang w:val="en-US" w:eastAsia="zh-CN"/>
              </w:rPr>
            </w:pPr>
          </w:p>
          <w:p w14:paraId="6257A882">
            <w:pPr>
              <w:pStyle w:val="21"/>
              <w:rPr>
                <w:rFonts w:hint="eastAsia"/>
                <w:color w:val="auto"/>
                <w:lang w:val="en-US" w:eastAsia="zh-CN"/>
              </w:rPr>
            </w:pPr>
          </w:p>
          <w:p w14:paraId="61DCD5D7">
            <w:pPr>
              <w:pStyle w:val="21"/>
              <w:rPr>
                <w:rFonts w:hint="eastAsia"/>
                <w:color w:val="auto"/>
                <w:lang w:val="en-US" w:eastAsia="zh-CN"/>
              </w:rPr>
            </w:pPr>
          </w:p>
          <w:p w14:paraId="1851D701">
            <w:pPr>
              <w:pStyle w:val="21"/>
              <w:rPr>
                <w:rFonts w:hint="eastAsia"/>
                <w:color w:val="auto"/>
                <w:lang w:val="en-US" w:eastAsia="zh-CN"/>
              </w:rPr>
            </w:pPr>
          </w:p>
          <w:p w14:paraId="186233FF">
            <w:pPr>
              <w:pStyle w:val="21"/>
              <w:rPr>
                <w:rFonts w:hint="eastAsia"/>
                <w:color w:val="auto"/>
                <w:lang w:val="en-US" w:eastAsia="zh-CN"/>
              </w:rPr>
            </w:pPr>
          </w:p>
          <w:p w14:paraId="3AAC026D">
            <w:pPr>
              <w:pStyle w:val="21"/>
              <w:rPr>
                <w:rFonts w:hint="eastAsia"/>
                <w:color w:val="auto"/>
                <w:lang w:val="en-US" w:eastAsia="zh-CN"/>
              </w:rPr>
            </w:pPr>
          </w:p>
          <w:p w14:paraId="6EC1F71C">
            <w:pPr>
              <w:pStyle w:val="21"/>
              <w:rPr>
                <w:rFonts w:hint="eastAsia"/>
                <w:color w:val="auto"/>
                <w:lang w:val="en-US" w:eastAsia="zh-CN"/>
              </w:rPr>
            </w:pPr>
          </w:p>
          <w:p w14:paraId="0C502120">
            <w:pPr>
              <w:pStyle w:val="21"/>
              <w:rPr>
                <w:rFonts w:hint="eastAsia"/>
                <w:color w:val="auto"/>
                <w:lang w:val="en-US" w:eastAsia="zh-CN"/>
              </w:rPr>
            </w:pPr>
          </w:p>
          <w:p w14:paraId="194B26C6">
            <w:pPr>
              <w:pStyle w:val="21"/>
              <w:rPr>
                <w:rFonts w:hint="eastAsia"/>
                <w:color w:val="auto"/>
                <w:lang w:val="en-US" w:eastAsia="zh-CN"/>
              </w:rPr>
            </w:pPr>
          </w:p>
          <w:p w14:paraId="1D0AF23A">
            <w:pPr>
              <w:pStyle w:val="21"/>
              <w:rPr>
                <w:rFonts w:hint="eastAsia"/>
                <w:color w:val="auto"/>
                <w:lang w:val="en-US" w:eastAsia="zh-CN"/>
              </w:rPr>
            </w:pPr>
          </w:p>
          <w:p w14:paraId="1482DF53">
            <w:pPr>
              <w:pStyle w:val="21"/>
              <w:rPr>
                <w:rFonts w:hint="eastAsia"/>
                <w:color w:val="auto"/>
                <w:lang w:val="en-US" w:eastAsia="zh-CN"/>
              </w:rPr>
            </w:pPr>
          </w:p>
          <w:p w14:paraId="742B24C4">
            <w:pPr>
              <w:pStyle w:val="21"/>
              <w:rPr>
                <w:rFonts w:hint="eastAsia"/>
                <w:color w:val="auto"/>
                <w:lang w:val="en-US" w:eastAsia="zh-CN"/>
              </w:rPr>
            </w:pPr>
          </w:p>
          <w:p w14:paraId="6E28B38D">
            <w:pPr>
              <w:pStyle w:val="21"/>
              <w:rPr>
                <w:rFonts w:hint="eastAsia"/>
                <w:color w:val="auto"/>
                <w:lang w:val="en-US" w:eastAsia="zh-CN"/>
              </w:rPr>
            </w:pPr>
          </w:p>
          <w:p w14:paraId="71AF9777">
            <w:pPr>
              <w:pStyle w:val="21"/>
              <w:rPr>
                <w:rFonts w:hint="eastAsia"/>
                <w:color w:val="auto"/>
                <w:lang w:val="en-US" w:eastAsia="zh-CN"/>
              </w:rPr>
            </w:pPr>
          </w:p>
          <w:p w14:paraId="5DFAC931">
            <w:pPr>
              <w:pStyle w:val="21"/>
              <w:rPr>
                <w:rFonts w:hint="eastAsia"/>
                <w:color w:val="auto"/>
                <w:lang w:val="en-US" w:eastAsia="zh-CN"/>
              </w:rPr>
            </w:pPr>
          </w:p>
          <w:p w14:paraId="47CB07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p>
          <w:p w14:paraId="21B0A89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lang w:val="en-US" w:eastAsia="zh-CN"/>
              </w:rPr>
            </w:pPr>
          </w:p>
          <w:p w14:paraId="3023FB8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color w:val="auto"/>
                <w:lang w:val="en-US" w:eastAsia="zh-CN"/>
              </w:rPr>
            </w:pPr>
          </w:p>
        </w:tc>
      </w:tr>
    </w:tbl>
    <w:p w14:paraId="3CA4CA18">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r>
        <w:rPr>
          <w:rFonts w:hint="default" w:ascii="Times New Roman" w:hAnsi="Times New Roman" w:eastAsia="宋体" w:cs="Times New Roman"/>
          <w:snapToGrid w:val="0"/>
          <w:color w:val="auto"/>
          <w:sz w:val="30"/>
          <w:szCs w:val="30"/>
        </w:rPr>
        <w:t>四、主要环境影响和保护措施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09B4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746" w:type="dxa"/>
            <w:noWrap w:val="0"/>
            <w:tcMar>
              <w:left w:w="28" w:type="dxa"/>
              <w:right w:w="28" w:type="dxa"/>
            </w:tcMar>
            <w:vAlign w:val="center"/>
          </w:tcPr>
          <w:p w14:paraId="657AA3F6">
            <w:pPr>
              <w:pStyle w:val="19"/>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14:paraId="1D2CE489">
            <w:pPr>
              <w:pStyle w:val="19"/>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14:paraId="168025F0">
            <w:pPr>
              <w:pStyle w:val="19"/>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14:paraId="39F3C3F6">
            <w:pPr>
              <w:pStyle w:val="19"/>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14:paraId="182A9281">
            <w:pPr>
              <w:pStyle w:val="19"/>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162" w:type="dxa"/>
            <w:noWrap w:val="0"/>
            <w:vAlign w:val="center"/>
          </w:tcPr>
          <w:p w14:paraId="1DCA376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4.1施工期环境影响及保护措施</w:t>
            </w:r>
          </w:p>
          <w:p w14:paraId="3082D3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auto"/>
                <w:spacing w:val="-10"/>
                <w:szCs w:val="21"/>
                <w:lang w:eastAsia="zh-CN"/>
              </w:rPr>
            </w:pPr>
            <w:r>
              <w:rPr>
                <w:rFonts w:hint="default" w:ascii="Times New Roman" w:hAnsi="Times New Roman" w:eastAsia="宋体" w:cs="Times New Roman"/>
                <w:color w:val="auto"/>
                <w:kern w:val="2"/>
                <w:sz w:val="21"/>
                <w:szCs w:val="21"/>
                <w:lang w:val="en-US" w:eastAsia="zh-CN" w:bidi="ar-SA"/>
              </w:rPr>
              <w:t>项目是在宠物医院现有手术基础上增设动物颅腔、胸腔、腹腔手术服务，仅新增部分设备，购买入场后即可安装完成，无需重新装修，无施工期。对周边环境基本无影响。</w:t>
            </w:r>
          </w:p>
        </w:tc>
      </w:tr>
      <w:tr w14:paraId="74DF5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746" w:type="dxa"/>
            <w:noWrap w:val="0"/>
            <w:tcMar>
              <w:left w:w="28" w:type="dxa"/>
              <w:right w:w="28" w:type="dxa"/>
            </w:tcMar>
            <w:vAlign w:val="center"/>
          </w:tcPr>
          <w:p w14:paraId="107DE42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3E535D7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4B0DFF5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68E1100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65D741F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59CE169A">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162" w:type="dxa"/>
            <w:noWrap w:val="0"/>
            <w:vAlign w:val="center"/>
          </w:tcPr>
          <w:p w14:paraId="5C49FD8D">
            <w:pPr>
              <w:pStyle w:val="2"/>
              <w:keepLines w:val="0"/>
              <w:pageBreakBefore w:val="0"/>
              <w:widowControl w:val="0"/>
              <w:kinsoku/>
              <w:wordWrap/>
              <w:topLinePunct w:val="0"/>
              <w:autoSpaceDE/>
              <w:autoSpaceDN/>
              <w:bidi w:val="0"/>
              <w:adjustRightInd/>
              <w:snapToGrid/>
              <w:spacing w:before="0" w:after="0" w:line="400" w:lineRule="exact"/>
              <w:textAlignment w:val="auto"/>
              <w:rPr>
                <w:rFonts w:hint="default" w:ascii="Times New Roman" w:hAnsi="Times New Roman" w:eastAsia="宋体" w:cs="Times New Roman"/>
                <w:b/>
                <w:bCs/>
                <w:color w:val="auto"/>
                <w:spacing w:val="-10"/>
                <w:kern w:val="2"/>
                <w:sz w:val="21"/>
                <w:szCs w:val="21"/>
                <w:lang w:val="en-US" w:eastAsia="zh-CN" w:bidi="ar-SA"/>
              </w:rPr>
            </w:pPr>
            <w:r>
              <w:rPr>
                <w:rFonts w:hint="eastAsia" w:ascii="Times New Roman" w:hAnsi="Times New Roman" w:eastAsia="宋体" w:cs="Times New Roman"/>
                <w:b/>
                <w:bCs/>
                <w:color w:val="auto"/>
                <w:spacing w:val="-10"/>
                <w:kern w:val="2"/>
                <w:sz w:val="21"/>
                <w:szCs w:val="21"/>
                <w:lang w:val="en-US" w:eastAsia="zh-CN" w:bidi="ar-SA"/>
              </w:rPr>
              <w:t>4.2营运期主要环境影响和保护措施</w:t>
            </w:r>
          </w:p>
          <w:p w14:paraId="565AF868">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color w:val="auto"/>
                <w:spacing w:val="0"/>
                <w:kern w:val="0"/>
                <w:szCs w:val="21"/>
                <w:lang w:val="en-US" w:eastAsia="zh-CN"/>
              </w:rPr>
            </w:pPr>
            <w:r>
              <w:rPr>
                <w:rFonts w:hint="default" w:ascii="Times New Roman" w:hAnsi="Times New Roman" w:eastAsia="宋体" w:cs="Times New Roman"/>
                <w:b/>
                <w:bCs/>
                <w:color w:val="auto"/>
                <w:spacing w:val="0"/>
                <w:kern w:val="0"/>
                <w:szCs w:val="21"/>
                <w:lang w:val="en-US" w:eastAsia="zh-CN"/>
              </w:rPr>
              <w:t>4.2</w:t>
            </w:r>
            <w:r>
              <w:rPr>
                <w:rFonts w:hint="eastAsia" w:ascii="Times New Roman" w:hAnsi="Times New Roman" w:cs="Times New Roman"/>
                <w:b/>
                <w:bCs/>
                <w:color w:val="auto"/>
                <w:spacing w:val="0"/>
                <w:kern w:val="0"/>
                <w:szCs w:val="21"/>
                <w:lang w:val="en-US" w:eastAsia="zh-CN"/>
              </w:rPr>
              <w:t>.1</w:t>
            </w:r>
            <w:r>
              <w:rPr>
                <w:rFonts w:hint="default" w:ascii="Times New Roman" w:hAnsi="Times New Roman" w:eastAsia="宋体" w:cs="Times New Roman"/>
                <w:b/>
                <w:bCs/>
                <w:color w:val="auto"/>
                <w:spacing w:val="0"/>
                <w:kern w:val="0"/>
                <w:szCs w:val="21"/>
                <w:lang w:val="en-US" w:eastAsia="zh-CN"/>
              </w:rPr>
              <w:t>废气环境影响及保护措施</w:t>
            </w:r>
          </w:p>
          <w:p w14:paraId="22D31E9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项目不设置食堂，不涉及餐饮油烟。本项目废气主要为宠物的排泄物所产生的臭味、医废间异味和宠物自身产生的少量异味及酒精挥发废气。</w:t>
            </w:r>
          </w:p>
          <w:p w14:paraId="364A1C7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（1）宠物的排泄物所产生的臭味及宠物自身的异味</w:t>
            </w:r>
          </w:p>
          <w:p w14:paraId="166778C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宠物医院在猫笼内设置有猫砂盒或用于收集猫粪和猫尿，狗笼内设置排便与排尿盒，项目接诊的宠物产生的宠物排泄物日常由专人及时进行更换清理。项目设置的犬住院室及猫住院室均未设置窗户，室内通过单体空调通风换气。</w:t>
            </w:r>
          </w:p>
          <w:p w14:paraId="74957A39">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病房内设有紫外线灯管对病房进行消毒杀菌，同时每天使用84消毒液、酒精等对医院进行消毒，会产生异味，通过加强通风换气，可减少恶臭污染，对大气的影响较小。</w:t>
            </w:r>
          </w:p>
          <w:p w14:paraId="0A476BE9">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（2）医废间异味</w:t>
            </w:r>
          </w:p>
          <w:p w14:paraId="19142C0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val="0"/>
                <w:bCs w:val="0"/>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本评价要求医疗废物采用专用的医废袋（桶）进行收集，当日无法清运则放置于医废间内，储存期不能超过两天。每天做好医疗废物的密封、清运和消毒工作，同时加强医疗废物管理，做好暂存间的地面防渗处理，做好暂存间的防鼠、防蚊蝇等措施，定期进行危废暂存间存储设施、设备的清洁和消毒工作（消毒方式为喷洒消毒剂消毒）。</w:t>
            </w:r>
          </w:p>
          <w:p w14:paraId="0A44C40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cs="Times New Roman"/>
                <w:b/>
                <w:bCs/>
                <w:color w:val="auto"/>
                <w:spacing w:val="0"/>
                <w:kern w:val="0"/>
                <w:szCs w:val="21"/>
                <w:lang w:val="en-US" w:eastAsia="zh-CN"/>
              </w:rPr>
            </w:pPr>
            <w:r>
              <w:rPr>
                <w:rFonts w:hint="eastAsia" w:ascii="Times New Roman" w:hAnsi="Times New Roman" w:cs="Times New Roman"/>
                <w:b w:val="0"/>
                <w:bCs w:val="0"/>
                <w:color w:val="auto"/>
                <w:spacing w:val="0"/>
                <w:kern w:val="0"/>
                <w:szCs w:val="21"/>
                <w:lang w:val="en-US" w:eastAsia="zh-CN"/>
              </w:rPr>
              <w:t>综上所述，项目改建前后宠物接待能力不变，宠物住院量不变，医院运行至今未发生大气环境污染和环保投诉问题，医院室内空气经过自然通风和单体空调加强通风、按时进行紫外线或其他消毒剂消毒后，能有效降低空气中的异味，对大气环境影响较小，且本评价不作定量分析。</w:t>
            </w:r>
          </w:p>
          <w:p w14:paraId="766E598E">
            <w:pPr>
              <w:keepLines w:val="0"/>
              <w:pageBreakBefore w:val="0"/>
              <w:kinsoku/>
              <w:wordWrap/>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p>
          <w:p w14:paraId="63365AB4">
            <w:pPr>
              <w:keepLines w:val="0"/>
              <w:pageBreakBefore w:val="0"/>
              <w:kinsoku/>
              <w:wordWrap/>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p>
          <w:p w14:paraId="61D36A42">
            <w:pPr>
              <w:keepLines w:val="0"/>
              <w:pageBreakBefore w:val="0"/>
              <w:kinsoku/>
              <w:wordWrap/>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p>
          <w:p w14:paraId="6D6089F6">
            <w:pPr>
              <w:pStyle w:val="10"/>
              <w:rPr>
                <w:rFonts w:hint="default"/>
                <w:color w:val="auto"/>
                <w:lang w:val="en-US" w:eastAsia="zh-CN"/>
              </w:rPr>
            </w:pPr>
          </w:p>
        </w:tc>
      </w:tr>
    </w:tbl>
    <w:p w14:paraId="4E746E1E">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EBE7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746" w:type="dxa"/>
            <w:noWrap w:val="0"/>
            <w:tcMar>
              <w:left w:w="28" w:type="dxa"/>
              <w:right w:w="28" w:type="dxa"/>
            </w:tcMar>
            <w:vAlign w:val="center"/>
          </w:tcPr>
          <w:p w14:paraId="7CE64C9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53AB6CC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39CCC25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5C5BEB06">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1A5A22F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4A1CED99">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162" w:type="dxa"/>
            <w:noWrap w:val="0"/>
            <w:vAlign w:val="center"/>
          </w:tcPr>
          <w:p w14:paraId="525C74B7">
            <w:pPr>
              <w:keepNext w:val="0"/>
              <w:keepLines w:val="0"/>
              <w:pageBreakBefore w:val="0"/>
              <w:kinsoku/>
              <w:wordWrap/>
              <w:overflowPunct/>
              <w:topLinePunct w:val="0"/>
              <w:autoSpaceDE/>
              <w:autoSpaceDN/>
              <w:bidi w:val="0"/>
              <w:adjustRightInd w:val="0"/>
              <w:snapToGrid w:val="0"/>
              <w:spacing w:line="400" w:lineRule="exact"/>
              <w:textAlignment w:val="auto"/>
              <w:rPr>
                <w:b/>
                <w:color w:val="auto"/>
              </w:rPr>
            </w:pPr>
            <w:r>
              <w:rPr>
                <w:rFonts w:hint="default" w:ascii="Times New Roman" w:hAnsi="Times New Roman" w:eastAsia="宋体" w:cs="Times New Roman"/>
                <w:b/>
                <w:bCs w:val="0"/>
                <w:color w:val="auto"/>
                <w:spacing w:val="0"/>
                <w:szCs w:val="21"/>
                <w:lang w:val="en-US" w:eastAsia="zh-CN"/>
              </w:rPr>
              <w:t>4.</w:t>
            </w:r>
            <w:r>
              <w:rPr>
                <w:rFonts w:hint="eastAsia" w:ascii="Times New Roman" w:hAnsi="Times New Roman" w:cs="Times New Roman"/>
                <w:b/>
                <w:bCs w:val="0"/>
                <w:color w:val="auto"/>
                <w:spacing w:val="0"/>
                <w:szCs w:val="21"/>
                <w:lang w:val="en-US" w:eastAsia="zh-CN"/>
              </w:rPr>
              <w:t>2.2</w:t>
            </w:r>
            <w:r>
              <w:rPr>
                <w:rFonts w:hint="default" w:ascii="Times New Roman" w:hAnsi="Times New Roman" w:eastAsia="宋体" w:cs="Times New Roman"/>
                <w:b/>
                <w:bCs w:val="0"/>
                <w:color w:val="auto"/>
                <w:spacing w:val="0"/>
                <w:szCs w:val="21"/>
                <w:lang w:val="en-US" w:eastAsia="zh-CN"/>
              </w:rPr>
              <w:t>废水环境影响及保护措施</w:t>
            </w:r>
          </w:p>
          <w:p w14:paraId="3525F5C5">
            <w:pPr>
              <w:keepNext w:val="0"/>
              <w:keepLines w:val="0"/>
              <w:pageBreakBefore w:val="0"/>
              <w:kinsoku/>
              <w:wordWrap/>
              <w:overflowPunct/>
              <w:topLinePunct w:val="0"/>
              <w:autoSpaceDE/>
              <w:autoSpaceDN/>
              <w:bidi w:val="0"/>
              <w:adjustRightInd w:val="0"/>
              <w:snapToGrid w:val="0"/>
              <w:spacing w:line="400" w:lineRule="exact"/>
              <w:ind w:firstLine="382" w:firstLineChars="200"/>
              <w:textAlignment w:val="auto"/>
              <w:rPr>
                <w:b/>
                <w:bCs/>
                <w:color w:val="auto"/>
                <w:spacing w:val="-10"/>
                <w:szCs w:val="21"/>
              </w:rPr>
            </w:pPr>
            <w:r>
              <w:rPr>
                <w:b/>
                <w:bCs/>
                <w:color w:val="auto"/>
                <w:spacing w:val="-10"/>
                <w:szCs w:val="21"/>
              </w:rPr>
              <w:t>（1）给、排水情况</w:t>
            </w:r>
          </w:p>
          <w:p w14:paraId="53AE7B43">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color w:val="auto"/>
                <w:szCs w:val="21"/>
                <w:highlight w:val="none"/>
                <w:lang w:val="en-US" w:eastAsia="zh-CN"/>
              </w:rPr>
            </w:pPr>
            <w:r>
              <w:rPr>
                <w:rFonts w:hint="eastAsia"/>
                <w:color w:val="auto"/>
                <w:szCs w:val="21"/>
                <w:highlight w:val="none"/>
                <w:lang w:val="en-US" w:eastAsia="zh-CN"/>
              </w:rPr>
              <w:t>项目运营期用水包括医疗用水、生活用水、美容用水。其中：医疗用水主要包括住院用水、门诊用水等；生活用水主要包括工作人员生活用水、流动顾客用水等，美容用水主要为宠物洗浴用水等。具体用排水情况见表2-6所示。</w:t>
            </w:r>
          </w:p>
          <w:p w14:paraId="21DC142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color w:val="auto"/>
                <w:szCs w:val="21"/>
                <w:highlight w:val="none"/>
                <w:lang w:val="en-US" w:eastAsia="zh-CN"/>
              </w:rPr>
            </w:pPr>
            <w:r>
              <w:rPr>
                <w:rFonts w:hint="eastAsia"/>
                <w:color w:val="auto"/>
                <w:szCs w:val="21"/>
                <w:highlight w:val="none"/>
                <w:lang w:val="en-US" w:eastAsia="zh-CN"/>
              </w:rPr>
              <w:t>该动物医院化验室采用试纸条或试纸块沾取血液和尿液进行化验，化验过程中无用水，因此期间不会产生化验废水，使用之后的试纸条和试纸块计入医疗固废进行处理，化验区仅有医护人员洗手以及设备和操作台清洗废水产生，纳入诊疗废水计算。</w:t>
            </w:r>
          </w:p>
          <w:p w14:paraId="2009C2E4">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color w:val="auto"/>
                <w:szCs w:val="21"/>
                <w:highlight w:val="none"/>
                <w:lang w:val="en-US" w:eastAsia="zh-CN"/>
              </w:rPr>
            </w:pPr>
            <w:r>
              <w:rPr>
                <w:rFonts w:hint="eastAsia"/>
                <w:color w:val="auto"/>
                <w:szCs w:val="21"/>
                <w:highlight w:val="none"/>
                <w:lang w:val="en-US" w:eastAsia="zh-CN"/>
              </w:rPr>
              <w:t xml:space="preserve">①医疗废水（门诊废水、住院废水） </w:t>
            </w:r>
          </w:p>
          <w:p w14:paraId="26B29031">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cs="Times New Roman"/>
                <w:color w:val="auto"/>
                <w:szCs w:val="21"/>
                <w:highlight w:val="none"/>
                <w:lang w:val="en-US" w:eastAsia="zh-CN"/>
              </w:rPr>
            </w:pPr>
            <w:r>
              <w:rPr>
                <w:rFonts w:hint="eastAsia"/>
                <w:color w:val="auto"/>
                <w:szCs w:val="21"/>
                <w:highlight w:val="none"/>
                <w:lang w:val="en-US" w:eastAsia="zh-CN"/>
              </w:rPr>
              <w:t>根据表2-6所示，</w:t>
            </w:r>
            <w:r>
              <w:rPr>
                <w:rFonts w:hint="default" w:ascii="Times New Roman" w:hAnsi="Times New Roman" w:cs="Times New Roman"/>
                <w:color w:val="auto"/>
                <w:szCs w:val="21"/>
                <w:highlight w:val="none"/>
                <w:lang w:val="en-US" w:eastAsia="zh-CN"/>
              </w:rPr>
              <w:t>医疗废水产生量为0.4535m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/d（15</w:t>
            </w:r>
            <w:r>
              <w:rPr>
                <w:rFonts w:hint="eastAsia" w:ascii="Times New Roman" w:hAnsi="Times New Roman" w:cs="Times New Roman"/>
                <w:color w:val="auto"/>
                <w:szCs w:val="21"/>
                <w:highlight w:val="none"/>
                <w:lang w:val="en-US" w:eastAsia="zh-CN"/>
              </w:rPr>
              <w:t>8.865</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/a），水质参照《医院污水处理技术指南》</w:t>
            </w:r>
            <w:r>
              <w:rPr>
                <w:rFonts w:hint="eastAsia" w:ascii="Times New Roman" w:hAnsi="Times New Roman" w:cs="Times New Roman"/>
                <w:color w:val="auto"/>
                <w:szCs w:val="21"/>
                <w:highlight w:val="none"/>
                <w:lang w:val="en-US" w:eastAsia="zh-CN"/>
              </w:rPr>
              <w:t>（环发〔2003〕197号）</w:t>
            </w:r>
            <w:r>
              <w:rPr>
                <w:rFonts w:hint="default" w:ascii="Times New Roman" w:hAnsi="Times New Roman" w:cs="Times New Roman"/>
                <w:color w:val="auto"/>
                <w:szCs w:val="21"/>
                <w:highlight w:val="none"/>
                <w:lang w:val="en-US" w:eastAsia="zh-CN"/>
              </w:rPr>
              <w:t>中相关数据，主要污染物为</w:t>
            </w:r>
            <w:r>
              <w:rPr>
                <w:rFonts w:hint="eastAsia" w:ascii="Times New Roman" w:hAnsi="Times New Roman" w:cs="Times New Roman"/>
                <w:color w:val="auto"/>
                <w:szCs w:val="21"/>
                <w:highlight w:val="none"/>
                <w:lang w:val="en-US" w:eastAsia="zh-CN"/>
              </w:rPr>
              <w:t>pH、</w:t>
            </w: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-N、SS、总余氯、粪大肠菌群，污染物浓度为COD250mg/L、BOD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100mg/L、NH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-N30mg/L、SS80mg/L、总余氯8mg/L、粪大肠菌群5000个/L，医疗废水通过排水管进入消毒设施消毒预处理后排入</w:t>
            </w:r>
            <w:r>
              <w:rPr>
                <w:rFonts w:hint="eastAsia" w:ascii="Times New Roman" w:hAnsi="Times New Roman" w:cs="Times New Roman"/>
                <w:color w:val="auto"/>
                <w:szCs w:val="21"/>
                <w:highlight w:val="none"/>
                <w:lang w:val="en-US" w:eastAsia="zh-CN"/>
              </w:rPr>
              <w:t>小区</w:t>
            </w:r>
            <w:r>
              <w:rPr>
                <w:rFonts w:hint="default" w:ascii="Times New Roman" w:hAnsi="Times New Roman" w:cs="Times New Roman"/>
                <w:color w:val="auto"/>
                <w:szCs w:val="21"/>
                <w:highlight w:val="none"/>
                <w:lang w:val="en-US" w:eastAsia="zh-CN"/>
              </w:rPr>
              <w:t>已建生化池进行处理</w:t>
            </w:r>
            <w:r>
              <w:rPr>
                <w:rFonts w:hint="eastAsia" w:ascii="Times New Roman" w:hAnsi="Times New Roman" w:cs="Times New Roman"/>
                <w:color w:val="auto"/>
                <w:szCs w:val="21"/>
                <w:highlight w:val="none"/>
                <w:lang w:val="en-US" w:eastAsia="zh-CN"/>
              </w:rPr>
              <w:t>。</w:t>
            </w:r>
          </w:p>
          <w:p w14:paraId="7AC9F63A">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②洗浴用水</w:t>
            </w:r>
          </w:p>
          <w:p w14:paraId="2B8D4171">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color w:val="auto"/>
                <w:szCs w:val="21"/>
                <w:highlight w:val="none"/>
                <w:lang w:val="en-US" w:eastAsia="zh-CN"/>
              </w:rPr>
            </w:pPr>
            <w:r>
              <w:rPr>
                <w:rFonts w:hint="default" w:ascii="Times New Roman" w:hAnsi="Times New Roman" w:cs="Times New Roman"/>
                <w:color w:val="auto"/>
                <w:szCs w:val="21"/>
                <w:highlight w:val="none"/>
                <w:lang w:val="en-US" w:eastAsia="zh-CN"/>
              </w:rPr>
              <w:t>洗浴废水主要来自美容室洗护、工服清洗、毛毯清洗以及</w:t>
            </w:r>
            <w:r>
              <w:rPr>
                <w:rFonts w:hint="eastAsia" w:ascii="Times New Roman" w:hAnsi="Times New Roman" w:cs="Times New Roman"/>
                <w:color w:val="auto"/>
                <w:szCs w:val="21"/>
                <w:highlight w:val="none"/>
                <w:lang w:val="en-US" w:eastAsia="zh-CN"/>
              </w:rPr>
              <w:t>蒸汽</w:t>
            </w:r>
            <w:r>
              <w:rPr>
                <w:rFonts w:hint="default" w:ascii="Times New Roman" w:hAnsi="Times New Roman" w:cs="Times New Roman"/>
                <w:color w:val="auto"/>
                <w:szCs w:val="21"/>
                <w:highlight w:val="none"/>
                <w:lang w:val="en-US" w:eastAsia="zh-CN"/>
              </w:rPr>
              <w:t>灭菌等过程，废水产生量为0.444m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/d（</w:t>
            </w:r>
            <w:r>
              <w:rPr>
                <w:rFonts w:hint="eastAsia" w:ascii="Times New Roman" w:hAnsi="Times New Roman" w:cs="Times New Roman"/>
                <w:color w:val="auto"/>
                <w:szCs w:val="21"/>
                <w:highlight w:val="none"/>
                <w:lang w:val="en-US" w:eastAsia="zh-CN"/>
              </w:rPr>
              <w:t>155.4</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/a），主要污染物为</w:t>
            </w:r>
            <w:r>
              <w:rPr>
                <w:rFonts w:hint="eastAsia" w:ascii="Times New Roman" w:hAnsi="Times New Roman" w:cs="Times New Roman"/>
                <w:color w:val="auto"/>
                <w:szCs w:val="21"/>
                <w:highlight w:val="none"/>
                <w:lang w:val="en-US" w:eastAsia="zh-CN"/>
              </w:rPr>
              <w:t>pH、</w:t>
            </w: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-N、SS、LAS，污染物浓度为COD250mg/L</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150mg/L</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-N45mg/L</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SS50mg/L</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LAS10mg/L。</w:t>
            </w:r>
            <w:r>
              <w:rPr>
                <w:rFonts w:hint="eastAsia"/>
                <w:color w:val="auto"/>
                <w:szCs w:val="21"/>
                <w:highlight w:val="none"/>
                <w:lang w:val="en-US" w:eastAsia="zh-CN"/>
              </w:rPr>
              <w:t xml:space="preserve">宠物洗浴废水经格栅预处理后排入商业街已建生化池进行处理。 </w:t>
            </w:r>
          </w:p>
          <w:p w14:paraId="264A7982">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color w:val="auto"/>
                <w:szCs w:val="21"/>
                <w:highlight w:val="none"/>
                <w:lang w:val="en-US" w:eastAsia="zh-CN"/>
              </w:rPr>
            </w:pPr>
            <w:r>
              <w:rPr>
                <w:rFonts w:hint="eastAsia"/>
                <w:color w:val="auto"/>
                <w:szCs w:val="21"/>
                <w:highlight w:val="none"/>
                <w:lang w:val="en-US" w:eastAsia="zh-CN"/>
              </w:rPr>
              <w:t>③生活污水</w:t>
            </w:r>
          </w:p>
          <w:p w14:paraId="6F90F14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color w:val="auto"/>
                <w:szCs w:val="21"/>
                <w:highlight w:val="none"/>
                <w:lang w:val="en-US" w:eastAsia="zh-CN"/>
              </w:rPr>
            </w:pPr>
            <w:r>
              <w:rPr>
                <w:rFonts w:hint="default" w:ascii="Times New Roman" w:hAnsi="Times New Roman" w:cs="Times New Roman"/>
                <w:color w:val="auto"/>
                <w:szCs w:val="21"/>
                <w:highlight w:val="none"/>
                <w:lang w:val="en-US" w:eastAsia="zh-CN"/>
              </w:rPr>
              <w:t>生活污水主要包括员工生活污水、流动顾客生活污水，产生量为0.538m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/d</w:t>
            </w:r>
            <w:r>
              <w:rPr>
                <w:rFonts w:hint="eastAsia" w:ascii="Times New Roman" w:hAnsi="Times New Roman" w:cs="Times New Roman"/>
                <w:color w:val="auto"/>
                <w:szCs w:val="21"/>
                <w:highlight w:val="none"/>
                <w:lang w:val="en-US" w:eastAsia="zh-CN"/>
              </w:rPr>
              <w:t>（110.25</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lang w:val="en-US" w:eastAsia="zh-CN"/>
              </w:rPr>
              <w:t>，主要污染物为</w:t>
            </w:r>
            <w:r>
              <w:rPr>
                <w:rFonts w:hint="eastAsia" w:ascii="Times New Roman" w:hAnsi="Times New Roman" w:cs="Times New Roman"/>
                <w:color w:val="auto"/>
                <w:szCs w:val="21"/>
                <w:highlight w:val="none"/>
                <w:lang w:val="en-US" w:eastAsia="zh-CN"/>
              </w:rPr>
              <w:t>pH、</w:t>
            </w: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-N、SS、LAS。污染物浓度为COD350mg/L、BOD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250mg/L，NH</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lang w:val="en-US" w:eastAsia="zh-CN"/>
              </w:rPr>
              <w:t>-N35mg/L、SS400mg/L、LAS50mg/L，生活污水经排水管进入商业</w:t>
            </w:r>
            <w:r>
              <w:rPr>
                <w:rFonts w:hint="eastAsia"/>
                <w:color w:val="auto"/>
                <w:szCs w:val="21"/>
                <w:highlight w:val="none"/>
                <w:lang w:val="en-US" w:eastAsia="zh-CN"/>
              </w:rPr>
              <w:t xml:space="preserve">街已建生化池处理。 </w:t>
            </w:r>
          </w:p>
          <w:p w14:paraId="50BFBE60">
            <w:pPr>
              <w:keepNext w:val="0"/>
              <w:keepLines w:val="0"/>
              <w:pageBreakBefore w:val="0"/>
              <w:widowControl w:val="0"/>
              <w:kinsoku/>
              <w:wordWrap/>
              <w:overflowPunct/>
              <w:topLinePunct w:val="0"/>
              <w:autoSpaceDE/>
              <w:autoSpaceDN/>
              <w:bidi w:val="0"/>
              <w:spacing w:line="400" w:lineRule="exact"/>
              <w:ind w:firstLine="422" w:firstLineChars="200"/>
              <w:textAlignment w:val="auto"/>
              <w:rPr>
                <w:rFonts w:hint="eastAsia"/>
                <w:color w:val="auto"/>
                <w:szCs w:val="21"/>
                <w:highlight w:val="none"/>
                <w:lang w:val="en-US" w:eastAsia="zh-CN"/>
              </w:rPr>
            </w:pPr>
            <w:r>
              <w:rPr>
                <w:rFonts w:hint="eastAsia"/>
                <w:b/>
                <w:bCs/>
                <w:color w:val="auto"/>
                <w:szCs w:val="21"/>
                <w:lang w:val="en-US" w:eastAsia="zh-CN"/>
              </w:rPr>
              <w:t>治理措施：</w:t>
            </w:r>
            <w:r>
              <w:rPr>
                <w:rFonts w:hint="eastAsia"/>
                <w:color w:val="auto"/>
                <w:szCs w:val="21"/>
                <w:lang w:val="en-US" w:eastAsia="zh-CN"/>
              </w:rPr>
              <w:t>项目</w:t>
            </w:r>
            <w:r>
              <w:rPr>
                <w:rFonts w:hint="eastAsia"/>
                <w:color w:val="auto"/>
                <w:szCs w:val="21"/>
                <w:highlight w:val="none"/>
                <w:lang w:val="en-US" w:eastAsia="zh-CN"/>
              </w:rPr>
              <w:t>经消毒预处理的医疗废水、经格栅预处理的宠物洗浴废水与生活污水一并排入小区已建生化池处理达到《污水综合排放标准》（GB8978-1996）三级标准排入市政污水管网，进入鸡冠石污水处理厂深度处理达《城镇污水处理厂污染物排放标准》（GB18918—2002）一级A标，最终排入长江。</w:t>
            </w:r>
          </w:p>
          <w:p w14:paraId="05BC0B7F">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本项目废水污染物产排污情况统计见表4-</w:t>
            </w:r>
            <w:r>
              <w:rPr>
                <w:rFonts w:hint="eastAsia" w:ascii="Times New Roman" w:hAnsi="Times New Roman" w:cs="Times New Roman"/>
                <w:color w:val="auto"/>
                <w:szCs w:val="21"/>
                <w:lang w:val="en-US" w:eastAsia="zh-CN"/>
              </w:rPr>
              <w:t>1</w:t>
            </w:r>
            <w:r>
              <w:rPr>
                <w:rFonts w:hint="eastAsia" w:ascii="Times New Roman" w:hAnsi="Times New Roman" w:eastAsia="宋体" w:cs="Times New Roman"/>
                <w:color w:val="auto"/>
                <w:szCs w:val="21"/>
                <w:lang w:val="en-US" w:eastAsia="zh-CN"/>
              </w:rPr>
              <w:t>所示。</w:t>
            </w:r>
          </w:p>
          <w:p w14:paraId="7F357F90">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eastAsia="宋体" w:cs="Times New Roman"/>
                <w:color w:val="auto"/>
                <w:szCs w:val="21"/>
                <w:lang w:val="en-US" w:eastAsia="zh-CN"/>
              </w:rPr>
            </w:pPr>
          </w:p>
          <w:p w14:paraId="3E1480F2">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eastAsia="宋体" w:cs="Times New Roman"/>
                <w:color w:val="auto"/>
                <w:szCs w:val="21"/>
                <w:lang w:val="en-US" w:eastAsia="zh-CN"/>
              </w:rPr>
            </w:pPr>
          </w:p>
          <w:p w14:paraId="14D7748A">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eastAsia="宋体" w:cs="Times New Roman"/>
                <w:color w:val="auto"/>
                <w:szCs w:val="21"/>
                <w:lang w:val="en-US" w:eastAsia="zh-CN"/>
              </w:rPr>
            </w:pPr>
          </w:p>
          <w:p w14:paraId="4E8B0DAD">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ascii="Times New Roman" w:hAnsi="Times New Roman" w:eastAsia="宋体" w:cs="Times New Roman"/>
                <w:color w:val="auto"/>
                <w:szCs w:val="21"/>
                <w:lang w:val="en-US" w:eastAsia="zh-CN"/>
              </w:rPr>
            </w:pPr>
          </w:p>
          <w:p w14:paraId="74E3EB23">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center"/>
              <w:textAlignment w:val="auto"/>
              <w:rPr>
                <w:rFonts w:hint="eastAsia" w:eastAsia="宋体"/>
                <w:b/>
                <w:color w:val="auto"/>
                <w:szCs w:val="21"/>
                <w:lang w:val="en-US" w:eastAsia="zh-CN"/>
              </w:rPr>
            </w:pPr>
            <w:r>
              <w:rPr>
                <w:b/>
                <w:color w:val="auto"/>
                <w:szCs w:val="21"/>
              </w:rPr>
              <w:t>表</w:t>
            </w:r>
            <w:r>
              <w:rPr>
                <w:rFonts w:hint="eastAsia"/>
                <w:b/>
                <w:color w:val="auto"/>
                <w:szCs w:val="21"/>
              </w:rPr>
              <w:t>4-</w:t>
            </w:r>
            <w:r>
              <w:rPr>
                <w:rFonts w:hint="eastAsia"/>
                <w:b/>
                <w:color w:val="auto"/>
                <w:szCs w:val="21"/>
                <w:lang w:val="en-US" w:eastAsia="zh-CN"/>
              </w:rPr>
              <w:t>1</w:t>
            </w:r>
            <w:r>
              <w:rPr>
                <w:b/>
                <w:color w:val="auto"/>
                <w:szCs w:val="21"/>
              </w:rPr>
              <w:t xml:space="preserve"> </w:t>
            </w:r>
            <w:r>
              <w:rPr>
                <w:rFonts w:hint="eastAsia"/>
                <w:b/>
                <w:color w:val="auto"/>
                <w:szCs w:val="21"/>
                <w:lang w:val="en-US" w:eastAsia="zh-CN"/>
              </w:rPr>
              <w:t xml:space="preserve">  </w:t>
            </w:r>
            <w:r>
              <w:rPr>
                <w:b/>
                <w:color w:val="auto"/>
                <w:szCs w:val="21"/>
              </w:rPr>
              <w:t xml:space="preserve"> 本项目废水污染物产排</w:t>
            </w:r>
            <w:r>
              <w:rPr>
                <w:rFonts w:hint="eastAsia"/>
                <w:b/>
                <w:color w:val="auto"/>
                <w:szCs w:val="21"/>
                <w:lang w:val="en-US" w:eastAsia="zh-CN"/>
              </w:rPr>
              <w:t>污</w:t>
            </w:r>
            <w:r>
              <w:rPr>
                <w:b/>
                <w:color w:val="auto"/>
                <w:szCs w:val="21"/>
              </w:rPr>
              <w:t>情况</w:t>
            </w:r>
            <w:r>
              <w:rPr>
                <w:rFonts w:hint="eastAsia"/>
                <w:b/>
                <w:color w:val="auto"/>
                <w:szCs w:val="21"/>
                <w:lang w:val="en-US" w:eastAsia="zh-CN"/>
              </w:rPr>
              <w:t>统计</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4"/>
              <w:gridCol w:w="974"/>
              <w:gridCol w:w="859"/>
              <w:gridCol w:w="999"/>
              <w:gridCol w:w="1006"/>
              <w:gridCol w:w="955"/>
              <w:gridCol w:w="1009"/>
              <w:gridCol w:w="1007"/>
            </w:tblGrid>
            <w:tr w14:paraId="7283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restart"/>
                  <w:noWrap w:val="0"/>
                  <w:vAlign w:val="center"/>
                </w:tcPr>
                <w:p w14:paraId="7FA23D73">
                  <w:pPr>
                    <w:pStyle w:val="35"/>
                    <w:spacing w:line="310" w:lineRule="exact"/>
                    <w:rPr>
                      <w:bCs/>
                      <w:color w:val="auto"/>
                      <w:sz w:val="18"/>
                      <w:szCs w:val="18"/>
                    </w:rPr>
                  </w:pPr>
                  <w:r>
                    <w:rPr>
                      <w:rFonts w:ascii="Times New Roman" w:hAnsi="Times New Roman" w:cs="Times New Roman"/>
                      <w:bCs/>
                      <w:color w:val="auto"/>
                      <w:sz w:val="18"/>
                      <w:szCs w:val="18"/>
                    </w:rPr>
                    <w:t>废水量</w:t>
                  </w:r>
                </w:p>
              </w:tc>
              <w:tc>
                <w:tcPr>
                  <w:tcW w:w="974" w:type="dxa"/>
                  <w:vMerge w:val="restart"/>
                  <w:noWrap w:val="0"/>
                  <w:vAlign w:val="center"/>
                </w:tcPr>
                <w:p w14:paraId="44C5F3F4">
                  <w:pPr>
                    <w:pStyle w:val="35"/>
                    <w:spacing w:line="310" w:lineRule="exact"/>
                    <w:rPr>
                      <w:bCs/>
                      <w:color w:val="auto"/>
                      <w:sz w:val="18"/>
                      <w:szCs w:val="18"/>
                    </w:rPr>
                  </w:pPr>
                  <w:r>
                    <w:rPr>
                      <w:rFonts w:ascii="Times New Roman" w:hAnsi="Times New Roman" w:cs="Times New Roman"/>
                      <w:bCs/>
                      <w:color w:val="auto"/>
                      <w:sz w:val="18"/>
                      <w:szCs w:val="18"/>
                    </w:rPr>
                    <w:t>污染物</w:t>
                  </w:r>
                </w:p>
                <w:p w14:paraId="7C91D490">
                  <w:pPr>
                    <w:pStyle w:val="35"/>
                    <w:spacing w:line="310" w:lineRule="exact"/>
                    <w:rPr>
                      <w:bCs/>
                      <w:color w:val="auto"/>
                      <w:sz w:val="18"/>
                      <w:szCs w:val="18"/>
                    </w:rPr>
                  </w:pPr>
                  <w:r>
                    <w:rPr>
                      <w:rFonts w:ascii="Times New Roman" w:hAnsi="Times New Roman" w:cs="Times New Roman"/>
                      <w:bCs/>
                      <w:color w:val="auto"/>
                      <w:sz w:val="18"/>
                      <w:szCs w:val="18"/>
                    </w:rPr>
                    <w:t>名 称</w:t>
                  </w:r>
                </w:p>
              </w:tc>
              <w:tc>
                <w:tcPr>
                  <w:tcW w:w="1858" w:type="dxa"/>
                  <w:gridSpan w:val="2"/>
                  <w:noWrap w:val="0"/>
                  <w:vAlign w:val="center"/>
                </w:tcPr>
                <w:p w14:paraId="5F5D14FF">
                  <w:pPr>
                    <w:pStyle w:val="35"/>
                    <w:spacing w:line="310" w:lineRule="exact"/>
                    <w:rPr>
                      <w:rFonts w:hint="eastAsia"/>
                      <w:bCs/>
                      <w:color w:val="auto"/>
                      <w:sz w:val="18"/>
                      <w:szCs w:val="18"/>
                      <w:lang w:eastAsia="zh-CN"/>
                    </w:rPr>
                  </w:pPr>
                  <w:r>
                    <w:rPr>
                      <w:rFonts w:ascii="Times New Roman" w:hAnsi="Times New Roman" w:cs="Times New Roman"/>
                      <w:bCs/>
                      <w:color w:val="auto"/>
                      <w:sz w:val="18"/>
                      <w:szCs w:val="18"/>
                    </w:rPr>
                    <w:t>产生情况</w:t>
                  </w:r>
                </w:p>
              </w:tc>
              <w:tc>
                <w:tcPr>
                  <w:tcW w:w="1961" w:type="dxa"/>
                  <w:gridSpan w:val="2"/>
                  <w:noWrap w:val="0"/>
                  <w:vAlign w:val="center"/>
                </w:tcPr>
                <w:p w14:paraId="1EF2659E">
                  <w:pPr>
                    <w:pStyle w:val="35"/>
                    <w:spacing w:line="310" w:lineRule="exact"/>
                    <w:rPr>
                      <w:bCs/>
                      <w:color w:val="auto"/>
                      <w:sz w:val="18"/>
                      <w:szCs w:val="18"/>
                      <w:lang w:eastAsia="zh-CN"/>
                    </w:rPr>
                  </w:pPr>
                  <w:r>
                    <w:rPr>
                      <w:rFonts w:hint="eastAsia" w:ascii="Times New Roman" w:hAnsi="Times New Roman" w:cs="Times New Roman"/>
                      <w:bCs/>
                      <w:color w:val="auto"/>
                      <w:sz w:val="18"/>
                      <w:szCs w:val="18"/>
                      <w:lang w:eastAsia="zh-CN"/>
                    </w:rPr>
                    <w:t>污水</w:t>
                  </w:r>
                  <w:r>
                    <w:rPr>
                      <w:rFonts w:ascii="Times New Roman" w:hAnsi="Times New Roman" w:cs="Times New Roman"/>
                      <w:bCs/>
                      <w:color w:val="auto"/>
                      <w:sz w:val="18"/>
                      <w:szCs w:val="18"/>
                      <w:lang w:eastAsia="zh-CN"/>
                    </w:rPr>
                    <w:t>处理设施处理</w:t>
                  </w:r>
                </w:p>
              </w:tc>
              <w:tc>
                <w:tcPr>
                  <w:tcW w:w="2016" w:type="dxa"/>
                  <w:gridSpan w:val="2"/>
                  <w:noWrap w:val="0"/>
                  <w:vAlign w:val="center"/>
                </w:tcPr>
                <w:p w14:paraId="09517030">
                  <w:pPr>
                    <w:pStyle w:val="35"/>
                    <w:spacing w:line="310" w:lineRule="exact"/>
                    <w:rPr>
                      <w:bCs/>
                      <w:color w:val="auto"/>
                      <w:sz w:val="18"/>
                      <w:szCs w:val="18"/>
                      <w:lang w:eastAsia="zh-CN"/>
                    </w:rPr>
                  </w:pPr>
                  <w:r>
                    <w:rPr>
                      <w:rFonts w:ascii="Times New Roman" w:hAnsi="Times New Roman" w:cs="Times New Roman"/>
                      <w:bCs/>
                      <w:color w:val="auto"/>
                      <w:sz w:val="18"/>
                      <w:szCs w:val="18"/>
                      <w:lang w:eastAsia="zh-CN"/>
                    </w:rPr>
                    <w:t>污水处理厂</w:t>
                  </w:r>
                  <w:r>
                    <w:rPr>
                      <w:rFonts w:hint="eastAsia" w:ascii="Times New Roman" w:hAnsi="Times New Roman" w:cs="Times New Roman"/>
                      <w:bCs/>
                      <w:color w:val="auto"/>
                      <w:sz w:val="18"/>
                      <w:szCs w:val="18"/>
                      <w:lang w:eastAsia="zh-CN"/>
                    </w:rPr>
                    <w:t>处理</w:t>
                  </w:r>
                  <w:r>
                    <w:rPr>
                      <w:rFonts w:ascii="Times New Roman" w:hAnsi="Times New Roman" w:cs="Times New Roman"/>
                      <w:bCs/>
                      <w:color w:val="auto"/>
                      <w:sz w:val="18"/>
                      <w:szCs w:val="18"/>
                      <w:lang w:eastAsia="zh-CN"/>
                    </w:rPr>
                    <w:t>后</w:t>
                  </w:r>
                </w:p>
              </w:tc>
            </w:tr>
            <w:tr w14:paraId="2809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406015C3">
                  <w:pPr>
                    <w:widowControl/>
                    <w:spacing w:line="310" w:lineRule="exact"/>
                    <w:jc w:val="center"/>
                    <w:rPr>
                      <w:bCs/>
                      <w:color w:val="auto"/>
                      <w:sz w:val="18"/>
                      <w:szCs w:val="18"/>
                    </w:rPr>
                  </w:pPr>
                </w:p>
              </w:tc>
              <w:tc>
                <w:tcPr>
                  <w:tcW w:w="974" w:type="dxa"/>
                  <w:vMerge w:val="continue"/>
                  <w:noWrap w:val="0"/>
                  <w:vAlign w:val="center"/>
                </w:tcPr>
                <w:p w14:paraId="13BB51A3">
                  <w:pPr>
                    <w:widowControl/>
                    <w:spacing w:line="310" w:lineRule="exact"/>
                    <w:jc w:val="center"/>
                    <w:rPr>
                      <w:bCs/>
                      <w:color w:val="auto"/>
                      <w:sz w:val="18"/>
                      <w:szCs w:val="18"/>
                    </w:rPr>
                  </w:pPr>
                </w:p>
              </w:tc>
              <w:tc>
                <w:tcPr>
                  <w:tcW w:w="859" w:type="dxa"/>
                  <w:noWrap w:val="0"/>
                  <w:vAlign w:val="center"/>
                </w:tcPr>
                <w:p w14:paraId="5FE60442">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浓度</w:t>
                  </w:r>
                </w:p>
                <w:p w14:paraId="43AE50D6">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mg/L</w:t>
                  </w:r>
                </w:p>
              </w:tc>
              <w:tc>
                <w:tcPr>
                  <w:tcW w:w="999" w:type="dxa"/>
                  <w:noWrap w:val="0"/>
                  <w:vAlign w:val="center"/>
                </w:tcPr>
                <w:p w14:paraId="6275EB49">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产生量</w:t>
                  </w:r>
                </w:p>
                <w:p w14:paraId="2401E05E">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t/a</w:t>
                  </w:r>
                </w:p>
              </w:tc>
              <w:tc>
                <w:tcPr>
                  <w:tcW w:w="1006" w:type="dxa"/>
                  <w:noWrap w:val="0"/>
                  <w:vAlign w:val="center"/>
                </w:tcPr>
                <w:p w14:paraId="76DFFB1F">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浓度</w:t>
                  </w:r>
                </w:p>
                <w:p w14:paraId="1322ACEA">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mg/L</w:t>
                  </w:r>
                </w:p>
              </w:tc>
              <w:tc>
                <w:tcPr>
                  <w:tcW w:w="955" w:type="dxa"/>
                  <w:noWrap w:val="0"/>
                  <w:vAlign w:val="center"/>
                </w:tcPr>
                <w:p w14:paraId="05B82724">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hint="eastAsia" w:ascii="Times New Roman" w:hAnsi="Times New Roman" w:cs="Times New Roman"/>
                      <w:bCs/>
                      <w:color w:val="auto"/>
                      <w:sz w:val="18"/>
                      <w:szCs w:val="18"/>
                      <w:lang w:eastAsia="zh-CN"/>
                    </w:rPr>
                    <w:t>排放</w:t>
                  </w:r>
                  <w:r>
                    <w:rPr>
                      <w:rFonts w:ascii="Times New Roman" w:hAnsi="Times New Roman" w:cs="Times New Roman"/>
                      <w:bCs/>
                      <w:color w:val="auto"/>
                      <w:sz w:val="18"/>
                      <w:szCs w:val="18"/>
                    </w:rPr>
                    <w:t>量</w:t>
                  </w:r>
                </w:p>
                <w:p w14:paraId="63F076FA">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t/a</w:t>
                  </w:r>
                </w:p>
              </w:tc>
              <w:tc>
                <w:tcPr>
                  <w:tcW w:w="1009" w:type="dxa"/>
                  <w:noWrap w:val="0"/>
                  <w:vAlign w:val="center"/>
                </w:tcPr>
                <w:p w14:paraId="033A1D8A">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浓度</w:t>
                  </w:r>
                </w:p>
                <w:p w14:paraId="53E5238C">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mg/L</w:t>
                  </w:r>
                </w:p>
              </w:tc>
              <w:tc>
                <w:tcPr>
                  <w:tcW w:w="1007" w:type="dxa"/>
                  <w:noWrap w:val="0"/>
                  <w:vAlign w:val="center"/>
                </w:tcPr>
                <w:p w14:paraId="0C550C6C">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排放量</w:t>
                  </w:r>
                </w:p>
                <w:p w14:paraId="233FE3AB">
                  <w:pPr>
                    <w:pStyle w:val="35"/>
                    <w:keepNext w:val="0"/>
                    <w:keepLines w:val="0"/>
                    <w:pageBreakBefore w:val="0"/>
                    <w:widowControl w:val="0"/>
                    <w:kinsoku/>
                    <w:wordWrap/>
                    <w:overflowPunct/>
                    <w:topLinePunct w:val="0"/>
                    <w:autoSpaceDE/>
                    <w:autoSpaceDN/>
                    <w:bidi w:val="0"/>
                    <w:adjustRightInd/>
                    <w:snapToGrid/>
                    <w:spacing w:line="240" w:lineRule="exact"/>
                    <w:textAlignment w:val="auto"/>
                    <w:rPr>
                      <w:bCs/>
                      <w:color w:val="auto"/>
                      <w:sz w:val="18"/>
                      <w:szCs w:val="18"/>
                    </w:rPr>
                  </w:pPr>
                  <w:r>
                    <w:rPr>
                      <w:rFonts w:ascii="Times New Roman" w:hAnsi="Times New Roman" w:cs="Times New Roman"/>
                      <w:bCs/>
                      <w:color w:val="auto"/>
                      <w:sz w:val="18"/>
                      <w:szCs w:val="18"/>
                    </w:rPr>
                    <w:t>t/a</w:t>
                  </w:r>
                </w:p>
              </w:tc>
            </w:tr>
            <w:tr w14:paraId="65BC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1124" w:type="dxa"/>
                  <w:vMerge w:val="restart"/>
                  <w:noWrap w:val="0"/>
                  <w:vAlign w:val="center"/>
                </w:tcPr>
                <w:p w14:paraId="177F2D7C">
                  <w:pPr>
                    <w:widowControl/>
                    <w:spacing w:line="310" w:lineRule="exact"/>
                    <w:jc w:val="center"/>
                    <w:rPr>
                      <w:color w:val="auto"/>
                      <w:sz w:val="18"/>
                      <w:szCs w:val="18"/>
                    </w:rPr>
                  </w:pPr>
                  <w:r>
                    <w:rPr>
                      <w:rFonts w:hint="eastAsia" w:ascii="Times New Roman" w:hAnsi="Times New Roman" w:cs="Times New Roman"/>
                      <w:color w:val="auto"/>
                      <w:sz w:val="18"/>
                      <w:szCs w:val="18"/>
                      <w:lang w:val="en-US" w:eastAsia="zh-CN"/>
                    </w:rPr>
                    <w:t>医疗废水</w:t>
                  </w:r>
                  <w:r>
                    <w:rPr>
                      <w:rFonts w:hint="default" w:ascii="Times New Roman" w:hAnsi="Times New Roman" w:cs="Times New Roman"/>
                      <w:color w:val="auto"/>
                      <w:sz w:val="16"/>
                      <w:szCs w:val="16"/>
                    </w:rPr>
                    <w:t>（</w:t>
                  </w:r>
                  <w:r>
                    <w:rPr>
                      <w:rFonts w:hint="eastAsia" w:ascii="Times New Roman" w:hAnsi="Times New Roman" w:cs="Times New Roman"/>
                      <w:color w:val="auto"/>
                      <w:sz w:val="16"/>
                      <w:szCs w:val="16"/>
                      <w:lang w:val="en-US" w:eastAsia="zh-CN"/>
                    </w:rPr>
                    <w:t>158.865</w:t>
                  </w:r>
                  <w:r>
                    <w:rPr>
                      <w:rFonts w:hint="default" w:ascii="Times New Roman" w:hAnsi="Times New Roman" w:cs="Times New Roman"/>
                      <w:color w:val="auto"/>
                      <w:sz w:val="16"/>
                      <w:szCs w:val="16"/>
                      <w:lang w:val="en-US" w:eastAsia="zh-CN"/>
                    </w:rPr>
                    <w:t>m</w:t>
                  </w:r>
                  <w:r>
                    <w:rPr>
                      <w:rFonts w:hint="default" w:ascii="Times New Roman" w:hAnsi="Times New Roman" w:cs="Times New Roman"/>
                      <w:color w:val="auto"/>
                      <w:sz w:val="16"/>
                      <w:szCs w:val="16"/>
                      <w:vertAlign w:val="superscript"/>
                      <w:lang w:val="en-US" w:eastAsia="zh-CN"/>
                    </w:rPr>
                    <w:t>3</w:t>
                  </w:r>
                  <w:r>
                    <w:rPr>
                      <w:rFonts w:hint="default" w:ascii="Times New Roman" w:hAnsi="Times New Roman" w:cs="Times New Roman"/>
                      <w:color w:val="auto"/>
                      <w:sz w:val="16"/>
                      <w:szCs w:val="16"/>
                      <w:lang w:val="en-US" w:eastAsia="zh-CN"/>
                    </w:rPr>
                    <w:t>/a</w:t>
                  </w:r>
                  <w:r>
                    <w:rPr>
                      <w:color w:val="auto"/>
                      <w:sz w:val="16"/>
                      <w:szCs w:val="16"/>
                    </w:rPr>
                    <w:t>）</w:t>
                  </w:r>
                </w:p>
              </w:tc>
              <w:tc>
                <w:tcPr>
                  <w:tcW w:w="974" w:type="dxa"/>
                  <w:noWrap w:val="0"/>
                  <w:vAlign w:val="center"/>
                </w:tcPr>
                <w:p w14:paraId="27AD72D8">
                  <w:pPr>
                    <w:pStyle w:val="35"/>
                    <w:spacing w:line="310" w:lineRule="exact"/>
                    <w:rPr>
                      <w:rFonts w:hint="default" w:eastAsia="宋体"/>
                      <w:color w:val="auto"/>
                      <w:sz w:val="18"/>
                      <w:szCs w:val="18"/>
                      <w:lang w:val="en-US" w:eastAsia="zh-CN"/>
                    </w:rPr>
                  </w:pPr>
                  <w:r>
                    <w:rPr>
                      <w:rFonts w:hint="eastAsia" w:ascii="Times New Roman" w:hAnsi="Times New Roman" w:cs="Times New Roman"/>
                      <w:color w:val="auto"/>
                      <w:sz w:val="18"/>
                      <w:szCs w:val="18"/>
                      <w:lang w:val="en-US" w:eastAsia="zh-CN"/>
                    </w:rPr>
                    <w:t>pH</w:t>
                  </w:r>
                </w:p>
              </w:tc>
              <w:tc>
                <w:tcPr>
                  <w:tcW w:w="859" w:type="dxa"/>
                  <w:noWrap w:val="0"/>
                  <w:vAlign w:val="center"/>
                </w:tcPr>
                <w:p w14:paraId="3746632F">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6-9</w:t>
                  </w:r>
                </w:p>
              </w:tc>
              <w:tc>
                <w:tcPr>
                  <w:tcW w:w="999" w:type="dxa"/>
                  <w:noWrap w:val="0"/>
                  <w:vAlign w:val="center"/>
                </w:tcPr>
                <w:p w14:paraId="7CE4D9FD">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6" w:type="dxa"/>
                  <w:noWrap w:val="0"/>
                  <w:vAlign w:val="center"/>
                </w:tcPr>
                <w:p w14:paraId="14ECEE1F">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54DFD853">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179DB3B7">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04FC4818">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6F2A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1124" w:type="dxa"/>
                  <w:vMerge w:val="continue"/>
                  <w:noWrap w:val="0"/>
                  <w:vAlign w:val="center"/>
                </w:tcPr>
                <w:p w14:paraId="3FA32459">
                  <w:pPr>
                    <w:widowControl/>
                    <w:spacing w:line="310" w:lineRule="exact"/>
                    <w:jc w:val="center"/>
                    <w:rPr>
                      <w:rFonts w:hint="eastAsia" w:ascii="Times New Roman" w:hAnsi="Times New Roman" w:cs="Times New Roman"/>
                      <w:color w:val="auto"/>
                      <w:sz w:val="18"/>
                      <w:szCs w:val="18"/>
                      <w:lang w:val="en-US" w:eastAsia="zh-CN"/>
                    </w:rPr>
                  </w:pPr>
                </w:p>
              </w:tc>
              <w:tc>
                <w:tcPr>
                  <w:tcW w:w="974" w:type="dxa"/>
                  <w:shd w:val="clear" w:color="auto" w:fill="auto"/>
                  <w:noWrap w:val="0"/>
                  <w:vAlign w:val="center"/>
                </w:tcPr>
                <w:p w14:paraId="2A76547F">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COD</w:t>
                  </w:r>
                </w:p>
              </w:tc>
              <w:tc>
                <w:tcPr>
                  <w:tcW w:w="859" w:type="dxa"/>
                  <w:shd w:val="clear" w:color="auto" w:fill="auto"/>
                  <w:noWrap w:val="0"/>
                  <w:vAlign w:val="center"/>
                </w:tcPr>
                <w:p w14:paraId="507CF83F">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250</w:t>
                  </w:r>
                </w:p>
              </w:tc>
              <w:tc>
                <w:tcPr>
                  <w:tcW w:w="999" w:type="dxa"/>
                  <w:shd w:val="clear" w:color="auto" w:fill="auto"/>
                  <w:noWrap w:val="0"/>
                  <w:vAlign w:val="center"/>
                </w:tcPr>
                <w:p w14:paraId="73114A24">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w:t>
                  </w:r>
                  <w:r>
                    <w:rPr>
                      <w:rFonts w:hint="eastAsia" w:ascii="Times New Roman" w:hAnsi="Times New Roman" w:cs="Times New Roman"/>
                      <w:color w:val="auto"/>
                      <w:sz w:val="18"/>
                      <w:szCs w:val="18"/>
                      <w:lang w:val="en-US" w:eastAsia="zh-CN"/>
                    </w:rPr>
                    <w:t>40</w:t>
                  </w:r>
                </w:p>
              </w:tc>
              <w:tc>
                <w:tcPr>
                  <w:tcW w:w="1006" w:type="dxa"/>
                  <w:shd w:val="clear" w:color="auto" w:fill="auto"/>
                  <w:noWrap w:val="0"/>
                  <w:vAlign w:val="center"/>
                </w:tcPr>
                <w:p w14:paraId="2BC9DD92">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955" w:type="dxa"/>
                  <w:shd w:val="clear" w:color="auto" w:fill="auto"/>
                  <w:noWrap w:val="0"/>
                  <w:vAlign w:val="center"/>
                </w:tcPr>
                <w:p w14:paraId="75DBFE7D">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9" w:type="dxa"/>
                  <w:shd w:val="clear" w:color="auto" w:fill="auto"/>
                  <w:noWrap w:val="0"/>
                  <w:vAlign w:val="center"/>
                </w:tcPr>
                <w:p w14:paraId="5696190B">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7" w:type="dxa"/>
                  <w:shd w:val="clear" w:color="auto" w:fill="auto"/>
                  <w:noWrap w:val="0"/>
                  <w:vAlign w:val="center"/>
                </w:tcPr>
                <w:p w14:paraId="6C74D427">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0AAA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124" w:type="dxa"/>
                  <w:vMerge w:val="continue"/>
                  <w:noWrap w:val="0"/>
                  <w:vAlign w:val="center"/>
                </w:tcPr>
                <w:p w14:paraId="76AF3480">
                  <w:pPr>
                    <w:widowControl/>
                    <w:spacing w:line="310" w:lineRule="exact"/>
                    <w:jc w:val="center"/>
                    <w:rPr>
                      <w:color w:val="auto"/>
                      <w:sz w:val="18"/>
                      <w:szCs w:val="18"/>
                    </w:rPr>
                  </w:pPr>
                </w:p>
              </w:tc>
              <w:tc>
                <w:tcPr>
                  <w:tcW w:w="974" w:type="dxa"/>
                  <w:noWrap w:val="0"/>
                  <w:vAlign w:val="center"/>
                </w:tcPr>
                <w:p w14:paraId="6CE6A228">
                  <w:pPr>
                    <w:pStyle w:val="35"/>
                    <w:spacing w:line="310" w:lineRule="exact"/>
                    <w:rPr>
                      <w:color w:val="auto"/>
                      <w:sz w:val="18"/>
                      <w:szCs w:val="18"/>
                    </w:rPr>
                  </w:pPr>
                  <w:r>
                    <w:rPr>
                      <w:rFonts w:ascii="Times New Roman" w:hAnsi="Times New Roman" w:cs="Times New Roman"/>
                      <w:color w:val="auto"/>
                      <w:sz w:val="18"/>
                      <w:szCs w:val="18"/>
                    </w:rPr>
                    <w:t>BOD</w:t>
                  </w:r>
                  <w:r>
                    <w:rPr>
                      <w:rFonts w:ascii="Times New Roman" w:hAnsi="Times New Roman" w:cs="Times New Roman"/>
                      <w:color w:val="auto"/>
                      <w:sz w:val="18"/>
                      <w:szCs w:val="18"/>
                      <w:vertAlign w:val="subscript"/>
                    </w:rPr>
                    <w:t>5</w:t>
                  </w:r>
                </w:p>
              </w:tc>
              <w:tc>
                <w:tcPr>
                  <w:tcW w:w="859" w:type="dxa"/>
                  <w:noWrap w:val="0"/>
                  <w:vAlign w:val="center"/>
                </w:tcPr>
                <w:p w14:paraId="7E79D3FD">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999" w:type="dxa"/>
                  <w:noWrap w:val="0"/>
                  <w:vAlign w:val="center"/>
                </w:tcPr>
                <w:p w14:paraId="7DFE1E41">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0.016</w:t>
                  </w:r>
                </w:p>
              </w:tc>
              <w:tc>
                <w:tcPr>
                  <w:tcW w:w="1006" w:type="dxa"/>
                  <w:noWrap w:val="0"/>
                  <w:vAlign w:val="center"/>
                </w:tcPr>
                <w:p w14:paraId="50B00577">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136E4D9B">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0D2AB837">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146A1636">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B4E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2382F07B">
                  <w:pPr>
                    <w:widowControl/>
                    <w:spacing w:line="310" w:lineRule="exact"/>
                    <w:jc w:val="center"/>
                    <w:rPr>
                      <w:color w:val="auto"/>
                      <w:sz w:val="18"/>
                      <w:szCs w:val="18"/>
                    </w:rPr>
                  </w:pPr>
                </w:p>
              </w:tc>
              <w:tc>
                <w:tcPr>
                  <w:tcW w:w="974" w:type="dxa"/>
                  <w:noWrap w:val="0"/>
                  <w:vAlign w:val="center"/>
                </w:tcPr>
                <w:p w14:paraId="51E62FEB">
                  <w:pPr>
                    <w:pStyle w:val="35"/>
                    <w:spacing w:line="310" w:lineRule="exact"/>
                    <w:rPr>
                      <w:color w:val="auto"/>
                      <w:sz w:val="18"/>
                      <w:szCs w:val="18"/>
                    </w:rPr>
                  </w:pPr>
                  <w:r>
                    <w:rPr>
                      <w:rFonts w:ascii="Times New Roman" w:hAnsi="Times New Roman" w:cs="Times New Roman"/>
                      <w:color w:val="auto"/>
                      <w:sz w:val="18"/>
                      <w:szCs w:val="18"/>
                    </w:rPr>
                    <w:t>NH</w:t>
                  </w:r>
                  <w:r>
                    <w:rPr>
                      <w:rFonts w:ascii="Times New Roman" w:hAnsi="Times New Roman" w:cs="Times New Roman"/>
                      <w:color w:val="auto"/>
                      <w:sz w:val="18"/>
                      <w:szCs w:val="18"/>
                      <w:vertAlign w:val="subscript"/>
                    </w:rPr>
                    <w:t>3</w:t>
                  </w:r>
                  <w:r>
                    <w:rPr>
                      <w:rFonts w:ascii="Times New Roman" w:hAnsi="Times New Roman" w:cs="Times New Roman"/>
                      <w:color w:val="auto"/>
                      <w:sz w:val="18"/>
                      <w:szCs w:val="18"/>
                    </w:rPr>
                    <w:t>-N</w:t>
                  </w:r>
                </w:p>
              </w:tc>
              <w:tc>
                <w:tcPr>
                  <w:tcW w:w="859" w:type="dxa"/>
                  <w:noWrap w:val="0"/>
                  <w:vAlign w:val="center"/>
                </w:tcPr>
                <w:p w14:paraId="67C0E43C">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999" w:type="dxa"/>
                  <w:noWrap w:val="0"/>
                  <w:vAlign w:val="center"/>
                </w:tcPr>
                <w:p w14:paraId="4310414A">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0.005</w:t>
                  </w:r>
                </w:p>
              </w:tc>
              <w:tc>
                <w:tcPr>
                  <w:tcW w:w="1006" w:type="dxa"/>
                  <w:noWrap w:val="0"/>
                  <w:vAlign w:val="center"/>
                </w:tcPr>
                <w:p w14:paraId="2044B9DD">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37984FDB">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751AF3E5">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7B24D01F">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2D6A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05A74981">
                  <w:pPr>
                    <w:widowControl/>
                    <w:spacing w:line="310" w:lineRule="exact"/>
                    <w:jc w:val="center"/>
                    <w:rPr>
                      <w:color w:val="auto"/>
                      <w:sz w:val="18"/>
                      <w:szCs w:val="18"/>
                    </w:rPr>
                  </w:pPr>
                </w:p>
              </w:tc>
              <w:tc>
                <w:tcPr>
                  <w:tcW w:w="974" w:type="dxa"/>
                  <w:noWrap w:val="0"/>
                  <w:vAlign w:val="center"/>
                </w:tcPr>
                <w:p w14:paraId="073E92E0">
                  <w:pPr>
                    <w:pStyle w:val="35"/>
                    <w:spacing w:line="310" w:lineRule="exact"/>
                    <w:rPr>
                      <w:color w:val="auto"/>
                      <w:sz w:val="18"/>
                      <w:szCs w:val="18"/>
                    </w:rPr>
                  </w:pPr>
                  <w:r>
                    <w:rPr>
                      <w:rFonts w:ascii="Times New Roman" w:hAnsi="Times New Roman" w:cs="Times New Roman"/>
                      <w:color w:val="auto"/>
                      <w:sz w:val="18"/>
                      <w:szCs w:val="18"/>
                    </w:rPr>
                    <w:t>SS</w:t>
                  </w:r>
                </w:p>
              </w:tc>
              <w:tc>
                <w:tcPr>
                  <w:tcW w:w="859" w:type="dxa"/>
                  <w:noWrap w:val="0"/>
                  <w:vAlign w:val="center"/>
                </w:tcPr>
                <w:p w14:paraId="469697F2">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w:t>
                  </w:r>
                </w:p>
              </w:tc>
              <w:tc>
                <w:tcPr>
                  <w:tcW w:w="999" w:type="dxa"/>
                  <w:noWrap w:val="0"/>
                  <w:vAlign w:val="center"/>
                </w:tcPr>
                <w:p w14:paraId="16B9BB4E">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0.013</w:t>
                  </w:r>
                </w:p>
              </w:tc>
              <w:tc>
                <w:tcPr>
                  <w:tcW w:w="1006" w:type="dxa"/>
                  <w:noWrap w:val="0"/>
                  <w:vAlign w:val="center"/>
                </w:tcPr>
                <w:p w14:paraId="56F74ACE">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66B1C603">
                  <w:pPr>
                    <w:spacing w:line="31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0AC25B89">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245684CC">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78C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1124" w:type="dxa"/>
                  <w:vMerge w:val="continue"/>
                  <w:noWrap w:val="0"/>
                  <w:vAlign w:val="center"/>
                </w:tcPr>
                <w:p w14:paraId="1AD0BF9C">
                  <w:pPr>
                    <w:widowControl/>
                    <w:spacing w:line="310" w:lineRule="exact"/>
                    <w:jc w:val="center"/>
                    <w:rPr>
                      <w:color w:val="auto"/>
                      <w:sz w:val="18"/>
                      <w:szCs w:val="18"/>
                    </w:rPr>
                  </w:pPr>
                </w:p>
              </w:tc>
              <w:tc>
                <w:tcPr>
                  <w:tcW w:w="974" w:type="dxa"/>
                  <w:noWrap w:val="0"/>
                  <w:vAlign w:val="center"/>
                </w:tcPr>
                <w:p w14:paraId="73C06BFE">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总余氯</w:t>
                  </w:r>
                </w:p>
              </w:tc>
              <w:tc>
                <w:tcPr>
                  <w:tcW w:w="859" w:type="dxa"/>
                  <w:noWrap w:val="0"/>
                  <w:vAlign w:val="center"/>
                </w:tcPr>
                <w:p w14:paraId="1FBF89F9">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w:t>
                  </w:r>
                </w:p>
              </w:tc>
              <w:tc>
                <w:tcPr>
                  <w:tcW w:w="999" w:type="dxa"/>
                  <w:noWrap w:val="0"/>
                  <w:vAlign w:val="center"/>
                </w:tcPr>
                <w:p w14:paraId="5CCD0E38">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0.001</w:t>
                  </w:r>
                  <w:r>
                    <w:rPr>
                      <w:rFonts w:hint="eastAsia" w:ascii="Times New Roman" w:hAnsi="Times New Roman" w:cs="Times New Roman"/>
                      <w:color w:val="auto"/>
                      <w:sz w:val="18"/>
                      <w:szCs w:val="18"/>
                      <w:lang w:val="en-US" w:eastAsia="zh-CN"/>
                    </w:rPr>
                    <w:t>3</w:t>
                  </w:r>
                </w:p>
              </w:tc>
              <w:tc>
                <w:tcPr>
                  <w:tcW w:w="1006" w:type="dxa"/>
                  <w:noWrap w:val="0"/>
                  <w:vAlign w:val="center"/>
                </w:tcPr>
                <w:p w14:paraId="1ECCFB2F">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7158EF68">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17DA494A">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3752D117">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6E6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47A11845">
                  <w:pPr>
                    <w:widowControl/>
                    <w:spacing w:line="310" w:lineRule="exact"/>
                    <w:jc w:val="center"/>
                    <w:rPr>
                      <w:color w:val="auto"/>
                      <w:sz w:val="18"/>
                      <w:szCs w:val="18"/>
                    </w:rPr>
                  </w:pPr>
                </w:p>
              </w:tc>
              <w:tc>
                <w:tcPr>
                  <w:tcW w:w="974" w:type="dxa"/>
                  <w:noWrap w:val="0"/>
                  <w:vAlign w:val="center"/>
                </w:tcPr>
                <w:p w14:paraId="22463353">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粪大肠菌群</w:t>
                  </w:r>
                </w:p>
              </w:tc>
              <w:tc>
                <w:tcPr>
                  <w:tcW w:w="859" w:type="dxa"/>
                  <w:noWrap w:val="0"/>
                  <w:vAlign w:val="center"/>
                </w:tcPr>
                <w:p w14:paraId="313AC2B6">
                  <w:pPr>
                    <w:pStyle w:val="35"/>
                    <w:spacing w:line="31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5000个/L</w:t>
                  </w:r>
                </w:p>
              </w:tc>
              <w:tc>
                <w:tcPr>
                  <w:tcW w:w="999" w:type="dxa"/>
                  <w:noWrap w:val="0"/>
                  <w:vAlign w:val="center"/>
                </w:tcPr>
                <w:p w14:paraId="495CB121">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7.94</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c>
                <w:tcPr>
                  <w:tcW w:w="1006" w:type="dxa"/>
                  <w:noWrap w:val="0"/>
                  <w:vAlign w:val="center"/>
                </w:tcPr>
                <w:p w14:paraId="38F11D4E">
                  <w:pPr>
                    <w:spacing w:line="31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664913EA">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397771A1">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17E7C2A5">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781A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restart"/>
                  <w:noWrap w:val="0"/>
                  <w:vAlign w:val="center"/>
                </w:tcPr>
                <w:p w14:paraId="1B6C4878">
                  <w:pPr>
                    <w:widowControl/>
                    <w:spacing w:line="310" w:lineRule="exact"/>
                    <w:jc w:val="center"/>
                    <w:rPr>
                      <w:rFonts w:hint="default" w:eastAsia="宋体"/>
                      <w:color w:val="auto"/>
                      <w:sz w:val="18"/>
                      <w:szCs w:val="18"/>
                      <w:lang w:val="en-US" w:eastAsia="zh-CN"/>
                    </w:rPr>
                  </w:pPr>
                  <w:r>
                    <w:rPr>
                      <w:rFonts w:hint="eastAsia"/>
                      <w:color w:val="auto"/>
                      <w:sz w:val="18"/>
                      <w:szCs w:val="18"/>
                      <w:lang w:val="en-US" w:eastAsia="zh-CN"/>
                    </w:rPr>
                    <w:t>洗浴废水</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155.4m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r>
                    <w:rPr>
                      <w:color w:val="auto"/>
                      <w:sz w:val="18"/>
                      <w:szCs w:val="18"/>
                    </w:rPr>
                    <w:t>）</w:t>
                  </w:r>
                </w:p>
              </w:tc>
              <w:tc>
                <w:tcPr>
                  <w:tcW w:w="974" w:type="dxa"/>
                  <w:shd w:val="clear" w:color="auto" w:fill="auto"/>
                  <w:noWrap w:val="0"/>
                  <w:vAlign w:val="center"/>
                </w:tcPr>
                <w:p w14:paraId="7CC55128">
                  <w:pPr>
                    <w:pStyle w:val="35"/>
                    <w:spacing w:line="310" w:lineRule="exact"/>
                    <w:rPr>
                      <w:rFonts w:hint="default" w:ascii="宋体" w:hAnsi="宋体" w:eastAsia="宋体" w:cs="宋体"/>
                      <w:color w:val="auto"/>
                      <w:kern w:val="0"/>
                      <w:sz w:val="18"/>
                      <w:szCs w:val="18"/>
                      <w:lang w:val="en-US" w:eastAsia="en-US" w:bidi="ar-SA"/>
                    </w:rPr>
                  </w:pPr>
                  <w:r>
                    <w:rPr>
                      <w:rFonts w:hint="eastAsia" w:ascii="Times New Roman" w:hAnsi="Times New Roman" w:cs="Times New Roman"/>
                      <w:color w:val="auto"/>
                      <w:sz w:val="18"/>
                      <w:szCs w:val="18"/>
                      <w:lang w:val="en-US" w:eastAsia="zh-CN"/>
                    </w:rPr>
                    <w:t>pH</w:t>
                  </w:r>
                </w:p>
              </w:tc>
              <w:tc>
                <w:tcPr>
                  <w:tcW w:w="859" w:type="dxa"/>
                  <w:shd w:val="clear" w:color="auto" w:fill="auto"/>
                  <w:noWrap w:val="0"/>
                  <w:vAlign w:val="center"/>
                </w:tcPr>
                <w:p w14:paraId="0F5EB6D5">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6-9</w:t>
                  </w:r>
                </w:p>
              </w:tc>
              <w:tc>
                <w:tcPr>
                  <w:tcW w:w="999" w:type="dxa"/>
                  <w:shd w:val="clear" w:color="auto" w:fill="auto"/>
                  <w:noWrap w:val="0"/>
                  <w:vAlign w:val="center"/>
                </w:tcPr>
                <w:p w14:paraId="31C6F421">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1006" w:type="dxa"/>
                  <w:shd w:val="clear" w:color="auto" w:fill="auto"/>
                  <w:noWrap w:val="0"/>
                  <w:vAlign w:val="center"/>
                </w:tcPr>
                <w:p w14:paraId="22D876C0">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955" w:type="dxa"/>
                  <w:shd w:val="clear" w:color="auto" w:fill="auto"/>
                  <w:noWrap w:val="0"/>
                  <w:vAlign w:val="center"/>
                </w:tcPr>
                <w:p w14:paraId="0029B2F6">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9" w:type="dxa"/>
                  <w:shd w:val="clear" w:color="auto" w:fill="auto"/>
                  <w:noWrap w:val="0"/>
                  <w:vAlign w:val="center"/>
                </w:tcPr>
                <w:p w14:paraId="223F1ADD">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7" w:type="dxa"/>
                  <w:shd w:val="clear" w:color="auto" w:fill="auto"/>
                  <w:noWrap w:val="0"/>
                  <w:vAlign w:val="center"/>
                </w:tcPr>
                <w:p w14:paraId="52CDE872">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7B94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4A3C5252">
                  <w:pPr>
                    <w:widowControl/>
                    <w:spacing w:line="310" w:lineRule="exact"/>
                    <w:jc w:val="center"/>
                    <w:rPr>
                      <w:rFonts w:hint="eastAsia"/>
                      <w:color w:val="auto"/>
                      <w:sz w:val="18"/>
                      <w:szCs w:val="18"/>
                      <w:lang w:val="en-US" w:eastAsia="zh-CN"/>
                    </w:rPr>
                  </w:pPr>
                </w:p>
              </w:tc>
              <w:tc>
                <w:tcPr>
                  <w:tcW w:w="974" w:type="dxa"/>
                  <w:shd w:val="clear" w:color="auto" w:fill="auto"/>
                  <w:noWrap w:val="0"/>
                  <w:vAlign w:val="center"/>
                </w:tcPr>
                <w:p w14:paraId="671F06ED">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COD</w:t>
                  </w:r>
                </w:p>
              </w:tc>
              <w:tc>
                <w:tcPr>
                  <w:tcW w:w="859" w:type="dxa"/>
                  <w:shd w:val="clear" w:color="auto" w:fill="auto"/>
                  <w:noWrap w:val="0"/>
                  <w:vAlign w:val="center"/>
                </w:tcPr>
                <w:p w14:paraId="3FB627DB">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250</w:t>
                  </w:r>
                </w:p>
              </w:tc>
              <w:tc>
                <w:tcPr>
                  <w:tcW w:w="999" w:type="dxa"/>
                  <w:shd w:val="clear" w:color="auto" w:fill="auto"/>
                  <w:noWrap w:val="0"/>
                  <w:vAlign w:val="center"/>
                </w:tcPr>
                <w:p w14:paraId="537EAB73">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0.039</w:t>
                  </w:r>
                </w:p>
              </w:tc>
              <w:tc>
                <w:tcPr>
                  <w:tcW w:w="1006" w:type="dxa"/>
                  <w:shd w:val="clear" w:color="auto" w:fill="auto"/>
                  <w:noWrap w:val="0"/>
                  <w:vAlign w:val="center"/>
                </w:tcPr>
                <w:p w14:paraId="67CDE066">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955" w:type="dxa"/>
                  <w:shd w:val="clear" w:color="auto" w:fill="auto"/>
                  <w:noWrap w:val="0"/>
                  <w:vAlign w:val="center"/>
                </w:tcPr>
                <w:p w14:paraId="42FEEC37">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9" w:type="dxa"/>
                  <w:shd w:val="clear" w:color="auto" w:fill="auto"/>
                  <w:noWrap w:val="0"/>
                  <w:vAlign w:val="center"/>
                </w:tcPr>
                <w:p w14:paraId="270BECFE">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7" w:type="dxa"/>
                  <w:shd w:val="clear" w:color="auto" w:fill="auto"/>
                  <w:noWrap w:val="0"/>
                  <w:vAlign w:val="center"/>
                </w:tcPr>
                <w:p w14:paraId="1D926BE6">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4733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129BCE6D">
                  <w:pPr>
                    <w:widowControl/>
                    <w:spacing w:line="310" w:lineRule="exact"/>
                    <w:jc w:val="center"/>
                    <w:rPr>
                      <w:color w:val="auto"/>
                      <w:sz w:val="18"/>
                      <w:szCs w:val="18"/>
                    </w:rPr>
                  </w:pPr>
                </w:p>
              </w:tc>
              <w:tc>
                <w:tcPr>
                  <w:tcW w:w="974" w:type="dxa"/>
                  <w:shd w:val="clear" w:color="auto" w:fill="auto"/>
                  <w:noWrap w:val="0"/>
                  <w:vAlign w:val="center"/>
                </w:tcPr>
                <w:p w14:paraId="54E3A11B">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BOD</w:t>
                  </w:r>
                  <w:r>
                    <w:rPr>
                      <w:rFonts w:ascii="Times New Roman" w:hAnsi="Times New Roman" w:cs="Times New Roman"/>
                      <w:color w:val="auto"/>
                      <w:sz w:val="18"/>
                      <w:szCs w:val="18"/>
                      <w:vertAlign w:val="subscript"/>
                    </w:rPr>
                    <w:t>5</w:t>
                  </w:r>
                </w:p>
              </w:tc>
              <w:tc>
                <w:tcPr>
                  <w:tcW w:w="859" w:type="dxa"/>
                  <w:noWrap w:val="0"/>
                  <w:vAlign w:val="center"/>
                </w:tcPr>
                <w:p w14:paraId="59C0048B">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150</w:t>
                  </w:r>
                </w:p>
              </w:tc>
              <w:tc>
                <w:tcPr>
                  <w:tcW w:w="999" w:type="dxa"/>
                  <w:noWrap w:val="0"/>
                  <w:vAlign w:val="center"/>
                </w:tcPr>
                <w:p w14:paraId="685F28CE">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0.023</w:t>
                  </w:r>
                </w:p>
              </w:tc>
              <w:tc>
                <w:tcPr>
                  <w:tcW w:w="1006" w:type="dxa"/>
                  <w:noWrap w:val="0"/>
                  <w:vAlign w:val="center"/>
                </w:tcPr>
                <w:p w14:paraId="6CFC77E2">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219141E1">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2648C130">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57AF5558">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CEE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25B5A8AC">
                  <w:pPr>
                    <w:widowControl/>
                    <w:spacing w:line="310" w:lineRule="exact"/>
                    <w:jc w:val="center"/>
                    <w:rPr>
                      <w:color w:val="auto"/>
                      <w:sz w:val="18"/>
                      <w:szCs w:val="18"/>
                    </w:rPr>
                  </w:pPr>
                </w:p>
              </w:tc>
              <w:tc>
                <w:tcPr>
                  <w:tcW w:w="974" w:type="dxa"/>
                  <w:shd w:val="clear" w:color="auto" w:fill="auto"/>
                  <w:noWrap w:val="0"/>
                  <w:vAlign w:val="center"/>
                </w:tcPr>
                <w:p w14:paraId="55C002BE">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NH</w:t>
                  </w:r>
                  <w:r>
                    <w:rPr>
                      <w:rFonts w:ascii="Times New Roman" w:hAnsi="Times New Roman" w:cs="Times New Roman"/>
                      <w:color w:val="auto"/>
                      <w:sz w:val="18"/>
                      <w:szCs w:val="18"/>
                      <w:vertAlign w:val="subscript"/>
                    </w:rPr>
                    <w:t>3</w:t>
                  </w:r>
                  <w:r>
                    <w:rPr>
                      <w:rFonts w:ascii="Times New Roman" w:hAnsi="Times New Roman" w:cs="Times New Roman"/>
                      <w:color w:val="auto"/>
                      <w:sz w:val="18"/>
                      <w:szCs w:val="18"/>
                    </w:rPr>
                    <w:t>-N</w:t>
                  </w:r>
                </w:p>
              </w:tc>
              <w:tc>
                <w:tcPr>
                  <w:tcW w:w="859" w:type="dxa"/>
                  <w:noWrap w:val="0"/>
                  <w:vAlign w:val="center"/>
                </w:tcPr>
                <w:p w14:paraId="44C77E28">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999" w:type="dxa"/>
                  <w:noWrap w:val="0"/>
                  <w:vAlign w:val="center"/>
                </w:tcPr>
                <w:p w14:paraId="6DE3520E">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0.007</w:t>
                  </w:r>
                </w:p>
              </w:tc>
              <w:tc>
                <w:tcPr>
                  <w:tcW w:w="1006" w:type="dxa"/>
                  <w:noWrap w:val="0"/>
                  <w:vAlign w:val="center"/>
                </w:tcPr>
                <w:p w14:paraId="1E662F17">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4C4E84ED">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0CFEEE94">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7E88C072">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4E3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7F82FA6B">
                  <w:pPr>
                    <w:widowControl/>
                    <w:spacing w:line="310" w:lineRule="exact"/>
                    <w:jc w:val="center"/>
                    <w:rPr>
                      <w:color w:val="auto"/>
                      <w:sz w:val="18"/>
                      <w:szCs w:val="18"/>
                    </w:rPr>
                  </w:pPr>
                </w:p>
              </w:tc>
              <w:tc>
                <w:tcPr>
                  <w:tcW w:w="974" w:type="dxa"/>
                  <w:shd w:val="clear" w:color="auto" w:fill="auto"/>
                  <w:noWrap w:val="0"/>
                  <w:vAlign w:val="center"/>
                </w:tcPr>
                <w:p w14:paraId="6F2364A9">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SS</w:t>
                  </w:r>
                </w:p>
              </w:tc>
              <w:tc>
                <w:tcPr>
                  <w:tcW w:w="859" w:type="dxa"/>
                  <w:noWrap w:val="0"/>
                  <w:vAlign w:val="center"/>
                </w:tcPr>
                <w:p w14:paraId="36966AE0">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999" w:type="dxa"/>
                  <w:noWrap w:val="0"/>
                  <w:vAlign w:val="center"/>
                </w:tcPr>
                <w:p w14:paraId="0B9E4A77">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1006" w:type="dxa"/>
                  <w:noWrap w:val="0"/>
                  <w:vAlign w:val="center"/>
                </w:tcPr>
                <w:p w14:paraId="1CD95D5F">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554ED9D7">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4CD7FB2D">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47946654">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297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453375E9">
                  <w:pPr>
                    <w:widowControl/>
                    <w:spacing w:line="310" w:lineRule="exact"/>
                    <w:jc w:val="center"/>
                    <w:rPr>
                      <w:color w:val="auto"/>
                      <w:sz w:val="18"/>
                      <w:szCs w:val="18"/>
                    </w:rPr>
                  </w:pPr>
                </w:p>
              </w:tc>
              <w:tc>
                <w:tcPr>
                  <w:tcW w:w="974" w:type="dxa"/>
                  <w:shd w:val="clear" w:color="auto" w:fill="auto"/>
                  <w:noWrap w:val="0"/>
                  <w:vAlign w:val="center"/>
                </w:tcPr>
                <w:p w14:paraId="753B8AE3">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LAS</w:t>
                  </w:r>
                </w:p>
              </w:tc>
              <w:tc>
                <w:tcPr>
                  <w:tcW w:w="859" w:type="dxa"/>
                  <w:noWrap w:val="0"/>
                  <w:vAlign w:val="center"/>
                </w:tcPr>
                <w:p w14:paraId="1B0FB0B4">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999" w:type="dxa"/>
                  <w:noWrap w:val="0"/>
                  <w:vAlign w:val="center"/>
                </w:tcPr>
                <w:p w14:paraId="03452576">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0.002</w:t>
                  </w:r>
                </w:p>
              </w:tc>
              <w:tc>
                <w:tcPr>
                  <w:tcW w:w="1006" w:type="dxa"/>
                  <w:noWrap w:val="0"/>
                  <w:vAlign w:val="center"/>
                </w:tcPr>
                <w:p w14:paraId="37480959">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05985107">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7AEA0D14">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0D94C6E8">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7984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restart"/>
                  <w:noWrap w:val="0"/>
                  <w:vAlign w:val="center"/>
                </w:tcPr>
                <w:p w14:paraId="59FCC777">
                  <w:pPr>
                    <w:widowControl/>
                    <w:spacing w:line="310" w:lineRule="exact"/>
                    <w:jc w:val="center"/>
                    <w:rPr>
                      <w:rFonts w:hint="default"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生活污水</w:t>
                  </w:r>
                  <w:r>
                    <w:rPr>
                      <w:rFonts w:hint="default" w:ascii="Times New Roman" w:hAnsi="Times New Roman" w:eastAsia="宋体" w:cs="Times New Roman"/>
                      <w:color w:val="auto"/>
                      <w:sz w:val="18"/>
                      <w:szCs w:val="18"/>
                      <w:lang w:val="en-US" w:eastAsia="zh-CN"/>
                    </w:rPr>
                    <w:t>（110.25m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r>
                    <w:rPr>
                      <w:color w:val="auto"/>
                      <w:sz w:val="18"/>
                      <w:szCs w:val="18"/>
                    </w:rPr>
                    <w:t>）</w:t>
                  </w:r>
                </w:p>
              </w:tc>
              <w:tc>
                <w:tcPr>
                  <w:tcW w:w="974" w:type="dxa"/>
                  <w:shd w:val="clear" w:color="auto" w:fill="auto"/>
                  <w:noWrap w:val="0"/>
                  <w:vAlign w:val="center"/>
                </w:tcPr>
                <w:p w14:paraId="4FE7AE8A">
                  <w:pPr>
                    <w:pStyle w:val="35"/>
                    <w:spacing w:line="310" w:lineRule="exact"/>
                    <w:rPr>
                      <w:rFonts w:hint="default" w:ascii="宋体" w:hAnsi="宋体" w:eastAsia="宋体" w:cs="宋体"/>
                      <w:color w:val="auto"/>
                      <w:kern w:val="0"/>
                      <w:sz w:val="18"/>
                      <w:szCs w:val="18"/>
                      <w:lang w:val="en-US" w:eastAsia="zh-CN" w:bidi="ar-SA"/>
                    </w:rPr>
                  </w:pPr>
                  <w:r>
                    <w:rPr>
                      <w:rFonts w:hint="eastAsia" w:ascii="Times New Roman" w:hAnsi="Times New Roman" w:cs="Times New Roman"/>
                      <w:color w:val="auto"/>
                      <w:sz w:val="18"/>
                      <w:szCs w:val="18"/>
                      <w:lang w:val="en-US" w:eastAsia="zh-CN"/>
                    </w:rPr>
                    <w:t>pH</w:t>
                  </w:r>
                </w:p>
              </w:tc>
              <w:tc>
                <w:tcPr>
                  <w:tcW w:w="859" w:type="dxa"/>
                  <w:shd w:val="clear" w:color="auto" w:fill="auto"/>
                  <w:noWrap w:val="0"/>
                  <w:vAlign w:val="center"/>
                </w:tcPr>
                <w:p w14:paraId="378894AD">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6-9</w:t>
                  </w:r>
                </w:p>
              </w:tc>
              <w:tc>
                <w:tcPr>
                  <w:tcW w:w="999" w:type="dxa"/>
                  <w:shd w:val="clear" w:color="auto" w:fill="auto"/>
                  <w:noWrap w:val="0"/>
                  <w:vAlign w:val="center"/>
                </w:tcPr>
                <w:p w14:paraId="107F2DC2">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1006" w:type="dxa"/>
                  <w:shd w:val="clear" w:color="auto" w:fill="auto"/>
                  <w:noWrap w:val="0"/>
                  <w:vAlign w:val="center"/>
                </w:tcPr>
                <w:p w14:paraId="7D4F4421">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955" w:type="dxa"/>
                  <w:shd w:val="clear" w:color="auto" w:fill="auto"/>
                  <w:noWrap w:val="0"/>
                  <w:vAlign w:val="center"/>
                </w:tcPr>
                <w:p w14:paraId="6CFB6CC3">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9" w:type="dxa"/>
                  <w:shd w:val="clear" w:color="auto" w:fill="auto"/>
                  <w:noWrap w:val="0"/>
                  <w:vAlign w:val="center"/>
                </w:tcPr>
                <w:p w14:paraId="2DFC3D64">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7" w:type="dxa"/>
                  <w:shd w:val="clear" w:color="auto" w:fill="auto"/>
                  <w:noWrap w:val="0"/>
                  <w:vAlign w:val="center"/>
                </w:tcPr>
                <w:p w14:paraId="7C0D78FB">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3295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5089E132">
                  <w:pPr>
                    <w:widowControl/>
                    <w:spacing w:line="310" w:lineRule="exact"/>
                    <w:jc w:val="center"/>
                    <w:rPr>
                      <w:rFonts w:hint="eastAsia" w:ascii="Times New Roman" w:hAnsi="Times New Roman" w:eastAsia="宋体" w:cs="Times New Roman"/>
                      <w:color w:val="auto"/>
                      <w:sz w:val="18"/>
                      <w:szCs w:val="18"/>
                      <w:lang w:val="en-US" w:eastAsia="zh-CN"/>
                    </w:rPr>
                  </w:pPr>
                </w:p>
              </w:tc>
              <w:tc>
                <w:tcPr>
                  <w:tcW w:w="974" w:type="dxa"/>
                  <w:shd w:val="clear" w:color="auto" w:fill="auto"/>
                  <w:noWrap w:val="0"/>
                  <w:vAlign w:val="center"/>
                </w:tcPr>
                <w:p w14:paraId="6BB1A54F">
                  <w:pPr>
                    <w:pStyle w:val="35"/>
                    <w:spacing w:line="310" w:lineRule="exact"/>
                    <w:rPr>
                      <w:rFonts w:hint="default" w:ascii="宋体" w:hAnsi="宋体" w:eastAsia="宋体" w:cs="宋体"/>
                      <w:color w:val="auto"/>
                      <w:kern w:val="0"/>
                      <w:sz w:val="18"/>
                      <w:szCs w:val="18"/>
                      <w:lang w:val="en-US" w:eastAsia="zh-CN" w:bidi="ar-SA"/>
                    </w:rPr>
                  </w:pPr>
                  <w:r>
                    <w:rPr>
                      <w:rFonts w:ascii="Times New Roman" w:hAnsi="Times New Roman" w:cs="Times New Roman"/>
                      <w:color w:val="auto"/>
                      <w:sz w:val="18"/>
                      <w:szCs w:val="18"/>
                    </w:rPr>
                    <w:t>COD</w:t>
                  </w:r>
                </w:p>
              </w:tc>
              <w:tc>
                <w:tcPr>
                  <w:tcW w:w="859" w:type="dxa"/>
                  <w:shd w:val="clear" w:color="auto" w:fill="auto"/>
                  <w:noWrap w:val="0"/>
                  <w:vAlign w:val="center"/>
                </w:tcPr>
                <w:p w14:paraId="25070A4E">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500</w:t>
                  </w:r>
                </w:p>
              </w:tc>
              <w:tc>
                <w:tcPr>
                  <w:tcW w:w="999" w:type="dxa"/>
                  <w:shd w:val="clear" w:color="auto" w:fill="auto"/>
                  <w:noWrap w:val="0"/>
                  <w:vAlign w:val="center"/>
                </w:tcPr>
                <w:p w14:paraId="3A5CB9C6">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0.055 </w:t>
                  </w:r>
                </w:p>
              </w:tc>
              <w:tc>
                <w:tcPr>
                  <w:tcW w:w="1006" w:type="dxa"/>
                  <w:shd w:val="clear" w:color="auto" w:fill="auto"/>
                  <w:noWrap w:val="0"/>
                  <w:vAlign w:val="center"/>
                </w:tcPr>
                <w:p w14:paraId="69EB85BA">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955" w:type="dxa"/>
                  <w:shd w:val="clear" w:color="auto" w:fill="auto"/>
                  <w:noWrap w:val="0"/>
                  <w:vAlign w:val="center"/>
                </w:tcPr>
                <w:p w14:paraId="77E9364F">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9" w:type="dxa"/>
                  <w:shd w:val="clear" w:color="auto" w:fill="auto"/>
                  <w:noWrap w:val="0"/>
                  <w:vAlign w:val="center"/>
                </w:tcPr>
                <w:p w14:paraId="04ABC86A">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7" w:type="dxa"/>
                  <w:shd w:val="clear" w:color="auto" w:fill="auto"/>
                  <w:noWrap w:val="0"/>
                  <w:vAlign w:val="center"/>
                </w:tcPr>
                <w:p w14:paraId="53956345">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083D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3AC930EC">
                  <w:pPr>
                    <w:widowControl/>
                    <w:spacing w:line="310" w:lineRule="exact"/>
                    <w:jc w:val="center"/>
                    <w:rPr>
                      <w:color w:val="auto"/>
                      <w:sz w:val="18"/>
                      <w:szCs w:val="18"/>
                    </w:rPr>
                  </w:pPr>
                </w:p>
              </w:tc>
              <w:tc>
                <w:tcPr>
                  <w:tcW w:w="974" w:type="dxa"/>
                  <w:shd w:val="clear" w:color="auto" w:fill="auto"/>
                  <w:noWrap w:val="0"/>
                  <w:vAlign w:val="center"/>
                </w:tcPr>
                <w:p w14:paraId="50A5AAF4">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BOD</w:t>
                  </w:r>
                  <w:r>
                    <w:rPr>
                      <w:rFonts w:ascii="Times New Roman" w:hAnsi="Times New Roman" w:cs="Times New Roman"/>
                      <w:color w:val="auto"/>
                      <w:sz w:val="18"/>
                      <w:szCs w:val="18"/>
                      <w:vertAlign w:val="subscript"/>
                    </w:rPr>
                    <w:t>5</w:t>
                  </w:r>
                </w:p>
              </w:tc>
              <w:tc>
                <w:tcPr>
                  <w:tcW w:w="859" w:type="dxa"/>
                  <w:noWrap w:val="0"/>
                  <w:vAlign w:val="center"/>
                </w:tcPr>
                <w:p w14:paraId="6A55716E">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999" w:type="dxa"/>
                  <w:noWrap w:val="0"/>
                  <w:vAlign w:val="center"/>
                </w:tcPr>
                <w:p w14:paraId="41BC3095">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0.033 </w:t>
                  </w:r>
                </w:p>
              </w:tc>
              <w:tc>
                <w:tcPr>
                  <w:tcW w:w="1006" w:type="dxa"/>
                  <w:noWrap w:val="0"/>
                  <w:vAlign w:val="center"/>
                </w:tcPr>
                <w:p w14:paraId="2BFC6E03">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3B31D650">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25CD2415">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41419506">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3104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54AA466A">
                  <w:pPr>
                    <w:widowControl/>
                    <w:spacing w:line="310" w:lineRule="exact"/>
                    <w:jc w:val="center"/>
                    <w:rPr>
                      <w:color w:val="auto"/>
                      <w:sz w:val="18"/>
                      <w:szCs w:val="18"/>
                    </w:rPr>
                  </w:pPr>
                </w:p>
              </w:tc>
              <w:tc>
                <w:tcPr>
                  <w:tcW w:w="974" w:type="dxa"/>
                  <w:shd w:val="clear" w:color="auto" w:fill="auto"/>
                  <w:noWrap w:val="0"/>
                  <w:vAlign w:val="center"/>
                </w:tcPr>
                <w:p w14:paraId="64477D69">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NH</w:t>
                  </w:r>
                  <w:r>
                    <w:rPr>
                      <w:rFonts w:ascii="Times New Roman" w:hAnsi="Times New Roman" w:cs="Times New Roman"/>
                      <w:color w:val="auto"/>
                      <w:sz w:val="18"/>
                      <w:szCs w:val="18"/>
                      <w:vertAlign w:val="subscript"/>
                    </w:rPr>
                    <w:t>3</w:t>
                  </w:r>
                  <w:r>
                    <w:rPr>
                      <w:rFonts w:ascii="Times New Roman" w:hAnsi="Times New Roman" w:cs="Times New Roman"/>
                      <w:color w:val="auto"/>
                      <w:sz w:val="18"/>
                      <w:szCs w:val="18"/>
                    </w:rPr>
                    <w:t>-N</w:t>
                  </w:r>
                </w:p>
              </w:tc>
              <w:tc>
                <w:tcPr>
                  <w:tcW w:w="859" w:type="dxa"/>
                  <w:noWrap w:val="0"/>
                  <w:vAlign w:val="center"/>
                </w:tcPr>
                <w:p w14:paraId="077B1318">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999" w:type="dxa"/>
                  <w:noWrap w:val="0"/>
                  <w:vAlign w:val="center"/>
                </w:tcPr>
                <w:p w14:paraId="17AFF7DC">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0.004 </w:t>
                  </w:r>
                </w:p>
              </w:tc>
              <w:tc>
                <w:tcPr>
                  <w:tcW w:w="1006" w:type="dxa"/>
                  <w:noWrap w:val="0"/>
                  <w:vAlign w:val="center"/>
                </w:tcPr>
                <w:p w14:paraId="5552466D">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1CF7F33A">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6B306800">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2DEFC062">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4C68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71A16BA7">
                  <w:pPr>
                    <w:widowControl/>
                    <w:spacing w:line="310" w:lineRule="exact"/>
                    <w:jc w:val="center"/>
                    <w:rPr>
                      <w:color w:val="auto"/>
                      <w:sz w:val="18"/>
                      <w:szCs w:val="18"/>
                    </w:rPr>
                  </w:pPr>
                </w:p>
              </w:tc>
              <w:tc>
                <w:tcPr>
                  <w:tcW w:w="974" w:type="dxa"/>
                  <w:shd w:val="clear" w:color="auto" w:fill="auto"/>
                  <w:noWrap w:val="0"/>
                  <w:vAlign w:val="center"/>
                </w:tcPr>
                <w:p w14:paraId="2002DA3A">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SS</w:t>
                  </w:r>
                </w:p>
              </w:tc>
              <w:tc>
                <w:tcPr>
                  <w:tcW w:w="859" w:type="dxa"/>
                  <w:noWrap w:val="0"/>
                  <w:vAlign w:val="center"/>
                </w:tcPr>
                <w:p w14:paraId="43120ABB">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400</w:t>
                  </w:r>
                </w:p>
              </w:tc>
              <w:tc>
                <w:tcPr>
                  <w:tcW w:w="999" w:type="dxa"/>
                  <w:noWrap w:val="0"/>
                  <w:vAlign w:val="center"/>
                </w:tcPr>
                <w:p w14:paraId="73162F5A">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0.044 </w:t>
                  </w:r>
                </w:p>
              </w:tc>
              <w:tc>
                <w:tcPr>
                  <w:tcW w:w="1006" w:type="dxa"/>
                  <w:noWrap w:val="0"/>
                  <w:vAlign w:val="center"/>
                </w:tcPr>
                <w:p w14:paraId="7EF30EAB">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2B2AEAF7">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3989AF98">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10FEEAC3">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45F3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2C3F8E33">
                  <w:pPr>
                    <w:widowControl/>
                    <w:spacing w:line="310" w:lineRule="exact"/>
                    <w:jc w:val="center"/>
                    <w:rPr>
                      <w:color w:val="auto"/>
                      <w:sz w:val="18"/>
                      <w:szCs w:val="18"/>
                    </w:rPr>
                  </w:pPr>
                </w:p>
              </w:tc>
              <w:tc>
                <w:tcPr>
                  <w:tcW w:w="974" w:type="dxa"/>
                  <w:shd w:val="clear" w:color="auto" w:fill="auto"/>
                  <w:noWrap w:val="0"/>
                  <w:vAlign w:val="center"/>
                </w:tcPr>
                <w:p w14:paraId="31D476F2">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LAS</w:t>
                  </w:r>
                </w:p>
              </w:tc>
              <w:tc>
                <w:tcPr>
                  <w:tcW w:w="859" w:type="dxa"/>
                  <w:noWrap w:val="0"/>
                  <w:vAlign w:val="center"/>
                </w:tcPr>
                <w:p w14:paraId="1C02B94B">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999" w:type="dxa"/>
                  <w:noWrap w:val="0"/>
                  <w:vAlign w:val="center"/>
                </w:tcPr>
                <w:p w14:paraId="7AE655A3">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0.006 </w:t>
                  </w:r>
                </w:p>
              </w:tc>
              <w:tc>
                <w:tcPr>
                  <w:tcW w:w="1006" w:type="dxa"/>
                  <w:noWrap w:val="0"/>
                  <w:vAlign w:val="center"/>
                </w:tcPr>
                <w:p w14:paraId="30541574">
                  <w:pPr>
                    <w:spacing w:line="31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55" w:type="dxa"/>
                  <w:noWrap w:val="0"/>
                  <w:vAlign w:val="center"/>
                </w:tcPr>
                <w:p w14:paraId="13963A4D">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9" w:type="dxa"/>
                  <w:noWrap w:val="0"/>
                  <w:vAlign w:val="center"/>
                </w:tcPr>
                <w:p w14:paraId="01DBD7B2">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4163F288">
                  <w:pPr>
                    <w:spacing w:line="31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1492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restart"/>
                  <w:noWrap w:val="0"/>
                  <w:vAlign w:val="center"/>
                </w:tcPr>
                <w:p w14:paraId="01F8DEFC">
                  <w:pPr>
                    <w:widowControl/>
                    <w:spacing w:line="310" w:lineRule="exact"/>
                    <w:jc w:val="center"/>
                    <w:rPr>
                      <w:rFonts w:hint="eastAsia" w:eastAsia="宋体"/>
                      <w:color w:val="auto"/>
                      <w:sz w:val="18"/>
                      <w:szCs w:val="18"/>
                      <w:lang w:val="en-US" w:eastAsia="zh-CN"/>
                    </w:rPr>
                  </w:pPr>
                  <w:r>
                    <w:rPr>
                      <w:rFonts w:hint="eastAsia"/>
                      <w:color w:val="auto"/>
                      <w:sz w:val="18"/>
                      <w:szCs w:val="18"/>
                      <w:lang w:val="en-US" w:eastAsia="zh-CN"/>
                    </w:rPr>
                    <w:t>合计</w:t>
                  </w:r>
                  <w:r>
                    <w:rPr>
                      <w:rFonts w:hint="default" w:ascii="Times New Roman" w:hAnsi="Times New Roman" w:eastAsia="宋体" w:cs="Times New Roman"/>
                      <w:color w:val="auto"/>
                      <w:sz w:val="18"/>
                      <w:szCs w:val="18"/>
                      <w:lang w:val="en-US" w:eastAsia="zh-CN"/>
                    </w:rPr>
                    <w:t>（</w:t>
                  </w:r>
                  <w:r>
                    <w:rPr>
                      <w:rFonts w:hint="eastAsia" w:ascii="Times New Roman" w:hAnsi="Times New Roman" w:cs="Times New Roman"/>
                      <w:color w:val="auto"/>
                      <w:sz w:val="18"/>
                      <w:szCs w:val="18"/>
                      <w:lang w:val="en-US" w:eastAsia="zh-CN"/>
                    </w:rPr>
                    <w:t>424.52</w:t>
                  </w:r>
                  <w:r>
                    <w:rPr>
                      <w:rFonts w:hint="default" w:ascii="Times New Roman" w:hAnsi="Times New Roman" w:eastAsia="宋体"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r>
                    <w:rPr>
                      <w:color w:val="auto"/>
                      <w:sz w:val="18"/>
                      <w:szCs w:val="18"/>
                    </w:rPr>
                    <w:t>）</w:t>
                  </w:r>
                </w:p>
              </w:tc>
              <w:tc>
                <w:tcPr>
                  <w:tcW w:w="974" w:type="dxa"/>
                  <w:shd w:val="clear" w:color="auto" w:fill="auto"/>
                  <w:noWrap w:val="0"/>
                  <w:vAlign w:val="center"/>
                </w:tcPr>
                <w:p w14:paraId="70F73118">
                  <w:pPr>
                    <w:pStyle w:val="35"/>
                    <w:spacing w:line="310" w:lineRule="exact"/>
                    <w:rPr>
                      <w:rFonts w:hint="default" w:ascii="宋体" w:hAnsi="宋体" w:eastAsia="宋体" w:cs="宋体"/>
                      <w:color w:val="auto"/>
                      <w:kern w:val="0"/>
                      <w:sz w:val="18"/>
                      <w:szCs w:val="18"/>
                      <w:lang w:val="en-US" w:eastAsia="en-US" w:bidi="ar-SA"/>
                    </w:rPr>
                  </w:pPr>
                  <w:r>
                    <w:rPr>
                      <w:rFonts w:hint="eastAsia" w:ascii="Times New Roman" w:hAnsi="Times New Roman" w:cs="Times New Roman"/>
                      <w:color w:val="auto"/>
                      <w:sz w:val="18"/>
                      <w:szCs w:val="18"/>
                      <w:lang w:val="en-US" w:eastAsia="zh-CN"/>
                    </w:rPr>
                    <w:t>pH</w:t>
                  </w:r>
                </w:p>
              </w:tc>
              <w:tc>
                <w:tcPr>
                  <w:tcW w:w="859" w:type="dxa"/>
                  <w:shd w:val="clear" w:color="auto" w:fill="auto"/>
                  <w:noWrap w:val="0"/>
                  <w:vAlign w:val="center"/>
                </w:tcPr>
                <w:p w14:paraId="69094AB2">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999" w:type="dxa"/>
                  <w:shd w:val="clear" w:color="auto" w:fill="auto"/>
                  <w:noWrap w:val="0"/>
                  <w:vAlign w:val="center"/>
                </w:tcPr>
                <w:p w14:paraId="4CBC276B">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1006" w:type="dxa"/>
                  <w:shd w:val="clear" w:color="auto" w:fill="auto"/>
                  <w:noWrap w:val="0"/>
                  <w:vAlign w:val="center"/>
                </w:tcPr>
                <w:p w14:paraId="2638A56C">
                  <w:pPr>
                    <w:spacing w:line="31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6-9</w:t>
                  </w:r>
                </w:p>
              </w:tc>
              <w:tc>
                <w:tcPr>
                  <w:tcW w:w="955" w:type="dxa"/>
                  <w:shd w:val="clear" w:color="auto" w:fill="auto"/>
                  <w:noWrap w:val="0"/>
                  <w:vAlign w:val="center"/>
                </w:tcPr>
                <w:p w14:paraId="3298F00C">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1009" w:type="dxa"/>
                  <w:shd w:val="clear" w:color="auto" w:fill="auto"/>
                  <w:noWrap w:val="0"/>
                  <w:vAlign w:val="center"/>
                </w:tcPr>
                <w:p w14:paraId="1F3DFE1A">
                  <w:pPr>
                    <w:spacing w:line="31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6-9</w:t>
                  </w:r>
                </w:p>
              </w:tc>
              <w:tc>
                <w:tcPr>
                  <w:tcW w:w="1007" w:type="dxa"/>
                  <w:shd w:val="clear" w:color="auto" w:fill="auto"/>
                  <w:noWrap w:val="0"/>
                  <w:vAlign w:val="center"/>
                </w:tcPr>
                <w:p w14:paraId="376503CF">
                  <w:pPr>
                    <w:spacing w:line="310" w:lineRule="exac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65E5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60A31B62">
                  <w:pPr>
                    <w:widowControl/>
                    <w:spacing w:line="310" w:lineRule="exact"/>
                    <w:jc w:val="center"/>
                    <w:rPr>
                      <w:rFonts w:hint="eastAsia"/>
                      <w:color w:val="auto"/>
                      <w:sz w:val="18"/>
                      <w:szCs w:val="18"/>
                      <w:lang w:val="en-US" w:eastAsia="zh-CN"/>
                    </w:rPr>
                  </w:pPr>
                </w:p>
              </w:tc>
              <w:tc>
                <w:tcPr>
                  <w:tcW w:w="974" w:type="dxa"/>
                  <w:shd w:val="clear" w:color="auto" w:fill="auto"/>
                  <w:noWrap w:val="0"/>
                  <w:vAlign w:val="center"/>
                </w:tcPr>
                <w:p w14:paraId="7A9FCC27">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COD</w:t>
                  </w:r>
                </w:p>
              </w:tc>
              <w:tc>
                <w:tcPr>
                  <w:tcW w:w="859" w:type="dxa"/>
                  <w:shd w:val="clear" w:color="auto" w:fill="auto"/>
                  <w:noWrap w:val="0"/>
                  <w:vAlign w:val="center"/>
                </w:tcPr>
                <w:p w14:paraId="05CFDB28">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999" w:type="dxa"/>
                  <w:shd w:val="clear" w:color="auto" w:fill="auto"/>
                  <w:noWrap w:val="0"/>
                  <w:vAlign w:val="center"/>
                </w:tcPr>
                <w:p w14:paraId="51675A1B">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0.13</w:t>
                  </w:r>
                  <w:r>
                    <w:rPr>
                      <w:rFonts w:hint="eastAsia" w:ascii="Times New Roman" w:hAnsi="Times New Roman" w:cs="Times New Roman"/>
                      <w:color w:val="auto"/>
                      <w:sz w:val="18"/>
                      <w:szCs w:val="18"/>
                      <w:lang w:val="en-US" w:eastAsia="zh-CN"/>
                    </w:rPr>
                    <w:t>4</w:t>
                  </w:r>
                </w:p>
              </w:tc>
              <w:tc>
                <w:tcPr>
                  <w:tcW w:w="1006" w:type="dxa"/>
                  <w:shd w:val="clear" w:color="auto" w:fill="auto"/>
                  <w:noWrap w:val="0"/>
                  <w:vAlign w:val="center"/>
                </w:tcPr>
                <w:p w14:paraId="19BDA9DC">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250</w:t>
                  </w:r>
                </w:p>
              </w:tc>
              <w:tc>
                <w:tcPr>
                  <w:tcW w:w="955" w:type="dxa"/>
                  <w:shd w:val="clear" w:color="auto" w:fill="auto"/>
                  <w:noWrap w:val="0"/>
                  <w:vAlign w:val="center"/>
                </w:tcPr>
                <w:p w14:paraId="36D088B7">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0.106</w:t>
                  </w:r>
                </w:p>
              </w:tc>
              <w:tc>
                <w:tcPr>
                  <w:tcW w:w="1009" w:type="dxa"/>
                  <w:shd w:val="clear" w:color="auto" w:fill="auto"/>
                  <w:noWrap w:val="0"/>
                  <w:vAlign w:val="center"/>
                </w:tcPr>
                <w:p w14:paraId="4C83DB57">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50</w:t>
                  </w:r>
                </w:p>
              </w:tc>
              <w:tc>
                <w:tcPr>
                  <w:tcW w:w="1007" w:type="dxa"/>
                  <w:shd w:val="clear" w:color="auto" w:fill="auto"/>
                  <w:noWrap w:val="0"/>
                  <w:vAlign w:val="center"/>
                </w:tcPr>
                <w:p w14:paraId="5DE4510B">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0.021 </w:t>
                  </w:r>
                </w:p>
              </w:tc>
            </w:tr>
            <w:tr w14:paraId="233F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1124" w:type="dxa"/>
                  <w:vMerge w:val="continue"/>
                  <w:noWrap w:val="0"/>
                  <w:vAlign w:val="center"/>
                </w:tcPr>
                <w:p w14:paraId="3F08F073">
                  <w:pPr>
                    <w:widowControl/>
                    <w:spacing w:line="310" w:lineRule="exact"/>
                    <w:jc w:val="center"/>
                    <w:rPr>
                      <w:color w:val="auto"/>
                      <w:sz w:val="18"/>
                      <w:szCs w:val="18"/>
                    </w:rPr>
                  </w:pPr>
                </w:p>
              </w:tc>
              <w:tc>
                <w:tcPr>
                  <w:tcW w:w="974" w:type="dxa"/>
                  <w:shd w:val="clear" w:color="auto" w:fill="auto"/>
                  <w:noWrap w:val="0"/>
                  <w:vAlign w:val="center"/>
                </w:tcPr>
                <w:p w14:paraId="45DEDAFF">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BOD</w:t>
                  </w:r>
                  <w:r>
                    <w:rPr>
                      <w:rFonts w:ascii="Times New Roman" w:hAnsi="Times New Roman" w:cs="Times New Roman"/>
                      <w:color w:val="auto"/>
                      <w:sz w:val="18"/>
                      <w:szCs w:val="18"/>
                      <w:vertAlign w:val="subscript"/>
                    </w:rPr>
                    <w:t>5</w:t>
                  </w:r>
                </w:p>
              </w:tc>
              <w:tc>
                <w:tcPr>
                  <w:tcW w:w="859" w:type="dxa"/>
                  <w:noWrap w:val="0"/>
                  <w:vAlign w:val="center"/>
                </w:tcPr>
                <w:p w14:paraId="7C6737AA">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9" w:type="dxa"/>
                  <w:noWrap w:val="0"/>
                  <w:vAlign w:val="center"/>
                </w:tcPr>
                <w:p w14:paraId="4EA1CCAC">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0.072</w:t>
                  </w:r>
                </w:p>
              </w:tc>
              <w:tc>
                <w:tcPr>
                  <w:tcW w:w="1006" w:type="dxa"/>
                  <w:noWrap w:val="0"/>
                  <w:vAlign w:val="center"/>
                </w:tcPr>
                <w:p w14:paraId="619D6343">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150</w:t>
                  </w:r>
                </w:p>
              </w:tc>
              <w:tc>
                <w:tcPr>
                  <w:tcW w:w="955" w:type="dxa"/>
                  <w:noWrap w:val="0"/>
                  <w:vAlign w:val="center"/>
                </w:tcPr>
                <w:p w14:paraId="1444510B">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0.06</w:t>
                  </w:r>
                  <w:r>
                    <w:rPr>
                      <w:rFonts w:hint="eastAsia" w:ascii="Times New Roman" w:hAnsi="Times New Roman" w:cs="Times New Roman"/>
                      <w:color w:val="auto"/>
                      <w:sz w:val="18"/>
                      <w:szCs w:val="18"/>
                      <w:lang w:val="en-US" w:eastAsia="zh-CN"/>
                    </w:rPr>
                    <w:t>4</w:t>
                  </w:r>
                </w:p>
              </w:tc>
              <w:tc>
                <w:tcPr>
                  <w:tcW w:w="1009" w:type="dxa"/>
                  <w:noWrap w:val="0"/>
                  <w:vAlign w:val="center"/>
                </w:tcPr>
                <w:p w14:paraId="626209ED">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007" w:type="dxa"/>
                  <w:noWrap w:val="0"/>
                  <w:vAlign w:val="center"/>
                </w:tcPr>
                <w:p w14:paraId="7931EBEB">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0.004 </w:t>
                  </w:r>
                </w:p>
              </w:tc>
            </w:tr>
            <w:tr w14:paraId="74E3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369D0C1E">
                  <w:pPr>
                    <w:widowControl/>
                    <w:spacing w:line="310" w:lineRule="exact"/>
                    <w:jc w:val="center"/>
                    <w:rPr>
                      <w:color w:val="auto"/>
                      <w:sz w:val="18"/>
                      <w:szCs w:val="18"/>
                    </w:rPr>
                  </w:pPr>
                </w:p>
              </w:tc>
              <w:tc>
                <w:tcPr>
                  <w:tcW w:w="974" w:type="dxa"/>
                  <w:shd w:val="clear" w:color="auto" w:fill="auto"/>
                  <w:noWrap w:val="0"/>
                  <w:vAlign w:val="center"/>
                </w:tcPr>
                <w:p w14:paraId="51EFE967">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NH</w:t>
                  </w:r>
                  <w:r>
                    <w:rPr>
                      <w:rFonts w:ascii="Times New Roman" w:hAnsi="Times New Roman" w:cs="Times New Roman"/>
                      <w:color w:val="auto"/>
                      <w:sz w:val="18"/>
                      <w:szCs w:val="18"/>
                      <w:vertAlign w:val="subscript"/>
                    </w:rPr>
                    <w:t>3</w:t>
                  </w:r>
                  <w:r>
                    <w:rPr>
                      <w:rFonts w:ascii="Times New Roman" w:hAnsi="Times New Roman" w:cs="Times New Roman"/>
                      <w:color w:val="auto"/>
                      <w:sz w:val="18"/>
                      <w:szCs w:val="18"/>
                    </w:rPr>
                    <w:t>-N</w:t>
                  </w:r>
                </w:p>
              </w:tc>
              <w:tc>
                <w:tcPr>
                  <w:tcW w:w="859" w:type="dxa"/>
                  <w:noWrap w:val="0"/>
                  <w:vAlign w:val="center"/>
                </w:tcPr>
                <w:p w14:paraId="79BB99FC">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9" w:type="dxa"/>
                  <w:noWrap w:val="0"/>
                  <w:vAlign w:val="center"/>
                </w:tcPr>
                <w:p w14:paraId="774C94D8">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0.016</w:t>
                  </w:r>
                </w:p>
              </w:tc>
              <w:tc>
                <w:tcPr>
                  <w:tcW w:w="1006" w:type="dxa"/>
                  <w:noWrap w:val="0"/>
                  <w:vAlign w:val="center"/>
                </w:tcPr>
                <w:p w14:paraId="654A546C">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w:t>
                  </w:r>
                </w:p>
              </w:tc>
              <w:tc>
                <w:tcPr>
                  <w:tcW w:w="955" w:type="dxa"/>
                  <w:noWrap w:val="0"/>
                  <w:vAlign w:val="center"/>
                </w:tcPr>
                <w:p w14:paraId="24B26A3C">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0.013</w:t>
                  </w:r>
                </w:p>
              </w:tc>
              <w:tc>
                <w:tcPr>
                  <w:tcW w:w="1009" w:type="dxa"/>
                  <w:noWrap w:val="0"/>
                  <w:vAlign w:val="center"/>
                </w:tcPr>
                <w:p w14:paraId="0CD2B464">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007" w:type="dxa"/>
                  <w:noWrap w:val="0"/>
                  <w:vAlign w:val="center"/>
                </w:tcPr>
                <w:p w14:paraId="31D384C9">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0.002 </w:t>
                  </w:r>
                </w:p>
              </w:tc>
            </w:tr>
            <w:tr w14:paraId="296C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1124" w:type="dxa"/>
                  <w:vMerge w:val="continue"/>
                  <w:noWrap w:val="0"/>
                  <w:vAlign w:val="center"/>
                </w:tcPr>
                <w:p w14:paraId="6D5782A2">
                  <w:pPr>
                    <w:widowControl/>
                    <w:spacing w:line="310" w:lineRule="exact"/>
                    <w:jc w:val="center"/>
                    <w:rPr>
                      <w:color w:val="auto"/>
                      <w:sz w:val="18"/>
                      <w:szCs w:val="18"/>
                    </w:rPr>
                  </w:pPr>
                </w:p>
              </w:tc>
              <w:tc>
                <w:tcPr>
                  <w:tcW w:w="974" w:type="dxa"/>
                  <w:shd w:val="clear" w:color="auto" w:fill="auto"/>
                  <w:noWrap w:val="0"/>
                  <w:vAlign w:val="center"/>
                </w:tcPr>
                <w:p w14:paraId="4C41CBF2">
                  <w:pPr>
                    <w:pStyle w:val="35"/>
                    <w:spacing w:line="310" w:lineRule="exact"/>
                    <w:rPr>
                      <w:rFonts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SS</w:t>
                  </w:r>
                </w:p>
              </w:tc>
              <w:tc>
                <w:tcPr>
                  <w:tcW w:w="859" w:type="dxa"/>
                  <w:noWrap w:val="0"/>
                  <w:vAlign w:val="center"/>
                </w:tcPr>
                <w:p w14:paraId="1AD5D90E">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9" w:type="dxa"/>
                  <w:noWrap w:val="0"/>
                  <w:vAlign w:val="center"/>
                </w:tcPr>
                <w:p w14:paraId="39C5A5B3">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0.065</w:t>
                  </w:r>
                </w:p>
              </w:tc>
              <w:tc>
                <w:tcPr>
                  <w:tcW w:w="1006" w:type="dxa"/>
                  <w:noWrap w:val="0"/>
                  <w:vAlign w:val="center"/>
                </w:tcPr>
                <w:p w14:paraId="5252D0B0">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955" w:type="dxa"/>
                  <w:noWrap w:val="0"/>
                  <w:vAlign w:val="center"/>
                </w:tcPr>
                <w:p w14:paraId="3CA943A3">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0.042</w:t>
                  </w:r>
                </w:p>
              </w:tc>
              <w:tc>
                <w:tcPr>
                  <w:tcW w:w="1009" w:type="dxa"/>
                  <w:noWrap w:val="0"/>
                  <w:vAlign w:val="center"/>
                </w:tcPr>
                <w:p w14:paraId="01EE06A9">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007" w:type="dxa"/>
                  <w:noWrap w:val="0"/>
                  <w:vAlign w:val="center"/>
                </w:tcPr>
                <w:p w14:paraId="67C933E2">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0.004 </w:t>
                  </w:r>
                </w:p>
              </w:tc>
            </w:tr>
            <w:tr w14:paraId="2E1D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15B1D6B0">
                  <w:pPr>
                    <w:widowControl/>
                    <w:spacing w:line="310" w:lineRule="exact"/>
                    <w:jc w:val="center"/>
                    <w:rPr>
                      <w:color w:val="auto"/>
                      <w:sz w:val="18"/>
                      <w:szCs w:val="18"/>
                    </w:rPr>
                  </w:pPr>
                </w:p>
              </w:tc>
              <w:tc>
                <w:tcPr>
                  <w:tcW w:w="974" w:type="dxa"/>
                  <w:shd w:val="clear" w:color="auto" w:fill="auto"/>
                  <w:noWrap w:val="0"/>
                  <w:vAlign w:val="center"/>
                </w:tcPr>
                <w:p w14:paraId="261B616A">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总余氯</w:t>
                  </w:r>
                </w:p>
              </w:tc>
              <w:tc>
                <w:tcPr>
                  <w:tcW w:w="859" w:type="dxa"/>
                  <w:noWrap w:val="0"/>
                  <w:vAlign w:val="center"/>
                </w:tcPr>
                <w:p w14:paraId="35E403AA">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9" w:type="dxa"/>
                  <w:noWrap w:val="0"/>
                  <w:vAlign w:val="center"/>
                </w:tcPr>
                <w:p w14:paraId="15088F9D">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0.001</w:t>
                  </w:r>
                  <w:r>
                    <w:rPr>
                      <w:rFonts w:hint="eastAsia" w:ascii="Times New Roman" w:hAnsi="Times New Roman" w:cs="Times New Roman"/>
                      <w:color w:val="auto"/>
                      <w:sz w:val="18"/>
                      <w:szCs w:val="18"/>
                      <w:lang w:val="en-US" w:eastAsia="zh-CN"/>
                    </w:rPr>
                    <w:t>3</w:t>
                  </w:r>
                </w:p>
              </w:tc>
              <w:tc>
                <w:tcPr>
                  <w:tcW w:w="1006" w:type="dxa"/>
                  <w:noWrap w:val="0"/>
                  <w:vAlign w:val="center"/>
                </w:tcPr>
                <w:p w14:paraId="0D646DE0">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955" w:type="dxa"/>
                  <w:noWrap w:val="0"/>
                  <w:vAlign w:val="center"/>
                </w:tcPr>
                <w:p w14:paraId="298B0613">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w:t>
                  </w:r>
                  <w:r>
                    <w:rPr>
                      <w:rFonts w:hint="eastAsia" w:ascii="Times New Roman" w:hAnsi="Times New Roman" w:cs="Times New Roman"/>
                      <w:color w:val="auto"/>
                      <w:sz w:val="18"/>
                      <w:szCs w:val="18"/>
                      <w:lang w:val="en-US" w:eastAsia="zh-CN"/>
                    </w:rPr>
                    <w:t>12</w:t>
                  </w:r>
                </w:p>
              </w:tc>
              <w:tc>
                <w:tcPr>
                  <w:tcW w:w="1009" w:type="dxa"/>
                  <w:noWrap w:val="0"/>
                  <w:vAlign w:val="center"/>
                </w:tcPr>
                <w:p w14:paraId="5D2981B8">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007" w:type="dxa"/>
                  <w:noWrap w:val="0"/>
                  <w:vAlign w:val="center"/>
                </w:tcPr>
                <w:p w14:paraId="47089582">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2A3B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0D1AB7A9">
                  <w:pPr>
                    <w:widowControl/>
                    <w:spacing w:line="310" w:lineRule="exact"/>
                    <w:jc w:val="center"/>
                    <w:rPr>
                      <w:color w:val="auto"/>
                      <w:sz w:val="18"/>
                      <w:szCs w:val="18"/>
                    </w:rPr>
                  </w:pPr>
                </w:p>
              </w:tc>
              <w:tc>
                <w:tcPr>
                  <w:tcW w:w="974" w:type="dxa"/>
                  <w:shd w:val="clear" w:color="auto" w:fill="auto"/>
                  <w:noWrap w:val="0"/>
                  <w:vAlign w:val="center"/>
                </w:tcPr>
                <w:p w14:paraId="74810C47">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粪大肠菌群</w:t>
                  </w:r>
                </w:p>
              </w:tc>
              <w:tc>
                <w:tcPr>
                  <w:tcW w:w="859" w:type="dxa"/>
                  <w:noWrap w:val="0"/>
                  <w:vAlign w:val="center"/>
                </w:tcPr>
                <w:p w14:paraId="518CD5D1">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9" w:type="dxa"/>
                  <w:noWrap w:val="0"/>
                  <w:vAlign w:val="center"/>
                </w:tcPr>
                <w:p w14:paraId="0B11135F">
                  <w:pPr>
                    <w:pStyle w:val="35"/>
                    <w:spacing w:line="310" w:lineRule="exac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7.94</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c>
                <w:tcPr>
                  <w:tcW w:w="1006" w:type="dxa"/>
                  <w:noWrap w:val="0"/>
                  <w:vAlign w:val="center"/>
                </w:tcPr>
                <w:p w14:paraId="6C62ACCB">
                  <w:pPr>
                    <w:pStyle w:val="35"/>
                    <w:spacing w:line="310" w:lineRule="exact"/>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5000个/L</w:t>
                  </w:r>
                </w:p>
              </w:tc>
              <w:tc>
                <w:tcPr>
                  <w:tcW w:w="955" w:type="dxa"/>
                  <w:noWrap w:val="0"/>
                  <w:vAlign w:val="center"/>
                </w:tcPr>
                <w:p w14:paraId="29F0EB11">
                  <w:pPr>
                    <w:pStyle w:val="35"/>
                    <w:spacing w:line="31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7.64</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c>
                <w:tcPr>
                  <w:tcW w:w="1009" w:type="dxa"/>
                  <w:noWrap w:val="0"/>
                  <w:vAlign w:val="center"/>
                </w:tcPr>
                <w:p w14:paraId="5AB8453A">
                  <w:pPr>
                    <w:pStyle w:val="35"/>
                    <w:spacing w:line="31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1000个/L</w:t>
                  </w:r>
                </w:p>
              </w:tc>
              <w:tc>
                <w:tcPr>
                  <w:tcW w:w="1007" w:type="dxa"/>
                  <w:noWrap w:val="0"/>
                  <w:vAlign w:val="center"/>
                </w:tcPr>
                <w:p w14:paraId="4F486FC4">
                  <w:pPr>
                    <w:pStyle w:val="35"/>
                    <w:spacing w:line="31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5</w:t>
                  </w:r>
                  <w:r>
                    <w:rPr>
                      <w:rFonts w:hint="eastAsia" w:ascii="Times New Roman" w:hAnsi="Times New Roman" w:cs="Times New Roman"/>
                      <w:color w:val="auto"/>
                      <w:sz w:val="18"/>
                      <w:szCs w:val="18"/>
                      <w:lang w:val="en-US" w:eastAsia="zh-CN"/>
                    </w:rPr>
                    <w:t>9</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r>
            <w:tr w14:paraId="5B63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dxa"/>
                  <w:vMerge w:val="continue"/>
                  <w:noWrap w:val="0"/>
                  <w:vAlign w:val="center"/>
                </w:tcPr>
                <w:p w14:paraId="6EBCF2CF">
                  <w:pPr>
                    <w:widowControl/>
                    <w:spacing w:line="310" w:lineRule="exact"/>
                    <w:jc w:val="center"/>
                    <w:rPr>
                      <w:color w:val="auto"/>
                      <w:sz w:val="18"/>
                      <w:szCs w:val="18"/>
                    </w:rPr>
                  </w:pPr>
                </w:p>
              </w:tc>
              <w:tc>
                <w:tcPr>
                  <w:tcW w:w="974" w:type="dxa"/>
                  <w:noWrap w:val="0"/>
                  <w:vAlign w:val="center"/>
                </w:tcPr>
                <w:p w14:paraId="4D808AB1">
                  <w:pPr>
                    <w:pStyle w:val="35"/>
                    <w:spacing w:line="310" w:lineRule="exact"/>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LAS</w:t>
                  </w:r>
                </w:p>
              </w:tc>
              <w:tc>
                <w:tcPr>
                  <w:tcW w:w="859" w:type="dxa"/>
                  <w:noWrap w:val="0"/>
                  <w:vAlign w:val="center"/>
                </w:tcPr>
                <w:p w14:paraId="348C909C">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99" w:type="dxa"/>
                  <w:noWrap w:val="0"/>
                  <w:vAlign w:val="center"/>
                </w:tcPr>
                <w:p w14:paraId="3C36C20D">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1006" w:type="dxa"/>
                  <w:noWrap w:val="0"/>
                  <w:vAlign w:val="center"/>
                </w:tcPr>
                <w:p w14:paraId="5529DA7D">
                  <w:pPr>
                    <w:pStyle w:val="35"/>
                    <w:spacing w:line="31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18</w:t>
                  </w:r>
                </w:p>
              </w:tc>
              <w:tc>
                <w:tcPr>
                  <w:tcW w:w="955" w:type="dxa"/>
                  <w:noWrap w:val="0"/>
                  <w:vAlign w:val="center"/>
                </w:tcPr>
                <w:p w14:paraId="6DEF8913">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0.008</w:t>
                  </w:r>
                </w:p>
              </w:tc>
              <w:tc>
                <w:tcPr>
                  <w:tcW w:w="1009" w:type="dxa"/>
                  <w:noWrap w:val="0"/>
                  <w:vAlign w:val="center"/>
                </w:tcPr>
                <w:p w14:paraId="3ADA2F8C">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w:t>
                  </w:r>
                </w:p>
              </w:tc>
              <w:tc>
                <w:tcPr>
                  <w:tcW w:w="1007" w:type="dxa"/>
                  <w:noWrap w:val="0"/>
                  <w:vAlign w:val="center"/>
                </w:tcPr>
                <w:p w14:paraId="43F0C1A9">
                  <w:pPr>
                    <w:pStyle w:val="35"/>
                    <w:spacing w:line="31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0.0002</w:t>
                  </w:r>
                </w:p>
              </w:tc>
            </w:tr>
          </w:tbl>
          <w:p w14:paraId="263E92F4">
            <w:pPr>
              <w:pStyle w:val="21"/>
              <w:rPr>
                <w:rFonts w:hint="eastAsia"/>
                <w:color w:val="auto"/>
                <w:szCs w:val="21"/>
              </w:rPr>
            </w:pPr>
          </w:p>
          <w:p w14:paraId="7033A6F4">
            <w:pPr>
              <w:pStyle w:val="2"/>
              <w:rPr>
                <w:rFonts w:hint="default"/>
                <w:color w:val="auto"/>
                <w:lang w:val="en-US" w:eastAsia="zh-CN"/>
              </w:rPr>
            </w:pPr>
          </w:p>
          <w:p w14:paraId="422E6B96">
            <w:pPr>
              <w:rPr>
                <w:rFonts w:hint="default"/>
                <w:color w:val="auto"/>
                <w:lang w:val="en-US" w:eastAsia="zh-CN"/>
              </w:rPr>
            </w:pPr>
          </w:p>
          <w:p w14:paraId="0166E30E">
            <w:pPr>
              <w:rPr>
                <w:rFonts w:hint="default"/>
                <w:color w:val="auto"/>
                <w:lang w:val="en-US" w:eastAsia="zh-CN"/>
              </w:rPr>
            </w:pPr>
          </w:p>
          <w:p w14:paraId="54D5D223">
            <w:pPr>
              <w:rPr>
                <w:rFonts w:hint="default"/>
                <w:color w:val="auto"/>
                <w:lang w:val="en-US" w:eastAsia="zh-CN"/>
              </w:rPr>
            </w:pPr>
          </w:p>
          <w:p w14:paraId="5F56A1F0">
            <w:pPr>
              <w:rPr>
                <w:rFonts w:hint="default"/>
                <w:color w:val="auto"/>
                <w:lang w:val="en-US" w:eastAsia="zh-CN"/>
              </w:rPr>
            </w:pPr>
          </w:p>
          <w:p w14:paraId="7774807D">
            <w:pPr>
              <w:rPr>
                <w:rFonts w:hint="default"/>
                <w:color w:val="auto"/>
                <w:lang w:val="en-US" w:eastAsia="zh-CN"/>
              </w:rPr>
            </w:pPr>
          </w:p>
          <w:p w14:paraId="7D286DF4">
            <w:pPr>
              <w:rPr>
                <w:rFonts w:hint="default"/>
                <w:color w:val="auto"/>
                <w:lang w:val="en-US" w:eastAsia="zh-CN"/>
              </w:rPr>
            </w:pPr>
          </w:p>
          <w:p w14:paraId="296A188B">
            <w:pPr>
              <w:rPr>
                <w:rFonts w:hint="default"/>
                <w:color w:val="auto"/>
                <w:lang w:val="en-US" w:eastAsia="zh-CN"/>
              </w:rPr>
            </w:pPr>
          </w:p>
          <w:p w14:paraId="3A3C6D64">
            <w:pPr>
              <w:rPr>
                <w:rFonts w:hint="default"/>
                <w:color w:val="auto"/>
                <w:lang w:val="en-US" w:eastAsia="zh-CN"/>
              </w:rPr>
            </w:pPr>
          </w:p>
          <w:p w14:paraId="446A41F3">
            <w:pPr>
              <w:rPr>
                <w:rFonts w:hint="default"/>
                <w:color w:val="auto"/>
                <w:lang w:val="en-US" w:eastAsia="zh-CN"/>
              </w:rPr>
            </w:pPr>
          </w:p>
          <w:p w14:paraId="1214051D">
            <w:pPr>
              <w:rPr>
                <w:rFonts w:hint="default"/>
                <w:color w:val="auto"/>
                <w:lang w:val="en-US" w:eastAsia="zh-CN"/>
              </w:rPr>
            </w:pPr>
          </w:p>
        </w:tc>
      </w:tr>
    </w:tbl>
    <w:p w14:paraId="2A832419">
      <w:pPr>
        <w:rPr>
          <w:rFonts w:hint="default" w:ascii="Times New Roman" w:hAnsi="Times New Roman" w:eastAsia="宋体" w:cs="Times New Roman"/>
          <w:b/>
          <w:snapToGrid w:val="0"/>
          <w:color w:val="auto"/>
          <w:kern w:val="0"/>
          <w:szCs w:val="21"/>
          <w:lang w:eastAsia="zh-CN"/>
        </w:rPr>
      </w:pPr>
      <w:r>
        <w:rPr>
          <w:rFonts w:hint="default" w:ascii="Times New Roman" w:hAnsi="Times New Roman" w:eastAsia="宋体" w:cs="Times New Roman"/>
          <w:b/>
          <w:snapToGrid w:val="0"/>
          <w:color w:val="auto"/>
          <w:kern w:val="0"/>
          <w:szCs w:val="21"/>
          <w:lang w:eastAsia="zh-CN"/>
        </w:rPr>
        <w:br w:type="page"/>
      </w:r>
    </w:p>
    <w:p w14:paraId="75881C24">
      <w:pPr>
        <w:pStyle w:val="57"/>
        <w:adjustRightInd w:val="0"/>
        <w:snapToGrid w:val="0"/>
        <w:spacing w:before="0" w:after="60" w:line="360" w:lineRule="auto"/>
        <w:rPr>
          <w:rFonts w:hint="default" w:ascii="Times New Roman" w:hAnsi="Times New Roman" w:eastAsia="宋体" w:cs="Times New Roman"/>
          <w:b/>
          <w:snapToGrid w:val="0"/>
          <w:color w:val="auto"/>
          <w:kern w:val="0"/>
          <w:szCs w:val="21"/>
          <w:lang w:eastAsia="zh-CN"/>
        </w:rPr>
        <w:sectPr>
          <w:pgSz w:w="11906" w:h="16838"/>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06B34238">
      <w:pPr>
        <w:pStyle w:val="19"/>
        <w:adjustRightInd w:val="0"/>
        <w:snapToGrid w:val="0"/>
        <w:spacing w:before="0" w:beforeAutospacing="0" w:after="0" w:afterAutospacing="0" w:line="400" w:lineRule="exact"/>
        <w:jc w:val="center"/>
        <w:outlineLvl w:val="0"/>
        <w:rPr>
          <w:rFonts w:ascii="Times New Roman" w:hAnsi="Times New Roman"/>
          <w:b/>
          <w:snapToGrid w:val="0"/>
          <w:color w:val="auto"/>
          <w:sz w:val="21"/>
          <w:szCs w:val="21"/>
        </w:rPr>
      </w:pPr>
      <w:r>
        <w:rPr>
          <w:rFonts w:hint="eastAsia" w:ascii="Times New Roman" w:hAnsi="Times New Roman"/>
          <w:b/>
          <w:snapToGrid w:val="0"/>
          <w:color w:val="auto"/>
          <w:sz w:val="21"/>
          <w:szCs w:val="21"/>
        </w:rPr>
        <w:t>表4-</w:t>
      </w:r>
      <w:r>
        <w:rPr>
          <w:rFonts w:hint="eastAsia" w:ascii="Times New Roman" w:hAnsi="Times New Roman"/>
          <w:b/>
          <w:snapToGrid w:val="0"/>
          <w:color w:val="auto"/>
          <w:sz w:val="21"/>
          <w:szCs w:val="21"/>
          <w:lang w:val="en-US" w:eastAsia="zh-CN"/>
        </w:rPr>
        <w:t>2</w:t>
      </w:r>
      <w:r>
        <w:rPr>
          <w:rFonts w:hint="eastAsia" w:ascii="Times New Roman" w:hAnsi="Times New Roman"/>
          <w:b/>
          <w:snapToGrid w:val="0"/>
          <w:color w:val="auto"/>
          <w:sz w:val="21"/>
          <w:szCs w:val="21"/>
        </w:rPr>
        <w:t xml:space="preserve">    废水排放口基本情况一览表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7"/>
        <w:gridCol w:w="1070"/>
        <w:gridCol w:w="1115"/>
        <w:gridCol w:w="782"/>
        <w:gridCol w:w="757"/>
        <w:gridCol w:w="646"/>
        <w:gridCol w:w="769"/>
        <w:gridCol w:w="1027"/>
        <w:gridCol w:w="1584"/>
        <w:gridCol w:w="4578"/>
      </w:tblGrid>
      <w:tr w14:paraId="5367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57" w:type="dxa"/>
            <w:vMerge w:val="restart"/>
            <w:noWrap w:val="0"/>
            <w:vAlign w:val="center"/>
          </w:tcPr>
          <w:p w14:paraId="6E3BA39D">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序号</w:t>
            </w:r>
          </w:p>
        </w:tc>
        <w:tc>
          <w:tcPr>
            <w:tcW w:w="867" w:type="dxa"/>
            <w:vMerge w:val="restart"/>
            <w:noWrap w:val="0"/>
            <w:vAlign w:val="center"/>
          </w:tcPr>
          <w:p w14:paraId="3F52C099">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排放口</w:t>
            </w:r>
          </w:p>
          <w:p w14:paraId="709F78CA">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编号</w:t>
            </w:r>
          </w:p>
        </w:tc>
        <w:tc>
          <w:tcPr>
            <w:tcW w:w="2185" w:type="dxa"/>
            <w:gridSpan w:val="2"/>
            <w:noWrap w:val="0"/>
            <w:vAlign w:val="center"/>
          </w:tcPr>
          <w:p w14:paraId="1DC2C23E">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排放口地理坐标</w:t>
            </w:r>
          </w:p>
        </w:tc>
        <w:tc>
          <w:tcPr>
            <w:tcW w:w="782" w:type="dxa"/>
            <w:vMerge w:val="restart"/>
            <w:noWrap w:val="0"/>
            <w:vAlign w:val="center"/>
          </w:tcPr>
          <w:p w14:paraId="43D5414D">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废水排放量（t/a）</w:t>
            </w:r>
          </w:p>
        </w:tc>
        <w:tc>
          <w:tcPr>
            <w:tcW w:w="757" w:type="dxa"/>
            <w:vMerge w:val="restart"/>
            <w:noWrap w:val="0"/>
            <w:vAlign w:val="center"/>
          </w:tcPr>
          <w:p w14:paraId="53A1F50C">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排放去向</w:t>
            </w:r>
          </w:p>
        </w:tc>
        <w:tc>
          <w:tcPr>
            <w:tcW w:w="646" w:type="dxa"/>
            <w:vMerge w:val="restart"/>
            <w:noWrap w:val="0"/>
            <w:vAlign w:val="center"/>
          </w:tcPr>
          <w:p w14:paraId="4633E058">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规律</w:t>
            </w:r>
          </w:p>
        </w:tc>
        <w:tc>
          <w:tcPr>
            <w:tcW w:w="769" w:type="dxa"/>
            <w:vMerge w:val="restart"/>
            <w:noWrap w:val="0"/>
            <w:vAlign w:val="center"/>
          </w:tcPr>
          <w:p w14:paraId="14E4714C">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间歇排放时段</w:t>
            </w:r>
          </w:p>
        </w:tc>
        <w:tc>
          <w:tcPr>
            <w:tcW w:w="7189" w:type="dxa"/>
            <w:gridSpan w:val="3"/>
            <w:noWrap w:val="0"/>
            <w:vAlign w:val="center"/>
          </w:tcPr>
          <w:p w14:paraId="24B054DF">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受纳污水处理厂信息</w:t>
            </w:r>
          </w:p>
        </w:tc>
      </w:tr>
      <w:tr w14:paraId="7935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57" w:type="dxa"/>
            <w:vMerge w:val="continue"/>
            <w:noWrap w:val="0"/>
            <w:vAlign w:val="center"/>
          </w:tcPr>
          <w:p w14:paraId="7D31C892">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661B1152">
            <w:pPr>
              <w:pStyle w:val="38"/>
              <w:spacing w:beforeLines="0" w:afterLines="0" w:line="240" w:lineRule="auto"/>
              <w:rPr>
                <w:rFonts w:ascii="Times New Roman"/>
                <w:b w:val="0"/>
                <w:bCs/>
                <w:color w:val="auto"/>
                <w:sz w:val="18"/>
                <w:szCs w:val="18"/>
                <w:lang w:val="en-US" w:eastAsia="zh-CN"/>
              </w:rPr>
            </w:pPr>
          </w:p>
        </w:tc>
        <w:tc>
          <w:tcPr>
            <w:tcW w:w="1070" w:type="dxa"/>
            <w:noWrap w:val="0"/>
            <w:vAlign w:val="center"/>
          </w:tcPr>
          <w:p w14:paraId="65993E6F">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经度</w:t>
            </w:r>
          </w:p>
        </w:tc>
        <w:tc>
          <w:tcPr>
            <w:tcW w:w="1115" w:type="dxa"/>
            <w:noWrap w:val="0"/>
            <w:vAlign w:val="center"/>
          </w:tcPr>
          <w:p w14:paraId="0D52C1C2">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纬度</w:t>
            </w:r>
          </w:p>
        </w:tc>
        <w:tc>
          <w:tcPr>
            <w:tcW w:w="782" w:type="dxa"/>
            <w:vMerge w:val="continue"/>
            <w:noWrap w:val="0"/>
            <w:vAlign w:val="center"/>
          </w:tcPr>
          <w:p w14:paraId="25B8BBDC">
            <w:pPr>
              <w:pStyle w:val="38"/>
              <w:spacing w:beforeLines="0" w:afterLines="0" w:line="240" w:lineRule="auto"/>
              <w:rPr>
                <w:rFonts w:ascii="Times New Roman"/>
                <w:b w:val="0"/>
                <w:bCs/>
                <w:color w:val="auto"/>
                <w:sz w:val="18"/>
                <w:szCs w:val="18"/>
                <w:lang w:val="en-US" w:eastAsia="zh-CN"/>
              </w:rPr>
            </w:pPr>
          </w:p>
        </w:tc>
        <w:tc>
          <w:tcPr>
            <w:tcW w:w="757" w:type="dxa"/>
            <w:vMerge w:val="continue"/>
            <w:noWrap w:val="0"/>
            <w:vAlign w:val="center"/>
          </w:tcPr>
          <w:p w14:paraId="6E770585">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6F4529E7">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27189E68">
            <w:pPr>
              <w:pStyle w:val="38"/>
              <w:spacing w:beforeLines="0" w:afterLines="0" w:line="240" w:lineRule="auto"/>
              <w:rPr>
                <w:rFonts w:ascii="Times New Roman"/>
                <w:b w:val="0"/>
                <w:bCs/>
                <w:color w:val="auto"/>
                <w:sz w:val="18"/>
                <w:szCs w:val="18"/>
                <w:lang w:val="en-US" w:eastAsia="zh-CN"/>
              </w:rPr>
            </w:pPr>
          </w:p>
        </w:tc>
        <w:tc>
          <w:tcPr>
            <w:tcW w:w="1027" w:type="dxa"/>
            <w:noWrap w:val="0"/>
            <w:vAlign w:val="center"/>
          </w:tcPr>
          <w:p w14:paraId="082BC376">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名称</w:t>
            </w:r>
          </w:p>
        </w:tc>
        <w:tc>
          <w:tcPr>
            <w:tcW w:w="1584" w:type="dxa"/>
            <w:noWrap w:val="0"/>
            <w:vAlign w:val="center"/>
          </w:tcPr>
          <w:p w14:paraId="05EDC97E">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污染物种类</w:t>
            </w:r>
          </w:p>
        </w:tc>
        <w:tc>
          <w:tcPr>
            <w:tcW w:w="4578" w:type="dxa"/>
            <w:noWrap w:val="0"/>
            <w:vAlign w:val="center"/>
          </w:tcPr>
          <w:p w14:paraId="22AC18DA">
            <w:pPr>
              <w:pStyle w:val="58"/>
              <w:rPr>
                <w:rFonts w:ascii="Times New Roman" w:hAnsi="Times New Roman" w:eastAsia="宋体"/>
                <w:b w:val="0"/>
                <w:bCs/>
                <w:color w:val="auto"/>
                <w:sz w:val="18"/>
                <w:szCs w:val="18"/>
              </w:rPr>
            </w:pPr>
            <w:r>
              <w:rPr>
                <w:rFonts w:hint="eastAsia" w:ascii="Times New Roman" w:hAnsi="Times New Roman" w:eastAsia="宋体"/>
                <w:b w:val="0"/>
                <w:bCs/>
                <w:color w:val="auto"/>
                <w:sz w:val="18"/>
                <w:szCs w:val="18"/>
                <w:lang w:val="en-US" w:eastAsia="zh-CN"/>
              </w:rPr>
              <w:t>《城镇污水处理厂污染物排放标准》（GB18918-2002）一级A</w:t>
            </w:r>
            <w:r>
              <w:rPr>
                <w:rFonts w:ascii="Times New Roman" w:hAnsi="Times New Roman" w:eastAsia="宋体"/>
                <w:b w:val="0"/>
                <w:bCs/>
                <w:color w:val="auto"/>
                <w:sz w:val="18"/>
                <w:szCs w:val="18"/>
              </w:rPr>
              <w:t>标准（mg/L）</w:t>
            </w:r>
          </w:p>
        </w:tc>
      </w:tr>
      <w:tr w14:paraId="4A6C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57" w:type="dxa"/>
            <w:vMerge w:val="restart"/>
            <w:noWrap w:val="0"/>
            <w:vAlign w:val="center"/>
          </w:tcPr>
          <w:p w14:paraId="7914A2F9">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1</w:t>
            </w:r>
          </w:p>
        </w:tc>
        <w:tc>
          <w:tcPr>
            <w:tcW w:w="867" w:type="dxa"/>
            <w:vMerge w:val="restart"/>
            <w:noWrap w:val="0"/>
            <w:vAlign w:val="center"/>
          </w:tcPr>
          <w:p w14:paraId="03E18C3F">
            <w:pPr>
              <w:pStyle w:val="38"/>
              <w:spacing w:beforeLines="0" w:afterLines="0" w:line="240" w:lineRule="auto"/>
              <w:textAlignment w:val="baseline"/>
              <w:rPr>
                <w:rFonts w:ascii="Times New Roman"/>
                <w:b w:val="0"/>
                <w:bCs/>
                <w:color w:val="auto"/>
                <w:sz w:val="18"/>
                <w:szCs w:val="18"/>
                <w:lang w:val="en-US" w:eastAsia="zh-CN"/>
              </w:rPr>
            </w:pPr>
            <w:r>
              <w:rPr>
                <w:rFonts w:ascii="Times New Roman"/>
                <w:b w:val="0"/>
                <w:bCs/>
                <w:color w:val="auto"/>
                <w:sz w:val="18"/>
                <w:szCs w:val="18"/>
                <w:lang w:val="en-US" w:eastAsia="zh-CN"/>
              </w:rPr>
              <w:t>DW001</w:t>
            </w:r>
          </w:p>
        </w:tc>
        <w:tc>
          <w:tcPr>
            <w:tcW w:w="1070" w:type="dxa"/>
            <w:vMerge w:val="restart"/>
            <w:noWrap w:val="0"/>
            <w:vAlign w:val="center"/>
          </w:tcPr>
          <w:p w14:paraId="24553119">
            <w:pPr>
              <w:pStyle w:val="38"/>
              <w:spacing w:beforeLines="0" w:afterLines="0" w:line="240" w:lineRule="auto"/>
              <w:rPr>
                <w:rFonts w:ascii="Times New Roman"/>
                <w:b w:val="0"/>
                <w:bCs/>
                <w:color w:val="auto"/>
                <w:sz w:val="18"/>
                <w:szCs w:val="18"/>
                <w:lang w:val="en-US" w:eastAsia="zh-CN"/>
              </w:rPr>
            </w:pPr>
            <w:r>
              <w:rPr>
                <w:rFonts w:hint="eastAsia" w:ascii="Times New Roman"/>
                <w:b w:val="0"/>
                <w:bCs/>
                <w:color w:val="auto"/>
                <w:sz w:val="18"/>
                <w:szCs w:val="18"/>
                <w:lang w:val="en-US" w:eastAsia="zh-CN"/>
              </w:rPr>
              <w:t>106°28′1.859″</w:t>
            </w:r>
          </w:p>
        </w:tc>
        <w:tc>
          <w:tcPr>
            <w:tcW w:w="1115" w:type="dxa"/>
            <w:vMerge w:val="restart"/>
            <w:noWrap w:val="0"/>
            <w:vAlign w:val="center"/>
          </w:tcPr>
          <w:p w14:paraId="4EA2D832">
            <w:pPr>
              <w:pStyle w:val="38"/>
              <w:spacing w:beforeLines="0" w:afterLines="0" w:line="240" w:lineRule="auto"/>
              <w:rPr>
                <w:rFonts w:hint="eastAsia"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29°31′53.396″</w:t>
            </w:r>
          </w:p>
        </w:tc>
        <w:tc>
          <w:tcPr>
            <w:tcW w:w="782" w:type="dxa"/>
            <w:vMerge w:val="restart"/>
            <w:noWrap w:val="0"/>
            <w:vAlign w:val="center"/>
          </w:tcPr>
          <w:p w14:paraId="45BCC5AF">
            <w:pPr>
              <w:pStyle w:val="38"/>
              <w:spacing w:beforeLines="0" w:afterLines="0" w:line="240" w:lineRule="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42</w:t>
            </w:r>
            <w:r>
              <w:rPr>
                <w:rFonts w:hint="eastAsia" w:ascii="Times New Roman" w:hAnsi="Times New Roman" w:cs="Times New Roman"/>
                <w:b w:val="0"/>
                <w:bCs/>
                <w:color w:val="auto"/>
                <w:sz w:val="18"/>
                <w:szCs w:val="18"/>
                <w:lang w:val="en-US" w:eastAsia="zh-CN"/>
              </w:rPr>
              <w:t>4.52</w:t>
            </w:r>
          </w:p>
        </w:tc>
        <w:tc>
          <w:tcPr>
            <w:tcW w:w="757" w:type="dxa"/>
            <w:vMerge w:val="restart"/>
            <w:noWrap w:val="0"/>
            <w:vAlign w:val="center"/>
          </w:tcPr>
          <w:p w14:paraId="3E2FD138">
            <w:pPr>
              <w:pStyle w:val="38"/>
              <w:spacing w:beforeLines="0" w:afterLines="0" w:line="240" w:lineRule="auto"/>
              <w:rPr>
                <w:rFonts w:hint="default" w:ascii="Times New Roman"/>
                <w:b w:val="0"/>
                <w:bCs/>
                <w:color w:val="auto"/>
                <w:sz w:val="18"/>
                <w:szCs w:val="18"/>
                <w:lang w:val="en-US" w:eastAsia="zh-CN"/>
              </w:rPr>
            </w:pPr>
            <w:r>
              <w:rPr>
                <w:rFonts w:hint="eastAsia" w:ascii="Times New Roman"/>
                <w:b w:val="0"/>
                <w:bCs/>
                <w:color w:val="auto"/>
                <w:sz w:val="18"/>
                <w:szCs w:val="18"/>
                <w:lang w:val="en-US" w:eastAsia="zh-CN"/>
              </w:rPr>
              <w:t>鸡冠石</w:t>
            </w:r>
            <w:r>
              <w:rPr>
                <w:rFonts w:hint="default" w:ascii="Times New Roman"/>
                <w:b w:val="0"/>
                <w:bCs/>
                <w:color w:val="auto"/>
                <w:sz w:val="18"/>
                <w:szCs w:val="18"/>
                <w:lang w:val="en-US" w:eastAsia="zh-CN"/>
              </w:rPr>
              <w:t>污水处理厂</w:t>
            </w:r>
          </w:p>
        </w:tc>
        <w:tc>
          <w:tcPr>
            <w:tcW w:w="646" w:type="dxa"/>
            <w:vMerge w:val="restart"/>
            <w:noWrap w:val="0"/>
            <w:vAlign w:val="center"/>
          </w:tcPr>
          <w:p w14:paraId="405A34E6">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连续</w:t>
            </w:r>
          </w:p>
        </w:tc>
        <w:tc>
          <w:tcPr>
            <w:tcW w:w="769" w:type="dxa"/>
            <w:vMerge w:val="restart"/>
            <w:noWrap w:val="0"/>
            <w:vAlign w:val="center"/>
          </w:tcPr>
          <w:p w14:paraId="0BAC3EC1">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w:t>
            </w:r>
          </w:p>
        </w:tc>
        <w:tc>
          <w:tcPr>
            <w:tcW w:w="1027" w:type="dxa"/>
            <w:vMerge w:val="restart"/>
            <w:noWrap w:val="0"/>
            <w:vAlign w:val="center"/>
          </w:tcPr>
          <w:p w14:paraId="124A55CD">
            <w:pPr>
              <w:pStyle w:val="38"/>
              <w:spacing w:beforeLines="0" w:afterLines="0" w:line="240" w:lineRule="auto"/>
              <w:rPr>
                <w:rFonts w:ascii="Times New Roman"/>
                <w:b w:val="0"/>
                <w:bCs/>
                <w:color w:val="auto"/>
                <w:sz w:val="18"/>
                <w:szCs w:val="18"/>
                <w:lang w:val="en-US" w:eastAsia="zh-CN"/>
              </w:rPr>
            </w:pPr>
            <w:r>
              <w:rPr>
                <w:rFonts w:hint="eastAsia" w:ascii="Times New Roman"/>
                <w:b w:val="0"/>
                <w:bCs/>
                <w:color w:val="auto"/>
                <w:sz w:val="18"/>
                <w:szCs w:val="18"/>
                <w:lang w:val="en-US" w:eastAsia="zh-CN"/>
              </w:rPr>
              <w:t>鸡冠石</w:t>
            </w:r>
            <w:r>
              <w:rPr>
                <w:rFonts w:hint="default" w:ascii="Times New Roman"/>
                <w:b w:val="0"/>
                <w:bCs/>
                <w:color w:val="auto"/>
                <w:sz w:val="18"/>
                <w:szCs w:val="18"/>
                <w:lang w:val="en-US" w:eastAsia="zh-CN"/>
              </w:rPr>
              <w:t>污水处理厂</w:t>
            </w:r>
          </w:p>
        </w:tc>
        <w:tc>
          <w:tcPr>
            <w:tcW w:w="1584" w:type="dxa"/>
            <w:noWrap w:val="0"/>
            <w:vAlign w:val="center"/>
          </w:tcPr>
          <w:p w14:paraId="5048B00F">
            <w:pPr>
              <w:pStyle w:val="38"/>
              <w:spacing w:beforeLines="0" w:afterLines="0" w:line="240" w:lineRule="auto"/>
              <w:textAlignment w:val="baseline"/>
              <w:rPr>
                <w:rFonts w:ascii="Times New Roman"/>
                <w:b w:val="0"/>
                <w:bCs/>
                <w:color w:val="auto"/>
                <w:sz w:val="18"/>
                <w:szCs w:val="18"/>
                <w:lang w:val="en-US" w:eastAsia="zh-CN"/>
              </w:rPr>
            </w:pPr>
            <w:r>
              <w:rPr>
                <w:rFonts w:ascii="Times New Roman"/>
                <w:b w:val="0"/>
                <w:bCs/>
                <w:color w:val="auto"/>
                <w:sz w:val="18"/>
                <w:szCs w:val="18"/>
                <w:lang w:val="en-US" w:eastAsia="zh-CN"/>
              </w:rPr>
              <w:t>pH</w:t>
            </w:r>
            <w:r>
              <w:rPr>
                <w:rFonts w:hint="eastAsia" w:ascii="Times New Roman"/>
                <w:b w:val="0"/>
                <w:bCs/>
                <w:color w:val="auto"/>
                <w:sz w:val="18"/>
                <w:szCs w:val="18"/>
                <w:lang w:val="en-US" w:eastAsia="zh-CN"/>
              </w:rPr>
              <w:t>（无量纲）</w:t>
            </w:r>
          </w:p>
        </w:tc>
        <w:tc>
          <w:tcPr>
            <w:tcW w:w="4578" w:type="dxa"/>
            <w:noWrap w:val="0"/>
            <w:vAlign w:val="center"/>
          </w:tcPr>
          <w:p w14:paraId="45446813">
            <w:pPr>
              <w:pStyle w:val="38"/>
              <w:spacing w:beforeLines="0" w:afterLines="0" w:line="240" w:lineRule="auto"/>
              <w:rPr>
                <w:rFonts w:hint="eastAsia" w:ascii="Times New Roman"/>
                <w:b w:val="0"/>
                <w:bCs/>
                <w:color w:val="auto"/>
                <w:sz w:val="18"/>
                <w:szCs w:val="18"/>
                <w:lang w:val="en-US" w:eastAsia="zh-CN"/>
              </w:rPr>
            </w:pPr>
            <w:r>
              <w:rPr>
                <w:rFonts w:hint="eastAsia" w:ascii="Times New Roman"/>
                <w:b w:val="0"/>
                <w:bCs/>
                <w:color w:val="auto"/>
                <w:sz w:val="18"/>
                <w:szCs w:val="18"/>
                <w:lang w:val="en-US" w:eastAsia="zh-CN"/>
              </w:rPr>
              <w:t>6~9</w:t>
            </w:r>
          </w:p>
        </w:tc>
      </w:tr>
      <w:tr w14:paraId="7306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57" w:type="dxa"/>
            <w:vMerge w:val="continue"/>
            <w:noWrap w:val="0"/>
            <w:vAlign w:val="center"/>
          </w:tcPr>
          <w:p w14:paraId="6D535165">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165D4DAD">
            <w:pPr>
              <w:pStyle w:val="38"/>
              <w:spacing w:beforeLines="0" w:afterLines="0" w:line="240" w:lineRule="auto"/>
              <w:textAlignment w:val="baseline"/>
              <w:rPr>
                <w:rFonts w:ascii="Times New Roman"/>
                <w:b w:val="0"/>
                <w:bCs/>
                <w:color w:val="auto"/>
                <w:sz w:val="18"/>
                <w:szCs w:val="18"/>
                <w:vertAlign w:val="superscript"/>
                <w:lang w:val="en-US" w:eastAsia="zh-CN"/>
              </w:rPr>
            </w:pPr>
          </w:p>
        </w:tc>
        <w:tc>
          <w:tcPr>
            <w:tcW w:w="1070" w:type="dxa"/>
            <w:vMerge w:val="continue"/>
            <w:noWrap w:val="0"/>
            <w:vAlign w:val="center"/>
          </w:tcPr>
          <w:p w14:paraId="3205E928">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1E427AB2">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068CABE3">
            <w:pPr>
              <w:pStyle w:val="38"/>
              <w:spacing w:beforeLines="0" w:afterLines="0" w:line="240" w:lineRule="auto"/>
              <w:rPr>
                <w:rFonts w:ascii="Times New Roman"/>
                <w:b w:val="0"/>
                <w:bCs/>
                <w:color w:val="auto"/>
                <w:sz w:val="18"/>
                <w:szCs w:val="18"/>
                <w:lang w:val="en-US" w:eastAsia="zh-CN"/>
              </w:rPr>
            </w:pPr>
          </w:p>
        </w:tc>
        <w:tc>
          <w:tcPr>
            <w:tcW w:w="757" w:type="dxa"/>
            <w:vMerge w:val="continue"/>
            <w:noWrap w:val="0"/>
            <w:vAlign w:val="center"/>
          </w:tcPr>
          <w:p w14:paraId="1FF4E3E4">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5895E0F6">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796EE968">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60510ECC">
            <w:pPr>
              <w:pStyle w:val="38"/>
              <w:spacing w:beforeLines="0" w:afterLines="0" w:line="240" w:lineRule="auto"/>
              <w:rPr>
                <w:rFonts w:ascii="Times New Roman"/>
                <w:b w:val="0"/>
                <w:bCs/>
                <w:color w:val="auto"/>
                <w:sz w:val="18"/>
                <w:szCs w:val="18"/>
                <w:vertAlign w:val="superscript"/>
                <w:lang w:val="en-US" w:eastAsia="zh-CN"/>
              </w:rPr>
            </w:pPr>
          </w:p>
        </w:tc>
        <w:tc>
          <w:tcPr>
            <w:tcW w:w="1584" w:type="dxa"/>
            <w:noWrap w:val="0"/>
            <w:vAlign w:val="center"/>
          </w:tcPr>
          <w:p w14:paraId="7F9798F8">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COD</w:t>
            </w:r>
          </w:p>
        </w:tc>
        <w:tc>
          <w:tcPr>
            <w:tcW w:w="4578" w:type="dxa"/>
            <w:noWrap w:val="0"/>
            <w:vAlign w:val="center"/>
          </w:tcPr>
          <w:p w14:paraId="4AAF8C41">
            <w:pPr>
              <w:pStyle w:val="38"/>
              <w:spacing w:beforeLines="0" w:afterLines="0" w:line="240" w:lineRule="auto"/>
              <w:rPr>
                <w:rFonts w:hint="default" w:ascii="Times New Roman"/>
                <w:b w:val="0"/>
                <w:bCs/>
                <w:color w:val="auto"/>
                <w:sz w:val="18"/>
                <w:szCs w:val="18"/>
                <w:lang w:val="en-US" w:eastAsia="zh-CN"/>
              </w:rPr>
            </w:pPr>
            <w:r>
              <w:rPr>
                <w:rFonts w:hint="eastAsia" w:ascii="Times New Roman"/>
                <w:b w:val="0"/>
                <w:bCs/>
                <w:color w:val="auto"/>
                <w:sz w:val="18"/>
                <w:szCs w:val="18"/>
                <w:lang w:val="en-US" w:eastAsia="zh-CN"/>
              </w:rPr>
              <w:t>50</w:t>
            </w:r>
          </w:p>
        </w:tc>
      </w:tr>
      <w:tr w14:paraId="1B8B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57" w:type="dxa"/>
            <w:vMerge w:val="continue"/>
            <w:noWrap w:val="0"/>
            <w:vAlign w:val="center"/>
          </w:tcPr>
          <w:p w14:paraId="1E894131">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1FB1AB3C">
            <w:pPr>
              <w:pStyle w:val="38"/>
              <w:spacing w:beforeLines="0" w:afterLines="0" w:line="240" w:lineRule="auto"/>
              <w:rPr>
                <w:rFonts w:ascii="Times New Roman"/>
                <w:b w:val="0"/>
                <w:bCs/>
                <w:color w:val="auto"/>
                <w:sz w:val="18"/>
                <w:szCs w:val="18"/>
                <w:lang w:val="en-US" w:eastAsia="zh-CN"/>
              </w:rPr>
            </w:pPr>
          </w:p>
        </w:tc>
        <w:tc>
          <w:tcPr>
            <w:tcW w:w="1070" w:type="dxa"/>
            <w:vMerge w:val="continue"/>
            <w:noWrap w:val="0"/>
            <w:vAlign w:val="center"/>
          </w:tcPr>
          <w:p w14:paraId="4D6616C8">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21770313">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2A84AF5F">
            <w:pPr>
              <w:pStyle w:val="38"/>
              <w:spacing w:beforeLines="0" w:afterLines="0" w:line="240" w:lineRule="auto"/>
              <w:rPr>
                <w:rFonts w:ascii="Times New Roman"/>
                <w:b w:val="0"/>
                <w:bCs/>
                <w:color w:val="auto"/>
                <w:sz w:val="18"/>
                <w:szCs w:val="18"/>
                <w:lang w:val="en-US" w:eastAsia="zh-CN"/>
              </w:rPr>
            </w:pPr>
          </w:p>
        </w:tc>
        <w:tc>
          <w:tcPr>
            <w:tcW w:w="757" w:type="dxa"/>
            <w:vMerge w:val="continue"/>
            <w:noWrap w:val="0"/>
            <w:vAlign w:val="center"/>
          </w:tcPr>
          <w:p w14:paraId="1E0F98D2">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58CC077E">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38064570">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3AD558F7">
            <w:pPr>
              <w:pStyle w:val="38"/>
              <w:spacing w:beforeLines="0" w:afterLines="0" w:line="240" w:lineRule="auto"/>
              <w:rPr>
                <w:rFonts w:ascii="Times New Roman"/>
                <w:b w:val="0"/>
                <w:bCs/>
                <w:color w:val="auto"/>
                <w:sz w:val="18"/>
                <w:szCs w:val="18"/>
                <w:lang w:val="en-US" w:eastAsia="zh-CN"/>
              </w:rPr>
            </w:pPr>
          </w:p>
        </w:tc>
        <w:tc>
          <w:tcPr>
            <w:tcW w:w="1584" w:type="dxa"/>
            <w:noWrap w:val="0"/>
            <w:vAlign w:val="center"/>
          </w:tcPr>
          <w:p w14:paraId="4BEDC022">
            <w:pPr>
              <w:pStyle w:val="38"/>
              <w:spacing w:beforeLines="0" w:afterLines="0" w:line="240" w:lineRule="auto"/>
              <w:textAlignment w:val="baseline"/>
              <w:rPr>
                <w:rFonts w:ascii="Times New Roman"/>
                <w:b w:val="0"/>
                <w:bCs/>
                <w:color w:val="auto"/>
                <w:sz w:val="18"/>
                <w:szCs w:val="18"/>
                <w:lang w:val="en-US" w:eastAsia="zh-CN"/>
              </w:rPr>
            </w:pPr>
            <w:r>
              <w:rPr>
                <w:rFonts w:ascii="Times New Roman"/>
                <w:b w:val="0"/>
                <w:bCs/>
                <w:color w:val="auto"/>
                <w:sz w:val="18"/>
                <w:szCs w:val="18"/>
                <w:lang w:val="en-US" w:eastAsia="zh-CN"/>
              </w:rPr>
              <w:t>BOD</w:t>
            </w:r>
            <w:r>
              <w:rPr>
                <w:rFonts w:ascii="Times New Roman"/>
                <w:b w:val="0"/>
                <w:bCs/>
                <w:color w:val="auto"/>
                <w:sz w:val="18"/>
                <w:szCs w:val="18"/>
                <w:vertAlign w:val="subscript"/>
                <w:lang w:val="en-US" w:eastAsia="zh-CN"/>
              </w:rPr>
              <w:t>5</w:t>
            </w:r>
          </w:p>
        </w:tc>
        <w:tc>
          <w:tcPr>
            <w:tcW w:w="4578" w:type="dxa"/>
            <w:noWrap w:val="0"/>
            <w:vAlign w:val="center"/>
          </w:tcPr>
          <w:p w14:paraId="07670375">
            <w:pPr>
              <w:pStyle w:val="38"/>
              <w:spacing w:beforeLines="0" w:afterLines="0" w:line="240" w:lineRule="auto"/>
              <w:rPr>
                <w:rFonts w:hint="default" w:ascii="Times New Roman"/>
                <w:b w:val="0"/>
                <w:bCs/>
                <w:color w:val="auto"/>
                <w:sz w:val="18"/>
                <w:szCs w:val="18"/>
                <w:lang w:val="en-US" w:eastAsia="zh-CN"/>
              </w:rPr>
            </w:pPr>
            <w:r>
              <w:rPr>
                <w:rFonts w:hint="eastAsia" w:ascii="Times New Roman"/>
                <w:b w:val="0"/>
                <w:bCs/>
                <w:color w:val="auto"/>
                <w:sz w:val="18"/>
                <w:szCs w:val="18"/>
                <w:lang w:val="en-US" w:eastAsia="zh-CN"/>
              </w:rPr>
              <w:t>10</w:t>
            </w:r>
          </w:p>
        </w:tc>
      </w:tr>
      <w:tr w14:paraId="00F5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57" w:type="dxa"/>
            <w:vMerge w:val="continue"/>
            <w:noWrap w:val="0"/>
            <w:vAlign w:val="center"/>
          </w:tcPr>
          <w:p w14:paraId="02AF02F8">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4EA925B6">
            <w:pPr>
              <w:pStyle w:val="38"/>
              <w:spacing w:beforeLines="0" w:afterLines="0" w:line="240" w:lineRule="auto"/>
              <w:rPr>
                <w:rFonts w:ascii="Times New Roman"/>
                <w:b w:val="0"/>
                <w:bCs/>
                <w:color w:val="auto"/>
                <w:sz w:val="18"/>
                <w:szCs w:val="18"/>
                <w:lang w:val="en-US" w:eastAsia="zh-CN"/>
              </w:rPr>
            </w:pPr>
          </w:p>
        </w:tc>
        <w:tc>
          <w:tcPr>
            <w:tcW w:w="1070" w:type="dxa"/>
            <w:vMerge w:val="continue"/>
            <w:noWrap w:val="0"/>
            <w:vAlign w:val="center"/>
          </w:tcPr>
          <w:p w14:paraId="2F526A52">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5DC90B6A">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19D326D1">
            <w:pPr>
              <w:pStyle w:val="38"/>
              <w:spacing w:beforeLines="0" w:afterLines="0" w:line="240" w:lineRule="auto"/>
              <w:rPr>
                <w:rFonts w:ascii="Times New Roman"/>
                <w:b w:val="0"/>
                <w:bCs/>
                <w:color w:val="auto"/>
                <w:sz w:val="18"/>
                <w:szCs w:val="18"/>
                <w:lang w:val="en-US" w:eastAsia="zh-CN"/>
              </w:rPr>
            </w:pPr>
          </w:p>
        </w:tc>
        <w:tc>
          <w:tcPr>
            <w:tcW w:w="757" w:type="dxa"/>
            <w:vMerge w:val="continue"/>
            <w:noWrap w:val="0"/>
            <w:vAlign w:val="center"/>
          </w:tcPr>
          <w:p w14:paraId="62E2C986">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5CA0431C">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01CD7497">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00C082E3">
            <w:pPr>
              <w:pStyle w:val="38"/>
              <w:spacing w:beforeLines="0" w:afterLines="0" w:line="240" w:lineRule="auto"/>
              <w:rPr>
                <w:rFonts w:ascii="Times New Roman"/>
                <w:b w:val="0"/>
                <w:bCs/>
                <w:color w:val="auto"/>
                <w:sz w:val="18"/>
                <w:szCs w:val="18"/>
                <w:lang w:val="en-US" w:eastAsia="zh-CN"/>
              </w:rPr>
            </w:pPr>
          </w:p>
        </w:tc>
        <w:tc>
          <w:tcPr>
            <w:tcW w:w="1584" w:type="dxa"/>
            <w:noWrap w:val="0"/>
            <w:vAlign w:val="center"/>
          </w:tcPr>
          <w:p w14:paraId="6BA607B0">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SS</w:t>
            </w:r>
          </w:p>
        </w:tc>
        <w:tc>
          <w:tcPr>
            <w:tcW w:w="4578" w:type="dxa"/>
            <w:noWrap w:val="0"/>
            <w:vAlign w:val="center"/>
          </w:tcPr>
          <w:p w14:paraId="354E9553">
            <w:pPr>
              <w:pStyle w:val="38"/>
              <w:spacing w:beforeLines="0" w:afterLines="0" w:line="240" w:lineRule="auto"/>
              <w:rPr>
                <w:rFonts w:hint="default" w:ascii="Times New Roman"/>
                <w:b w:val="0"/>
                <w:bCs/>
                <w:color w:val="auto"/>
                <w:sz w:val="18"/>
                <w:szCs w:val="18"/>
                <w:lang w:val="en-US" w:eastAsia="zh-CN"/>
              </w:rPr>
            </w:pPr>
            <w:r>
              <w:rPr>
                <w:rFonts w:hint="eastAsia" w:ascii="Times New Roman"/>
                <w:b w:val="0"/>
                <w:bCs/>
                <w:color w:val="auto"/>
                <w:sz w:val="18"/>
                <w:szCs w:val="18"/>
                <w:lang w:val="en-US" w:eastAsia="zh-CN"/>
              </w:rPr>
              <w:t>10</w:t>
            </w:r>
          </w:p>
        </w:tc>
      </w:tr>
      <w:tr w14:paraId="2019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57" w:type="dxa"/>
            <w:vMerge w:val="continue"/>
            <w:noWrap w:val="0"/>
            <w:vAlign w:val="center"/>
          </w:tcPr>
          <w:p w14:paraId="7F65F494">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2D5A7FA6">
            <w:pPr>
              <w:pStyle w:val="38"/>
              <w:spacing w:beforeLines="0" w:afterLines="0" w:line="240" w:lineRule="auto"/>
              <w:rPr>
                <w:rFonts w:ascii="Times New Roman"/>
                <w:b w:val="0"/>
                <w:bCs/>
                <w:color w:val="auto"/>
                <w:sz w:val="18"/>
                <w:szCs w:val="18"/>
                <w:lang w:val="en-US" w:eastAsia="zh-CN"/>
              </w:rPr>
            </w:pPr>
          </w:p>
        </w:tc>
        <w:tc>
          <w:tcPr>
            <w:tcW w:w="1070" w:type="dxa"/>
            <w:vMerge w:val="continue"/>
            <w:noWrap w:val="0"/>
            <w:vAlign w:val="center"/>
          </w:tcPr>
          <w:p w14:paraId="365703D9">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175CEBA4">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22E820E2">
            <w:pPr>
              <w:pStyle w:val="38"/>
              <w:spacing w:beforeLines="0" w:afterLines="0" w:line="240" w:lineRule="auto"/>
              <w:rPr>
                <w:rFonts w:hint="default" w:ascii="Times New Roman"/>
                <w:b w:val="0"/>
                <w:bCs/>
                <w:color w:val="auto"/>
                <w:sz w:val="18"/>
                <w:szCs w:val="18"/>
                <w:lang w:val="en-US" w:eastAsia="zh-CN"/>
              </w:rPr>
            </w:pPr>
          </w:p>
        </w:tc>
        <w:tc>
          <w:tcPr>
            <w:tcW w:w="757" w:type="dxa"/>
            <w:vMerge w:val="continue"/>
            <w:noWrap w:val="0"/>
            <w:vAlign w:val="center"/>
          </w:tcPr>
          <w:p w14:paraId="401DD813">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20FDC5B5">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0BDD2A30">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43CA705E">
            <w:pPr>
              <w:pStyle w:val="38"/>
              <w:spacing w:beforeLines="0" w:afterLines="0" w:line="240" w:lineRule="auto"/>
              <w:rPr>
                <w:rFonts w:ascii="Times New Roman"/>
                <w:b w:val="0"/>
                <w:bCs/>
                <w:color w:val="auto"/>
                <w:sz w:val="18"/>
                <w:szCs w:val="18"/>
                <w:lang w:val="en-US" w:eastAsia="zh-CN"/>
              </w:rPr>
            </w:pPr>
          </w:p>
        </w:tc>
        <w:tc>
          <w:tcPr>
            <w:tcW w:w="1584" w:type="dxa"/>
            <w:noWrap w:val="0"/>
            <w:vAlign w:val="center"/>
          </w:tcPr>
          <w:p w14:paraId="3355013E">
            <w:pPr>
              <w:pStyle w:val="38"/>
              <w:spacing w:beforeLines="0" w:afterLines="0" w:line="240" w:lineRule="auto"/>
              <w:rPr>
                <w:rFonts w:ascii="Times New Roman"/>
                <w:b w:val="0"/>
                <w:bCs/>
                <w:color w:val="auto"/>
                <w:sz w:val="18"/>
                <w:szCs w:val="18"/>
                <w:lang w:val="en-US" w:eastAsia="zh-CN"/>
              </w:rPr>
            </w:pPr>
            <w:r>
              <w:rPr>
                <w:rFonts w:ascii="Times New Roman"/>
                <w:b w:val="0"/>
                <w:bCs/>
                <w:color w:val="auto"/>
                <w:sz w:val="18"/>
                <w:szCs w:val="18"/>
                <w:lang w:val="en-US" w:eastAsia="zh-CN"/>
              </w:rPr>
              <w:t>NH</w:t>
            </w:r>
            <w:r>
              <w:rPr>
                <w:rFonts w:ascii="Times New Roman"/>
                <w:b w:val="0"/>
                <w:bCs/>
                <w:color w:val="auto"/>
                <w:sz w:val="18"/>
                <w:szCs w:val="18"/>
                <w:vertAlign w:val="subscript"/>
                <w:lang w:val="en-US" w:eastAsia="zh-CN"/>
              </w:rPr>
              <w:t>3</w:t>
            </w:r>
            <w:r>
              <w:rPr>
                <w:rFonts w:ascii="Times New Roman"/>
                <w:b w:val="0"/>
                <w:bCs/>
                <w:color w:val="auto"/>
                <w:sz w:val="18"/>
                <w:szCs w:val="18"/>
                <w:lang w:val="en-US" w:eastAsia="zh-CN"/>
              </w:rPr>
              <w:t>-N</w:t>
            </w:r>
          </w:p>
        </w:tc>
        <w:tc>
          <w:tcPr>
            <w:tcW w:w="4578" w:type="dxa"/>
            <w:noWrap w:val="0"/>
            <w:vAlign w:val="center"/>
          </w:tcPr>
          <w:p w14:paraId="39FD030C">
            <w:pPr>
              <w:pStyle w:val="38"/>
              <w:spacing w:beforeLines="0" w:afterLines="0" w:line="240" w:lineRule="auto"/>
              <w:rPr>
                <w:rFonts w:ascii="Times New Roman"/>
                <w:b w:val="0"/>
                <w:bCs/>
                <w:color w:val="auto"/>
                <w:sz w:val="18"/>
                <w:szCs w:val="18"/>
                <w:lang w:val="en-US" w:eastAsia="zh-CN"/>
              </w:rPr>
            </w:pPr>
            <w:r>
              <w:rPr>
                <w:rFonts w:hint="eastAsia" w:ascii="Times New Roman"/>
                <w:b w:val="0"/>
                <w:bCs/>
                <w:color w:val="auto"/>
                <w:sz w:val="18"/>
                <w:szCs w:val="18"/>
                <w:lang w:val="en-US" w:eastAsia="zh-CN"/>
              </w:rPr>
              <w:t>5</w:t>
            </w:r>
          </w:p>
        </w:tc>
      </w:tr>
      <w:tr w14:paraId="7F02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57" w:type="dxa"/>
            <w:vMerge w:val="continue"/>
            <w:noWrap w:val="0"/>
            <w:vAlign w:val="center"/>
          </w:tcPr>
          <w:p w14:paraId="7F1C2401">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7553AB11">
            <w:pPr>
              <w:pStyle w:val="38"/>
              <w:spacing w:beforeLines="0" w:afterLines="0" w:line="240" w:lineRule="auto"/>
              <w:rPr>
                <w:rFonts w:ascii="Times New Roman"/>
                <w:b w:val="0"/>
                <w:bCs/>
                <w:color w:val="auto"/>
                <w:sz w:val="18"/>
                <w:szCs w:val="18"/>
                <w:lang w:val="en-US" w:eastAsia="zh-CN"/>
              </w:rPr>
            </w:pPr>
          </w:p>
        </w:tc>
        <w:tc>
          <w:tcPr>
            <w:tcW w:w="1070" w:type="dxa"/>
            <w:vMerge w:val="continue"/>
            <w:noWrap w:val="0"/>
            <w:vAlign w:val="center"/>
          </w:tcPr>
          <w:p w14:paraId="664FB8CA">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207A7A05">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0400DE5F">
            <w:pPr>
              <w:pStyle w:val="38"/>
              <w:spacing w:beforeLines="0" w:afterLines="0" w:line="240" w:lineRule="auto"/>
              <w:rPr>
                <w:rFonts w:hint="default" w:ascii="Times New Roman"/>
                <w:b w:val="0"/>
                <w:bCs/>
                <w:color w:val="auto"/>
                <w:sz w:val="18"/>
                <w:szCs w:val="18"/>
                <w:lang w:val="en-US" w:eastAsia="zh-CN"/>
              </w:rPr>
            </w:pPr>
          </w:p>
        </w:tc>
        <w:tc>
          <w:tcPr>
            <w:tcW w:w="757" w:type="dxa"/>
            <w:vMerge w:val="continue"/>
            <w:noWrap w:val="0"/>
            <w:vAlign w:val="center"/>
          </w:tcPr>
          <w:p w14:paraId="66300357">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34FD1D07">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07D87F96">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0159AE76">
            <w:pPr>
              <w:pStyle w:val="38"/>
              <w:spacing w:beforeLines="0" w:afterLines="0" w:line="240" w:lineRule="auto"/>
              <w:rPr>
                <w:rFonts w:ascii="Times New Roman"/>
                <w:b w:val="0"/>
                <w:bCs/>
                <w:color w:val="auto"/>
                <w:sz w:val="18"/>
                <w:szCs w:val="18"/>
                <w:lang w:val="en-US" w:eastAsia="zh-CN"/>
              </w:rPr>
            </w:pPr>
          </w:p>
        </w:tc>
        <w:tc>
          <w:tcPr>
            <w:tcW w:w="1584" w:type="dxa"/>
            <w:shd w:val="clear" w:color="auto" w:fill="auto"/>
            <w:noWrap w:val="0"/>
            <w:vAlign w:val="center"/>
          </w:tcPr>
          <w:p w14:paraId="2269EC36">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总余氯</w:t>
            </w:r>
          </w:p>
        </w:tc>
        <w:tc>
          <w:tcPr>
            <w:tcW w:w="4578" w:type="dxa"/>
            <w:noWrap w:val="0"/>
            <w:vAlign w:val="center"/>
          </w:tcPr>
          <w:p w14:paraId="42E47322">
            <w:pPr>
              <w:pStyle w:val="38"/>
              <w:spacing w:beforeLines="0" w:afterLines="0" w:line="240" w:lineRule="auto"/>
              <w:rPr>
                <w:rFonts w:hint="default" w:ascii="Times New Roman"/>
                <w:b w:val="0"/>
                <w:bCs/>
                <w:color w:val="auto"/>
                <w:sz w:val="18"/>
                <w:szCs w:val="18"/>
                <w:lang w:val="en-US" w:eastAsia="zh-CN"/>
              </w:rPr>
            </w:pPr>
            <w:r>
              <w:rPr>
                <w:rFonts w:hint="eastAsia" w:ascii="Times New Roman"/>
                <w:b w:val="0"/>
                <w:bCs/>
                <w:color w:val="auto"/>
                <w:sz w:val="18"/>
                <w:szCs w:val="18"/>
                <w:lang w:val="en-US" w:eastAsia="zh-CN"/>
              </w:rPr>
              <w:t>/</w:t>
            </w:r>
          </w:p>
        </w:tc>
      </w:tr>
      <w:tr w14:paraId="1D28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57" w:type="dxa"/>
            <w:vMerge w:val="continue"/>
            <w:noWrap w:val="0"/>
            <w:vAlign w:val="center"/>
          </w:tcPr>
          <w:p w14:paraId="5B04E807">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03A66201">
            <w:pPr>
              <w:pStyle w:val="38"/>
              <w:spacing w:beforeLines="0" w:afterLines="0" w:line="240" w:lineRule="auto"/>
              <w:rPr>
                <w:rFonts w:ascii="Times New Roman"/>
                <w:b w:val="0"/>
                <w:bCs/>
                <w:color w:val="auto"/>
                <w:sz w:val="18"/>
                <w:szCs w:val="18"/>
                <w:lang w:val="en-US" w:eastAsia="zh-CN"/>
              </w:rPr>
            </w:pPr>
          </w:p>
        </w:tc>
        <w:tc>
          <w:tcPr>
            <w:tcW w:w="1070" w:type="dxa"/>
            <w:vMerge w:val="continue"/>
            <w:noWrap w:val="0"/>
            <w:vAlign w:val="center"/>
          </w:tcPr>
          <w:p w14:paraId="371DE6C1">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1DC1CD44">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40C05930">
            <w:pPr>
              <w:pStyle w:val="38"/>
              <w:spacing w:beforeLines="0" w:afterLines="0" w:line="240" w:lineRule="auto"/>
              <w:rPr>
                <w:rFonts w:hint="default" w:ascii="Times New Roman"/>
                <w:b w:val="0"/>
                <w:bCs/>
                <w:color w:val="auto"/>
                <w:sz w:val="18"/>
                <w:szCs w:val="18"/>
                <w:lang w:val="en-US" w:eastAsia="zh-CN"/>
              </w:rPr>
            </w:pPr>
          </w:p>
        </w:tc>
        <w:tc>
          <w:tcPr>
            <w:tcW w:w="757" w:type="dxa"/>
            <w:vMerge w:val="continue"/>
            <w:noWrap w:val="0"/>
            <w:vAlign w:val="center"/>
          </w:tcPr>
          <w:p w14:paraId="7A069FBE">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4BB65CD0">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3D888188">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09147028">
            <w:pPr>
              <w:pStyle w:val="38"/>
              <w:spacing w:beforeLines="0" w:afterLines="0" w:line="240" w:lineRule="auto"/>
              <w:rPr>
                <w:rFonts w:ascii="Times New Roman"/>
                <w:b w:val="0"/>
                <w:bCs/>
                <w:color w:val="auto"/>
                <w:sz w:val="18"/>
                <w:szCs w:val="18"/>
                <w:lang w:val="en-US" w:eastAsia="zh-CN"/>
              </w:rPr>
            </w:pPr>
          </w:p>
        </w:tc>
        <w:tc>
          <w:tcPr>
            <w:tcW w:w="1584" w:type="dxa"/>
            <w:shd w:val="clear" w:color="auto" w:fill="auto"/>
            <w:noWrap w:val="0"/>
            <w:vAlign w:val="center"/>
          </w:tcPr>
          <w:p w14:paraId="0793B2E7">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粪大肠菌群</w:t>
            </w:r>
          </w:p>
        </w:tc>
        <w:tc>
          <w:tcPr>
            <w:tcW w:w="4578" w:type="dxa"/>
            <w:noWrap w:val="0"/>
            <w:vAlign w:val="center"/>
          </w:tcPr>
          <w:p w14:paraId="25D99CA9">
            <w:pPr>
              <w:pStyle w:val="38"/>
              <w:spacing w:beforeLines="0" w:afterLines="0" w:line="240" w:lineRule="auto"/>
              <w:rPr>
                <w:rFonts w:hint="eastAsia" w:ascii="Times New Roman"/>
                <w:b w:val="0"/>
                <w:bCs/>
                <w:color w:val="auto"/>
                <w:sz w:val="18"/>
                <w:szCs w:val="18"/>
                <w:lang w:val="en-US" w:eastAsia="zh-CN"/>
              </w:rPr>
            </w:pPr>
            <w:r>
              <w:rPr>
                <w:rFonts w:hint="eastAsia" w:ascii="Times New Roman"/>
                <w:b w:val="0"/>
                <w:bCs/>
                <w:color w:val="auto"/>
                <w:sz w:val="18"/>
                <w:szCs w:val="18"/>
                <w:lang w:val="en-US" w:eastAsia="zh-CN"/>
              </w:rPr>
              <w:t>1000个/L</w:t>
            </w:r>
          </w:p>
        </w:tc>
      </w:tr>
      <w:tr w14:paraId="299A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57" w:type="dxa"/>
            <w:vMerge w:val="continue"/>
            <w:noWrap w:val="0"/>
            <w:vAlign w:val="center"/>
          </w:tcPr>
          <w:p w14:paraId="76DDB2B0">
            <w:pPr>
              <w:pStyle w:val="38"/>
              <w:spacing w:beforeLines="0" w:afterLines="0" w:line="240" w:lineRule="auto"/>
              <w:rPr>
                <w:rFonts w:ascii="Times New Roman"/>
                <w:b w:val="0"/>
                <w:bCs/>
                <w:color w:val="auto"/>
                <w:sz w:val="18"/>
                <w:szCs w:val="18"/>
                <w:lang w:val="en-US" w:eastAsia="zh-CN"/>
              </w:rPr>
            </w:pPr>
          </w:p>
        </w:tc>
        <w:tc>
          <w:tcPr>
            <w:tcW w:w="867" w:type="dxa"/>
            <w:vMerge w:val="continue"/>
            <w:noWrap w:val="0"/>
            <w:vAlign w:val="center"/>
          </w:tcPr>
          <w:p w14:paraId="111A9B96">
            <w:pPr>
              <w:pStyle w:val="38"/>
              <w:spacing w:beforeLines="0" w:afterLines="0" w:line="240" w:lineRule="auto"/>
              <w:rPr>
                <w:rFonts w:ascii="Times New Roman"/>
                <w:b w:val="0"/>
                <w:bCs/>
                <w:color w:val="auto"/>
                <w:sz w:val="18"/>
                <w:szCs w:val="18"/>
                <w:lang w:val="en-US" w:eastAsia="zh-CN"/>
              </w:rPr>
            </w:pPr>
          </w:p>
        </w:tc>
        <w:tc>
          <w:tcPr>
            <w:tcW w:w="1070" w:type="dxa"/>
            <w:vMerge w:val="continue"/>
            <w:noWrap w:val="0"/>
            <w:vAlign w:val="center"/>
          </w:tcPr>
          <w:p w14:paraId="749C1BA5">
            <w:pPr>
              <w:pStyle w:val="38"/>
              <w:spacing w:beforeLines="0" w:afterLines="0" w:line="240" w:lineRule="auto"/>
              <w:rPr>
                <w:rFonts w:ascii="Times New Roman"/>
                <w:b w:val="0"/>
                <w:bCs/>
                <w:color w:val="auto"/>
                <w:sz w:val="18"/>
                <w:szCs w:val="18"/>
                <w:lang w:val="en-US" w:eastAsia="zh-CN"/>
              </w:rPr>
            </w:pPr>
          </w:p>
        </w:tc>
        <w:tc>
          <w:tcPr>
            <w:tcW w:w="1115" w:type="dxa"/>
            <w:vMerge w:val="continue"/>
            <w:noWrap w:val="0"/>
            <w:vAlign w:val="center"/>
          </w:tcPr>
          <w:p w14:paraId="09F8AC7B">
            <w:pPr>
              <w:pStyle w:val="38"/>
              <w:spacing w:beforeLines="0" w:afterLines="0" w:line="240" w:lineRule="auto"/>
              <w:rPr>
                <w:rFonts w:ascii="Times New Roman"/>
                <w:b w:val="0"/>
                <w:bCs/>
                <w:color w:val="auto"/>
                <w:sz w:val="18"/>
                <w:szCs w:val="18"/>
                <w:lang w:val="en-US" w:eastAsia="zh-CN"/>
              </w:rPr>
            </w:pPr>
          </w:p>
        </w:tc>
        <w:tc>
          <w:tcPr>
            <w:tcW w:w="782" w:type="dxa"/>
            <w:vMerge w:val="continue"/>
            <w:noWrap w:val="0"/>
            <w:vAlign w:val="center"/>
          </w:tcPr>
          <w:p w14:paraId="48750E08">
            <w:pPr>
              <w:pStyle w:val="38"/>
              <w:spacing w:beforeLines="0" w:afterLines="0" w:line="240" w:lineRule="auto"/>
              <w:rPr>
                <w:rFonts w:hint="default" w:ascii="Times New Roman"/>
                <w:b w:val="0"/>
                <w:bCs/>
                <w:color w:val="auto"/>
                <w:sz w:val="18"/>
                <w:szCs w:val="18"/>
                <w:lang w:val="en-US" w:eastAsia="zh-CN"/>
              </w:rPr>
            </w:pPr>
          </w:p>
        </w:tc>
        <w:tc>
          <w:tcPr>
            <w:tcW w:w="757" w:type="dxa"/>
            <w:vMerge w:val="continue"/>
            <w:noWrap w:val="0"/>
            <w:vAlign w:val="center"/>
          </w:tcPr>
          <w:p w14:paraId="07A33C23">
            <w:pPr>
              <w:pStyle w:val="38"/>
              <w:spacing w:beforeLines="0" w:afterLines="0" w:line="240" w:lineRule="auto"/>
              <w:rPr>
                <w:rFonts w:ascii="Times New Roman"/>
                <w:b w:val="0"/>
                <w:bCs/>
                <w:color w:val="auto"/>
                <w:sz w:val="18"/>
                <w:szCs w:val="18"/>
                <w:lang w:val="en-US" w:eastAsia="zh-CN"/>
              </w:rPr>
            </w:pPr>
          </w:p>
        </w:tc>
        <w:tc>
          <w:tcPr>
            <w:tcW w:w="646" w:type="dxa"/>
            <w:vMerge w:val="continue"/>
            <w:noWrap w:val="0"/>
            <w:vAlign w:val="center"/>
          </w:tcPr>
          <w:p w14:paraId="6159A0D4">
            <w:pPr>
              <w:pStyle w:val="38"/>
              <w:spacing w:beforeLines="0" w:afterLines="0" w:line="240" w:lineRule="auto"/>
              <w:rPr>
                <w:rFonts w:ascii="Times New Roman"/>
                <w:b w:val="0"/>
                <w:bCs/>
                <w:color w:val="auto"/>
                <w:sz w:val="18"/>
                <w:szCs w:val="18"/>
                <w:lang w:val="en-US" w:eastAsia="zh-CN"/>
              </w:rPr>
            </w:pPr>
          </w:p>
        </w:tc>
        <w:tc>
          <w:tcPr>
            <w:tcW w:w="769" w:type="dxa"/>
            <w:vMerge w:val="continue"/>
            <w:noWrap w:val="0"/>
            <w:vAlign w:val="center"/>
          </w:tcPr>
          <w:p w14:paraId="4A58900B">
            <w:pPr>
              <w:pStyle w:val="38"/>
              <w:spacing w:beforeLines="0" w:afterLines="0" w:line="240" w:lineRule="auto"/>
              <w:rPr>
                <w:rFonts w:ascii="Times New Roman"/>
                <w:b w:val="0"/>
                <w:bCs/>
                <w:color w:val="auto"/>
                <w:sz w:val="18"/>
                <w:szCs w:val="18"/>
                <w:lang w:val="en-US" w:eastAsia="zh-CN"/>
              </w:rPr>
            </w:pPr>
          </w:p>
        </w:tc>
        <w:tc>
          <w:tcPr>
            <w:tcW w:w="1027" w:type="dxa"/>
            <w:vMerge w:val="continue"/>
            <w:noWrap w:val="0"/>
            <w:vAlign w:val="center"/>
          </w:tcPr>
          <w:p w14:paraId="536FA31D">
            <w:pPr>
              <w:pStyle w:val="38"/>
              <w:spacing w:beforeLines="0" w:afterLines="0" w:line="240" w:lineRule="auto"/>
              <w:rPr>
                <w:rFonts w:ascii="Times New Roman"/>
                <w:b w:val="0"/>
                <w:bCs/>
                <w:color w:val="auto"/>
                <w:sz w:val="18"/>
                <w:szCs w:val="18"/>
                <w:lang w:val="en-US" w:eastAsia="zh-CN"/>
              </w:rPr>
            </w:pPr>
          </w:p>
        </w:tc>
        <w:tc>
          <w:tcPr>
            <w:tcW w:w="1584" w:type="dxa"/>
            <w:shd w:val="clear" w:color="auto" w:fill="auto"/>
            <w:noWrap w:val="0"/>
            <w:vAlign w:val="center"/>
          </w:tcPr>
          <w:p w14:paraId="006F4911">
            <w:pPr>
              <w:pStyle w:val="35"/>
              <w:spacing w:line="310" w:lineRule="exact"/>
              <w:rPr>
                <w:rFonts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LAS</w:t>
            </w:r>
          </w:p>
        </w:tc>
        <w:tc>
          <w:tcPr>
            <w:tcW w:w="4578" w:type="dxa"/>
            <w:noWrap w:val="0"/>
            <w:vAlign w:val="center"/>
          </w:tcPr>
          <w:p w14:paraId="590FC790">
            <w:pPr>
              <w:pStyle w:val="38"/>
              <w:spacing w:beforeLines="0" w:afterLines="0" w:line="240" w:lineRule="auto"/>
              <w:rPr>
                <w:rFonts w:hint="default" w:ascii="Times New Roman"/>
                <w:b w:val="0"/>
                <w:bCs/>
                <w:color w:val="auto"/>
                <w:sz w:val="18"/>
                <w:szCs w:val="18"/>
                <w:lang w:val="en-US" w:eastAsia="zh-CN"/>
              </w:rPr>
            </w:pPr>
            <w:r>
              <w:rPr>
                <w:rFonts w:hint="eastAsia" w:ascii="Times New Roman"/>
                <w:b w:val="0"/>
                <w:bCs/>
                <w:color w:val="auto"/>
                <w:sz w:val="18"/>
                <w:szCs w:val="18"/>
                <w:lang w:val="en-US" w:eastAsia="zh-CN"/>
              </w:rPr>
              <w:t>0.5</w:t>
            </w:r>
          </w:p>
        </w:tc>
      </w:tr>
    </w:tbl>
    <w:p w14:paraId="52EB5E73">
      <w:pPr>
        <w:pStyle w:val="19"/>
        <w:jc w:val="center"/>
        <w:outlineLvl w:val="0"/>
        <w:rPr>
          <w:rFonts w:hint="default" w:ascii="Times New Roman" w:hAnsi="Times New Roman" w:eastAsia="宋体" w:cs="Times New Roman"/>
          <w:snapToGrid w:val="0"/>
          <w:color w:val="auto"/>
          <w:sz w:val="30"/>
          <w:szCs w:val="30"/>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00531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0" w:hRule="atLeast"/>
          <w:jc w:val="center"/>
        </w:trPr>
        <w:tc>
          <w:tcPr>
            <w:tcW w:w="746" w:type="dxa"/>
            <w:noWrap w:val="0"/>
            <w:tcMar>
              <w:left w:w="28" w:type="dxa"/>
              <w:right w:w="28" w:type="dxa"/>
            </w:tcMar>
            <w:vAlign w:val="center"/>
          </w:tcPr>
          <w:p w14:paraId="51845899">
            <w:pPr>
              <w:adjustRightInd w:val="0"/>
              <w:snapToGrid w:val="0"/>
              <w:jc w:val="center"/>
              <w:rPr>
                <w:rFonts w:hint="default" w:ascii="Times New Roman" w:hAnsi="Times New Roman" w:eastAsia="宋体" w:cs="Times New Roman"/>
                <w:bCs/>
                <w:color w:val="auto"/>
                <w:spacing w:val="0"/>
                <w:position w:val="0"/>
                <w:szCs w:val="21"/>
              </w:rPr>
            </w:pPr>
            <w:r>
              <w:rPr>
                <w:rFonts w:hint="default" w:ascii="Times New Roman" w:hAnsi="Times New Roman" w:eastAsia="宋体" w:cs="Times New Roman"/>
                <w:bCs/>
                <w:color w:val="auto"/>
                <w:spacing w:val="0"/>
                <w:position w:val="0"/>
                <w:szCs w:val="21"/>
              </w:rPr>
              <w:t>运营</w:t>
            </w:r>
          </w:p>
          <w:p w14:paraId="59A51860">
            <w:pPr>
              <w:adjustRightInd w:val="0"/>
              <w:snapToGrid w:val="0"/>
              <w:jc w:val="center"/>
              <w:rPr>
                <w:rFonts w:hint="default" w:ascii="Times New Roman" w:hAnsi="Times New Roman" w:eastAsia="宋体" w:cs="Times New Roman"/>
                <w:bCs/>
                <w:color w:val="auto"/>
                <w:spacing w:val="0"/>
                <w:position w:val="0"/>
                <w:szCs w:val="21"/>
              </w:rPr>
            </w:pPr>
            <w:r>
              <w:rPr>
                <w:rFonts w:hint="default" w:ascii="Times New Roman" w:hAnsi="Times New Roman" w:eastAsia="宋体" w:cs="Times New Roman"/>
                <w:bCs/>
                <w:color w:val="auto"/>
                <w:spacing w:val="0"/>
                <w:position w:val="0"/>
                <w:szCs w:val="21"/>
              </w:rPr>
              <w:t>期环</w:t>
            </w:r>
          </w:p>
          <w:p w14:paraId="682848D5">
            <w:pPr>
              <w:adjustRightInd w:val="0"/>
              <w:snapToGrid w:val="0"/>
              <w:jc w:val="center"/>
              <w:rPr>
                <w:rFonts w:hint="default" w:ascii="Times New Roman" w:hAnsi="Times New Roman" w:eastAsia="宋体" w:cs="Times New Roman"/>
                <w:bCs/>
                <w:color w:val="auto"/>
                <w:spacing w:val="0"/>
                <w:position w:val="0"/>
                <w:szCs w:val="21"/>
              </w:rPr>
            </w:pPr>
            <w:r>
              <w:rPr>
                <w:rFonts w:hint="default" w:ascii="Times New Roman" w:hAnsi="Times New Roman" w:eastAsia="宋体" w:cs="Times New Roman"/>
                <w:bCs/>
                <w:color w:val="auto"/>
                <w:spacing w:val="0"/>
                <w:position w:val="0"/>
                <w:szCs w:val="21"/>
              </w:rPr>
              <w:t>境影</w:t>
            </w:r>
          </w:p>
          <w:p w14:paraId="0104A805">
            <w:pPr>
              <w:adjustRightInd w:val="0"/>
              <w:snapToGrid w:val="0"/>
              <w:jc w:val="center"/>
              <w:rPr>
                <w:rFonts w:hint="default" w:ascii="Times New Roman" w:hAnsi="Times New Roman" w:eastAsia="宋体" w:cs="Times New Roman"/>
                <w:bCs/>
                <w:color w:val="auto"/>
                <w:spacing w:val="0"/>
                <w:position w:val="0"/>
                <w:szCs w:val="21"/>
              </w:rPr>
            </w:pPr>
            <w:r>
              <w:rPr>
                <w:rFonts w:hint="default" w:ascii="Times New Roman" w:hAnsi="Times New Roman" w:eastAsia="宋体" w:cs="Times New Roman"/>
                <w:bCs/>
                <w:color w:val="auto"/>
                <w:spacing w:val="0"/>
                <w:position w:val="0"/>
                <w:szCs w:val="21"/>
              </w:rPr>
              <w:t>响和</w:t>
            </w:r>
          </w:p>
          <w:p w14:paraId="244ECF19">
            <w:pPr>
              <w:adjustRightInd w:val="0"/>
              <w:snapToGrid w:val="0"/>
              <w:jc w:val="center"/>
              <w:rPr>
                <w:rFonts w:hint="default" w:ascii="Times New Roman" w:hAnsi="Times New Roman" w:eastAsia="宋体" w:cs="Times New Roman"/>
                <w:bCs/>
                <w:color w:val="auto"/>
                <w:spacing w:val="0"/>
                <w:position w:val="0"/>
                <w:szCs w:val="21"/>
              </w:rPr>
            </w:pPr>
            <w:r>
              <w:rPr>
                <w:rFonts w:hint="default" w:ascii="Times New Roman" w:hAnsi="Times New Roman" w:eastAsia="宋体" w:cs="Times New Roman"/>
                <w:bCs/>
                <w:color w:val="auto"/>
                <w:spacing w:val="0"/>
                <w:position w:val="0"/>
                <w:szCs w:val="21"/>
              </w:rPr>
              <w:t>保护</w:t>
            </w:r>
          </w:p>
          <w:p w14:paraId="5772899D">
            <w:pPr>
              <w:adjustRightInd w:val="0"/>
              <w:snapToGrid w:val="0"/>
              <w:jc w:val="center"/>
              <w:rPr>
                <w:rFonts w:hint="default" w:ascii="Times New Roman" w:hAnsi="Times New Roman" w:eastAsia="宋体" w:cs="Times New Roman"/>
                <w:bCs/>
                <w:color w:val="auto"/>
                <w:spacing w:val="0"/>
                <w:position w:val="0"/>
                <w:szCs w:val="21"/>
              </w:rPr>
            </w:pPr>
            <w:r>
              <w:rPr>
                <w:rFonts w:hint="default" w:ascii="Times New Roman" w:hAnsi="Times New Roman" w:eastAsia="宋体" w:cs="Times New Roman"/>
                <w:bCs/>
                <w:color w:val="auto"/>
                <w:spacing w:val="0"/>
                <w:position w:val="0"/>
                <w:szCs w:val="21"/>
              </w:rPr>
              <w:t>措施</w:t>
            </w:r>
          </w:p>
        </w:tc>
        <w:tc>
          <w:tcPr>
            <w:tcW w:w="8162" w:type="dxa"/>
            <w:noWrap w:val="0"/>
            <w:vAlign w:val="center"/>
          </w:tcPr>
          <w:p w14:paraId="151B3C7C">
            <w:pPr>
              <w:keepNext w:val="0"/>
              <w:keepLines w:val="0"/>
              <w:pageBreakBefore w:val="0"/>
              <w:widowControl w:val="0"/>
              <w:numPr>
                <w:ilvl w:val="0"/>
                <w:numId w:val="0"/>
              </w:numPr>
              <w:kinsoku/>
              <w:wordWrap/>
              <w:overflowPunct/>
              <w:topLinePunct w:val="0"/>
              <w:bidi w:val="0"/>
              <w:adjustRightInd w:val="0"/>
              <w:snapToGrid w:val="0"/>
              <w:spacing w:line="400" w:lineRule="exact"/>
              <w:ind w:firstLine="422" w:firstLineChars="200"/>
              <w:textAlignment w:val="auto"/>
              <w:rPr>
                <w:rFonts w:hint="eastAsia"/>
                <w:b/>
                <w:color w:val="auto"/>
                <w:szCs w:val="21"/>
                <w:lang w:val="en-US" w:eastAsia="zh-CN"/>
              </w:rPr>
            </w:pPr>
            <w:r>
              <w:rPr>
                <w:rFonts w:hint="eastAsia" w:ascii="Dutch801 Rm BT" w:hAnsi="Dutch801 Rm BT" w:eastAsia="宋体" w:cs="Dutch801 Rm BT"/>
                <w:b/>
                <w:color w:val="auto"/>
                <w:kern w:val="2"/>
                <w:sz w:val="21"/>
                <w:szCs w:val="21"/>
                <w:lang w:val="en-US" w:eastAsia="zh-CN" w:bidi="ar-SA"/>
              </w:rPr>
              <w:t>（2）</w:t>
            </w:r>
            <w:r>
              <w:rPr>
                <w:rFonts w:hint="eastAsia"/>
                <w:b/>
                <w:bCs w:val="0"/>
                <w:color w:val="auto"/>
                <w:szCs w:val="26"/>
                <w:lang w:val="en-US" w:eastAsia="zh-CN"/>
              </w:rPr>
              <w:t>废水达标情况分析及措施可行性分析</w:t>
            </w:r>
          </w:p>
          <w:p w14:paraId="6FCD692B">
            <w:pPr>
              <w:spacing w:line="400" w:lineRule="exact"/>
              <w:ind w:firstLine="422" w:firstLineChars="200"/>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1）生化池依托可行性分析</w:t>
            </w:r>
          </w:p>
          <w:p w14:paraId="45DC0A26">
            <w:pPr>
              <w:spacing w:line="400" w:lineRule="exact"/>
              <w:ind w:firstLine="420" w:firstLineChars="200"/>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项目所在小区已建成运行1座</w:t>
            </w:r>
            <w:r>
              <w:rPr>
                <w:rFonts w:hint="default" w:ascii="Times New Roman" w:hAnsi="Times New Roman" w:eastAsia="宋体" w:cs="Times New Roman"/>
                <w:color w:val="auto"/>
                <w:szCs w:val="21"/>
              </w:rPr>
              <w:t>生化池</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处理规模为</w:t>
            </w:r>
            <w:r>
              <w:rPr>
                <w:rFonts w:hint="default" w:ascii="Times New Roman" w:hAnsi="Times New Roman" w:eastAsia="宋体" w:cs="Times New Roman"/>
                <w:color w:val="auto"/>
                <w:szCs w:val="21"/>
                <w:lang w:val="en-US" w:eastAsia="zh-CN"/>
              </w:rPr>
              <w:t>2</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r>
              <w:rPr>
                <w:rFonts w:hint="default" w:ascii="Times New Roman" w:hAnsi="Times New Roman" w:eastAsia="宋体" w:cs="Times New Roman"/>
                <w:color w:val="auto"/>
                <w:szCs w:val="21"/>
                <w:lang w:eastAsia="zh-CN"/>
              </w:rPr>
              <w:t>，</w:t>
            </w:r>
            <w:r>
              <w:rPr>
                <w:rFonts w:hint="eastAsia" w:ascii="Times New Roman" w:hAnsi="Times New Roman" w:cs="Times New Roman"/>
                <w:color w:val="auto"/>
                <w:szCs w:val="21"/>
                <w:lang w:val="en-US" w:eastAsia="zh-CN"/>
              </w:rPr>
              <w:t>收集处理项目所在小区住宅及商业的污废水，目前实际处理量约90m</w:t>
            </w:r>
            <w:r>
              <w:rPr>
                <w:rFonts w:hint="eastAsia" w:ascii="Times New Roman" w:hAnsi="Times New Roman" w:cs="Times New Roman"/>
                <w:color w:val="auto"/>
                <w:szCs w:val="21"/>
                <w:vertAlign w:val="superscript"/>
                <w:lang w:val="en-US" w:eastAsia="zh-CN"/>
              </w:rPr>
              <w:t>3</w:t>
            </w:r>
            <w:r>
              <w:rPr>
                <w:rFonts w:hint="eastAsia" w:ascii="Times New Roman" w:hAnsi="Times New Roman" w:cs="Times New Roman"/>
                <w:color w:val="auto"/>
                <w:szCs w:val="21"/>
                <w:lang w:val="en-US" w:eastAsia="zh-CN"/>
              </w:rPr>
              <w:t>/d，本项目污废水排放量为1.2125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生化池处理规模</w:t>
            </w:r>
            <w:r>
              <w:rPr>
                <w:rFonts w:hint="default" w:ascii="Times New Roman" w:hAnsi="Times New Roman" w:cs="Times New Roman"/>
                <w:color w:val="auto"/>
                <w:szCs w:val="21"/>
                <w:lang w:val="en-US" w:eastAsia="zh-CN"/>
              </w:rPr>
              <w:t>能够处理本项目所排放的污水，</w:t>
            </w:r>
            <w:r>
              <w:rPr>
                <w:rFonts w:hint="eastAsia" w:ascii="Times New Roman" w:hAnsi="Times New Roman" w:cs="Times New Roman"/>
                <w:color w:val="auto"/>
                <w:szCs w:val="21"/>
                <w:lang w:val="en-US" w:eastAsia="zh-CN"/>
              </w:rPr>
              <w:t>且由于项目所排放的污废水水质简单，与生活污水类似，项目污水水质满足该生化池处理要求，因此，项目依托小区生化池处理是可行的</w:t>
            </w:r>
            <w:r>
              <w:rPr>
                <w:rFonts w:hint="default" w:ascii="Times New Roman" w:hAnsi="Times New Roman" w:eastAsia="宋体" w:cs="Times New Roman"/>
                <w:color w:val="auto"/>
                <w:szCs w:val="21"/>
              </w:rPr>
              <w:t>。</w:t>
            </w:r>
          </w:p>
          <w:p w14:paraId="0138B0CB">
            <w:pPr>
              <w:numPr>
                <w:ilvl w:val="0"/>
                <w:numId w:val="0"/>
              </w:numPr>
              <w:spacing w:line="400" w:lineRule="exact"/>
              <w:ind w:firstLine="422" w:firstLineChars="200"/>
              <w:rPr>
                <w:rFonts w:hint="eastAsia" w:ascii="Times New Roman" w:hAnsi="Times New Roman" w:cs="Times New Roman"/>
                <w:b/>
                <w:bCs/>
                <w:color w:val="auto"/>
                <w:szCs w:val="21"/>
                <w:lang w:val="en-US" w:eastAsia="zh-CN"/>
              </w:rPr>
            </w:pPr>
            <w:r>
              <w:rPr>
                <w:rFonts w:hint="eastAsia" w:ascii="Times New Roman" w:hAnsi="Times New Roman" w:eastAsia="宋体" w:cs="Times New Roman"/>
                <w:b/>
                <w:bCs/>
                <w:color w:val="auto"/>
                <w:kern w:val="2"/>
                <w:sz w:val="21"/>
                <w:szCs w:val="21"/>
                <w:lang w:val="en-US" w:eastAsia="zh-CN" w:bidi="ar-SA"/>
              </w:rPr>
              <w:t>2）</w:t>
            </w:r>
            <w:r>
              <w:rPr>
                <w:rFonts w:hint="eastAsia" w:ascii="Times New Roman" w:hAnsi="Times New Roman" w:cs="Times New Roman"/>
                <w:b/>
                <w:bCs/>
                <w:color w:val="auto"/>
                <w:szCs w:val="21"/>
                <w:lang w:val="en-US" w:eastAsia="zh-CN"/>
              </w:rPr>
              <w:t>其他废水处理可行性分析</w:t>
            </w:r>
          </w:p>
          <w:p w14:paraId="40F7183B">
            <w:pPr>
              <w:numPr>
                <w:ilvl w:val="0"/>
                <w:numId w:val="0"/>
              </w:numPr>
              <w:spacing w:line="400" w:lineRule="exact"/>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I、</w:t>
            </w:r>
            <w:r>
              <w:rPr>
                <w:rFonts w:hint="default" w:ascii="Times New Roman" w:hAnsi="Times New Roman" w:cs="Times New Roman"/>
                <w:color w:val="auto"/>
                <w:szCs w:val="21"/>
                <w:lang w:val="en-US" w:eastAsia="zh-CN"/>
              </w:rPr>
              <w:t>医疗废水</w:t>
            </w:r>
          </w:p>
          <w:p w14:paraId="25389FCE">
            <w:pPr>
              <w:numPr>
                <w:ilvl w:val="0"/>
                <w:numId w:val="0"/>
              </w:numPr>
              <w:spacing w:line="400" w:lineRule="exact"/>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医疗废水成分复杂，废水中因沾染血、尿、便等具有传染性，必须经消毒杀菌后才能排放，参照《医疗机构水污染物排放标准》（GB18466-2005）4.1.3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县级以下或20张床位以下的综合医疗机构和其他所有医疗机构污水经消毒后方可排放</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规定，医疗废水需经消毒处理之后即可外排。项目选择人工投加氯片进行消毒，是目前国内比较常用的消毒方式，不仅价格优廉，且使用方便，适用于医疗废水消毒。</w:t>
            </w:r>
          </w:p>
          <w:p w14:paraId="35CEBB10">
            <w:pPr>
              <w:numPr>
                <w:ilvl w:val="0"/>
                <w:numId w:val="0"/>
              </w:numPr>
              <w:spacing w:line="400" w:lineRule="exact"/>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项目在手术室</w:t>
            </w:r>
            <w:r>
              <w:rPr>
                <w:rFonts w:hint="eastAsia" w:ascii="Times New Roman" w:hAnsi="Times New Roman" w:cs="Times New Roman"/>
                <w:color w:val="auto"/>
                <w:szCs w:val="21"/>
                <w:lang w:val="en-US" w:eastAsia="zh-CN"/>
              </w:rPr>
              <w:t>洗手盆下面</w:t>
            </w:r>
            <w:r>
              <w:rPr>
                <w:rFonts w:hint="default" w:ascii="Times New Roman" w:hAnsi="Times New Roman" w:cs="Times New Roman"/>
                <w:color w:val="auto"/>
                <w:szCs w:val="21"/>
                <w:lang w:val="en-US" w:eastAsia="zh-CN"/>
              </w:rPr>
              <w:t>设置1套处理能力为0.</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/d的消毒</w:t>
            </w:r>
            <w:r>
              <w:rPr>
                <w:rFonts w:hint="eastAsia" w:ascii="Times New Roman" w:hAnsi="Times New Roman" w:cs="Times New Roman"/>
                <w:color w:val="auto"/>
                <w:szCs w:val="21"/>
                <w:lang w:val="en-US" w:eastAsia="zh-CN"/>
              </w:rPr>
              <w:t>设备</w:t>
            </w:r>
            <w:r>
              <w:rPr>
                <w:rFonts w:hint="default" w:ascii="Times New Roman" w:hAnsi="Times New Roman" w:cs="Times New Roman"/>
                <w:color w:val="auto"/>
                <w:szCs w:val="21"/>
                <w:lang w:val="en-US" w:eastAsia="zh-CN"/>
              </w:rPr>
              <w:t>，用于处理宠物住院废水、门诊废水等医疗废水，项目医疗废水产生量为</w:t>
            </w:r>
            <w:r>
              <w:rPr>
                <w:rFonts w:hint="eastAsia" w:ascii="Times New Roman" w:hAnsi="Times New Roman" w:cs="Times New Roman"/>
                <w:color w:val="auto"/>
                <w:szCs w:val="21"/>
                <w:lang w:val="en-US" w:eastAsia="zh-CN"/>
              </w:rPr>
              <w:t>0.4535</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/d，消毒设施处理能力满足项目医疗废水处理需求。</w:t>
            </w:r>
          </w:p>
          <w:p w14:paraId="1350E8FD">
            <w:pPr>
              <w:numPr>
                <w:ilvl w:val="0"/>
                <w:numId w:val="0"/>
              </w:numPr>
              <w:spacing w:line="4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II、洗浴废水</w:t>
            </w:r>
          </w:p>
          <w:p w14:paraId="4F824E81">
            <w:pPr>
              <w:numPr>
                <w:ilvl w:val="0"/>
                <w:numId w:val="0"/>
              </w:numPr>
              <w:spacing w:line="400" w:lineRule="exact"/>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w:t>
            </w:r>
            <w:r>
              <w:rPr>
                <w:rFonts w:hint="eastAsia" w:ascii="Times New Roman" w:hAnsi="Times New Roman" w:eastAsia="宋体" w:cs="Times New Roman"/>
                <w:color w:val="auto"/>
                <w:szCs w:val="21"/>
                <w:lang w:val="en-US" w:eastAsia="zh-CN"/>
              </w:rPr>
              <w:t>洗浴等废水排放量为0.444</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/d</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美容室主要从事剪毛、修毛和洗浴工作，宠物在洗浴之前进行剪毛修毛，在洗浴过程中要产生大量宠物毛发掉落，进入废水中，项目采取格栅过滤处理后进入</w:t>
            </w:r>
            <w:r>
              <w:rPr>
                <w:rFonts w:hint="eastAsia" w:ascii="Times New Roman" w:hAnsi="Times New Roman" w:eastAsia="宋体" w:cs="Times New Roman"/>
                <w:color w:val="auto"/>
                <w:szCs w:val="21"/>
                <w:lang w:val="en-US" w:eastAsia="zh-CN"/>
              </w:rPr>
              <w:t>小区</w:t>
            </w:r>
            <w:r>
              <w:rPr>
                <w:rFonts w:hint="default" w:ascii="Times New Roman" w:hAnsi="Times New Roman" w:eastAsia="宋体" w:cs="Times New Roman"/>
                <w:color w:val="auto"/>
                <w:szCs w:val="21"/>
                <w:lang w:val="en-US" w:eastAsia="zh-CN"/>
              </w:rPr>
              <w:t>生化池进行处理，以免造成堵塞，废毛发袋装收集后与生活垃圾一并交环卫部门收运，项目不对患病宠物进行洗浴、美容工作，洗浴废水中不涉及传染性病毒，经格栅过滤处理后进入</w:t>
            </w:r>
            <w:r>
              <w:rPr>
                <w:rFonts w:hint="eastAsia" w:ascii="Times New Roman" w:hAnsi="Times New Roman" w:eastAsia="宋体" w:cs="Times New Roman"/>
                <w:color w:val="auto"/>
                <w:szCs w:val="21"/>
                <w:lang w:val="en-US" w:eastAsia="zh-CN"/>
              </w:rPr>
              <w:t>小区</w:t>
            </w:r>
            <w:r>
              <w:rPr>
                <w:rFonts w:hint="default" w:ascii="Times New Roman" w:hAnsi="Times New Roman" w:eastAsia="宋体" w:cs="Times New Roman"/>
                <w:color w:val="auto"/>
                <w:szCs w:val="21"/>
                <w:lang w:val="en-US" w:eastAsia="zh-CN"/>
              </w:rPr>
              <w:t>生化池处理可行。</w:t>
            </w:r>
          </w:p>
          <w:p w14:paraId="00023E46">
            <w:pPr>
              <w:numPr>
                <w:ilvl w:val="0"/>
                <w:numId w:val="0"/>
              </w:numPr>
              <w:spacing w:line="4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项目废水处理措施如下图：</w:t>
            </w:r>
          </w:p>
          <w:p w14:paraId="05109BC5">
            <w:pPr>
              <w:pStyle w:val="75"/>
              <w:rPr>
                <w:rFonts w:hint="default" w:eastAsia="宋体"/>
                <w:b/>
                <w:bCs w:val="0"/>
                <w:color w:val="auto"/>
                <w:szCs w:val="26"/>
                <w:lang w:val="en-US" w:eastAsia="zh-CN"/>
              </w:rPr>
            </w:pPr>
            <w:r>
              <w:rPr>
                <w:color w:val="auto"/>
                <w:sz w:val="26"/>
              </w:rPr>
              <mc:AlternateContent>
                <mc:Choice Requires="wps">
                  <w:drawing>
                    <wp:anchor distT="0" distB="0" distL="114300" distR="114300" simplePos="0" relativeHeight="251669504" behindDoc="0" locked="0" layoutInCell="1" allowOverlap="1">
                      <wp:simplePos x="0" y="0"/>
                      <wp:positionH relativeFrom="column">
                        <wp:posOffset>2926715</wp:posOffset>
                      </wp:positionH>
                      <wp:positionV relativeFrom="paragraph">
                        <wp:posOffset>1048385</wp:posOffset>
                      </wp:positionV>
                      <wp:extent cx="9525" cy="266700"/>
                      <wp:effectExtent l="35560" t="0" r="31115" b="7620"/>
                      <wp:wrapNone/>
                      <wp:docPr id="59" name="直接箭头连接符 59"/>
                      <wp:cNvGraphicFramePr/>
                      <a:graphic xmlns:a="http://schemas.openxmlformats.org/drawingml/2006/main">
                        <a:graphicData uri="http://schemas.microsoft.com/office/word/2010/wordprocessingShape">
                          <wps:wsp>
                            <wps:cNvCnPr/>
                            <wps:spPr>
                              <a:xfrm flipH="1" flipV="1">
                                <a:off x="4420870" y="8237220"/>
                                <a:ext cx="9525" cy="266700"/>
                              </a:xfrm>
                              <a:prstGeom prst="straightConnector1">
                                <a:avLst/>
                              </a:prstGeom>
                              <a:ln w="635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30.45pt;margin-top:82.55pt;height:21pt;width:0.75pt;z-index:251669504;mso-width-relative:page;mso-height-relative:page;" filled="f" stroked="t" coordsize="21600,21600" o:gfxdata="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ThhK2AAAAAsBAAAP&#10;AAAAAAAAAAEAIAAAACIAAABkcnMvZG93bnJldi54bWxQSwECFAAUAAAACACHTuJADn314BgCAADu&#10;AwAADgAAAAAAAAABACAAAAAnAQAAZHJzL2Uyb0RvYy54bWxQSwUGAAAAAAYABgBZAQAAsQUAAAAA&#10;">
                      <v:fill on="f" focussize="0,0"/>
                      <v:stroke weight="0.5pt" color="#000000 [3213]" joinstyle="round" endarrow="block"/>
                      <v:imagedata o:title=""/>
                      <o:lock v:ext="edit" aspectratio="f"/>
                    </v:shape>
                  </w:pict>
                </mc:Fallback>
              </mc:AlternateContent>
            </w:r>
            <w:r>
              <w:rPr>
                <w:color w:val="auto"/>
                <w:sz w:val="26"/>
              </w:rPr>
              <mc:AlternateContent>
                <mc:Choice Requires="wps">
                  <w:drawing>
                    <wp:anchor distT="0" distB="0" distL="114300" distR="114300" simplePos="0" relativeHeight="251668480" behindDoc="0" locked="0" layoutInCell="1" allowOverlap="1">
                      <wp:simplePos x="0" y="0"/>
                      <wp:positionH relativeFrom="column">
                        <wp:posOffset>1602740</wp:posOffset>
                      </wp:positionH>
                      <wp:positionV relativeFrom="paragraph">
                        <wp:posOffset>1315085</wp:posOffset>
                      </wp:positionV>
                      <wp:extent cx="1343025" cy="0"/>
                      <wp:effectExtent l="0" t="4445" r="0" b="5080"/>
                      <wp:wrapNone/>
                      <wp:docPr id="58" name="直接箭头连接符 58"/>
                      <wp:cNvGraphicFramePr/>
                      <a:graphic xmlns:a="http://schemas.openxmlformats.org/drawingml/2006/main">
                        <a:graphicData uri="http://schemas.microsoft.com/office/word/2010/wordprocessingShape">
                          <wps:wsp>
                            <wps:cNvCnPr/>
                            <wps:spPr>
                              <a:xfrm>
                                <a:off x="0" y="0"/>
                                <a:ext cx="1343025" cy="0"/>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6.2pt;margin-top:103.55pt;height:0pt;width:105.75pt;z-index:251668480;mso-width-relative:page;mso-height-relative:page;" filled="f" stroked="t" coordsize="21600,21600" o:gfxdata="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MiQtgAAAALAQAADwAAAAAAAAABACAAAAAiAAAAZHJzL2Rvd25yZXYueG1s&#10;UEsBAhQAFAAAAAgAh07iQLiarKT4AQAAyAMAAA4AAAAAAAAAAQAgAAAAJwEAAGRycy9lMm9Eb2Mu&#10;eG1sUEsFBgAAAAAGAAYAWQEAAJEFAAAAAA==&#10;">
                      <v:fill on="f" focussize="0,0"/>
                      <v:stroke weight="0.5pt" color="#000000 [3213]" joinstyle="round"/>
                      <v:imagedata o:title=""/>
                      <o:lock v:ext="edit" aspectratio="f"/>
                    </v:shape>
                  </w:pict>
                </mc:Fallback>
              </mc:AlternateContent>
            </w:r>
            <w:r>
              <w:rPr>
                <w:color w:val="auto"/>
                <w:sz w:val="26"/>
              </w:rPr>
              <mc:AlternateContent>
                <mc:Choice Requires="wps">
                  <w:drawing>
                    <wp:anchor distT="0" distB="0" distL="114300" distR="114300" simplePos="0" relativeHeight="251667456" behindDoc="0" locked="0" layoutInCell="1" allowOverlap="1">
                      <wp:simplePos x="0" y="0"/>
                      <wp:positionH relativeFrom="column">
                        <wp:posOffset>784225</wp:posOffset>
                      </wp:positionH>
                      <wp:positionV relativeFrom="paragraph">
                        <wp:posOffset>1172210</wp:posOffset>
                      </wp:positionV>
                      <wp:extent cx="905510" cy="275590"/>
                      <wp:effectExtent l="0" t="0" r="8890" b="13970"/>
                      <wp:wrapNone/>
                      <wp:docPr id="57" name="矩形 57"/>
                      <wp:cNvGraphicFramePr/>
                      <a:graphic xmlns:a="http://schemas.openxmlformats.org/drawingml/2006/main">
                        <a:graphicData uri="http://schemas.microsoft.com/office/word/2010/wordprocessingShape">
                          <wps:wsp>
                            <wps:cNvSpPr/>
                            <wps:spPr>
                              <a:xfrm>
                                <a:off x="0" y="0"/>
                                <a:ext cx="905510" cy="275590"/>
                              </a:xfrm>
                              <a:prstGeom prst="rect">
                                <a:avLst/>
                              </a:prstGeom>
                              <a:solidFill>
                                <a:schemeClr val="bg1"/>
                              </a:solid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06EF5B00">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其他生活污水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75pt;margin-top:92.3pt;height:21.7pt;width:71.3pt;z-index:251667456;v-text-anchor:middle;mso-width-relative:page;mso-height-relative:page;" fillcolor="#FFFFFF [3212]" filled="t" stroked="f" coordsize="21600,21600" o:gfxdata="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1bWo9oAAAALAQAADwAAAAAAAAABACAAAAAiAAAAZHJzL2Rvd25yZXYueG1sUEsB&#10;AhQAFAAAAAgAh07iQNJ082JlAgAAvwQAAA4AAAAAAAAAAQAgAAAAKQEAAGRycy9lMm9Eb2MueG1s&#10;UEsFBgAAAAAGAAYAWQEAAAAGAAAAAA==&#10;">
                      <v:fill on="t" focussize="0,0"/>
                      <v:stroke on="f" weight="0.25pt"/>
                      <v:imagedata o:title=""/>
                      <o:lock v:ext="edit" aspectratio="f"/>
                      <v:textbox>
                        <w:txbxContent>
                          <w:p w14:paraId="06EF5B00">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其他生活污水</w:t>
                            </w:r>
                          </w:p>
                        </w:txbxContent>
                      </v:textbox>
                    </v:rect>
                  </w:pict>
                </mc:Fallback>
              </mc:AlternateContent>
            </w:r>
            <w:r>
              <w:rPr>
                <w:color w:val="auto"/>
                <w:sz w:val="26"/>
              </w:rPr>
              <mc:AlternateContent>
                <mc:Choice Requires="wps">
                  <w:drawing>
                    <wp:anchor distT="0" distB="0" distL="114300" distR="114300" simplePos="0" relativeHeight="251666432" behindDoc="0" locked="0" layoutInCell="1" allowOverlap="1">
                      <wp:simplePos x="0" y="0"/>
                      <wp:positionH relativeFrom="column">
                        <wp:posOffset>1574165</wp:posOffset>
                      </wp:positionH>
                      <wp:positionV relativeFrom="paragraph">
                        <wp:posOffset>924560</wp:posOffset>
                      </wp:positionV>
                      <wp:extent cx="295275" cy="9525"/>
                      <wp:effectExtent l="0" t="35560" r="9525" b="31115"/>
                      <wp:wrapNone/>
                      <wp:docPr id="56" name="直接箭头连接符 56"/>
                      <wp:cNvGraphicFramePr/>
                      <a:graphic xmlns:a="http://schemas.openxmlformats.org/drawingml/2006/main">
                        <a:graphicData uri="http://schemas.microsoft.com/office/word/2010/wordprocessingShape">
                          <wps:wsp>
                            <wps:cNvCnPr/>
                            <wps:spPr>
                              <a:xfrm flipV="1">
                                <a:off x="3230245" y="8522970"/>
                                <a:ext cx="295275" cy="952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3.95pt;margin-top:72.8pt;height:0.75pt;width:23.25pt;z-index:251666432;mso-width-relative:page;mso-height-relative:page;" filled="f" stroked="t" coordsize="21600,21600" o:gfxdata="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1P3S2gAAAAsBAAAPAAAAAAAAAAEA&#10;IAAAACIAAABkcnMvZG93bnJldi54bWxQSwECFAAUAAAACACHTuJAjPidLQ0CAADkAwAADgAAAAAA&#10;AAABACAAAAApAQAAZHJzL2Uyb0RvYy54bWxQSwUGAAAAAAYABgBZAQAAqAUAAAAA&#10;">
                      <v:fill on="f" focussize="0,0"/>
                      <v:stroke color="#000000 [3213]" joinstyle="round" endarrow="block"/>
                      <v:imagedata o:title=""/>
                      <o:lock v:ext="edit" aspectratio="f"/>
                    </v:shape>
                  </w:pict>
                </mc:Fallback>
              </mc:AlternateContent>
            </w:r>
            <w:r>
              <w:rPr>
                <w:rFonts w:hint="default" w:eastAsia="宋体"/>
                <w:b/>
                <w:bCs w:val="0"/>
                <w:color w:val="auto"/>
                <w:szCs w:val="26"/>
                <w:lang w:val="en-US" w:eastAsia="zh-CN"/>
              </w:rPr>
              <w:drawing>
                <wp:inline distT="0" distB="0" distL="114300" distR="114300">
                  <wp:extent cx="4549140" cy="1485900"/>
                  <wp:effectExtent l="0" t="0" r="0" b="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9"/>
                          <a:stretch>
                            <a:fillRect/>
                          </a:stretch>
                        </pic:blipFill>
                        <pic:spPr>
                          <a:xfrm>
                            <a:off x="0" y="0"/>
                            <a:ext cx="4549140" cy="1485900"/>
                          </a:xfrm>
                          <a:prstGeom prst="rect">
                            <a:avLst/>
                          </a:prstGeom>
                        </pic:spPr>
                      </pic:pic>
                    </a:graphicData>
                  </a:graphic>
                </wp:inline>
              </w:drawing>
            </w:r>
            <w:r>
              <w:rPr>
                <w:color w:val="auto"/>
                <w:sz w:val="26"/>
              </w:rPr>
              <mc:AlternateContent>
                <mc:Choice Requires="wps">
                  <w:drawing>
                    <wp:anchor distT="0" distB="0" distL="114300" distR="114300" simplePos="0" relativeHeight="251665408" behindDoc="0" locked="0" layoutInCell="1" allowOverlap="1">
                      <wp:simplePos x="0" y="0"/>
                      <wp:positionH relativeFrom="column">
                        <wp:posOffset>1851025</wp:posOffset>
                      </wp:positionH>
                      <wp:positionV relativeFrom="paragraph">
                        <wp:posOffset>800735</wp:posOffset>
                      </wp:positionV>
                      <wp:extent cx="448310" cy="275590"/>
                      <wp:effectExtent l="5080" t="4445" r="19050" b="9525"/>
                      <wp:wrapNone/>
                      <wp:docPr id="55" name="矩形 55"/>
                      <wp:cNvGraphicFramePr/>
                      <a:graphic xmlns:a="http://schemas.openxmlformats.org/drawingml/2006/main">
                        <a:graphicData uri="http://schemas.microsoft.com/office/word/2010/wordprocessingShape">
                          <wps:wsp>
                            <wps:cNvSpPr/>
                            <wps:spPr>
                              <a:xfrm>
                                <a:off x="0" y="0"/>
                                <a:ext cx="448310" cy="275590"/>
                              </a:xfrm>
                              <a:prstGeom prst="rect">
                                <a:avLst/>
                              </a:prstGeom>
                              <a:solidFill>
                                <a:schemeClr val="bg1"/>
                              </a:solid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DF33A4">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格栅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75pt;margin-top:63.05pt;height:21.7pt;width:35.3pt;z-index:251665408;v-text-anchor:middle;mso-width-relative:page;mso-height-relative:page;" fillcolor="#FFFFFF [3212]" filled="t" stroked="t" coordsize="21600,21600" o:gfxdata="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swUpH2wAAAAsBAAAPAAAAAAAAAAEAIAAAACIAAABkcnMvZG93bnJl&#10;di54bWxQSwECFAAUAAAACACHTuJANP5H3GwCAADoBAAADgAAAAAAAAABACAAAAAqAQAAZHJzL2Uy&#10;b0RvYy54bWxQSwUGAAAAAAYABgBZAQAACAYAAAAA&#10;">
                      <v:fill on="t" focussize="0,0"/>
                      <v:stroke weight="0.25pt" color="#000000 [3213]" joinstyle="round"/>
                      <v:imagedata o:title=""/>
                      <o:lock v:ext="edit" aspectratio="f"/>
                      <v:textbox>
                        <w:txbxContent>
                          <w:p w14:paraId="77DF33A4">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格栅</w:t>
                            </w:r>
                          </w:p>
                        </w:txbxContent>
                      </v:textbox>
                    </v:rect>
                  </w:pict>
                </mc:Fallback>
              </mc:AlternateContent>
            </w:r>
            <w:r>
              <w:rPr>
                <w:color w:val="auto"/>
                <w:sz w:val="26"/>
              </w:rPr>
              <mc:AlternateContent>
                <mc:Choice Requires="wps">
                  <w:drawing>
                    <wp:anchor distT="0" distB="0" distL="114300" distR="114300" simplePos="0" relativeHeight="251664384" behindDoc="0" locked="0" layoutInCell="1" allowOverlap="1">
                      <wp:simplePos x="0" y="0"/>
                      <wp:positionH relativeFrom="column">
                        <wp:posOffset>784225</wp:posOffset>
                      </wp:positionH>
                      <wp:positionV relativeFrom="paragraph">
                        <wp:posOffset>791210</wp:posOffset>
                      </wp:positionV>
                      <wp:extent cx="905510" cy="275590"/>
                      <wp:effectExtent l="0" t="0" r="8890" b="13970"/>
                      <wp:wrapNone/>
                      <wp:docPr id="53" name="矩形 53"/>
                      <wp:cNvGraphicFramePr/>
                      <a:graphic xmlns:a="http://schemas.openxmlformats.org/drawingml/2006/main">
                        <a:graphicData uri="http://schemas.microsoft.com/office/word/2010/wordprocessingShape">
                          <wps:wsp>
                            <wps:cNvSpPr/>
                            <wps:spPr>
                              <a:xfrm>
                                <a:off x="3430270" y="8037195"/>
                                <a:ext cx="905510" cy="275590"/>
                              </a:xfrm>
                              <a:prstGeom prst="rect">
                                <a:avLst/>
                              </a:prstGeom>
                              <a:solidFill>
                                <a:schemeClr val="bg1"/>
                              </a:solid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4099329C">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美容洗浴废水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75pt;margin-top:62.3pt;height:21.7pt;width:71.3pt;z-index:251664384;v-text-anchor:middle;mso-width-relative:page;mso-height-relative:page;" fillcolor="#FFFFFF [3212]" filled="t" stroked="f" coordsize="21600,21600" o:gfxdata="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b+eDNoAAAALAQAADwAAAAAAAAABACAAAAAiAAAAZHJzL2Rv&#10;d25yZXYueG1sUEsBAhQAFAAAAAgAh07iQOS2CstxAgAAywQAAA4AAAAAAAAAAQAgAAAAKQEAAGRy&#10;cy9lMm9Eb2MueG1sUEsFBgAAAAAGAAYAWQEAAAwGAAAAAA==&#10;">
                      <v:fill on="t" focussize="0,0"/>
                      <v:stroke on="f" weight="0.25pt"/>
                      <v:imagedata o:title=""/>
                      <o:lock v:ext="edit" aspectratio="f"/>
                      <v:textbox>
                        <w:txbxContent>
                          <w:p w14:paraId="4099329C">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美容洗浴废水</w:t>
                            </w:r>
                          </w:p>
                        </w:txbxContent>
                      </v:textbox>
                    </v:rect>
                  </w:pict>
                </mc:Fallback>
              </mc:AlternateContent>
            </w:r>
          </w:p>
          <w:p w14:paraId="03C850AE">
            <w:pPr>
              <w:numPr>
                <w:ilvl w:val="0"/>
                <w:numId w:val="0"/>
              </w:numPr>
              <w:spacing w:line="400" w:lineRule="exact"/>
              <w:ind w:firstLine="422" w:firstLineChars="20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 xml:space="preserve">图4-1 </w:t>
            </w:r>
            <w:r>
              <w:rPr>
                <w:rFonts w:hint="eastAsia" w:ascii="Times New Roman" w:hAnsi="Times New Roman" w:cs="Times New Roman"/>
                <w:b/>
                <w:bCs/>
                <w:color w:val="auto"/>
                <w:szCs w:val="21"/>
                <w:lang w:val="en-US" w:eastAsia="zh-CN"/>
              </w:rPr>
              <w:t xml:space="preserve">  </w:t>
            </w:r>
            <w:r>
              <w:rPr>
                <w:rFonts w:hint="eastAsia" w:ascii="Times New Roman" w:hAnsi="Times New Roman" w:eastAsia="宋体" w:cs="Times New Roman"/>
                <w:b/>
                <w:bCs/>
                <w:color w:val="auto"/>
                <w:szCs w:val="21"/>
                <w:lang w:val="en-US" w:eastAsia="zh-CN"/>
              </w:rPr>
              <w:t>废水处理设施示意图</w:t>
            </w:r>
          </w:p>
          <w:p w14:paraId="4C3BCA0D">
            <w:pPr>
              <w:numPr>
                <w:ilvl w:val="0"/>
                <w:numId w:val="0"/>
              </w:numPr>
              <w:spacing w:line="400" w:lineRule="exact"/>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综上，</w:t>
            </w:r>
            <w:r>
              <w:rPr>
                <w:rFonts w:hint="default" w:ascii="Times New Roman" w:hAnsi="Times New Roman" w:cs="Times New Roman"/>
                <w:color w:val="auto"/>
                <w:szCs w:val="21"/>
                <w:lang w:val="en-US" w:eastAsia="zh-CN"/>
              </w:rPr>
              <w:t>项目位于</w:t>
            </w:r>
            <w:r>
              <w:rPr>
                <w:rFonts w:hint="eastAsia" w:ascii="Times New Roman" w:hAnsi="Times New Roman" w:cs="Times New Roman"/>
                <w:color w:val="auto"/>
                <w:szCs w:val="21"/>
                <w:lang w:val="en-US" w:eastAsia="zh-CN"/>
              </w:rPr>
              <w:t>小区</w:t>
            </w:r>
            <w:r>
              <w:rPr>
                <w:rFonts w:hint="default" w:ascii="Times New Roman" w:hAnsi="Times New Roman" w:cs="Times New Roman"/>
                <w:color w:val="auto"/>
                <w:szCs w:val="21"/>
                <w:lang w:val="en-US" w:eastAsia="zh-CN"/>
              </w:rPr>
              <w:t>的商业楼裙楼门面，废水经商业污水管网进入</w:t>
            </w:r>
            <w:r>
              <w:rPr>
                <w:rFonts w:hint="eastAsia" w:ascii="Times New Roman" w:hAnsi="Times New Roman" w:cs="Times New Roman"/>
                <w:color w:val="auto"/>
                <w:szCs w:val="21"/>
                <w:lang w:val="en-US" w:eastAsia="zh-CN"/>
              </w:rPr>
              <w:t>小区</w:t>
            </w:r>
            <w:r>
              <w:rPr>
                <w:rFonts w:hint="default" w:ascii="Times New Roman" w:hAnsi="Times New Roman" w:cs="Times New Roman"/>
                <w:color w:val="auto"/>
                <w:szCs w:val="21"/>
                <w:lang w:val="en-US" w:eastAsia="zh-CN"/>
              </w:rPr>
              <w:t>已建生化池（处理能力约</w:t>
            </w:r>
            <w:r>
              <w:rPr>
                <w:rFonts w:hint="eastAsia" w:ascii="Times New Roman" w:hAnsi="Times New Roman" w:cs="Times New Roman"/>
                <w:color w:val="auto"/>
                <w:szCs w:val="21"/>
                <w:lang w:val="en-US" w:eastAsia="zh-CN"/>
              </w:rPr>
              <w:t>200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d），生化池设计初期本身处理能力已考虑了整个商铺门面的废水量，出水水质满足《污水综合排放标准》（GB8978-1996）三级标准，接入市政污水管网。目前该生化池运行正常，项目废水量小且污水水质简单，该污水处理设施有足够负荷接纳项目的污废水</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因此，项目污水依托</w:t>
            </w:r>
            <w:r>
              <w:rPr>
                <w:rFonts w:hint="eastAsia" w:ascii="Times New Roman" w:hAnsi="Times New Roman" w:cs="Times New Roman"/>
                <w:color w:val="auto"/>
                <w:szCs w:val="21"/>
                <w:lang w:val="en-US" w:eastAsia="zh-CN"/>
              </w:rPr>
              <w:t>小区</w:t>
            </w:r>
            <w:r>
              <w:rPr>
                <w:rFonts w:hint="default" w:ascii="Times New Roman" w:hAnsi="Times New Roman" w:cs="Times New Roman"/>
                <w:color w:val="auto"/>
                <w:szCs w:val="21"/>
                <w:lang w:val="en-US" w:eastAsia="zh-CN"/>
              </w:rPr>
              <w:t>现有污水处理设施处理达标排放可行。因此项目废水排入该生化池处理合理可行。</w:t>
            </w:r>
          </w:p>
          <w:p w14:paraId="5C2C3E20">
            <w:pPr>
              <w:keepNext w:val="0"/>
              <w:keepLines w:val="0"/>
              <w:pageBreakBefore w:val="0"/>
              <w:widowControl w:val="0"/>
              <w:kinsoku/>
              <w:wordWrap/>
              <w:overflowPunct/>
              <w:topLinePunct w:val="0"/>
              <w:bidi w:val="0"/>
              <w:adjustRightInd w:val="0"/>
              <w:snapToGrid w:val="0"/>
              <w:spacing w:line="400" w:lineRule="exact"/>
              <w:ind w:firstLine="422" w:firstLineChars="200"/>
              <w:textAlignment w:val="auto"/>
              <w:rPr>
                <w:b/>
                <w:color w:val="auto"/>
                <w:szCs w:val="21"/>
              </w:rPr>
            </w:pPr>
            <w:r>
              <w:rPr>
                <w:b/>
                <w:color w:val="auto"/>
                <w:szCs w:val="21"/>
              </w:rPr>
              <w:t>（</w:t>
            </w:r>
            <w:r>
              <w:rPr>
                <w:rFonts w:hint="eastAsia"/>
                <w:b/>
                <w:color w:val="auto"/>
                <w:szCs w:val="21"/>
                <w:lang w:val="en-US" w:eastAsia="zh-CN"/>
              </w:rPr>
              <w:t>3</w:t>
            </w:r>
            <w:r>
              <w:rPr>
                <w:b/>
                <w:color w:val="auto"/>
                <w:szCs w:val="21"/>
              </w:rPr>
              <w:t>）废水进入污水处理厂可行性分析</w:t>
            </w:r>
          </w:p>
          <w:p w14:paraId="6977F1AF">
            <w:pPr>
              <w:spacing w:line="4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鸡冠石污水处理厂隶属于重庆鸡冠石污水处理项目管理有限公司，坐落于重庆南岸区，厂区具体位于重庆市南岸区鸡冠石正街99号，主体工艺采用</w:t>
            </w:r>
            <w:r>
              <w:rPr>
                <w:rFonts w:hint="eastAsia" w:ascii="Times New Roman" w:hAnsi="Times New Roman" w:cs="Times New Roman"/>
                <w:color w:val="auto"/>
                <w:szCs w:val="21"/>
                <w:lang w:val="en-US" w:eastAsia="zh-CN"/>
              </w:rPr>
              <w:t>“</w:t>
            </w:r>
            <w:r>
              <w:rPr>
                <w:rFonts w:hint="default" w:ascii="Times New Roman" w:hAnsi="Times New Roman" w:eastAsia="宋体" w:cs="Times New Roman"/>
                <w:color w:val="auto"/>
                <w:kern w:val="0"/>
                <w:sz w:val="21"/>
                <w:szCs w:val="21"/>
                <w:highlight w:val="none"/>
                <w:lang w:val="en-US" w:eastAsia="zh-CN" w:bidi="ar"/>
              </w:rPr>
              <w:t>A2/</w:t>
            </w:r>
            <w:r>
              <w:rPr>
                <w:rFonts w:hint="eastAsia" w:cs="Times New Roman"/>
                <w:color w:val="auto"/>
                <w:kern w:val="0"/>
                <w:sz w:val="21"/>
                <w:szCs w:val="21"/>
                <w:highlight w:val="none"/>
                <w:lang w:val="en-US" w:eastAsia="zh-CN" w:bidi="ar"/>
              </w:rPr>
              <w:t>O</w:t>
            </w:r>
            <w:r>
              <w:rPr>
                <w:rFonts w:hint="default" w:ascii="Times New Roman" w:hAnsi="Times New Roman" w:eastAsia="宋体" w:cs="Times New Roman"/>
                <w:color w:val="auto"/>
                <w:kern w:val="0"/>
                <w:sz w:val="21"/>
                <w:szCs w:val="21"/>
                <w:highlight w:val="none"/>
                <w:lang w:val="en-US" w:eastAsia="zh-CN" w:bidi="ar"/>
              </w:rPr>
              <w:t>+高效沉淀+气水反冲滤池</w:t>
            </w:r>
            <w:r>
              <w:rPr>
                <w:rFonts w:hint="eastAsia" w:ascii="Times New Roman" w:hAnsi="Times New Roman" w:cs="Times New Roman"/>
                <w:color w:val="auto"/>
                <w:szCs w:val="21"/>
                <w:lang w:val="en-US" w:eastAsia="zh-CN"/>
              </w:rPr>
              <w:t>”</w:t>
            </w:r>
            <w:r>
              <w:rPr>
                <w:rFonts w:hint="default" w:ascii="Times New Roman" w:hAnsi="Times New Roman" w:eastAsia="宋体" w:cs="Times New Roman"/>
                <w:color w:val="auto"/>
                <w:kern w:val="0"/>
                <w:sz w:val="21"/>
                <w:szCs w:val="21"/>
                <w:highlight w:val="none"/>
                <w:lang w:val="en-US" w:eastAsia="zh-CN" w:bidi="ar"/>
              </w:rPr>
              <w:t>工艺</w:t>
            </w:r>
            <w:r>
              <w:rPr>
                <w:rFonts w:hint="eastAsia" w:ascii="Times New Roman" w:hAnsi="Times New Roman" w:eastAsia="宋体" w:cs="Times New Roman"/>
                <w:color w:val="auto"/>
                <w:szCs w:val="21"/>
                <w:lang w:val="en-US" w:eastAsia="zh-CN"/>
              </w:rPr>
              <w:t>处理工艺，总占地面积为820亩，处理规模目前位居西南地区前列，其污水处理量占主城污水处理量的55%。鸡冠石污水处理厂于2006年9月正式投入运行以来污水处理设备运转良好，日平均处理污水量为72.26万m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。多年来运行稳定，设计处理能力为日处理污水80万m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、年平均运行时间365天，出厂水水质符合《城镇污水处理厂污染物排放标准》（GB18918-2002）一级A标准，综合合格率达95%以上。</w:t>
            </w:r>
          </w:p>
          <w:p w14:paraId="150A88A0">
            <w:pPr>
              <w:spacing w:line="4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周边市政管网配套完善，属于鸡冠石污水处理厂污水接纳范围，污水管网已接入市政污水管网。本项目废水为生活污水、医疗废水、地面清洁废水、毛毯工服清洁废水等，鸡冠石污水处理厂完全能够接纳本项目产生的污水，因此本项目废水接入鸡冠石污水处理厂是可行的。</w:t>
            </w:r>
          </w:p>
          <w:p w14:paraId="17F5A22A">
            <w:pPr>
              <w:spacing w:line="400" w:lineRule="exact"/>
              <w:ind w:firstLine="420" w:firstLineChars="200"/>
              <w:rPr>
                <w:color w:val="auto"/>
                <w:szCs w:val="21"/>
              </w:rPr>
            </w:pPr>
            <w:r>
              <w:rPr>
                <w:color w:val="auto"/>
                <w:szCs w:val="21"/>
              </w:rPr>
              <w:t>由此可见，本项目采取以上废水污染防治措施后，将有效减轻对地表水环境的影响，对水环境影响较小。</w:t>
            </w:r>
          </w:p>
          <w:p w14:paraId="0B2C782D">
            <w:pPr>
              <w:keepNext w:val="0"/>
              <w:keepLines w:val="0"/>
              <w:pageBreakBefore w:val="0"/>
              <w:widowControl w:val="0"/>
              <w:kinsoku/>
              <w:wordWrap/>
              <w:overflowPunct/>
              <w:topLinePunct w:val="0"/>
              <w:bidi w:val="0"/>
              <w:adjustRightInd w:val="0"/>
              <w:snapToGrid w:val="0"/>
              <w:spacing w:line="400" w:lineRule="exact"/>
              <w:ind w:firstLine="422" w:firstLineChars="200"/>
              <w:textAlignment w:val="auto"/>
              <w:rPr>
                <w:b/>
                <w:color w:val="auto"/>
              </w:rPr>
            </w:pPr>
            <w:r>
              <w:rPr>
                <w:b/>
                <w:color w:val="auto"/>
                <w:szCs w:val="21"/>
              </w:rPr>
              <w:t>（</w:t>
            </w:r>
            <w:r>
              <w:rPr>
                <w:rFonts w:hint="eastAsia"/>
                <w:b/>
                <w:color w:val="auto"/>
                <w:szCs w:val="21"/>
                <w:lang w:val="en-US" w:eastAsia="zh-CN"/>
              </w:rPr>
              <w:t>4</w:t>
            </w:r>
            <w:r>
              <w:rPr>
                <w:b/>
                <w:color w:val="auto"/>
                <w:szCs w:val="21"/>
              </w:rPr>
              <w:t>）</w:t>
            </w:r>
            <w:r>
              <w:rPr>
                <w:b/>
                <w:color w:val="auto"/>
              </w:rPr>
              <w:t>监测要求</w:t>
            </w:r>
          </w:p>
          <w:p w14:paraId="0CEB0057">
            <w:pPr>
              <w:adjustRightInd w:val="0"/>
              <w:snapToGrid w:val="0"/>
              <w:spacing w:line="400" w:lineRule="exact"/>
              <w:ind w:firstLine="420" w:firstLineChars="200"/>
              <w:rPr>
                <w:rFonts w:hint="eastAsia"/>
                <w:color w:val="auto"/>
                <w:lang w:val="en-US" w:eastAsia="zh-CN"/>
              </w:rPr>
            </w:pPr>
            <w:r>
              <w:rPr>
                <w:rFonts w:hint="eastAsia"/>
                <w:color w:val="auto"/>
                <w:lang w:val="en-US" w:eastAsia="zh-CN"/>
              </w:rPr>
              <w:t xml:space="preserve">项目废水依托小区已建生化池，小区生化池的管理及维护均由小区物业公司（重庆朗基物业服务有限公司）承担，生化池已通过验收。因此，纳入“远洋城生化池”的环境监测计划中进行监测。 </w:t>
            </w:r>
          </w:p>
          <w:p w14:paraId="2BF4BDE4">
            <w:pPr>
              <w:adjustRightInd w:val="0"/>
              <w:snapToGrid w:val="0"/>
              <w:spacing w:line="400" w:lineRule="exact"/>
              <w:ind w:firstLine="420" w:firstLineChars="200"/>
              <w:rPr>
                <w:rFonts w:hint="eastAsia"/>
                <w:color w:val="auto"/>
                <w:lang w:val="en-US" w:eastAsia="zh-CN"/>
              </w:rPr>
            </w:pPr>
            <w:r>
              <w:rPr>
                <w:rFonts w:hint="eastAsia"/>
                <w:color w:val="auto"/>
                <w:lang w:val="en-US" w:eastAsia="zh-CN"/>
              </w:rPr>
              <w:t xml:space="preserve">动物医院尚未发布排污许可技术规范及自行监测指南，故项目参照《排污许可证申请与核发技术规范 医疗机构》（HJ1105-2020）及《医疗机构水污染物排放标准》（GB18466-2005）4.1.3 规定“县级以下或20张床位以下的综合医疗机构和其他所有医疗机构污水经消毒后方可排放”，按照该标准项目不需要对医疗废水排放口水质进行监控，项目医疗废水经氯片消毒处理后排入小区已建生化池。 </w:t>
            </w:r>
          </w:p>
          <w:p w14:paraId="79DA4E30">
            <w:pPr>
              <w:adjustRightInd w:val="0"/>
              <w:snapToGrid w:val="0"/>
              <w:spacing w:line="400" w:lineRule="exact"/>
              <w:ind w:firstLine="420" w:firstLineChars="200"/>
              <w:rPr>
                <w:rFonts w:hint="eastAsia"/>
                <w:color w:val="auto"/>
                <w:lang w:val="en-US" w:eastAsia="zh-CN"/>
              </w:rPr>
            </w:pPr>
            <w:r>
              <w:rPr>
                <w:rFonts w:hint="eastAsia"/>
                <w:color w:val="auto"/>
                <w:lang w:val="en-US" w:eastAsia="zh-CN"/>
              </w:rPr>
              <w:t>小区生化池的管理及维护均由小区物业公司（重庆朗基物业服务有限公司）承担，生化池已通过验收，生化池环保责任主体为重庆朗基物业服务有限公司，同时项目废水产生量小，对生化池的冲击不大。故项目不作监测要求。</w:t>
            </w:r>
          </w:p>
          <w:p w14:paraId="30B8D05A">
            <w:pPr>
              <w:pStyle w:val="79"/>
              <w:keepNext w:val="0"/>
              <w:keepLines w:val="0"/>
              <w:pageBreakBefore w:val="0"/>
              <w:widowControl w:val="0"/>
              <w:kinsoku/>
              <w:wordWrap/>
              <w:overflowPunct/>
              <w:topLinePunct w:val="0"/>
              <w:autoSpaceDE/>
              <w:autoSpaceDN/>
              <w:bidi w:val="0"/>
              <w:adjustRightInd/>
              <w:snapToGrid/>
              <w:spacing w:line="400" w:lineRule="exact"/>
              <w:ind w:left="0" w:right="0" w:firstLine="424"/>
              <w:jc w:val="both"/>
              <w:textAlignment w:val="auto"/>
              <w:rPr>
                <w:color w:val="auto"/>
                <w:spacing w:val="5"/>
                <w:sz w:val="21"/>
                <w:szCs w:val="21"/>
              </w:rPr>
            </w:pPr>
            <w:r>
              <w:rPr>
                <w:color w:val="auto"/>
                <w:spacing w:val="11"/>
                <w:sz w:val="21"/>
                <w:szCs w:val="21"/>
              </w:rPr>
              <w:t>为配合粪大肠菌群</w:t>
            </w:r>
            <w:r>
              <w:rPr>
                <w:color w:val="auto"/>
                <w:spacing w:val="6"/>
                <w:sz w:val="21"/>
                <w:szCs w:val="21"/>
              </w:rPr>
              <w:t>和</w:t>
            </w:r>
            <w:r>
              <w:rPr>
                <w:rFonts w:hint="eastAsia"/>
                <w:color w:val="auto"/>
                <w:spacing w:val="6"/>
                <w:sz w:val="21"/>
                <w:szCs w:val="21"/>
                <w:lang w:val="en-US" w:eastAsia="zh-CN"/>
              </w:rPr>
              <w:t>总</w:t>
            </w:r>
            <w:r>
              <w:rPr>
                <w:color w:val="auto"/>
                <w:spacing w:val="6"/>
                <w:sz w:val="21"/>
                <w:szCs w:val="21"/>
              </w:rPr>
              <w:t>余氯的监督性监测，评价要求建设单位按照规范要求在消毒设施设置采样口。</w:t>
            </w:r>
            <w:r>
              <w:rPr>
                <w:rFonts w:hint="eastAsia"/>
                <w:color w:val="auto"/>
                <w:spacing w:val="6"/>
                <w:sz w:val="21"/>
                <w:szCs w:val="21"/>
                <w:lang w:val="en-US" w:eastAsia="zh-CN"/>
              </w:rPr>
              <w:t>参照</w:t>
            </w:r>
            <w:r>
              <w:rPr>
                <w:color w:val="auto"/>
                <w:spacing w:val="6"/>
                <w:sz w:val="21"/>
                <w:szCs w:val="21"/>
              </w:rPr>
              <w:t>《排</w:t>
            </w:r>
            <w:r>
              <w:rPr>
                <w:color w:val="auto"/>
                <w:spacing w:val="9"/>
                <w:sz w:val="21"/>
                <w:szCs w:val="21"/>
              </w:rPr>
              <w:t>污许可证申请与核发技术规范 医疗机构</w:t>
            </w:r>
            <w:r>
              <w:rPr>
                <w:color w:val="auto"/>
                <w:spacing w:val="8"/>
                <w:sz w:val="21"/>
                <w:szCs w:val="21"/>
              </w:rPr>
              <w:t>》（</w:t>
            </w:r>
            <w:r>
              <w:rPr>
                <w:rFonts w:ascii="Times New Roman" w:hAnsi="Times New Roman" w:eastAsia="Times New Roman" w:cs="Times New Roman"/>
                <w:color w:val="auto"/>
                <w:sz w:val="21"/>
                <w:szCs w:val="21"/>
              </w:rPr>
              <w:t>HJ</w:t>
            </w:r>
            <w:r>
              <w:rPr>
                <w:rFonts w:ascii="Times New Roman" w:hAnsi="Times New Roman" w:eastAsia="Times New Roman" w:cs="Times New Roman"/>
                <w:color w:val="auto"/>
                <w:spacing w:val="29"/>
                <w:sz w:val="21"/>
                <w:szCs w:val="21"/>
              </w:rPr>
              <w:t xml:space="preserve"> </w:t>
            </w:r>
            <w:r>
              <w:rPr>
                <w:rFonts w:ascii="Times New Roman" w:hAnsi="Times New Roman" w:eastAsia="Times New Roman" w:cs="Times New Roman"/>
                <w:color w:val="auto"/>
                <w:spacing w:val="8"/>
                <w:sz w:val="21"/>
                <w:szCs w:val="21"/>
              </w:rPr>
              <w:t>1105-2020</w:t>
            </w:r>
            <w:r>
              <w:rPr>
                <w:color w:val="auto"/>
                <w:spacing w:val="-3"/>
                <w:sz w:val="21"/>
                <w:szCs w:val="21"/>
              </w:rPr>
              <w:t>）</w:t>
            </w:r>
            <w:r>
              <w:rPr>
                <w:color w:val="auto"/>
                <w:spacing w:val="-60"/>
                <w:sz w:val="21"/>
                <w:szCs w:val="21"/>
              </w:rPr>
              <w:t xml:space="preserve"> </w:t>
            </w:r>
            <w:r>
              <w:rPr>
                <w:color w:val="auto"/>
                <w:spacing w:val="-3"/>
                <w:sz w:val="21"/>
                <w:szCs w:val="21"/>
              </w:rPr>
              <w:t>，</w:t>
            </w:r>
            <w:r>
              <w:rPr>
                <w:color w:val="auto"/>
                <w:spacing w:val="8"/>
                <w:sz w:val="21"/>
                <w:szCs w:val="21"/>
              </w:rPr>
              <w:t>制定出运营期废水监</w:t>
            </w:r>
            <w:r>
              <w:rPr>
                <w:color w:val="auto"/>
                <w:spacing w:val="5"/>
                <w:sz w:val="21"/>
                <w:szCs w:val="21"/>
              </w:rPr>
              <w:t>测计划详见表</w:t>
            </w:r>
            <w:r>
              <w:rPr>
                <w:color w:val="auto"/>
                <w:spacing w:val="-37"/>
                <w:sz w:val="21"/>
                <w:szCs w:val="21"/>
              </w:rPr>
              <w:t xml:space="preserve"> </w:t>
            </w:r>
            <w:r>
              <w:rPr>
                <w:rFonts w:ascii="Times New Roman" w:hAnsi="Times New Roman" w:eastAsia="Times New Roman" w:cs="Times New Roman"/>
                <w:color w:val="auto"/>
                <w:spacing w:val="5"/>
                <w:sz w:val="21"/>
                <w:szCs w:val="21"/>
              </w:rPr>
              <w:t>4-</w:t>
            </w:r>
            <w:r>
              <w:rPr>
                <w:rFonts w:hint="eastAsia" w:ascii="Times New Roman" w:hAnsi="Times New Roman" w:cs="Times New Roman"/>
                <w:color w:val="auto"/>
                <w:spacing w:val="5"/>
                <w:sz w:val="21"/>
                <w:szCs w:val="21"/>
                <w:lang w:val="en-US" w:eastAsia="zh-CN"/>
              </w:rPr>
              <w:t>3</w:t>
            </w:r>
            <w:r>
              <w:rPr>
                <w:color w:val="auto"/>
                <w:spacing w:val="5"/>
                <w:sz w:val="21"/>
                <w:szCs w:val="21"/>
              </w:rPr>
              <w:t>。</w:t>
            </w:r>
          </w:p>
          <w:p w14:paraId="751DDCC5">
            <w:pPr>
              <w:pStyle w:val="79"/>
              <w:keepNext w:val="0"/>
              <w:keepLines w:val="0"/>
              <w:pageBreakBefore w:val="0"/>
              <w:widowControl w:val="0"/>
              <w:kinsoku/>
              <w:wordWrap/>
              <w:overflowPunct/>
              <w:topLinePunct w:val="0"/>
              <w:autoSpaceDE/>
              <w:autoSpaceDN/>
              <w:bidi w:val="0"/>
              <w:adjustRightInd/>
              <w:snapToGrid/>
              <w:spacing w:line="400" w:lineRule="exact"/>
              <w:ind w:left="0" w:right="0"/>
              <w:jc w:val="center"/>
              <w:textAlignment w:val="auto"/>
              <w:outlineLvl w:val="0"/>
              <w:rPr>
                <w:b/>
                <w:bCs/>
                <w:color w:val="auto"/>
                <w:spacing w:val="5"/>
                <w:sz w:val="21"/>
                <w:szCs w:val="21"/>
              </w:rPr>
            </w:pPr>
            <w:r>
              <w:rPr>
                <w:b/>
                <w:bCs/>
                <w:color w:val="auto"/>
                <w:spacing w:val="5"/>
                <w:sz w:val="21"/>
                <w:szCs w:val="21"/>
              </w:rPr>
              <w:t>表</w:t>
            </w:r>
            <w:r>
              <w:rPr>
                <w:color w:val="auto"/>
                <w:spacing w:val="-32"/>
                <w:sz w:val="21"/>
                <w:szCs w:val="21"/>
              </w:rPr>
              <w:t xml:space="preserve"> </w:t>
            </w:r>
            <w:r>
              <w:rPr>
                <w:rFonts w:ascii="Times New Roman" w:hAnsi="Times New Roman" w:eastAsia="Times New Roman" w:cs="Times New Roman"/>
                <w:b/>
                <w:bCs/>
                <w:color w:val="auto"/>
                <w:spacing w:val="5"/>
                <w:sz w:val="21"/>
                <w:szCs w:val="21"/>
              </w:rPr>
              <w:t>4-</w:t>
            </w:r>
            <w:r>
              <w:rPr>
                <w:rFonts w:hint="eastAsia" w:ascii="Times New Roman" w:hAnsi="Times New Roman" w:cs="Times New Roman"/>
                <w:b/>
                <w:bCs/>
                <w:color w:val="auto"/>
                <w:spacing w:val="5"/>
                <w:sz w:val="21"/>
                <w:szCs w:val="21"/>
                <w:lang w:val="en-US" w:eastAsia="zh-CN"/>
              </w:rPr>
              <w:t>3</w:t>
            </w:r>
            <w:r>
              <w:rPr>
                <w:rFonts w:ascii="Times New Roman" w:hAnsi="Times New Roman" w:eastAsia="Times New Roman" w:cs="Times New Roman"/>
                <w:b/>
                <w:bCs/>
                <w:color w:val="auto"/>
                <w:spacing w:val="5"/>
                <w:sz w:val="21"/>
                <w:szCs w:val="21"/>
              </w:rPr>
              <w:t xml:space="preserve">    </w:t>
            </w:r>
            <w:r>
              <w:rPr>
                <w:b/>
                <w:bCs/>
                <w:color w:val="auto"/>
                <w:spacing w:val="5"/>
                <w:sz w:val="21"/>
                <w:szCs w:val="21"/>
              </w:rPr>
              <w:t>废水监测要求一览表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292"/>
              <w:gridCol w:w="1316"/>
              <w:gridCol w:w="3033"/>
              <w:gridCol w:w="915"/>
            </w:tblGrid>
            <w:tr w14:paraId="6B62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14:paraId="1BEFC37A">
                  <w:pPr>
                    <w:pStyle w:val="7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b/>
                      <w:bCs/>
                      <w:color w:val="auto"/>
                      <w:spacing w:val="5"/>
                      <w:sz w:val="21"/>
                      <w:szCs w:val="21"/>
                      <w:vertAlign w:val="baseline"/>
                    </w:rPr>
                  </w:pPr>
                  <w:r>
                    <w:rPr>
                      <w:b w:val="0"/>
                      <w:bCs w:val="0"/>
                      <w:color w:val="auto"/>
                      <w:spacing w:val="6"/>
                      <w:sz w:val="18"/>
                      <w:szCs w:val="18"/>
                    </w:rPr>
                    <w:t>监测点位</w:t>
                  </w:r>
                </w:p>
              </w:tc>
              <w:tc>
                <w:tcPr>
                  <w:tcW w:w="814" w:type="pct"/>
                  <w:vAlign w:val="center"/>
                </w:tcPr>
                <w:p w14:paraId="3DEE5C42">
                  <w:pPr>
                    <w:pStyle w:val="7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b/>
                      <w:bCs/>
                      <w:color w:val="auto"/>
                      <w:spacing w:val="5"/>
                      <w:sz w:val="21"/>
                      <w:szCs w:val="21"/>
                      <w:vertAlign w:val="baseline"/>
                    </w:rPr>
                  </w:pPr>
                  <w:r>
                    <w:rPr>
                      <w:b w:val="0"/>
                      <w:bCs w:val="0"/>
                      <w:color w:val="auto"/>
                      <w:spacing w:val="6"/>
                      <w:sz w:val="18"/>
                      <w:szCs w:val="18"/>
                    </w:rPr>
                    <w:t>监测因子</w:t>
                  </w:r>
                </w:p>
              </w:tc>
              <w:tc>
                <w:tcPr>
                  <w:tcW w:w="829" w:type="pct"/>
                  <w:vAlign w:val="center"/>
                </w:tcPr>
                <w:p w14:paraId="15404BCD">
                  <w:pPr>
                    <w:pStyle w:val="7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b/>
                      <w:bCs/>
                      <w:color w:val="auto"/>
                      <w:spacing w:val="5"/>
                      <w:sz w:val="21"/>
                      <w:szCs w:val="21"/>
                      <w:vertAlign w:val="baseline"/>
                    </w:rPr>
                  </w:pPr>
                  <w:r>
                    <w:rPr>
                      <w:b w:val="0"/>
                      <w:bCs w:val="0"/>
                      <w:color w:val="auto"/>
                      <w:spacing w:val="5"/>
                      <w:sz w:val="18"/>
                      <w:szCs w:val="18"/>
                    </w:rPr>
                    <w:t>监测频次</w:t>
                  </w:r>
                </w:p>
              </w:tc>
              <w:tc>
                <w:tcPr>
                  <w:tcW w:w="1910" w:type="pct"/>
                  <w:vAlign w:val="center"/>
                </w:tcPr>
                <w:p w14:paraId="4EF38137">
                  <w:pPr>
                    <w:pStyle w:val="7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b/>
                      <w:bCs/>
                      <w:color w:val="auto"/>
                      <w:spacing w:val="5"/>
                      <w:sz w:val="21"/>
                      <w:szCs w:val="21"/>
                      <w:vertAlign w:val="baseline"/>
                    </w:rPr>
                  </w:pPr>
                  <w:r>
                    <w:rPr>
                      <w:b w:val="0"/>
                      <w:bCs w:val="0"/>
                      <w:color w:val="auto"/>
                      <w:spacing w:val="6"/>
                      <w:sz w:val="18"/>
                      <w:szCs w:val="18"/>
                    </w:rPr>
                    <w:t>执行标准</w:t>
                  </w:r>
                </w:p>
              </w:tc>
              <w:tc>
                <w:tcPr>
                  <w:tcW w:w="576" w:type="pct"/>
                  <w:vAlign w:val="center"/>
                </w:tcPr>
                <w:p w14:paraId="0E2FCEBA">
                  <w:pPr>
                    <w:pStyle w:val="7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b/>
                      <w:bCs/>
                      <w:color w:val="auto"/>
                      <w:spacing w:val="5"/>
                      <w:sz w:val="21"/>
                      <w:szCs w:val="21"/>
                      <w:vertAlign w:val="baseline"/>
                    </w:rPr>
                  </w:pPr>
                  <w:r>
                    <w:rPr>
                      <w:b w:val="0"/>
                      <w:bCs w:val="0"/>
                      <w:color w:val="auto"/>
                      <w:spacing w:val="2"/>
                      <w:sz w:val="18"/>
                      <w:szCs w:val="18"/>
                    </w:rPr>
                    <w:t>备注</w:t>
                  </w:r>
                </w:p>
              </w:tc>
            </w:tr>
            <w:tr w14:paraId="0BF1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14:paraId="3FEF7312">
                  <w:pPr>
                    <w:pStyle w:val="7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0"/>
                    <w:rPr>
                      <w:b/>
                      <w:bCs/>
                      <w:color w:val="auto"/>
                      <w:spacing w:val="5"/>
                      <w:sz w:val="21"/>
                      <w:szCs w:val="21"/>
                      <w:vertAlign w:val="baseline"/>
                    </w:rPr>
                  </w:pPr>
                  <w:r>
                    <w:rPr>
                      <w:b w:val="0"/>
                      <w:bCs w:val="0"/>
                      <w:color w:val="auto"/>
                      <w:spacing w:val="1"/>
                      <w:sz w:val="18"/>
                      <w:szCs w:val="18"/>
                    </w:rPr>
                    <w:t>消毒</w:t>
                  </w:r>
                  <w:r>
                    <w:rPr>
                      <w:rFonts w:hint="eastAsia"/>
                      <w:b w:val="0"/>
                      <w:bCs w:val="0"/>
                      <w:color w:val="auto"/>
                      <w:spacing w:val="1"/>
                      <w:sz w:val="18"/>
                      <w:szCs w:val="18"/>
                      <w:lang w:val="en-US" w:eastAsia="zh-CN"/>
                    </w:rPr>
                    <w:t>设施</w:t>
                  </w:r>
                  <w:r>
                    <w:rPr>
                      <w:b w:val="0"/>
                      <w:bCs w:val="0"/>
                      <w:color w:val="auto"/>
                      <w:sz w:val="18"/>
                      <w:szCs w:val="18"/>
                    </w:rPr>
                    <w:t>出水口</w:t>
                  </w:r>
                </w:p>
              </w:tc>
              <w:tc>
                <w:tcPr>
                  <w:tcW w:w="814" w:type="pct"/>
                  <w:vAlign w:val="center"/>
                </w:tcPr>
                <w:p w14:paraId="05A7596C">
                  <w:pPr>
                    <w:pStyle w:val="7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auto"/>
                      <w:spacing w:val="5"/>
                      <w:sz w:val="21"/>
                      <w:szCs w:val="21"/>
                      <w:vertAlign w:val="baseline"/>
                    </w:rPr>
                  </w:pPr>
                  <w:r>
                    <w:rPr>
                      <w:b w:val="0"/>
                      <w:bCs w:val="0"/>
                      <w:color w:val="auto"/>
                      <w:spacing w:val="3"/>
                      <w:sz w:val="18"/>
                      <w:szCs w:val="18"/>
                    </w:rPr>
                    <w:t>总余氯、</w:t>
                  </w:r>
                  <w:r>
                    <w:rPr>
                      <w:b w:val="0"/>
                      <w:bCs w:val="0"/>
                      <w:color w:val="auto"/>
                      <w:spacing w:val="6"/>
                      <w:sz w:val="18"/>
                      <w:szCs w:val="18"/>
                    </w:rPr>
                    <w:t>粪大肠菌</w:t>
                  </w:r>
                  <w:r>
                    <w:rPr>
                      <w:b w:val="0"/>
                      <w:bCs w:val="0"/>
                      <w:color w:val="auto"/>
                      <w:spacing w:val="4"/>
                      <w:sz w:val="18"/>
                      <w:szCs w:val="18"/>
                    </w:rPr>
                    <w:t>群数</w:t>
                  </w:r>
                </w:p>
              </w:tc>
              <w:tc>
                <w:tcPr>
                  <w:tcW w:w="829" w:type="pct"/>
                  <w:vAlign w:val="center"/>
                </w:tcPr>
                <w:p w14:paraId="457096C2">
                  <w:pPr>
                    <w:pStyle w:val="7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0"/>
                    <w:rPr>
                      <w:b/>
                      <w:bCs/>
                      <w:color w:val="auto"/>
                      <w:spacing w:val="5"/>
                      <w:sz w:val="21"/>
                      <w:szCs w:val="21"/>
                      <w:vertAlign w:val="baseline"/>
                    </w:rPr>
                  </w:pPr>
                  <w:r>
                    <w:rPr>
                      <w:rFonts w:hint="eastAsia"/>
                      <w:b w:val="0"/>
                      <w:bCs w:val="0"/>
                      <w:color w:val="auto"/>
                      <w:spacing w:val="6"/>
                      <w:sz w:val="18"/>
                      <w:szCs w:val="18"/>
                      <w:lang w:val="en-US" w:eastAsia="zh-CN"/>
                    </w:rPr>
                    <w:t>每年监测1次</w:t>
                  </w:r>
                </w:p>
              </w:tc>
              <w:tc>
                <w:tcPr>
                  <w:tcW w:w="1910" w:type="pct"/>
                  <w:vAlign w:val="center"/>
                </w:tcPr>
                <w:p w14:paraId="56A6531D">
                  <w:pPr>
                    <w:pStyle w:val="7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0"/>
                    <w:rPr>
                      <w:rFonts w:hint="eastAsia"/>
                      <w:b w:val="0"/>
                      <w:bCs w:val="0"/>
                      <w:color w:val="auto"/>
                      <w:spacing w:val="6"/>
                      <w:sz w:val="18"/>
                      <w:szCs w:val="18"/>
                      <w:lang w:val="en-US" w:eastAsia="zh-CN"/>
                    </w:rPr>
                  </w:pPr>
                  <w:r>
                    <w:rPr>
                      <w:rFonts w:hint="eastAsia"/>
                      <w:b w:val="0"/>
                      <w:bCs w:val="0"/>
                      <w:color w:val="auto"/>
                      <w:spacing w:val="6"/>
                      <w:sz w:val="18"/>
                      <w:szCs w:val="18"/>
                      <w:lang w:val="en-US" w:eastAsia="zh-CN"/>
                    </w:rPr>
                    <w:t>参照《医疗机构水污染物排放标准》（GB 18466-2005）总余氯浓度限值2—8mg，粪大肠菌群排放限值5000个/L。</w:t>
                  </w:r>
                </w:p>
              </w:tc>
              <w:tc>
                <w:tcPr>
                  <w:tcW w:w="576" w:type="pct"/>
                  <w:vAlign w:val="center"/>
                </w:tcPr>
                <w:p w14:paraId="63C60169">
                  <w:pPr>
                    <w:pStyle w:val="7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0"/>
                    <w:rPr>
                      <w:rFonts w:hint="eastAsia"/>
                      <w:b w:val="0"/>
                      <w:bCs w:val="0"/>
                      <w:color w:val="auto"/>
                      <w:spacing w:val="6"/>
                      <w:sz w:val="18"/>
                      <w:szCs w:val="18"/>
                      <w:lang w:val="en-US" w:eastAsia="zh-CN"/>
                    </w:rPr>
                  </w:pPr>
                </w:p>
              </w:tc>
            </w:tr>
          </w:tbl>
          <w:p w14:paraId="082AED55">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b/>
                <w:bCs w:val="0"/>
                <w:color w:val="auto"/>
                <w:spacing w:val="0"/>
                <w:position w:val="0"/>
                <w:szCs w:val="21"/>
                <w:lang w:val="en-US" w:eastAsia="zh-CN"/>
              </w:rPr>
            </w:pPr>
            <w:r>
              <w:rPr>
                <w:rFonts w:hint="default" w:ascii="Times New Roman" w:hAnsi="Times New Roman" w:eastAsia="宋体" w:cs="Times New Roman"/>
                <w:b/>
                <w:bCs w:val="0"/>
                <w:color w:val="auto"/>
                <w:spacing w:val="0"/>
                <w:position w:val="0"/>
                <w:szCs w:val="21"/>
                <w:lang w:val="en-US" w:eastAsia="zh-CN"/>
              </w:rPr>
              <w:t>4.</w:t>
            </w:r>
            <w:r>
              <w:rPr>
                <w:rFonts w:hint="eastAsia" w:ascii="Times New Roman" w:hAnsi="Times New Roman" w:cs="Times New Roman"/>
                <w:b/>
                <w:bCs w:val="0"/>
                <w:color w:val="auto"/>
                <w:spacing w:val="0"/>
                <w:position w:val="0"/>
                <w:szCs w:val="21"/>
                <w:lang w:val="en-US" w:eastAsia="zh-CN"/>
              </w:rPr>
              <w:t>2.3</w:t>
            </w:r>
            <w:r>
              <w:rPr>
                <w:rFonts w:hint="default" w:ascii="Times New Roman" w:hAnsi="Times New Roman" w:eastAsia="宋体" w:cs="Times New Roman"/>
                <w:b/>
                <w:bCs w:val="0"/>
                <w:color w:val="auto"/>
                <w:spacing w:val="0"/>
                <w:position w:val="0"/>
                <w:szCs w:val="21"/>
                <w:lang w:val="en-US" w:eastAsia="zh-CN"/>
              </w:rPr>
              <w:t>噪声环境影响及保护措施</w:t>
            </w:r>
          </w:p>
          <w:p w14:paraId="609562EB">
            <w:pPr>
              <w:keepNext w:val="0"/>
              <w:keepLines w:val="0"/>
              <w:pageBreakBefore w:val="0"/>
              <w:widowControl w:val="0"/>
              <w:kinsoku/>
              <w:wordWrap/>
              <w:overflowPunct/>
              <w:topLinePunct w:val="0"/>
              <w:autoSpaceDE/>
              <w:autoSpaceDN/>
              <w:bidi w:val="0"/>
              <w:adjustRightInd w:val="0"/>
              <w:snapToGrid w:val="0"/>
              <w:spacing w:line="400" w:lineRule="exact"/>
              <w:ind w:firstLine="382" w:firstLineChars="200"/>
              <w:textAlignment w:val="auto"/>
              <w:rPr>
                <w:rFonts w:hint="eastAsia"/>
                <w:b/>
                <w:bCs/>
                <w:color w:val="auto"/>
                <w:spacing w:val="-10"/>
                <w:szCs w:val="21"/>
              </w:rPr>
            </w:pPr>
            <w:r>
              <w:rPr>
                <w:rFonts w:hint="eastAsia"/>
                <w:b/>
                <w:bCs/>
                <w:color w:val="auto"/>
                <w:spacing w:val="-10"/>
                <w:szCs w:val="21"/>
              </w:rPr>
              <w:t>（1）噪声源强及措施</w:t>
            </w:r>
          </w:p>
          <w:p w14:paraId="7A7FE6F9">
            <w:pPr>
              <w:keepNext w:val="0"/>
              <w:keepLines w:val="0"/>
              <w:pageBreakBefore w:val="0"/>
              <w:widowControl w:val="0"/>
              <w:kinsoku/>
              <w:wordWrap/>
              <w:overflowPunct/>
              <w:topLinePunct w:val="0"/>
              <w:autoSpaceDE/>
              <w:autoSpaceDN/>
              <w:bidi w:val="0"/>
              <w:adjustRightInd w:val="0"/>
              <w:snapToGrid w:val="0"/>
              <w:spacing w:line="400" w:lineRule="exact"/>
              <w:ind w:firstLine="380" w:firstLineChars="200"/>
              <w:textAlignment w:val="auto"/>
              <w:rPr>
                <w:rFonts w:hint="default" w:ascii="Times New Roman" w:hAnsi="Times New Roman" w:cs="Times New Roman"/>
                <w:bCs/>
                <w:color w:val="auto"/>
                <w:spacing w:val="-10"/>
                <w:szCs w:val="21"/>
                <w:lang w:val="en-US" w:eastAsia="zh-CN"/>
              </w:rPr>
            </w:pPr>
            <w:r>
              <w:rPr>
                <w:rFonts w:hint="eastAsia"/>
                <w:bCs/>
                <w:color w:val="auto"/>
                <w:spacing w:val="-10"/>
                <w:szCs w:val="21"/>
                <w:lang w:val="en-US" w:eastAsia="zh-CN"/>
              </w:rPr>
              <w:t>本项目无高噪声设备，主要噪声源为空调外机噪声和宠物偶发噪声，动物日常偶发噪声源强一般为 60~80dB（A</w:t>
            </w:r>
            <w:r>
              <w:rPr>
                <w:rFonts w:hint="default" w:ascii="Times New Roman" w:hAnsi="Times New Roman" w:cs="Times New Roman"/>
                <w:bCs/>
                <w:color w:val="auto"/>
                <w:spacing w:val="-10"/>
                <w:szCs w:val="21"/>
                <w:lang w:val="en-US" w:eastAsia="zh-CN"/>
              </w:rPr>
              <w:t>），空调外机机械噪声源强一般为52dB（A）</w:t>
            </w:r>
            <w:r>
              <w:rPr>
                <w:rFonts w:hint="eastAsia"/>
                <w:bCs/>
                <w:color w:val="auto"/>
                <w:spacing w:val="-10"/>
                <w:szCs w:val="21"/>
                <w:lang w:val="en-US" w:eastAsia="zh-CN"/>
              </w:rPr>
              <w:t>，外机位于项目出入口上方建筑预留的空调外机位置，</w:t>
            </w:r>
            <w:r>
              <w:rPr>
                <w:rFonts w:hint="eastAsia"/>
                <w:bCs/>
                <w:color w:val="auto"/>
                <w:spacing w:val="-10"/>
                <w:szCs w:val="21"/>
              </w:rPr>
              <w:t>项目在选取设备时拟选用低噪声设备，并对设备采取基础减振等降噪措施，最后进行厂房</w:t>
            </w:r>
            <w:r>
              <w:rPr>
                <w:rFonts w:hint="eastAsia"/>
                <w:bCs/>
                <w:color w:val="auto"/>
                <w:spacing w:val="-10"/>
                <w:szCs w:val="21"/>
                <w:lang w:val="en-US" w:eastAsia="zh-CN"/>
              </w:rPr>
              <w:t>墙体</w:t>
            </w:r>
            <w:r>
              <w:rPr>
                <w:rFonts w:hint="eastAsia"/>
                <w:bCs/>
                <w:color w:val="auto"/>
                <w:spacing w:val="-10"/>
                <w:szCs w:val="21"/>
              </w:rPr>
              <w:t>隔</w:t>
            </w:r>
            <w:r>
              <w:rPr>
                <w:rFonts w:hint="default" w:ascii="Times New Roman" w:hAnsi="Times New Roman" w:cs="Times New Roman"/>
                <w:bCs/>
                <w:color w:val="auto"/>
                <w:spacing w:val="-10"/>
                <w:szCs w:val="21"/>
              </w:rPr>
              <w:t>声，降噪效果约</w:t>
            </w:r>
            <w:r>
              <w:rPr>
                <w:rFonts w:hint="eastAsia" w:ascii="Times New Roman" w:hAnsi="Times New Roman" w:cs="Times New Roman"/>
                <w:bCs/>
                <w:color w:val="auto"/>
                <w:spacing w:val="-10"/>
                <w:szCs w:val="21"/>
                <w:lang w:val="en-US" w:eastAsia="zh-CN"/>
              </w:rPr>
              <w:t>15</w:t>
            </w:r>
            <w:r>
              <w:rPr>
                <w:rFonts w:hint="default" w:ascii="Times New Roman" w:hAnsi="Times New Roman" w:cs="Times New Roman"/>
                <w:bCs/>
                <w:color w:val="auto"/>
                <w:spacing w:val="-10"/>
                <w:szCs w:val="21"/>
              </w:rPr>
              <w:t>~</w:t>
            </w:r>
            <w:r>
              <w:rPr>
                <w:rFonts w:hint="eastAsia" w:ascii="Times New Roman" w:hAnsi="Times New Roman" w:cs="Times New Roman"/>
                <w:bCs/>
                <w:color w:val="auto"/>
                <w:spacing w:val="-10"/>
                <w:szCs w:val="21"/>
                <w:lang w:val="en-US" w:eastAsia="zh-CN"/>
              </w:rPr>
              <w:t>2</w:t>
            </w:r>
            <w:r>
              <w:rPr>
                <w:rFonts w:hint="default" w:ascii="Times New Roman" w:hAnsi="Times New Roman" w:cs="Times New Roman"/>
                <w:bCs/>
                <w:color w:val="auto"/>
                <w:spacing w:val="-10"/>
                <w:szCs w:val="21"/>
              </w:rPr>
              <w:t>5（dB（A））</w:t>
            </w:r>
            <w:r>
              <w:rPr>
                <w:rFonts w:hint="default" w:ascii="Times New Roman" w:hAnsi="Times New Roman" w:cs="Times New Roman"/>
                <w:bCs/>
                <w:color w:val="auto"/>
                <w:spacing w:val="-10"/>
                <w:szCs w:val="21"/>
                <w:lang w:val="en-US" w:eastAsia="zh-CN"/>
              </w:rPr>
              <w:t>。</w:t>
            </w:r>
          </w:p>
          <w:p w14:paraId="6246D98E">
            <w:pPr>
              <w:keepNext w:val="0"/>
              <w:keepLines w:val="0"/>
              <w:pageBreakBefore w:val="0"/>
              <w:widowControl w:val="0"/>
              <w:kinsoku/>
              <w:wordWrap/>
              <w:overflowPunct/>
              <w:topLinePunct w:val="0"/>
              <w:autoSpaceDE/>
              <w:autoSpaceDN/>
              <w:bidi w:val="0"/>
              <w:adjustRightInd w:val="0"/>
              <w:snapToGrid w:val="0"/>
              <w:spacing w:line="400" w:lineRule="exact"/>
              <w:ind w:firstLine="380" w:firstLineChars="200"/>
              <w:textAlignment w:val="auto"/>
              <w:rPr>
                <w:rFonts w:hint="eastAsia"/>
                <w:bCs/>
                <w:color w:val="auto"/>
                <w:spacing w:val="-10"/>
                <w:szCs w:val="21"/>
                <w:lang w:val="en-US" w:eastAsia="zh-CN"/>
              </w:rPr>
            </w:pPr>
            <w:r>
              <w:rPr>
                <w:rFonts w:hint="eastAsia"/>
                <w:bCs/>
                <w:color w:val="auto"/>
                <w:spacing w:val="-10"/>
                <w:szCs w:val="21"/>
                <w:lang w:val="en-US" w:eastAsia="zh-CN"/>
              </w:rPr>
              <w:t>噪声源强具体详见表4-3、表4-4。</w:t>
            </w:r>
          </w:p>
          <w:p w14:paraId="5C9DE94B">
            <w:pPr>
              <w:pStyle w:val="19"/>
              <w:adjustRightInd w:val="0"/>
              <w:snapToGrid w:val="0"/>
              <w:spacing w:before="0" w:beforeAutospacing="0" w:after="0" w:afterAutospacing="0" w:line="400" w:lineRule="exact"/>
              <w:jc w:val="center"/>
              <w:outlineLvl w:val="0"/>
              <w:rPr>
                <w:rFonts w:hint="eastAsia" w:ascii="Times New Roman" w:hAnsi="Times New Roman"/>
                <w:b/>
                <w:snapToGrid w:val="0"/>
                <w:color w:val="auto"/>
                <w:sz w:val="21"/>
                <w:szCs w:val="21"/>
                <w:lang w:val="en-US" w:eastAsia="zh-CN"/>
              </w:rPr>
            </w:pPr>
            <w:r>
              <w:rPr>
                <w:rFonts w:hint="eastAsia" w:ascii="Times New Roman" w:hAnsi="Times New Roman"/>
                <w:b/>
                <w:snapToGrid w:val="0"/>
                <w:color w:val="auto"/>
                <w:sz w:val="21"/>
                <w:szCs w:val="21"/>
                <w:lang w:eastAsia="zh-CN"/>
              </w:rPr>
              <w:t>表4-</w:t>
            </w:r>
            <w:r>
              <w:rPr>
                <w:rFonts w:hint="eastAsia" w:ascii="Times New Roman" w:hAnsi="Times New Roman"/>
                <w:b/>
                <w:snapToGrid w:val="0"/>
                <w:color w:val="auto"/>
                <w:sz w:val="21"/>
                <w:szCs w:val="21"/>
                <w:lang w:val="en-US" w:eastAsia="zh-CN"/>
              </w:rPr>
              <w:t xml:space="preserve">3  </w:t>
            </w:r>
            <w:r>
              <w:rPr>
                <w:rFonts w:hint="eastAsia" w:ascii="Times New Roman" w:hAnsi="Times New Roman"/>
                <w:b/>
                <w:snapToGrid w:val="0"/>
                <w:color w:val="auto"/>
                <w:sz w:val="21"/>
                <w:szCs w:val="21"/>
                <w:lang w:eastAsia="zh-CN"/>
              </w:rPr>
              <w:t xml:space="preserve"> </w:t>
            </w:r>
            <w:r>
              <w:rPr>
                <w:rFonts w:hint="eastAsia" w:ascii="Times New Roman" w:hAnsi="Times New Roman"/>
                <w:b/>
                <w:snapToGrid w:val="0"/>
                <w:color w:val="auto"/>
                <w:sz w:val="21"/>
                <w:szCs w:val="21"/>
                <w:lang w:val="en-US" w:eastAsia="zh-CN"/>
              </w:rPr>
              <w:t>噪声源强调查清单（室内声源）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723"/>
              <w:gridCol w:w="670"/>
              <w:gridCol w:w="1820"/>
              <w:gridCol w:w="459"/>
              <w:gridCol w:w="408"/>
              <w:gridCol w:w="432"/>
              <w:gridCol w:w="899"/>
              <w:gridCol w:w="638"/>
              <w:gridCol w:w="615"/>
              <w:gridCol w:w="702"/>
            </w:tblGrid>
            <w:tr w14:paraId="138D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0" w:type="dxa"/>
                  <w:vMerge w:val="restart"/>
                  <w:noWrap w:val="0"/>
                  <w:vAlign w:val="center"/>
                </w:tcPr>
                <w:p w14:paraId="58CF8219">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建筑物名称</w:t>
                  </w:r>
                </w:p>
              </w:tc>
              <w:tc>
                <w:tcPr>
                  <w:tcW w:w="723" w:type="dxa"/>
                  <w:vMerge w:val="restart"/>
                  <w:noWrap w:val="0"/>
                  <w:vAlign w:val="center"/>
                </w:tcPr>
                <w:p w14:paraId="77B316C5">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声源名称</w:t>
                  </w:r>
                </w:p>
              </w:tc>
              <w:tc>
                <w:tcPr>
                  <w:tcW w:w="670" w:type="dxa"/>
                  <w:vMerge w:val="restart"/>
                  <w:noWrap w:val="0"/>
                  <w:vAlign w:val="center"/>
                </w:tcPr>
                <w:p w14:paraId="0F49E6D1">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噪声源强/</w:t>
                  </w:r>
                  <w:r>
                    <w:rPr>
                      <w:rFonts w:hint="eastAsia" w:ascii="Times New Roman" w:hAnsi="Times New Roman" w:eastAsia="宋体" w:cs="Times New Roman"/>
                      <w:snapToGrid w:val="0"/>
                      <w:color w:val="auto"/>
                      <w:kern w:val="0"/>
                      <w:sz w:val="15"/>
                      <w:szCs w:val="15"/>
                      <w:lang w:val="en-US" w:eastAsia="zh-CN" w:bidi="ar-SA"/>
                    </w:rPr>
                    <w:t>dB（A）</w:t>
                  </w:r>
                </w:p>
              </w:tc>
              <w:tc>
                <w:tcPr>
                  <w:tcW w:w="1820" w:type="dxa"/>
                  <w:vMerge w:val="restart"/>
                  <w:noWrap w:val="0"/>
                  <w:vAlign w:val="center"/>
                </w:tcPr>
                <w:p w14:paraId="08FA0254">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声源控制措施</w:t>
                  </w:r>
                </w:p>
              </w:tc>
              <w:tc>
                <w:tcPr>
                  <w:tcW w:w="1299" w:type="dxa"/>
                  <w:gridSpan w:val="3"/>
                  <w:noWrap w:val="0"/>
                  <w:vAlign w:val="center"/>
                </w:tcPr>
                <w:p w14:paraId="6F89AA0A">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空间相对位置/m</w:t>
                  </w:r>
                </w:p>
              </w:tc>
              <w:tc>
                <w:tcPr>
                  <w:tcW w:w="899" w:type="dxa"/>
                  <w:vMerge w:val="restart"/>
                  <w:noWrap w:val="0"/>
                  <w:vAlign w:val="center"/>
                </w:tcPr>
                <w:p w14:paraId="238BF71C">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距室内边界（门窗、墙体）距离/m</w:t>
                  </w:r>
                </w:p>
              </w:tc>
              <w:tc>
                <w:tcPr>
                  <w:tcW w:w="638" w:type="dxa"/>
                  <w:vMerge w:val="restart"/>
                  <w:noWrap w:val="0"/>
                  <w:vAlign w:val="center"/>
                </w:tcPr>
                <w:p w14:paraId="3448758E">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建筑物外距离/m</w:t>
                  </w:r>
                </w:p>
              </w:tc>
              <w:tc>
                <w:tcPr>
                  <w:tcW w:w="615" w:type="dxa"/>
                  <w:vMerge w:val="restart"/>
                  <w:noWrap w:val="0"/>
                  <w:vAlign w:val="center"/>
                </w:tcPr>
                <w:p w14:paraId="709B1E5C">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运行时段</w:t>
                  </w:r>
                </w:p>
              </w:tc>
              <w:tc>
                <w:tcPr>
                  <w:tcW w:w="702" w:type="dxa"/>
                  <w:vMerge w:val="restart"/>
                  <w:noWrap w:val="0"/>
                  <w:vAlign w:val="center"/>
                </w:tcPr>
                <w:p w14:paraId="3AD5058A">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建筑物插入损失/dB（A）</w:t>
                  </w:r>
                </w:p>
              </w:tc>
            </w:tr>
            <w:tr w14:paraId="7469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70" w:type="dxa"/>
                  <w:vMerge w:val="continue"/>
                  <w:noWrap w:val="0"/>
                  <w:vAlign w:val="center"/>
                </w:tcPr>
                <w:p w14:paraId="3F6654D2">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723" w:type="dxa"/>
                  <w:vMerge w:val="continue"/>
                  <w:noWrap w:val="0"/>
                  <w:vAlign w:val="center"/>
                </w:tcPr>
                <w:p w14:paraId="38A2C658">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670" w:type="dxa"/>
                  <w:vMerge w:val="continue"/>
                  <w:noWrap w:val="0"/>
                  <w:vAlign w:val="center"/>
                </w:tcPr>
                <w:p w14:paraId="6F4C7C43">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1820" w:type="dxa"/>
                  <w:vMerge w:val="continue"/>
                  <w:noWrap w:val="0"/>
                  <w:vAlign w:val="center"/>
                </w:tcPr>
                <w:p w14:paraId="0A09BD7F">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459" w:type="dxa"/>
                  <w:noWrap w:val="0"/>
                  <w:vAlign w:val="center"/>
                </w:tcPr>
                <w:p w14:paraId="170A5A4E">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kern w:val="0"/>
                      <w:sz w:val="15"/>
                      <w:szCs w:val="15"/>
                      <w:lang w:val="en-US" w:eastAsia="zh-CN" w:bidi="ar-SA"/>
                    </w:rPr>
                  </w:pPr>
                  <w:r>
                    <w:rPr>
                      <w:rFonts w:hint="eastAsia" w:ascii="Times New Roman" w:hAnsi="Times New Roman"/>
                      <w:snapToGrid w:val="0"/>
                      <w:color w:val="auto"/>
                      <w:sz w:val="15"/>
                      <w:szCs w:val="15"/>
                      <w:lang w:val="en-US" w:eastAsia="zh-CN"/>
                    </w:rPr>
                    <w:t>X</w:t>
                  </w:r>
                </w:p>
              </w:tc>
              <w:tc>
                <w:tcPr>
                  <w:tcW w:w="408" w:type="dxa"/>
                  <w:noWrap w:val="0"/>
                  <w:vAlign w:val="center"/>
                </w:tcPr>
                <w:p w14:paraId="197D20B8">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kern w:val="0"/>
                      <w:sz w:val="15"/>
                      <w:szCs w:val="15"/>
                      <w:lang w:val="en-US" w:eastAsia="zh-CN" w:bidi="ar-SA"/>
                    </w:rPr>
                  </w:pPr>
                  <w:r>
                    <w:rPr>
                      <w:rFonts w:hint="eastAsia" w:ascii="Times New Roman" w:hAnsi="Times New Roman"/>
                      <w:snapToGrid w:val="0"/>
                      <w:color w:val="auto"/>
                      <w:sz w:val="15"/>
                      <w:szCs w:val="15"/>
                      <w:lang w:val="en-US" w:eastAsia="zh-CN"/>
                    </w:rPr>
                    <w:t>Y</w:t>
                  </w:r>
                </w:p>
              </w:tc>
              <w:tc>
                <w:tcPr>
                  <w:tcW w:w="432" w:type="dxa"/>
                  <w:noWrap w:val="0"/>
                  <w:vAlign w:val="center"/>
                </w:tcPr>
                <w:p w14:paraId="104DEB8A">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kern w:val="0"/>
                      <w:sz w:val="15"/>
                      <w:szCs w:val="15"/>
                      <w:lang w:val="en-US" w:eastAsia="zh-CN" w:bidi="ar-SA"/>
                    </w:rPr>
                  </w:pPr>
                  <w:r>
                    <w:rPr>
                      <w:rFonts w:hint="eastAsia" w:ascii="Times New Roman" w:hAnsi="Times New Roman"/>
                      <w:snapToGrid w:val="0"/>
                      <w:color w:val="auto"/>
                      <w:sz w:val="15"/>
                      <w:szCs w:val="15"/>
                      <w:lang w:val="en-US" w:eastAsia="zh-CN"/>
                    </w:rPr>
                    <w:t>Z</w:t>
                  </w:r>
                </w:p>
              </w:tc>
              <w:tc>
                <w:tcPr>
                  <w:tcW w:w="899" w:type="dxa"/>
                  <w:vMerge w:val="continue"/>
                  <w:noWrap w:val="0"/>
                  <w:vAlign w:val="center"/>
                </w:tcPr>
                <w:p w14:paraId="515C3006">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638" w:type="dxa"/>
                  <w:vMerge w:val="continue"/>
                  <w:noWrap w:val="0"/>
                  <w:vAlign w:val="center"/>
                </w:tcPr>
                <w:p w14:paraId="64534274">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615" w:type="dxa"/>
                  <w:vMerge w:val="continue"/>
                  <w:noWrap w:val="0"/>
                  <w:vAlign w:val="center"/>
                </w:tcPr>
                <w:p w14:paraId="2C7C5A05">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c>
                <w:tcPr>
                  <w:tcW w:w="702" w:type="dxa"/>
                  <w:vMerge w:val="continue"/>
                  <w:noWrap w:val="0"/>
                  <w:vAlign w:val="center"/>
                </w:tcPr>
                <w:p w14:paraId="6BAF34AB">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ascii="Times New Roman" w:hAnsi="Times New Roman"/>
                      <w:snapToGrid w:val="0"/>
                      <w:color w:val="auto"/>
                      <w:sz w:val="15"/>
                      <w:szCs w:val="15"/>
                      <w:lang w:val="en-US" w:eastAsia="zh-CN"/>
                    </w:rPr>
                  </w:pPr>
                </w:p>
              </w:tc>
            </w:tr>
            <w:tr w14:paraId="5564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70" w:type="dxa"/>
                  <w:noWrap w:val="0"/>
                  <w:vAlign w:val="center"/>
                </w:tcPr>
                <w:p w14:paraId="0296426C">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项目医院</w:t>
                  </w:r>
                </w:p>
              </w:tc>
              <w:tc>
                <w:tcPr>
                  <w:tcW w:w="723" w:type="dxa"/>
                  <w:noWrap w:val="0"/>
                  <w:vAlign w:val="center"/>
                </w:tcPr>
                <w:p w14:paraId="01B5AC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5"/>
                      <w:szCs w:val="15"/>
                      <w:u w:val="none"/>
                      <w:lang w:val="en-US" w:eastAsia="zh-CN" w:bidi="ar"/>
                    </w:rPr>
                  </w:pPr>
                  <w:r>
                    <w:rPr>
                      <w:rFonts w:hint="default" w:ascii="Times New Roman" w:hAnsi="Times New Roman" w:eastAsia="宋体" w:cs="Times New Roman"/>
                      <w:i w:val="0"/>
                      <w:iCs w:val="0"/>
                      <w:color w:val="auto"/>
                      <w:kern w:val="0"/>
                      <w:sz w:val="15"/>
                      <w:szCs w:val="15"/>
                      <w:u w:val="none"/>
                      <w:lang w:val="en-US" w:eastAsia="zh-CN" w:bidi="ar"/>
                    </w:rPr>
                    <w:t>宠物叫声</w:t>
                  </w:r>
                </w:p>
              </w:tc>
              <w:tc>
                <w:tcPr>
                  <w:tcW w:w="670" w:type="dxa"/>
                  <w:noWrap w:val="0"/>
                  <w:vAlign w:val="center"/>
                </w:tcPr>
                <w:p w14:paraId="3D21039C">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default" w:ascii="Times New Roman" w:hAnsi="Times New Roman"/>
                      <w:snapToGrid w:val="0"/>
                      <w:color w:val="auto"/>
                      <w:sz w:val="15"/>
                      <w:szCs w:val="15"/>
                      <w:lang w:val="en-US" w:eastAsia="zh-CN"/>
                    </w:rPr>
                    <w:t>狗70猫55</w:t>
                  </w:r>
                </w:p>
              </w:tc>
              <w:tc>
                <w:tcPr>
                  <w:tcW w:w="1820" w:type="dxa"/>
                  <w:noWrap w:val="0"/>
                  <w:vAlign w:val="center"/>
                </w:tcPr>
                <w:p w14:paraId="2A0CF196">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eastAsia"/>
                      <w:snapToGrid w:val="0"/>
                      <w:color w:val="auto"/>
                      <w:sz w:val="15"/>
                      <w:szCs w:val="15"/>
                      <w:lang w:eastAsia="zh-CN"/>
                    </w:rPr>
                  </w:pPr>
                  <w:r>
                    <w:rPr>
                      <w:rFonts w:hint="default" w:ascii="Times New Roman" w:hAnsi="Times New Roman" w:cs="Times New Roman"/>
                      <w:snapToGrid w:val="0"/>
                      <w:color w:val="auto"/>
                      <w:sz w:val="15"/>
                      <w:szCs w:val="15"/>
                      <w:lang w:val="en-US" w:eastAsia="zh-CN"/>
                    </w:rPr>
                    <w:t>宠物住院房布置在项目2F，建筑隔声、</w:t>
                  </w:r>
                  <w:r>
                    <w:rPr>
                      <w:rFonts w:hint="default" w:ascii="Times New Roman" w:hAnsi="Times New Roman" w:eastAsia="宋体" w:cs="Times New Roman"/>
                      <w:snapToGrid w:val="0"/>
                      <w:color w:val="auto"/>
                      <w:sz w:val="15"/>
                      <w:szCs w:val="15"/>
                      <w:lang w:val="en-US" w:eastAsia="zh-CN"/>
                    </w:rPr>
                    <w:t>加强约束、管理</w:t>
                  </w:r>
                </w:p>
              </w:tc>
              <w:tc>
                <w:tcPr>
                  <w:tcW w:w="459" w:type="dxa"/>
                  <w:noWrap w:val="0"/>
                  <w:vAlign w:val="center"/>
                </w:tcPr>
                <w:p w14:paraId="2CFABFE9">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1</w:t>
                  </w:r>
                </w:p>
              </w:tc>
              <w:tc>
                <w:tcPr>
                  <w:tcW w:w="408" w:type="dxa"/>
                  <w:noWrap w:val="0"/>
                  <w:vAlign w:val="center"/>
                </w:tcPr>
                <w:p w14:paraId="34631C04">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0.5</w:t>
                  </w:r>
                </w:p>
              </w:tc>
              <w:tc>
                <w:tcPr>
                  <w:tcW w:w="432" w:type="dxa"/>
                  <w:noWrap w:val="0"/>
                  <w:vAlign w:val="center"/>
                </w:tcPr>
                <w:p w14:paraId="15E9D40D">
                  <w:pPr>
                    <w:pStyle w:val="19"/>
                    <w:keepNext w:val="0"/>
                    <w:keepLines w:val="0"/>
                    <w:pageBreakBefore w:val="0"/>
                    <w:kinsoku/>
                    <w:wordWrap/>
                    <w:overflowPunct/>
                    <w:topLinePunct w:val="0"/>
                    <w:bidi w:val="0"/>
                    <w:adjustRightInd w:val="0"/>
                    <w:snapToGrid w:val="0"/>
                    <w:spacing w:before="0" w:beforeAutospacing="0" w:after="0" w:afterAutospacing="0" w:line="240" w:lineRule="exact"/>
                    <w:jc w:val="center"/>
                    <w:textAlignment w:val="auto"/>
                    <w:outlineLvl w:val="0"/>
                    <w:rPr>
                      <w:rFonts w:hint="default" w:ascii="Times New Roman" w:hAnsi="Times New Roman"/>
                      <w:snapToGrid w:val="0"/>
                      <w:color w:val="auto"/>
                      <w:sz w:val="15"/>
                      <w:szCs w:val="15"/>
                      <w:lang w:val="en-US" w:eastAsia="zh-CN"/>
                    </w:rPr>
                  </w:pPr>
                  <w:r>
                    <w:rPr>
                      <w:rFonts w:hint="eastAsia" w:ascii="Times New Roman" w:hAnsi="Times New Roman"/>
                      <w:snapToGrid w:val="0"/>
                      <w:color w:val="auto"/>
                      <w:sz w:val="15"/>
                      <w:szCs w:val="15"/>
                      <w:lang w:val="en-US" w:eastAsia="zh-CN"/>
                    </w:rPr>
                    <w:t>8</w:t>
                  </w:r>
                </w:p>
              </w:tc>
              <w:tc>
                <w:tcPr>
                  <w:tcW w:w="899" w:type="dxa"/>
                  <w:noWrap w:val="0"/>
                  <w:vAlign w:val="center"/>
                </w:tcPr>
                <w:p w14:paraId="0E6E709D">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东</w:t>
                  </w:r>
                  <w:r>
                    <w:rPr>
                      <w:rFonts w:hint="default" w:ascii="Times New Roman" w:hAnsi="Times New Roman" w:eastAsia="宋体" w:cs="Times New Roman"/>
                      <w:color w:val="auto"/>
                      <w:sz w:val="15"/>
                      <w:szCs w:val="15"/>
                      <w:lang w:val="en-US" w:eastAsia="zh-CN"/>
                    </w:rPr>
                    <w:t>：</w:t>
                  </w:r>
                  <w:r>
                    <w:rPr>
                      <w:rFonts w:hint="eastAsia" w:ascii="Times New Roman" w:hAnsi="Times New Roman" w:cs="Times New Roman"/>
                      <w:color w:val="auto"/>
                      <w:sz w:val="15"/>
                      <w:szCs w:val="15"/>
                      <w:lang w:val="en-US" w:eastAsia="zh-CN"/>
                    </w:rPr>
                    <w:t>0.5</w:t>
                  </w:r>
                </w:p>
                <w:p w14:paraId="080CAAC1">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南：3</w:t>
                  </w:r>
                </w:p>
                <w:p w14:paraId="22B43FC4">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西：</w:t>
                  </w:r>
                  <w:r>
                    <w:rPr>
                      <w:rFonts w:hint="eastAsia" w:ascii="Times New Roman" w:hAnsi="Times New Roman" w:cs="Times New Roman"/>
                      <w:color w:val="auto"/>
                      <w:sz w:val="15"/>
                      <w:szCs w:val="15"/>
                      <w:lang w:val="en-US" w:eastAsia="zh-CN"/>
                    </w:rPr>
                    <w:t>0.5</w:t>
                  </w:r>
                </w:p>
                <w:p w14:paraId="216176C4">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北：</w:t>
                  </w:r>
                  <w:r>
                    <w:rPr>
                      <w:rFonts w:hint="eastAsia" w:ascii="Times New Roman" w:hAnsi="Times New Roman" w:cs="Times New Roman"/>
                      <w:color w:val="auto"/>
                      <w:sz w:val="15"/>
                      <w:szCs w:val="15"/>
                      <w:lang w:val="en-US" w:eastAsia="zh-CN"/>
                    </w:rPr>
                    <w:t>0.5</w:t>
                  </w:r>
                </w:p>
              </w:tc>
              <w:tc>
                <w:tcPr>
                  <w:tcW w:w="638" w:type="dxa"/>
                  <w:noWrap w:val="0"/>
                  <w:vAlign w:val="center"/>
                </w:tcPr>
                <w:p w14:paraId="1063C16E">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东</w:t>
                  </w:r>
                  <w:r>
                    <w:rPr>
                      <w:rFonts w:hint="default" w:ascii="Times New Roman" w:hAnsi="Times New Roman" w:eastAsia="宋体" w:cs="Times New Roman"/>
                      <w:color w:val="auto"/>
                      <w:sz w:val="15"/>
                      <w:szCs w:val="15"/>
                      <w:lang w:val="en-US" w:eastAsia="zh-CN"/>
                    </w:rPr>
                    <w:t>：</w:t>
                  </w:r>
                  <w:r>
                    <w:rPr>
                      <w:rFonts w:hint="eastAsia" w:ascii="Times New Roman" w:hAnsi="Times New Roman" w:cs="Times New Roman"/>
                      <w:color w:val="auto"/>
                      <w:sz w:val="15"/>
                      <w:szCs w:val="15"/>
                      <w:lang w:val="en-US" w:eastAsia="zh-CN"/>
                    </w:rPr>
                    <w:t>1</w:t>
                  </w:r>
                </w:p>
                <w:p w14:paraId="42EB1DD5">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cs="Times New Roman"/>
                      <w:color w:val="auto"/>
                      <w:sz w:val="15"/>
                      <w:szCs w:val="15"/>
                      <w:lang w:val="en-US" w:eastAsia="zh-CN"/>
                    </w:rPr>
                  </w:pPr>
                  <w:r>
                    <w:rPr>
                      <w:rFonts w:hint="eastAsia" w:ascii="Times New Roman" w:hAnsi="Times New Roman" w:cs="Times New Roman"/>
                      <w:color w:val="auto"/>
                      <w:sz w:val="15"/>
                      <w:szCs w:val="15"/>
                      <w:lang w:val="en-US" w:eastAsia="zh-CN"/>
                    </w:rPr>
                    <w:t>南：1</w:t>
                  </w:r>
                </w:p>
                <w:p w14:paraId="46D53B0C">
                  <w:pPr>
                    <w:keepNext w:val="0"/>
                    <w:keepLines w:val="0"/>
                    <w:pageBreakBefore w:val="0"/>
                    <w:kinsoku/>
                    <w:wordWrap/>
                    <w:overflowPunct/>
                    <w:topLinePunct w:val="0"/>
                    <w:bidi w:val="0"/>
                    <w:spacing w:beforeAutospacing="0" w:afterAutospacing="0" w:line="240" w:lineRule="exact"/>
                    <w:jc w:val="center"/>
                    <w:textAlignment w:val="auto"/>
                    <w:rPr>
                      <w:rFonts w:hint="eastAsia"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西：</w:t>
                  </w:r>
                  <w:r>
                    <w:rPr>
                      <w:rFonts w:hint="eastAsia" w:ascii="Times New Roman" w:hAnsi="Times New Roman" w:cs="Times New Roman"/>
                      <w:color w:val="auto"/>
                      <w:sz w:val="15"/>
                      <w:szCs w:val="15"/>
                      <w:lang w:val="en-US" w:eastAsia="zh-CN"/>
                    </w:rPr>
                    <w:t>1</w:t>
                  </w:r>
                </w:p>
                <w:p w14:paraId="5B43F19E">
                  <w:pPr>
                    <w:keepNext w:val="0"/>
                    <w:keepLines w:val="0"/>
                    <w:pageBreakBefore w:val="0"/>
                    <w:kinsoku/>
                    <w:wordWrap/>
                    <w:overflowPunct/>
                    <w:topLinePunct w:val="0"/>
                    <w:bidi w:val="0"/>
                    <w:spacing w:beforeAutospacing="0" w:afterAutospacing="0" w:line="240" w:lineRule="exact"/>
                    <w:jc w:val="center"/>
                    <w:textAlignment w:val="auto"/>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北：</w:t>
                  </w:r>
                  <w:r>
                    <w:rPr>
                      <w:rFonts w:hint="eastAsia" w:ascii="Times New Roman" w:hAnsi="Times New Roman" w:cs="Times New Roman"/>
                      <w:color w:val="auto"/>
                      <w:sz w:val="15"/>
                      <w:szCs w:val="15"/>
                      <w:lang w:val="en-US" w:eastAsia="zh-CN"/>
                    </w:rPr>
                    <w:t>1</w:t>
                  </w:r>
                </w:p>
              </w:tc>
              <w:tc>
                <w:tcPr>
                  <w:tcW w:w="615" w:type="dxa"/>
                  <w:noWrap w:val="0"/>
                  <w:vAlign w:val="center"/>
                </w:tcPr>
                <w:p w14:paraId="1A032D29">
                  <w:pPr>
                    <w:keepNext w:val="0"/>
                    <w:keepLines w:val="0"/>
                    <w:pageBreakBefore w:val="0"/>
                    <w:kinsoku/>
                    <w:wordWrap/>
                    <w:overflowPunct/>
                    <w:topLinePunct w:val="0"/>
                    <w:bidi w:val="0"/>
                    <w:spacing w:beforeAutospacing="0" w:afterAutospacing="0" w:line="240" w:lineRule="exact"/>
                    <w:jc w:val="center"/>
                    <w:textAlignment w:val="auto"/>
                    <w:rPr>
                      <w:rFonts w:hint="default" w:eastAsia="宋体"/>
                      <w:color w:val="auto"/>
                      <w:sz w:val="15"/>
                      <w:szCs w:val="15"/>
                      <w:lang w:val="en-US" w:eastAsia="zh-CN"/>
                    </w:rPr>
                  </w:pPr>
                  <w:r>
                    <w:rPr>
                      <w:rFonts w:hint="default" w:eastAsia="宋体"/>
                      <w:color w:val="auto"/>
                      <w:sz w:val="15"/>
                      <w:szCs w:val="15"/>
                      <w:lang w:val="en-US" w:eastAsia="zh-CN"/>
                    </w:rPr>
                    <w:t>每天运行</w:t>
                  </w:r>
                  <w:r>
                    <w:rPr>
                      <w:rFonts w:hint="eastAsia"/>
                      <w:color w:val="auto"/>
                      <w:sz w:val="15"/>
                      <w:szCs w:val="15"/>
                      <w:lang w:val="en-US" w:eastAsia="zh-CN"/>
                    </w:rPr>
                    <w:t>8</w:t>
                  </w:r>
                  <w:r>
                    <w:rPr>
                      <w:rFonts w:hint="default" w:eastAsia="宋体"/>
                      <w:color w:val="auto"/>
                      <w:sz w:val="15"/>
                      <w:szCs w:val="15"/>
                      <w:lang w:val="en-US" w:eastAsia="zh-CN"/>
                    </w:rPr>
                    <w:t>h</w:t>
                  </w:r>
                </w:p>
              </w:tc>
              <w:tc>
                <w:tcPr>
                  <w:tcW w:w="702" w:type="dxa"/>
                  <w:noWrap w:val="0"/>
                  <w:vAlign w:val="center"/>
                </w:tcPr>
                <w:p w14:paraId="27DBD38F">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default" w:ascii="Times New Roman" w:hAnsi="Times New Roman"/>
                      <w:snapToGrid w:val="0"/>
                      <w:color w:val="auto"/>
                      <w:kern w:val="0"/>
                      <w:sz w:val="15"/>
                      <w:szCs w:val="15"/>
                      <w:lang w:val="en-US" w:eastAsia="zh-CN" w:bidi="ar-SA"/>
                    </w:rPr>
                  </w:pPr>
                  <w:r>
                    <w:rPr>
                      <w:rFonts w:hint="eastAsia" w:ascii="Times New Roman" w:hAnsi="Times New Roman"/>
                      <w:snapToGrid w:val="0"/>
                      <w:color w:val="auto"/>
                      <w:kern w:val="0"/>
                      <w:sz w:val="15"/>
                      <w:szCs w:val="15"/>
                      <w:lang w:val="en-US" w:eastAsia="zh-CN" w:bidi="ar-SA"/>
                    </w:rPr>
                    <w:t>20</w:t>
                  </w:r>
                </w:p>
              </w:tc>
            </w:tr>
            <w:tr w14:paraId="034E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936" w:type="dxa"/>
                  <w:gridSpan w:val="11"/>
                  <w:noWrap w:val="0"/>
                  <w:vAlign w:val="center"/>
                </w:tcPr>
                <w:p w14:paraId="193ED217">
                  <w:pPr>
                    <w:pStyle w:val="19"/>
                    <w:keepNext w:val="0"/>
                    <w:keepLines w:val="0"/>
                    <w:pageBreakBefore w:val="0"/>
                    <w:kinsoku/>
                    <w:wordWrap/>
                    <w:overflowPunct/>
                    <w:topLinePunct w:val="0"/>
                    <w:bidi w:val="0"/>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default" w:ascii="Times New Roman" w:hAnsi="Times New Roman" w:cs="Times New Roman"/>
                      <w:color w:val="auto"/>
                      <w:sz w:val="15"/>
                      <w:szCs w:val="15"/>
                      <w:highlight w:val="none"/>
                    </w:rPr>
                    <w:t>（0，0，0）点为</w:t>
                  </w:r>
                  <w:r>
                    <w:rPr>
                      <w:rFonts w:hint="eastAsia" w:ascii="Times New Roman" w:hAnsi="Times New Roman" w:cs="Times New Roman"/>
                      <w:color w:val="auto"/>
                      <w:sz w:val="15"/>
                      <w:szCs w:val="15"/>
                      <w:highlight w:val="none"/>
                      <w:lang w:val="en-US" w:eastAsia="zh-CN"/>
                    </w:rPr>
                    <w:t>项目出入口，Z 为地面高度</w:t>
                  </w:r>
                </w:p>
              </w:tc>
            </w:tr>
          </w:tbl>
          <w:p w14:paraId="5EE7720A">
            <w:pPr>
              <w:pStyle w:val="19"/>
              <w:adjustRightInd w:val="0"/>
              <w:snapToGrid w:val="0"/>
              <w:spacing w:before="0" w:beforeAutospacing="0" w:after="0" w:afterAutospacing="0" w:line="400" w:lineRule="exact"/>
              <w:jc w:val="center"/>
              <w:outlineLvl w:val="0"/>
              <w:rPr>
                <w:rFonts w:hint="eastAsia" w:ascii="Times New Roman" w:hAnsi="Times New Roman" w:eastAsia="宋体"/>
                <w:b/>
                <w:snapToGrid w:val="0"/>
                <w:color w:val="auto"/>
                <w:sz w:val="21"/>
                <w:szCs w:val="21"/>
                <w:lang w:eastAsia="zh-CN"/>
              </w:rPr>
            </w:pPr>
            <w:r>
              <w:rPr>
                <w:rFonts w:hint="eastAsia" w:ascii="Times New Roman" w:hAnsi="Times New Roman" w:eastAsia="宋体"/>
                <w:b/>
                <w:snapToGrid w:val="0"/>
                <w:color w:val="auto"/>
                <w:sz w:val="21"/>
                <w:szCs w:val="21"/>
                <w:lang w:eastAsia="zh-CN"/>
              </w:rPr>
              <w:t>表</w:t>
            </w:r>
            <w:r>
              <w:rPr>
                <w:rFonts w:hint="eastAsia" w:ascii="Times New Roman" w:hAnsi="Times New Roman" w:eastAsia="宋体"/>
                <w:b/>
                <w:snapToGrid w:val="0"/>
                <w:color w:val="auto"/>
                <w:sz w:val="21"/>
                <w:szCs w:val="21"/>
                <w:lang w:val="en-US" w:eastAsia="zh-CN"/>
              </w:rPr>
              <w:t xml:space="preserve">4-4   </w:t>
            </w:r>
            <w:r>
              <w:rPr>
                <w:rFonts w:hint="eastAsia" w:ascii="Times New Roman" w:hAnsi="Times New Roman" w:eastAsia="宋体"/>
                <w:b/>
                <w:snapToGrid w:val="0"/>
                <w:color w:val="auto"/>
                <w:sz w:val="21"/>
                <w:szCs w:val="21"/>
                <w:lang w:eastAsia="zh-CN"/>
              </w:rPr>
              <w:t>项目室外噪声污染源强一览表</w:t>
            </w:r>
          </w:p>
          <w:tbl>
            <w:tblPr>
              <w:tblStyle w:val="22"/>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076"/>
              <w:gridCol w:w="654"/>
              <w:gridCol w:w="635"/>
              <w:gridCol w:w="511"/>
              <w:gridCol w:w="705"/>
              <w:gridCol w:w="882"/>
              <w:gridCol w:w="1873"/>
              <w:gridCol w:w="1196"/>
            </w:tblGrid>
            <w:tr w14:paraId="0019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vMerge w:val="restart"/>
                  <w:noWrap w:val="0"/>
                  <w:vAlign w:val="center"/>
                </w:tcPr>
                <w:p w14:paraId="7D37F92D">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681" w:type="pct"/>
                  <w:vMerge w:val="restart"/>
                  <w:noWrap w:val="0"/>
                  <w:vAlign w:val="center"/>
                </w:tcPr>
                <w:p w14:paraId="577E7EE5">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声源名称</w:t>
                  </w:r>
                </w:p>
              </w:tc>
              <w:tc>
                <w:tcPr>
                  <w:tcW w:w="415" w:type="pct"/>
                  <w:vMerge w:val="restart"/>
                  <w:noWrap w:val="0"/>
                  <w:vAlign w:val="center"/>
                </w:tcPr>
                <w:p w14:paraId="7A5E8729">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型号</w:t>
                  </w:r>
                </w:p>
              </w:tc>
              <w:tc>
                <w:tcPr>
                  <w:tcW w:w="1175" w:type="pct"/>
                  <w:gridSpan w:val="3"/>
                  <w:noWrap w:val="0"/>
                  <w:vAlign w:val="center"/>
                </w:tcPr>
                <w:p w14:paraId="0D75BD48">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空间相对位置</w:t>
                  </w:r>
                </w:p>
              </w:tc>
              <w:tc>
                <w:tcPr>
                  <w:tcW w:w="559" w:type="pct"/>
                  <w:vMerge w:val="restart"/>
                  <w:noWrap w:val="0"/>
                  <w:vAlign w:val="center"/>
                </w:tcPr>
                <w:p w14:paraId="596C17C4">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声源源强</w:t>
                  </w:r>
                  <w:r>
                    <w:rPr>
                      <w:rFonts w:hint="eastAsia" w:ascii="Times New Roman" w:hAnsi="Times New Roman"/>
                      <w:snapToGrid w:val="0"/>
                      <w:color w:val="auto"/>
                      <w:sz w:val="15"/>
                      <w:szCs w:val="15"/>
                      <w:lang w:val="en-US" w:eastAsia="zh-CN"/>
                    </w:rPr>
                    <w:t>/</w:t>
                  </w:r>
                  <w:r>
                    <w:rPr>
                      <w:rFonts w:hint="eastAsia" w:ascii="Times New Roman" w:hAnsi="Times New Roman" w:eastAsia="宋体" w:cs="Times New Roman"/>
                      <w:snapToGrid w:val="0"/>
                      <w:color w:val="auto"/>
                      <w:kern w:val="0"/>
                      <w:sz w:val="15"/>
                      <w:szCs w:val="15"/>
                      <w:lang w:val="en-US" w:eastAsia="zh-CN" w:bidi="ar-SA"/>
                    </w:rPr>
                    <w:t>dB（A）</w:t>
                  </w:r>
                </w:p>
              </w:tc>
              <w:tc>
                <w:tcPr>
                  <w:tcW w:w="1184" w:type="pct"/>
                  <w:vMerge w:val="restart"/>
                  <w:noWrap w:val="0"/>
                  <w:vAlign w:val="center"/>
                </w:tcPr>
                <w:p w14:paraId="70D1D23C">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声源控制措施</w:t>
                  </w:r>
                </w:p>
              </w:tc>
              <w:tc>
                <w:tcPr>
                  <w:tcW w:w="752" w:type="pct"/>
                  <w:vMerge w:val="restart"/>
                  <w:noWrap w:val="0"/>
                  <w:vAlign w:val="center"/>
                </w:tcPr>
                <w:p w14:paraId="7DB50392">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vMerge w:val="continue"/>
                  <w:noWrap w:val="0"/>
                  <w:vAlign w:val="center"/>
                </w:tcPr>
                <w:p w14:paraId="3AE18AA4">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681" w:type="pct"/>
                  <w:vMerge w:val="continue"/>
                  <w:noWrap w:val="0"/>
                  <w:vAlign w:val="center"/>
                </w:tcPr>
                <w:p w14:paraId="779D3F7A">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15" w:type="pct"/>
                  <w:vMerge w:val="continue"/>
                  <w:noWrap w:val="0"/>
                  <w:vAlign w:val="center"/>
                </w:tcPr>
                <w:p w14:paraId="331CD5F0">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03" w:type="pct"/>
                  <w:noWrap w:val="0"/>
                  <w:vAlign w:val="center"/>
                </w:tcPr>
                <w:p w14:paraId="374270B2">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X</w:t>
                  </w:r>
                </w:p>
              </w:tc>
              <w:tc>
                <w:tcPr>
                  <w:tcW w:w="325" w:type="pct"/>
                  <w:noWrap w:val="0"/>
                  <w:vAlign w:val="center"/>
                </w:tcPr>
                <w:p w14:paraId="7E5E846A">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Y</w:t>
                  </w:r>
                </w:p>
              </w:tc>
              <w:tc>
                <w:tcPr>
                  <w:tcW w:w="446" w:type="pct"/>
                  <w:noWrap w:val="0"/>
                  <w:vAlign w:val="center"/>
                </w:tcPr>
                <w:p w14:paraId="0CAA474C">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Z</w:t>
                  </w:r>
                </w:p>
              </w:tc>
              <w:tc>
                <w:tcPr>
                  <w:tcW w:w="559" w:type="pct"/>
                  <w:vMerge w:val="continue"/>
                  <w:noWrap w:val="0"/>
                  <w:vAlign w:val="center"/>
                </w:tcPr>
                <w:p w14:paraId="43831253">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184" w:type="pct"/>
                  <w:vMerge w:val="continue"/>
                  <w:noWrap w:val="0"/>
                  <w:vAlign w:val="center"/>
                </w:tcPr>
                <w:p w14:paraId="412D835C">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752" w:type="pct"/>
                  <w:vMerge w:val="continue"/>
                  <w:noWrap w:val="0"/>
                  <w:vAlign w:val="center"/>
                </w:tcPr>
                <w:p w14:paraId="360CEC34">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2218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noWrap w:val="0"/>
                  <w:vAlign w:val="center"/>
                </w:tcPr>
                <w:p w14:paraId="0F8B29CE">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81" w:type="pct"/>
                  <w:noWrap w:val="0"/>
                  <w:vAlign w:val="center"/>
                </w:tcPr>
                <w:p w14:paraId="7A6EDF21">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分体式空调外机</w:t>
                  </w:r>
                </w:p>
              </w:tc>
              <w:tc>
                <w:tcPr>
                  <w:tcW w:w="415" w:type="pct"/>
                  <w:noWrap w:val="0"/>
                  <w:vAlign w:val="center"/>
                </w:tcPr>
                <w:p w14:paraId="189CEE05">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分体式挂机</w:t>
                  </w:r>
                </w:p>
              </w:tc>
              <w:tc>
                <w:tcPr>
                  <w:tcW w:w="403" w:type="pct"/>
                  <w:noWrap w:val="0"/>
                  <w:vAlign w:val="center"/>
                </w:tcPr>
                <w:p w14:paraId="39608DD5">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325" w:type="pct"/>
                  <w:noWrap w:val="0"/>
                  <w:vAlign w:val="center"/>
                </w:tcPr>
                <w:p w14:paraId="2DE429FD">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446" w:type="pct"/>
                  <w:noWrap w:val="0"/>
                  <w:vAlign w:val="center"/>
                </w:tcPr>
                <w:p w14:paraId="57713B22">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559" w:type="pct"/>
                  <w:noWrap w:val="0"/>
                  <w:vAlign w:val="center"/>
                </w:tcPr>
                <w:p w14:paraId="54A855C7">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52</w:t>
                  </w:r>
                </w:p>
              </w:tc>
              <w:tc>
                <w:tcPr>
                  <w:tcW w:w="1184" w:type="pct"/>
                  <w:noWrap w:val="0"/>
                  <w:vAlign w:val="center"/>
                </w:tcPr>
                <w:p w14:paraId="25802F6C">
                  <w:pPr>
                    <w:pStyle w:val="64"/>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选用低噪声设备，基础减震</w:t>
                  </w:r>
                </w:p>
              </w:tc>
              <w:tc>
                <w:tcPr>
                  <w:tcW w:w="752" w:type="pct"/>
                  <w:noWrap w:val="0"/>
                  <w:vAlign w:val="center"/>
                </w:tcPr>
                <w:p w14:paraId="5257F659">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昼夜</w:t>
                  </w:r>
                </w:p>
              </w:tc>
            </w:tr>
            <w:tr w14:paraId="711A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center"/>
                </w:tcPr>
                <w:p w14:paraId="51BC38B4">
                  <w:pPr>
                    <w:pStyle w:val="64"/>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val="en-US" w:eastAsia="zh-CN"/>
                    </w:rPr>
                    <w:t>2</w:t>
                  </w:r>
                </w:p>
              </w:tc>
              <w:tc>
                <w:tcPr>
                  <w:tcW w:w="1076" w:type="dxa"/>
                  <w:noWrap w:val="0"/>
                  <w:vAlign w:val="center"/>
                </w:tcPr>
                <w:p w14:paraId="2CF6F3F5">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分体式空调外机</w:t>
                  </w:r>
                </w:p>
              </w:tc>
              <w:tc>
                <w:tcPr>
                  <w:tcW w:w="654" w:type="dxa"/>
                  <w:noWrap w:val="0"/>
                  <w:vAlign w:val="center"/>
                </w:tcPr>
                <w:p w14:paraId="2D801957">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分体式挂机</w:t>
                  </w:r>
                </w:p>
              </w:tc>
              <w:tc>
                <w:tcPr>
                  <w:tcW w:w="635" w:type="dxa"/>
                  <w:noWrap w:val="0"/>
                  <w:vAlign w:val="center"/>
                </w:tcPr>
                <w:p w14:paraId="561C01FA">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11" w:type="dxa"/>
                  <w:noWrap w:val="0"/>
                  <w:vAlign w:val="center"/>
                </w:tcPr>
                <w:p w14:paraId="215B796B">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705" w:type="dxa"/>
                  <w:noWrap w:val="0"/>
                  <w:vAlign w:val="center"/>
                </w:tcPr>
                <w:p w14:paraId="6C33087D">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882" w:type="dxa"/>
                  <w:noWrap w:val="0"/>
                  <w:vAlign w:val="center"/>
                </w:tcPr>
                <w:p w14:paraId="3C24C84C">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52</w:t>
                  </w:r>
                </w:p>
              </w:tc>
              <w:tc>
                <w:tcPr>
                  <w:tcW w:w="1873" w:type="dxa"/>
                  <w:noWrap w:val="0"/>
                  <w:vAlign w:val="center"/>
                </w:tcPr>
                <w:p w14:paraId="5F6DBEAE">
                  <w:pPr>
                    <w:pStyle w:val="64"/>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选用低噪声设备，基础减震</w:t>
                  </w:r>
                </w:p>
              </w:tc>
              <w:tc>
                <w:tcPr>
                  <w:tcW w:w="1196" w:type="dxa"/>
                  <w:noWrap w:val="0"/>
                  <w:vAlign w:val="center"/>
                </w:tcPr>
                <w:p w14:paraId="6EF79DDA">
                  <w:pPr>
                    <w:pStyle w:val="64"/>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昼夜</w:t>
                  </w:r>
                </w:p>
              </w:tc>
            </w:tr>
            <w:tr w14:paraId="6ABA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center"/>
                </w:tcPr>
                <w:p w14:paraId="407D352D">
                  <w:pPr>
                    <w:pStyle w:val="64"/>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val="en-US" w:eastAsia="zh-CN"/>
                    </w:rPr>
                    <w:t>3</w:t>
                  </w:r>
                </w:p>
              </w:tc>
              <w:tc>
                <w:tcPr>
                  <w:tcW w:w="1076" w:type="dxa"/>
                  <w:noWrap w:val="0"/>
                  <w:vAlign w:val="center"/>
                </w:tcPr>
                <w:p w14:paraId="2F5FE24A">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分体式空调外机</w:t>
                  </w:r>
                </w:p>
              </w:tc>
              <w:tc>
                <w:tcPr>
                  <w:tcW w:w="654" w:type="dxa"/>
                  <w:noWrap w:val="0"/>
                  <w:vAlign w:val="center"/>
                </w:tcPr>
                <w:p w14:paraId="68A2FFD9">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分体式挂机</w:t>
                  </w:r>
                </w:p>
              </w:tc>
              <w:tc>
                <w:tcPr>
                  <w:tcW w:w="635" w:type="dxa"/>
                  <w:noWrap w:val="0"/>
                  <w:vAlign w:val="center"/>
                </w:tcPr>
                <w:p w14:paraId="380E1B42">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11" w:type="dxa"/>
                  <w:noWrap w:val="0"/>
                  <w:vAlign w:val="center"/>
                </w:tcPr>
                <w:p w14:paraId="3DFBDD95">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705" w:type="dxa"/>
                  <w:noWrap w:val="0"/>
                  <w:vAlign w:val="center"/>
                </w:tcPr>
                <w:p w14:paraId="78FB4E87">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882" w:type="dxa"/>
                  <w:noWrap w:val="0"/>
                  <w:vAlign w:val="center"/>
                </w:tcPr>
                <w:p w14:paraId="3ACF938E">
                  <w:pPr>
                    <w:pStyle w:val="64"/>
                    <w:keepNext w:val="0"/>
                    <w:keepLines w:val="0"/>
                    <w:suppressLineNumbers w:val="0"/>
                    <w:spacing w:before="0" w:beforeAutospacing="0" w:after="0" w:afterAutospacing="0"/>
                    <w:ind w:left="0" w:leftChars="0" w:right="0" w:rightChars="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52</w:t>
                  </w:r>
                </w:p>
              </w:tc>
              <w:tc>
                <w:tcPr>
                  <w:tcW w:w="1873" w:type="dxa"/>
                  <w:noWrap w:val="0"/>
                  <w:vAlign w:val="center"/>
                </w:tcPr>
                <w:p w14:paraId="5C7B13E6">
                  <w:pPr>
                    <w:pStyle w:val="64"/>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选用低噪声设备，基础减震</w:t>
                  </w:r>
                </w:p>
              </w:tc>
              <w:tc>
                <w:tcPr>
                  <w:tcW w:w="1196" w:type="dxa"/>
                  <w:noWrap w:val="0"/>
                  <w:vAlign w:val="center"/>
                </w:tcPr>
                <w:p w14:paraId="70BD6849">
                  <w:pPr>
                    <w:pStyle w:val="64"/>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昼夜</w:t>
                  </w:r>
                </w:p>
              </w:tc>
            </w:tr>
            <w:tr w14:paraId="7FF1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noWrap w:val="0"/>
                  <w:vAlign w:val="center"/>
                </w:tcPr>
                <w:p w14:paraId="48047C5B">
                  <w:pPr>
                    <w:pStyle w:val="64"/>
                    <w:keepNext w:val="0"/>
                    <w:keepLines w:val="0"/>
                    <w:numPr>
                      <w:ilvl w:val="0"/>
                      <w:numId w:val="0"/>
                    </w:numPr>
                    <w:suppressLineNumbers w:val="0"/>
                    <w:spacing w:before="0" w:beforeAutospacing="0" w:after="0" w:afterAutospacing="0"/>
                    <w:ind w:left="0" w:leftChars="0" w:right="0" w:rightChars="0"/>
                    <w:jc w:val="left"/>
                    <w:rPr>
                      <w:rFonts w:hint="default" w:ascii="Times New Roman" w:hAnsi="Times New Roman" w:cs="Times New Roman"/>
                      <w:color w:val="auto"/>
                      <w:kern w:val="0"/>
                      <w:sz w:val="18"/>
                      <w:szCs w:val="18"/>
                      <w:highlight w:val="none"/>
                      <w:lang w:val="en-US" w:eastAsia="zh-CN" w:bidi="ar"/>
                    </w:rPr>
                  </w:pPr>
                  <w:r>
                    <w:rPr>
                      <w:rFonts w:hint="eastAsia" w:ascii="Times New Roman" w:hAnsi="Times New Roman" w:cs="Times New Roman"/>
                      <w:color w:val="auto"/>
                      <w:sz w:val="15"/>
                      <w:szCs w:val="15"/>
                      <w:highlight w:val="none"/>
                      <w:lang w:val="en-US" w:eastAsia="zh-CN"/>
                    </w:rPr>
                    <w:t>1）</w:t>
                  </w:r>
                  <w:r>
                    <w:rPr>
                      <w:rFonts w:hint="default" w:ascii="Times New Roman" w:hAnsi="Times New Roman" w:cs="Times New Roman"/>
                      <w:color w:val="auto"/>
                      <w:sz w:val="15"/>
                      <w:szCs w:val="15"/>
                      <w:highlight w:val="none"/>
                    </w:rPr>
                    <w:t>（0，0，0）点为</w:t>
                  </w:r>
                  <w:r>
                    <w:rPr>
                      <w:rFonts w:hint="eastAsia" w:ascii="Times New Roman" w:hAnsi="Times New Roman" w:cs="Times New Roman"/>
                      <w:color w:val="auto"/>
                      <w:sz w:val="15"/>
                      <w:szCs w:val="15"/>
                      <w:highlight w:val="none"/>
                      <w:lang w:val="en-US" w:eastAsia="zh-CN"/>
                    </w:rPr>
                    <w:t>项目出入口，Z为以医院地面为0m参照的声源高度；</w:t>
                  </w:r>
                </w:p>
                <w:p w14:paraId="012B20D6">
                  <w:pPr>
                    <w:pStyle w:val="64"/>
                    <w:keepNext w:val="0"/>
                    <w:keepLines w:val="0"/>
                    <w:numPr>
                      <w:ilvl w:val="0"/>
                      <w:numId w:val="0"/>
                    </w:numPr>
                    <w:suppressLineNumbers w:val="0"/>
                    <w:spacing w:before="0" w:beforeAutospacing="0" w:after="0" w:afterAutospacing="0"/>
                    <w:ind w:right="0" w:rightChars="0"/>
                    <w:jc w:val="left"/>
                    <w:rPr>
                      <w:rFonts w:hint="default" w:ascii="Times New Roman" w:hAnsi="Times New Roman" w:cs="Times New Roman"/>
                      <w:color w:val="auto"/>
                      <w:kern w:val="0"/>
                      <w:sz w:val="18"/>
                      <w:szCs w:val="18"/>
                      <w:highlight w:val="none"/>
                      <w:lang w:val="en-US" w:eastAsia="zh-CN" w:bidi="ar"/>
                    </w:rPr>
                  </w:pPr>
                  <w:r>
                    <w:rPr>
                      <w:rFonts w:hint="eastAsia" w:ascii="Times New Roman" w:hAnsi="Times New Roman" w:cs="Times New Roman"/>
                      <w:color w:val="auto"/>
                      <w:sz w:val="15"/>
                      <w:szCs w:val="15"/>
                      <w:highlight w:val="none"/>
                      <w:lang w:val="en-US" w:eastAsia="zh-CN"/>
                    </w:rPr>
                    <w:t>2）项目分体式空调制冷量小于2.5kW，其室外机噪声值参考GB/T 7725-2022《房间空气调节器》。</w:t>
                  </w:r>
                </w:p>
              </w:tc>
            </w:tr>
          </w:tbl>
          <w:p w14:paraId="1CB7A1B2">
            <w:pPr>
              <w:keepNext w:val="0"/>
              <w:keepLines w:val="0"/>
              <w:pageBreakBefore w:val="0"/>
              <w:widowControl w:val="0"/>
              <w:kinsoku/>
              <w:wordWrap/>
              <w:overflowPunct/>
              <w:topLinePunct w:val="0"/>
              <w:autoSpaceDE/>
              <w:autoSpaceDN/>
              <w:bidi w:val="0"/>
              <w:adjustRightInd w:val="0"/>
              <w:snapToGrid w:val="0"/>
              <w:spacing w:line="400" w:lineRule="exact"/>
              <w:ind w:firstLine="382" w:firstLineChars="200"/>
              <w:textAlignment w:val="auto"/>
              <w:rPr>
                <w:rFonts w:hint="eastAsia" w:eastAsia="宋体"/>
                <w:b/>
                <w:bCs/>
                <w:color w:val="auto"/>
                <w:spacing w:val="-10"/>
                <w:szCs w:val="21"/>
                <w:lang w:val="en-US" w:eastAsia="zh-CN"/>
              </w:rPr>
            </w:pPr>
            <w:r>
              <w:rPr>
                <w:rFonts w:hint="eastAsia"/>
                <w:b/>
                <w:bCs/>
                <w:color w:val="auto"/>
                <w:spacing w:val="-10"/>
                <w:szCs w:val="21"/>
              </w:rPr>
              <w:t>（2）厂界噪声预测</w:t>
            </w:r>
          </w:p>
          <w:p w14:paraId="3D79ED79">
            <w:pPr>
              <w:keepNext w:val="0"/>
              <w:keepLines w:val="0"/>
              <w:pageBreakBefore w:val="0"/>
              <w:widowControl w:val="0"/>
              <w:kinsoku/>
              <w:wordWrap/>
              <w:overflowPunct/>
              <w:topLinePunct w:val="0"/>
              <w:autoSpaceDE/>
              <w:autoSpaceDN/>
              <w:bidi w:val="0"/>
              <w:adjustRightInd w:val="0"/>
              <w:snapToGrid w:val="0"/>
              <w:spacing w:line="400" w:lineRule="exact"/>
              <w:ind w:firstLine="380" w:firstLineChars="200"/>
              <w:textAlignment w:val="auto"/>
              <w:rPr>
                <w:bCs/>
                <w:color w:val="auto"/>
                <w:spacing w:val="-10"/>
                <w:szCs w:val="21"/>
              </w:rPr>
            </w:pPr>
            <w:r>
              <w:rPr>
                <w:rFonts w:hint="eastAsia"/>
                <w:bCs/>
                <w:color w:val="auto"/>
                <w:spacing w:val="-10"/>
                <w:szCs w:val="21"/>
              </w:rPr>
              <w:t>本项目厂界噪声预测模式采取</w:t>
            </w:r>
            <w:r>
              <w:rPr>
                <w:color w:val="auto"/>
                <w:szCs w:val="21"/>
              </w:rPr>
              <w:t>《环境影响评价技术导则声环境》（HJ2.4－20</w:t>
            </w:r>
            <w:r>
              <w:rPr>
                <w:rFonts w:hint="eastAsia"/>
                <w:color w:val="auto"/>
                <w:szCs w:val="21"/>
              </w:rPr>
              <w:t>21</w:t>
            </w:r>
            <w:r>
              <w:rPr>
                <w:color w:val="auto"/>
                <w:szCs w:val="21"/>
              </w:rPr>
              <w:t>）中推荐的公式</w:t>
            </w:r>
            <w:r>
              <w:rPr>
                <w:rFonts w:hint="eastAsia"/>
                <w:color w:val="auto"/>
                <w:szCs w:val="21"/>
              </w:rPr>
              <w:t>，</w:t>
            </w:r>
            <w:r>
              <w:rPr>
                <w:color w:val="auto"/>
                <w:szCs w:val="21"/>
              </w:rPr>
              <w:t>公式</w:t>
            </w:r>
            <w:r>
              <w:rPr>
                <w:rFonts w:hint="eastAsia"/>
                <w:bCs/>
                <w:color w:val="auto"/>
                <w:spacing w:val="-10"/>
                <w:szCs w:val="21"/>
              </w:rPr>
              <w:t>如下：</w:t>
            </w:r>
          </w:p>
          <w:p w14:paraId="7161DAC1">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b/>
                <w:bCs/>
                <w:color w:val="auto"/>
                <w:spacing w:val="-10"/>
                <w:szCs w:val="21"/>
              </w:rPr>
            </w:pPr>
            <w:r>
              <w:rPr>
                <w:rFonts w:hint="eastAsia" w:ascii="宋体" w:hAnsi="宋体" w:cs="宋体"/>
                <w:b/>
                <w:color w:val="auto"/>
                <w:szCs w:val="21"/>
              </w:rPr>
              <w:t>①</w:t>
            </w:r>
            <w:r>
              <w:rPr>
                <w:b/>
                <w:color w:val="auto"/>
                <w:szCs w:val="21"/>
              </w:rPr>
              <w:t>室内</w:t>
            </w:r>
            <w:r>
              <w:rPr>
                <w:rFonts w:hint="eastAsia"/>
                <w:b/>
                <w:color w:val="auto"/>
                <w:szCs w:val="21"/>
                <w:lang w:val="en-US" w:eastAsia="zh-CN"/>
              </w:rPr>
              <w:t>声源等效室外声源声功率级计算方法</w:t>
            </w:r>
          </w:p>
          <w:p w14:paraId="5D728D85">
            <w:pPr>
              <w:pStyle w:val="60"/>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hint="default"/>
                <w:bCs/>
                <w:color w:val="auto"/>
                <w:sz w:val="21"/>
                <w:szCs w:val="21"/>
                <w:lang w:val="en-US" w:eastAsia="zh-CN"/>
              </w:rPr>
            </w:pPr>
            <w:r>
              <w:rPr>
                <w:bCs/>
                <w:color w:val="auto"/>
                <w:sz w:val="21"/>
                <w:szCs w:val="21"/>
                <w:lang w:val="en-US" w:eastAsia="zh-CN"/>
              </w:rPr>
              <w:t>A、</w:t>
            </w:r>
            <w:r>
              <w:rPr>
                <w:rFonts w:hint="eastAsia"/>
                <w:bCs/>
                <w:color w:val="auto"/>
                <w:sz w:val="21"/>
                <w:szCs w:val="21"/>
                <w:lang w:val="en-US" w:eastAsia="zh-CN"/>
              </w:rPr>
              <w:t>某一</w:t>
            </w:r>
            <w:r>
              <w:rPr>
                <w:bCs/>
                <w:color w:val="auto"/>
                <w:sz w:val="21"/>
                <w:szCs w:val="21"/>
                <w:lang w:val="en-US" w:eastAsia="zh-CN"/>
              </w:rPr>
              <w:t>室内</w:t>
            </w:r>
            <w:r>
              <w:rPr>
                <w:rFonts w:hint="eastAsia"/>
                <w:bCs/>
                <w:color w:val="auto"/>
                <w:sz w:val="21"/>
                <w:szCs w:val="21"/>
                <w:lang w:val="en-US" w:eastAsia="zh-CN"/>
              </w:rPr>
              <w:t>声源</w:t>
            </w:r>
            <w:r>
              <w:rPr>
                <w:bCs/>
                <w:color w:val="auto"/>
                <w:sz w:val="21"/>
                <w:szCs w:val="21"/>
                <w:lang w:val="en-US" w:eastAsia="zh-CN"/>
              </w:rPr>
              <w:t>靠近围护结构处的倍频带声压级</w:t>
            </w:r>
            <w:r>
              <w:rPr>
                <w:rFonts w:hint="eastAsia"/>
                <w:bCs/>
                <w:color w:val="auto"/>
                <w:sz w:val="21"/>
                <w:szCs w:val="21"/>
                <w:lang w:val="en-US" w:eastAsia="zh-CN"/>
              </w:rPr>
              <w:t>或A声级</w:t>
            </w:r>
          </w:p>
          <w:p w14:paraId="488BD98F">
            <w:pPr>
              <w:spacing w:line="360" w:lineRule="auto"/>
              <w:ind w:firstLine="420" w:firstLineChars="200"/>
              <w:jc w:val="center"/>
              <w:rPr>
                <w:rFonts w:hint="default" w:eastAsia="宋体"/>
                <w:b/>
                <w:color w:val="auto"/>
                <w:szCs w:val="21"/>
                <w:lang w:val="en-US" w:eastAsia="zh-CN"/>
              </w:rPr>
            </w:pPr>
            <w:r>
              <w:rPr>
                <w:bCs/>
                <w:color w:val="auto"/>
                <w:szCs w:val="21"/>
              </w:rPr>
              <w:object>
                <v:shape id="_x0000_i1025" o:spt="75" type="#_x0000_t75" style="height:33.5pt;width:137.25pt;" o:ole="t" filled="f" o:preferrelative="t" stroked="f" coordsize="21600,21600">
                  <v:path/>
                  <v:fill on="f" focussize="0,0"/>
                  <v:stroke on="f"/>
                  <v:imagedata r:id="rId11" o:title=""/>
                  <o:lock v:ext="edit" aspectratio="t"/>
                  <w10:wrap type="none"/>
                  <w10:anchorlock/>
                </v:shape>
                <o:OLEObject Type="Embed" ProgID="Equations" ShapeID="_x0000_i1025" DrawAspect="Content" ObjectID="_1468075725" r:id="rId10">
                  <o:LockedField>false</o:LockedField>
                </o:OLEObject>
              </w:object>
            </w:r>
            <w:r>
              <w:rPr>
                <w:rFonts w:hint="eastAsia"/>
                <w:bCs/>
                <w:color w:val="auto"/>
                <w:szCs w:val="21"/>
                <w:lang w:val="en-US" w:eastAsia="zh-CN"/>
              </w:rPr>
              <w:t xml:space="preserve">  </w:t>
            </w:r>
          </w:p>
          <w:p w14:paraId="62A88AB5">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bCs/>
                <w:color w:val="auto"/>
                <w:szCs w:val="21"/>
              </w:rPr>
            </w:pPr>
            <w:r>
              <w:rPr>
                <w:bCs/>
                <w:color w:val="auto"/>
                <w:szCs w:val="21"/>
              </w:rPr>
              <w:t>式中：L</w:t>
            </w:r>
            <w:r>
              <w:rPr>
                <w:bCs/>
                <w:color w:val="auto"/>
                <w:szCs w:val="21"/>
                <w:vertAlign w:val="subscript"/>
              </w:rPr>
              <w:t>p1</w:t>
            </w:r>
            <w:r>
              <w:rPr>
                <w:bCs/>
                <w:color w:val="auto"/>
                <w:szCs w:val="21"/>
              </w:rPr>
              <w:t>——室内倍频带声压级，</w:t>
            </w:r>
            <w:r>
              <w:rPr>
                <w:color w:val="auto"/>
                <w:szCs w:val="21"/>
              </w:rPr>
              <w:t>dB；</w:t>
            </w:r>
            <w:r>
              <w:rPr>
                <w:bCs/>
                <w:color w:val="auto"/>
                <w:szCs w:val="21"/>
              </w:rPr>
              <w:t>L</w:t>
            </w:r>
            <w:r>
              <w:rPr>
                <w:bCs/>
                <w:color w:val="auto"/>
                <w:szCs w:val="21"/>
                <w:vertAlign w:val="subscript"/>
              </w:rPr>
              <w:t>W</w:t>
            </w:r>
            <w:r>
              <w:rPr>
                <w:bCs/>
                <w:color w:val="auto"/>
                <w:szCs w:val="21"/>
              </w:rPr>
              <w:t>——倍频带声功率级，</w:t>
            </w:r>
            <w:r>
              <w:rPr>
                <w:color w:val="auto"/>
                <w:szCs w:val="21"/>
              </w:rPr>
              <w:t>dB；</w:t>
            </w:r>
            <w:r>
              <w:rPr>
                <w:rFonts w:hint="eastAsia"/>
                <w:color w:val="auto"/>
                <w:szCs w:val="21"/>
              </w:rPr>
              <w:t xml:space="preserve">   </w:t>
            </w:r>
          </w:p>
          <w:p w14:paraId="3C668A46">
            <w:pPr>
              <w:keepNext w:val="0"/>
              <w:keepLines w:val="0"/>
              <w:pageBreakBefore w:val="0"/>
              <w:widowControl w:val="0"/>
              <w:kinsoku/>
              <w:wordWrap/>
              <w:overflowPunct/>
              <w:topLinePunct w:val="0"/>
              <w:autoSpaceDE/>
              <w:autoSpaceDN/>
              <w:bidi w:val="0"/>
              <w:adjustRightInd w:val="0"/>
              <w:snapToGrid w:val="0"/>
              <w:spacing w:line="400" w:lineRule="exact"/>
              <w:ind w:firstLine="630" w:firstLineChars="300"/>
              <w:textAlignment w:val="auto"/>
              <w:rPr>
                <w:bCs/>
                <w:color w:val="auto"/>
                <w:szCs w:val="21"/>
              </w:rPr>
            </w:pPr>
            <w:r>
              <w:rPr>
                <w:bCs/>
                <w:color w:val="auto"/>
                <w:szCs w:val="21"/>
              </w:rPr>
              <w:t>Q——指向性因数：通常对无指向性声源，当声源放在房间中心时，Q=1；当放在一面墙的中心时，Q=2；当放在两面墙夹角处时，Q=4；当放在三面墙夹角处时，Q=8；</w:t>
            </w:r>
          </w:p>
          <w:p w14:paraId="2414B76C">
            <w:pPr>
              <w:keepNext w:val="0"/>
              <w:keepLines w:val="0"/>
              <w:pageBreakBefore w:val="0"/>
              <w:widowControl w:val="0"/>
              <w:kinsoku/>
              <w:wordWrap/>
              <w:overflowPunct/>
              <w:topLinePunct w:val="0"/>
              <w:autoSpaceDE/>
              <w:autoSpaceDN/>
              <w:bidi w:val="0"/>
              <w:adjustRightInd w:val="0"/>
              <w:snapToGrid w:val="0"/>
              <w:spacing w:line="400" w:lineRule="exact"/>
              <w:ind w:firstLine="630" w:firstLineChars="300"/>
              <w:textAlignment w:val="auto"/>
              <w:rPr>
                <w:bCs/>
                <w:color w:val="auto"/>
                <w:szCs w:val="21"/>
              </w:rPr>
            </w:pPr>
            <w:r>
              <w:rPr>
                <w:color w:val="auto"/>
                <w:szCs w:val="21"/>
              </w:rPr>
              <w:t>R</w:t>
            </w:r>
            <w:r>
              <w:rPr>
                <w:bCs/>
                <w:color w:val="auto"/>
                <w:szCs w:val="21"/>
              </w:rPr>
              <w:t>——房间常</w:t>
            </w:r>
            <w:r>
              <w:rPr>
                <w:rFonts w:hint="eastAsia"/>
                <w:bCs/>
                <w:color w:val="auto"/>
                <w:szCs w:val="21"/>
              </w:rPr>
              <w:t>数</w:t>
            </w:r>
            <w:r>
              <w:rPr>
                <w:bCs/>
                <w:color w:val="auto"/>
                <w:szCs w:val="21"/>
              </w:rPr>
              <w:t>，R=Sα/（1-α），S为房间内表面面积，㎡，α为平均吸声系数；</w:t>
            </w:r>
          </w:p>
          <w:p w14:paraId="1F1F30B6">
            <w:pPr>
              <w:keepNext w:val="0"/>
              <w:keepLines w:val="0"/>
              <w:pageBreakBefore w:val="0"/>
              <w:widowControl w:val="0"/>
              <w:kinsoku/>
              <w:wordWrap/>
              <w:overflowPunct/>
              <w:topLinePunct w:val="0"/>
              <w:autoSpaceDE/>
              <w:autoSpaceDN/>
              <w:bidi w:val="0"/>
              <w:adjustRightInd w:val="0"/>
              <w:snapToGrid w:val="0"/>
              <w:spacing w:line="400" w:lineRule="exact"/>
              <w:ind w:firstLine="630" w:firstLineChars="300"/>
              <w:textAlignment w:val="auto"/>
              <w:outlineLvl w:val="0"/>
              <w:rPr>
                <w:bCs/>
                <w:color w:val="auto"/>
                <w:kern w:val="24"/>
                <w:szCs w:val="21"/>
              </w:rPr>
            </w:pPr>
            <w:r>
              <w:rPr>
                <w:bCs/>
                <w:color w:val="auto"/>
                <w:szCs w:val="21"/>
              </w:rPr>
              <w:t>r——声源到靠近围护结构某点处的距离，m。</w:t>
            </w:r>
          </w:p>
          <w:p w14:paraId="3135AB7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bCs/>
                <w:color w:val="auto"/>
                <w:szCs w:val="21"/>
              </w:rPr>
            </w:pPr>
            <w:r>
              <w:rPr>
                <w:bCs/>
                <w:color w:val="auto"/>
                <w:szCs w:val="21"/>
              </w:rPr>
              <w:t>B、所有室内声源在围护结构处产生的</w:t>
            </w:r>
            <w:r>
              <w:rPr>
                <w:rFonts w:hint="eastAsia"/>
                <w:bCs/>
                <w:color w:val="auto"/>
                <w:szCs w:val="21"/>
                <w:lang w:val="en-US" w:eastAsia="zh-CN"/>
              </w:rPr>
              <w:t>i</w:t>
            </w:r>
            <w:r>
              <w:rPr>
                <w:bCs/>
                <w:color w:val="auto"/>
                <w:szCs w:val="21"/>
              </w:rPr>
              <w:t>倍频带叠加声压级</w:t>
            </w:r>
          </w:p>
          <w:p w14:paraId="10B88C2E">
            <w:pPr>
              <w:adjustRightInd w:val="0"/>
              <w:snapToGrid w:val="0"/>
              <w:spacing w:before="360" w:beforeLines="150" w:line="400" w:lineRule="exact"/>
              <w:jc w:val="center"/>
              <w:rPr>
                <w:bCs/>
                <w:color w:val="auto"/>
                <w:szCs w:val="21"/>
              </w:rPr>
            </w:pPr>
            <w:r>
              <w:rPr>
                <w:bCs/>
                <w:color w:val="auto"/>
                <w:szCs w:val="21"/>
              </w:rPr>
              <w:object>
                <v:shape id="_x0000_i1026" o:spt="75" type="#_x0000_t75" style="height:37.65pt;width:133.1pt;" o:ole="t" filled="f" o:preferrelative="t" stroked="f" coordsize="21600,21600">
                  <v:path/>
                  <v:fill on="f" focussize="0,0"/>
                  <v:stroke on="f"/>
                  <v:imagedata r:id="rId13" o:title=""/>
                  <o:lock v:ext="edit" aspectratio="t"/>
                  <w10:wrap type="none"/>
                  <w10:anchorlock/>
                </v:shape>
                <o:OLEObject Type="Embed" ProgID="Equations" ShapeID="_x0000_i1026" DrawAspect="Content" ObjectID="_1468075726" r:id="rId12">
                  <o:LockedField>false</o:LockedField>
                </o:OLEObject>
              </w:object>
            </w:r>
          </w:p>
          <w:p w14:paraId="46901109">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bCs/>
                <w:color w:val="auto"/>
                <w:szCs w:val="21"/>
              </w:rPr>
              <w:t>式中：L</w:t>
            </w:r>
            <w:r>
              <w:rPr>
                <w:bCs/>
                <w:color w:val="auto"/>
                <w:szCs w:val="21"/>
                <w:vertAlign w:val="subscript"/>
              </w:rPr>
              <w:t>p1i</w:t>
            </w:r>
            <w:r>
              <w:rPr>
                <w:bCs/>
                <w:color w:val="auto"/>
                <w:szCs w:val="21"/>
              </w:rPr>
              <w:t>（T）——靠近围护结构处室内N个声源i倍频带的叠加声压级，</w:t>
            </w:r>
            <w:r>
              <w:rPr>
                <w:color w:val="auto"/>
                <w:szCs w:val="21"/>
              </w:rPr>
              <w:t>dB；</w:t>
            </w:r>
          </w:p>
          <w:p w14:paraId="2415EC41">
            <w:pPr>
              <w:keepNext w:val="0"/>
              <w:keepLines w:val="0"/>
              <w:pageBreakBefore w:val="0"/>
              <w:widowControl w:val="0"/>
              <w:kinsoku/>
              <w:wordWrap/>
              <w:overflowPunct/>
              <w:topLinePunct w:val="0"/>
              <w:autoSpaceDE/>
              <w:autoSpaceDN/>
              <w:bidi w:val="0"/>
              <w:adjustRightInd w:val="0"/>
              <w:snapToGrid w:val="0"/>
              <w:spacing w:line="400" w:lineRule="exact"/>
              <w:ind w:firstLine="630" w:firstLineChars="300"/>
              <w:textAlignment w:val="auto"/>
              <w:rPr>
                <w:bCs/>
                <w:color w:val="auto"/>
                <w:szCs w:val="21"/>
              </w:rPr>
            </w:pPr>
            <w:r>
              <w:rPr>
                <w:bCs/>
                <w:color w:val="auto"/>
                <w:szCs w:val="21"/>
              </w:rPr>
              <w:t>L</w:t>
            </w:r>
            <w:r>
              <w:rPr>
                <w:bCs/>
                <w:color w:val="auto"/>
                <w:szCs w:val="21"/>
                <w:vertAlign w:val="subscript"/>
              </w:rPr>
              <w:t>p1ij</w:t>
            </w:r>
            <w:r>
              <w:rPr>
                <w:bCs/>
                <w:color w:val="auto"/>
                <w:szCs w:val="21"/>
              </w:rPr>
              <w:t>——室内j声源i倍频带的声压级，</w:t>
            </w:r>
            <w:r>
              <w:rPr>
                <w:color w:val="auto"/>
                <w:szCs w:val="21"/>
              </w:rPr>
              <w:t>dB；</w:t>
            </w:r>
          </w:p>
          <w:p w14:paraId="3B401626">
            <w:pPr>
              <w:keepNext w:val="0"/>
              <w:keepLines w:val="0"/>
              <w:pageBreakBefore w:val="0"/>
              <w:widowControl w:val="0"/>
              <w:kinsoku/>
              <w:wordWrap/>
              <w:overflowPunct/>
              <w:topLinePunct w:val="0"/>
              <w:autoSpaceDE/>
              <w:autoSpaceDN/>
              <w:bidi w:val="0"/>
              <w:adjustRightInd w:val="0"/>
              <w:snapToGrid w:val="0"/>
              <w:spacing w:line="400" w:lineRule="exact"/>
              <w:ind w:firstLine="630" w:firstLineChars="300"/>
              <w:textAlignment w:val="auto"/>
              <w:rPr>
                <w:bCs/>
                <w:color w:val="auto"/>
                <w:szCs w:val="21"/>
              </w:rPr>
            </w:pPr>
            <w:r>
              <w:rPr>
                <w:bCs/>
                <w:color w:val="auto"/>
                <w:szCs w:val="21"/>
              </w:rPr>
              <w:t>N——室内声源总数。</w:t>
            </w:r>
          </w:p>
          <w:p w14:paraId="28C08E8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rPr>
            </w:pPr>
            <w:r>
              <w:rPr>
                <w:rFonts w:hint="eastAsia"/>
                <w:bCs/>
                <w:color w:val="auto"/>
                <w:szCs w:val="21"/>
                <w:lang w:val="en-US" w:eastAsia="zh-CN"/>
              </w:rPr>
              <w:t>C</w:t>
            </w:r>
            <w:r>
              <w:rPr>
                <w:bCs/>
                <w:color w:val="auto"/>
                <w:szCs w:val="21"/>
              </w:rPr>
              <w:t>、</w:t>
            </w:r>
            <w:r>
              <w:rPr>
                <w:rFonts w:hint="eastAsia"/>
                <w:bCs/>
                <w:color w:val="auto"/>
                <w:szCs w:val="21"/>
                <w:lang w:val="en-US" w:eastAsia="zh-CN"/>
              </w:rPr>
              <w:t>按下式计算出</w:t>
            </w:r>
            <w:r>
              <w:rPr>
                <w:color w:val="auto"/>
                <w:szCs w:val="21"/>
              </w:rPr>
              <w:t>靠近室外围护结构处的声压级</w:t>
            </w:r>
          </w:p>
          <w:p w14:paraId="0D3AF79F">
            <w:pPr>
              <w:adjustRightInd w:val="0"/>
              <w:snapToGrid w:val="0"/>
              <w:spacing w:before="120" w:beforeLines="50" w:after="120" w:afterLines="50" w:line="400" w:lineRule="exact"/>
              <w:jc w:val="center"/>
              <w:rPr>
                <w:color w:val="auto"/>
                <w:szCs w:val="21"/>
              </w:rPr>
            </w:pPr>
            <w:r>
              <w:rPr>
                <w:color w:val="auto"/>
                <w:szCs w:val="21"/>
              </w:rPr>
              <w:object>
                <v:shape id="_x0000_i1027" o:spt="75" type="#_x0000_t75" style="height:19.25pt;width:135.6pt;" o:ole="t" filled="f" o:preferrelative="t" stroked="f" coordsize="21600,21600">
                  <v:path/>
                  <v:fill on="f" focussize="0,0"/>
                  <v:stroke on="f"/>
                  <v:imagedata r:id="rId15" o:title=""/>
                  <o:lock v:ext="edit" aspectratio="t"/>
                  <w10:wrap type="none"/>
                  <w10:anchorlock/>
                </v:shape>
                <o:OLEObject Type="Embed" ProgID="Equations" ShapeID="_x0000_i1027" DrawAspect="Content" ObjectID="_1468075727" r:id="rId14">
                  <o:LockedField>false</o:LockedField>
                </o:OLEObject>
              </w:object>
            </w:r>
          </w:p>
          <w:p w14:paraId="42CD59CB">
            <w:pPr>
              <w:keepNext w:val="0"/>
              <w:keepLines w:val="0"/>
              <w:pageBreakBefore w:val="0"/>
              <w:widowControl w:val="0"/>
              <w:kinsoku/>
              <w:wordWrap/>
              <w:overflowPunct/>
              <w:topLinePunct w:val="0"/>
              <w:autoSpaceDE/>
              <w:autoSpaceDN/>
              <w:bidi w:val="0"/>
              <w:adjustRightInd w:val="0"/>
              <w:snapToGrid w:val="0"/>
              <w:spacing w:line="400" w:lineRule="exact"/>
              <w:textAlignment w:val="auto"/>
              <w:rPr>
                <w:bCs/>
                <w:color w:val="auto"/>
                <w:szCs w:val="21"/>
              </w:rPr>
            </w:pPr>
            <w:r>
              <w:rPr>
                <w:bCs/>
                <w:color w:val="auto"/>
                <w:szCs w:val="21"/>
              </w:rPr>
              <w:t>式中：L</w:t>
            </w:r>
            <w:r>
              <w:rPr>
                <w:bCs/>
                <w:color w:val="auto"/>
                <w:szCs w:val="21"/>
                <w:vertAlign w:val="subscript"/>
              </w:rPr>
              <w:t>p2i</w:t>
            </w:r>
            <w:r>
              <w:rPr>
                <w:bCs/>
                <w:color w:val="auto"/>
                <w:szCs w:val="21"/>
              </w:rPr>
              <w:t>（T）——靠近围护结构处室外N个声源i倍频带的叠加声压级，</w:t>
            </w:r>
            <w:r>
              <w:rPr>
                <w:color w:val="auto"/>
                <w:szCs w:val="21"/>
              </w:rPr>
              <w:t>dB；</w:t>
            </w:r>
          </w:p>
          <w:p w14:paraId="6CCB0A8D">
            <w:pPr>
              <w:keepNext w:val="0"/>
              <w:keepLines w:val="0"/>
              <w:pageBreakBefore w:val="0"/>
              <w:widowControl w:val="0"/>
              <w:kinsoku/>
              <w:wordWrap/>
              <w:overflowPunct/>
              <w:topLinePunct w:val="0"/>
              <w:autoSpaceDE/>
              <w:autoSpaceDN/>
              <w:bidi w:val="0"/>
              <w:adjustRightInd w:val="0"/>
              <w:snapToGrid w:val="0"/>
              <w:spacing w:line="400" w:lineRule="exact"/>
              <w:ind w:firstLine="630" w:firstLineChars="300"/>
              <w:textAlignment w:val="auto"/>
              <w:rPr>
                <w:bCs/>
                <w:color w:val="auto"/>
                <w:szCs w:val="21"/>
              </w:rPr>
            </w:pPr>
            <w:r>
              <w:rPr>
                <w:bCs/>
                <w:color w:val="auto"/>
                <w:szCs w:val="21"/>
              </w:rPr>
              <w:t>TL</w:t>
            </w:r>
            <w:r>
              <w:rPr>
                <w:bCs/>
                <w:color w:val="auto"/>
                <w:szCs w:val="21"/>
                <w:vertAlign w:val="subscript"/>
              </w:rPr>
              <w:t>i</w:t>
            </w:r>
            <w:r>
              <w:rPr>
                <w:bCs/>
                <w:color w:val="auto"/>
                <w:szCs w:val="21"/>
              </w:rPr>
              <w:t>——围护结构i倍频带的隔声量，</w:t>
            </w:r>
            <w:r>
              <w:rPr>
                <w:color w:val="auto"/>
                <w:szCs w:val="21"/>
              </w:rPr>
              <w:t>dB。</w:t>
            </w:r>
          </w:p>
          <w:p w14:paraId="65EA16C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color w:val="auto"/>
                <w:szCs w:val="21"/>
                <w:lang w:eastAsia="zh-CN"/>
              </w:rPr>
            </w:pPr>
            <w:r>
              <w:rPr>
                <w:rFonts w:hint="eastAsia"/>
                <w:bCs/>
                <w:color w:val="auto"/>
                <w:szCs w:val="21"/>
                <w:lang w:val="en-US" w:eastAsia="zh-CN"/>
              </w:rPr>
              <w:t>D</w:t>
            </w:r>
            <w:r>
              <w:rPr>
                <w:bCs/>
                <w:color w:val="auto"/>
                <w:szCs w:val="21"/>
              </w:rPr>
              <w:t>、</w:t>
            </w:r>
            <w:r>
              <w:rPr>
                <w:rFonts w:hint="eastAsia"/>
                <w:bCs/>
                <w:color w:val="auto"/>
                <w:szCs w:val="21"/>
                <w:lang w:val="en-US" w:eastAsia="zh-CN"/>
              </w:rPr>
              <w:t>按下式将室外声源的声压级和透过面积换算成等效的室外声源，计算出</w:t>
            </w:r>
            <w:r>
              <w:rPr>
                <w:color w:val="auto"/>
                <w:szCs w:val="21"/>
              </w:rPr>
              <w:t>中心位置位于透声面积（S）处的</w:t>
            </w:r>
            <w:r>
              <w:rPr>
                <w:rFonts w:hint="eastAsia"/>
                <w:color w:val="auto"/>
                <w:szCs w:val="21"/>
                <w:lang w:val="en-US" w:eastAsia="zh-CN"/>
              </w:rPr>
              <w:t>等效</w:t>
            </w:r>
            <w:r>
              <w:rPr>
                <w:color w:val="auto"/>
                <w:szCs w:val="21"/>
              </w:rPr>
              <w:t>声源的倍频带声功率级</w:t>
            </w:r>
          </w:p>
          <w:p w14:paraId="2DA86D0B">
            <w:pPr>
              <w:adjustRightInd w:val="0"/>
              <w:snapToGrid w:val="0"/>
              <w:spacing w:before="240" w:beforeLines="100" w:after="120" w:afterLines="50" w:line="400" w:lineRule="exact"/>
              <w:jc w:val="center"/>
              <w:rPr>
                <w:color w:val="auto"/>
                <w:szCs w:val="21"/>
              </w:rPr>
            </w:pPr>
            <w:r>
              <w:rPr>
                <w:color w:val="auto"/>
                <w:szCs w:val="21"/>
              </w:rPr>
              <w:object>
                <v:shape id="_x0000_i1028" o:spt="75" type="#_x0000_t75" style="height:17.55pt;width:93.1pt;" o:ole="t" filled="f" o:preferrelative="t" stroked="f" coordsize="21600,21600">
                  <v:path/>
                  <v:fill on="f" focussize="0,0"/>
                  <v:stroke on="f"/>
                  <v:imagedata r:id="rId17" o:title=""/>
                  <o:lock v:ext="edit" aspectratio="t"/>
                  <w10:wrap type="none"/>
                  <w10:anchorlock/>
                </v:shape>
                <o:OLEObject Type="Embed" ProgID="Equations" ShapeID="_x0000_i1028" DrawAspect="Content" ObjectID="_1468075728" r:id="rId16">
                  <o:LockedField>false</o:LockedField>
                </o:OLEObject>
              </w:object>
            </w:r>
          </w:p>
          <w:p w14:paraId="69543751">
            <w:pPr>
              <w:keepNext w:val="0"/>
              <w:keepLines w:val="0"/>
              <w:pageBreakBefore w:val="0"/>
              <w:widowControl w:val="0"/>
              <w:kinsoku/>
              <w:wordWrap/>
              <w:overflowPunct/>
              <w:topLinePunct w:val="0"/>
              <w:autoSpaceDE/>
              <w:autoSpaceDN/>
              <w:bidi w:val="0"/>
              <w:adjustRightInd w:val="0"/>
              <w:snapToGrid w:val="0"/>
              <w:spacing w:line="400" w:lineRule="exact"/>
              <w:ind w:firstLine="413" w:firstLineChars="196"/>
              <w:textAlignment w:val="auto"/>
              <w:rPr>
                <w:b/>
                <w:bCs/>
                <w:color w:val="auto"/>
                <w:szCs w:val="21"/>
              </w:rPr>
            </w:pPr>
            <w:r>
              <w:rPr>
                <w:rFonts w:hint="eastAsia" w:ascii="宋体" w:hAnsi="宋体" w:cs="宋体"/>
                <w:b/>
                <w:color w:val="auto"/>
                <w:szCs w:val="21"/>
              </w:rPr>
              <w:t>②</w:t>
            </w:r>
            <w:r>
              <w:rPr>
                <w:b/>
                <w:bCs/>
                <w:color w:val="auto"/>
                <w:szCs w:val="21"/>
              </w:rPr>
              <w:t>室外</w:t>
            </w:r>
            <w:r>
              <w:rPr>
                <w:rFonts w:hint="eastAsia"/>
                <w:b/>
                <w:bCs/>
                <w:color w:val="auto"/>
                <w:szCs w:val="21"/>
                <w:lang w:val="en-US" w:eastAsia="zh-CN"/>
              </w:rPr>
              <w:t>声源预测</w:t>
            </w:r>
            <w:r>
              <w:rPr>
                <w:b/>
                <w:color w:val="auto"/>
                <w:szCs w:val="21"/>
              </w:rPr>
              <w:t>模式</w:t>
            </w:r>
          </w:p>
          <w:p w14:paraId="27AB255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rPr>
            </w:pPr>
            <w:r>
              <w:rPr>
                <w:rFonts w:hint="eastAsia"/>
                <w:bCs/>
                <w:color w:val="auto"/>
                <w:szCs w:val="21"/>
                <w:lang w:val="en-US" w:eastAsia="zh-CN"/>
              </w:rPr>
              <w:t>结合项目平面布置情况和外环境关系，项目周边主要为工业企业，本次噪声预测只考虑几何发散衰减，其室外声源预测方法计算预测点处的A声级如下所示：</w:t>
            </w:r>
          </w:p>
          <w:p w14:paraId="6F66397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auto"/>
                <w:position w:val="-14"/>
                <w:sz w:val="24"/>
              </w:rPr>
            </w:pPr>
            <w:r>
              <w:rPr>
                <w:color w:val="auto"/>
                <w:position w:val="-12"/>
                <w:sz w:val="24"/>
              </w:rPr>
              <w:object>
                <v:shape id="_x0000_i1029" o:spt="75" type="#_x0000_t75" style="height:18pt;width:97.4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p>
          <w:p w14:paraId="29E824F6">
            <w:pPr>
              <w:keepNext w:val="0"/>
              <w:keepLines w:val="0"/>
              <w:pageBreakBefore w:val="0"/>
              <w:widowControl w:val="0"/>
              <w:kinsoku/>
              <w:wordWrap/>
              <w:overflowPunct/>
              <w:topLinePunct w:val="0"/>
              <w:autoSpaceDE/>
              <w:autoSpaceDN/>
              <w:bidi w:val="0"/>
              <w:spacing w:line="400" w:lineRule="exact"/>
              <w:ind w:firstLine="531" w:firstLineChars="253"/>
              <w:textAlignment w:val="auto"/>
              <w:rPr>
                <w:color w:val="auto"/>
                <w:sz w:val="21"/>
                <w:szCs w:val="21"/>
              </w:rPr>
            </w:pPr>
            <w:r>
              <w:rPr>
                <w:rFonts w:hAnsi="宋体"/>
                <w:color w:val="auto"/>
                <w:sz w:val="21"/>
                <w:szCs w:val="21"/>
              </w:rPr>
              <w:t>式中：</w:t>
            </w:r>
            <w:r>
              <w:rPr>
                <w:color w:val="auto"/>
                <w:position w:val="-10"/>
                <w:sz w:val="21"/>
                <w:szCs w:val="21"/>
              </w:rPr>
              <w:object>
                <v:shape id="_x0000_i1030" o:spt="75" type="#_x0000_t75" style="height:17.7pt;width:28.25pt;" o:ole="t" filled="f" o:preferrelative="t" stroked="f" coordsize="21600,21600">
                  <v:path/>
                  <v:fill on="f" focussize="0,0"/>
                  <v:stroke on="f"/>
                  <v:imagedata r:id="rId21" o:title=""/>
                  <o:lock v:ext="edit" aspectratio="t"/>
                  <w10:wrap type="none"/>
                  <w10:anchorlock/>
                </v:shape>
                <o:OLEObject Type="Embed" ProgID="Equation.3" ShapeID="_x0000_i1030" DrawAspect="Content" ObjectID="_1468075730" r:id="rId20">
                  <o:LockedField>false</o:LockedField>
                </o:OLEObject>
              </w:object>
            </w:r>
            <w:r>
              <w:rPr>
                <w:color w:val="auto"/>
                <w:sz w:val="21"/>
                <w:szCs w:val="21"/>
              </w:rPr>
              <w:t>—</w:t>
            </w:r>
            <w:r>
              <w:rPr>
                <w:rFonts w:hAnsi="宋体"/>
                <w:color w:val="auto"/>
                <w:sz w:val="21"/>
                <w:szCs w:val="21"/>
              </w:rPr>
              <w:t>距离声源</w:t>
            </w:r>
            <w:r>
              <w:rPr>
                <w:color w:val="auto"/>
                <w:sz w:val="21"/>
                <w:szCs w:val="21"/>
              </w:rPr>
              <w:t>r</w:t>
            </w:r>
            <w:r>
              <w:rPr>
                <w:rFonts w:hAnsi="宋体"/>
                <w:color w:val="auto"/>
                <w:sz w:val="21"/>
                <w:szCs w:val="21"/>
              </w:rPr>
              <w:t>处的</w:t>
            </w:r>
            <w:r>
              <w:rPr>
                <w:rFonts w:hint="eastAsia" w:hAnsi="宋体"/>
                <w:color w:val="auto"/>
                <w:sz w:val="21"/>
                <w:szCs w:val="21"/>
                <w:lang w:val="en-US" w:eastAsia="zh-CN"/>
              </w:rPr>
              <w:t>A声</w:t>
            </w:r>
            <w:r>
              <w:rPr>
                <w:rFonts w:hAnsi="宋体"/>
                <w:color w:val="auto"/>
                <w:sz w:val="21"/>
                <w:szCs w:val="21"/>
              </w:rPr>
              <w:t>级，</w:t>
            </w:r>
            <w:r>
              <w:rPr>
                <w:color w:val="auto"/>
                <w:sz w:val="21"/>
                <w:szCs w:val="21"/>
              </w:rPr>
              <w:t>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Ansi="宋体"/>
                <w:color w:val="auto"/>
                <w:sz w:val="21"/>
                <w:szCs w:val="21"/>
              </w:rPr>
              <w:t>；</w:t>
            </w:r>
          </w:p>
          <w:p w14:paraId="56C78891">
            <w:pPr>
              <w:keepNext w:val="0"/>
              <w:keepLines w:val="0"/>
              <w:pageBreakBefore w:val="0"/>
              <w:widowControl w:val="0"/>
              <w:tabs>
                <w:tab w:val="left" w:pos="6259"/>
              </w:tabs>
              <w:kinsoku/>
              <w:wordWrap/>
              <w:overflowPunct/>
              <w:topLinePunct w:val="0"/>
              <w:autoSpaceDE/>
              <w:autoSpaceDN/>
              <w:bidi w:val="0"/>
              <w:spacing w:line="400" w:lineRule="exact"/>
              <w:ind w:firstLine="1260" w:firstLineChars="600"/>
              <w:textAlignment w:val="auto"/>
              <w:rPr>
                <w:color w:val="auto"/>
                <w:position w:val="-12"/>
                <w:sz w:val="21"/>
                <w:szCs w:val="21"/>
              </w:rPr>
            </w:pPr>
            <w:r>
              <w:rPr>
                <w:color w:val="auto"/>
                <w:position w:val="-12"/>
                <w:sz w:val="21"/>
                <w:szCs w:val="21"/>
              </w:rPr>
              <w:object>
                <v:shape id="_x0000_i1031" o:spt="75" type="#_x0000_t75" style="height:18.75pt;width:31.15pt;" o:ole="t" filled="f" o:preferrelative="t" stroked="f" coordsize="21600,21600">
                  <v:path/>
                  <v:fill on="f" focussize="0,0"/>
                  <v:stroke on="f"/>
                  <v:imagedata r:id="rId23" o:title=""/>
                  <o:lock v:ext="edit" aspectratio="t"/>
                  <w10:wrap type="none"/>
                  <w10:anchorlock/>
                </v:shape>
                <o:OLEObject Type="Embed" ProgID="Equation.3" ShapeID="_x0000_i1031" DrawAspect="Content" ObjectID="_1468075731" r:id="rId22">
                  <o:LockedField>false</o:LockedField>
                </o:OLEObject>
              </w:object>
            </w:r>
            <w:r>
              <w:rPr>
                <w:color w:val="auto"/>
                <w:sz w:val="21"/>
                <w:szCs w:val="21"/>
              </w:rPr>
              <w:t>—</w:t>
            </w:r>
            <w:r>
              <w:rPr>
                <w:rFonts w:hAnsi="宋体"/>
                <w:color w:val="auto"/>
                <w:sz w:val="21"/>
                <w:szCs w:val="21"/>
              </w:rPr>
              <w:t>距离声源</w:t>
            </w:r>
            <w:r>
              <w:rPr>
                <w:color w:val="auto"/>
                <w:sz w:val="21"/>
                <w:szCs w:val="21"/>
              </w:rPr>
              <w:t>r</w:t>
            </w:r>
            <w:r>
              <w:rPr>
                <w:rFonts w:hint="eastAsia"/>
                <w:color w:val="auto"/>
                <w:sz w:val="21"/>
                <w:szCs w:val="21"/>
                <w:vertAlign w:val="subscript"/>
                <w:lang w:val="en-US" w:eastAsia="zh-CN"/>
              </w:rPr>
              <w:t>0</w:t>
            </w:r>
            <w:r>
              <w:rPr>
                <w:rFonts w:hAnsi="宋体"/>
                <w:color w:val="auto"/>
                <w:sz w:val="21"/>
                <w:szCs w:val="21"/>
              </w:rPr>
              <w:t>处的</w:t>
            </w:r>
            <w:r>
              <w:rPr>
                <w:rFonts w:hint="eastAsia" w:hAnsi="宋体"/>
                <w:color w:val="auto"/>
                <w:sz w:val="21"/>
                <w:szCs w:val="21"/>
                <w:lang w:val="en-US" w:eastAsia="zh-CN"/>
              </w:rPr>
              <w:t>A声</w:t>
            </w:r>
            <w:r>
              <w:rPr>
                <w:rFonts w:hAnsi="宋体"/>
                <w:color w:val="auto"/>
                <w:sz w:val="21"/>
                <w:szCs w:val="21"/>
              </w:rPr>
              <w:t>级，</w:t>
            </w:r>
            <w:r>
              <w:rPr>
                <w:color w:val="auto"/>
                <w:sz w:val="21"/>
                <w:szCs w:val="21"/>
              </w:rPr>
              <w:t>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Ansi="宋体"/>
                <w:color w:val="auto"/>
                <w:sz w:val="21"/>
                <w:szCs w:val="21"/>
              </w:rPr>
              <w:t>；</w:t>
            </w:r>
          </w:p>
          <w:p w14:paraId="2CFFBA13">
            <w:pPr>
              <w:keepNext w:val="0"/>
              <w:keepLines w:val="0"/>
              <w:pageBreakBefore w:val="0"/>
              <w:widowControl w:val="0"/>
              <w:tabs>
                <w:tab w:val="left" w:pos="6259"/>
              </w:tabs>
              <w:kinsoku/>
              <w:wordWrap/>
              <w:overflowPunct/>
              <w:topLinePunct w:val="0"/>
              <w:autoSpaceDE/>
              <w:autoSpaceDN/>
              <w:bidi w:val="0"/>
              <w:spacing w:line="400" w:lineRule="exact"/>
              <w:ind w:firstLine="840" w:firstLineChars="400"/>
              <w:textAlignment w:val="auto"/>
              <w:rPr>
                <w:color w:val="auto"/>
                <w:sz w:val="21"/>
                <w:szCs w:val="21"/>
              </w:rPr>
            </w:pPr>
            <w:r>
              <w:rPr>
                <w:color w:val="auto"/>
                <w:position w:val="-12"/>
                <w:sz w:val="21"/>
                <w:szCs w:val="21"/>
              </w:rPr>
              <w:object>
                <v:shape id="_x0000_i1032" o:spt="75" type="#_x0000_t75" style="height:19pt;width:20.4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32" r:id="rId24">
                  <o:LockedField>false</o:LockedField>
                </o:OLEObject>
              </w:object>
            </w:r>
            <w:r>
              <w:rPr>
                <w:color w:val="auto"/>
                <w:sz w:val="21"/>
                <w:szCs w:val="21"/>
              </w:rPr>
              <w:t>—</w:t>
            </w:r>
            <w:r>
              <w:rPr>
                <w:rFonts w:hAnsi="宋体"/>
                <w:color w:val="auto"/>
                <w:sz w:val="21"/>
                <w:szCs w:val="21"/>
              </w:rPr>
              <w:t>几何发散引起的倍频带衰减，</w:t>
            </w:r>
            <w:r>
              <w:rPr>
                <w:color w:val="auto"/>
                <w:sz w:val="21"/>
                <w:szCs w:val="21"/>
              </w:rPr>
              <w:t>dB</w:t>
            </w:r>
            <w:r>
              <w:rPr>
                <w:rFonts w:hint="eastAsia"/>
                <w:color w:val="auto"/>
                <w:sz w:val="21"/>
                <w:szCs w:val="21"/>
                <w:lang w:eastAsia="zh-CN"/>
              </w:rPr>
              <w:t>，</w:t>
            </w:r>
            <w:r>
              <w:rPr>
                <w:rFonts w:hint="eastAsia"/>
                <w:color w:val="auto"/>
                <w:sz w:val="21"/>
                <w:szCs w:val="21"/>
                <w:lang w:val="en-US" w:eastAsia="zh-CN"/>
              </w:rPr>
              <w:t>计算公式见</w:t>
            </w:r>
            <w:r>
              <w:rPr>
                <w:color w:val="auto"/>
                <w:szCs w:val="21"/>
              </w:rPr>
              <w:t>（HJ2.4－20</w:t>
            </w:r>
            <w:r>
              <w:rPr>
                <w:rFonts w:hint="eastAsia"/>
                <w:color w:val="auto"/>
                <w:szCs w:val="21"/>
                <w:lang w:val="en-US" w:eastAsia="zh-CN"/>
              </w:rPr>
              <w:t>21</w:t>
            </w:r>
            <w:r>
              <w:rPr>
                <w:color w:val="auto"/>
                <w:szCs w:val="21"/>
              </w:rPr>
              <w:t>）</w:t>
            </w:r>
            <w:r>
              <w:rPr>
                <w:rFonts w:hint="eastAsia"/>
                <w:color w:val="auto"/>
                <w:szCs w:val="21"/>
                <w:lang w:val="en-US" w:eastAsia="zh-CN"/>
              </w:rPr>
              <w:t>附录A</w:t>
            </w:r>
            <w:r>
              <w:rPr>
                <w:rFonts w:hAnsi="宋体"/>
                <w:color w:val="auto"/>
                <w:sz w:val="21"/>
                <w:szCs w:val="21"/>
              </w:rPr>
              <w:t>；</w:t>
            </w:r>
          </w:p>
          <w:p w14:paraId="4CEBA729">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Times New Roman" w:hAnsi="Times New Roman" w:eastAsia="宋体" w:cs="Times New Roman"/>
                <w:b/>
                <w:bCs/>
                <w:color w:val="auto"/>
                <w:szCs w:val="21"/>
                <w:lang w:val="en-US" w:eastAsia="zh-CN"/>
              </w:rPr>
            </w:pPr>
            <w:r>
              <w:rPr>
                <w:rFonts w:hint="eastAsia" w:ascii="宋体" w:hAnsi="宋体" w:eastAsia="宋体" w:cs="宋体"/>
                <w:b/>
                <w:bCs/>
                <w:color w:val="auto"/>
                <w:szCs w:val="21"/>
                <w:lang w:val="en-US" w:eastAsia="zh-CN"/>
              </w:rPr>
              <w:fldChar w:fldCharType="begin"/>
            </w:r>
            <w:r>
              <w:rPr>
                <w:rFonts w:hint="eastAsia" w:ascii="宋体" w:hAnsi="宋体" w:eastAsia="宋体" w:cs="宋体"/>
                <w:b/>
                <w:bCs/>
                <w:color w:val="auto"/>
                <w:szCs w:val="21"/>
                <w:lang w:val="en-US" w:eastAsia="zh-CN"/>
              </w:rPr>
              <w:instrText xml:space="preserve"> = 3 \* GB3 \* MERGEFORMAT </w:instrText>
            </w:r>
            <w:r>
              <w:rPr>
                <w:rFonts w:hint="eastAsia" w:ascii="宋体" w:hAnsi="宋体" w:eastAsia="宋体" w:cs="宋体"/>
                <w:b/>
                <w:bCs/>
                <w:color w:val="auto"/>
                <w:szCs w:val="21"/>
                <w:lang w:val="en-US" w:eastAsia="zh-CN"/>
              </w:rPr>
              <w:fldChar w:fldCharType="separate"/>
            </w:r>
            <w:r>
              <w:rPr>
                <w:b/>
                <w:bCs/>
                <w:color w:val="auto"/>
              </w:rPr>
              <w:t>③</w:t>
            </w:r>
            <w:r>
              <w:rPr>
                <w:rFonts w:hint="eastAsia" w:ascii="宋体" w:hAnsi="宋体" w:eastAsia="宋体" w:cs="宋体"/>
                <w:b/>
                <w:bCs/>
                <w:color w:val="auto"/>
                <w:szCs w:val="21"/>
                <w:lang w:val="en-US" w:eastAsia="zh-CN"/>
              </w:rPr>
              <w:fldChar w:fldCharType="end"/>
            </w:r>
            <w:r>
              <w:rPr>
                <w:rFonts w:hint="eastAsia" w:ascii="Times New Roman" w:hAnsi="Times New Roman" w:eastAsia="宋体" w:cs="Times New Roman"/>
                <w:b/>
                <w:bCs/>
                <w:color w:val="auto"/>
                <w:szCs w:val="21"/>
                <w:lang w:val="en-US" w:eastAsia="zh-CN"/>
              </w:rPr>
              <w:t>计算结果</w:t>
            </w:r>
          </w:p>
          <w:p w14:paraId="3F10C60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多个室外声源对预测点的贡献值（</w:t>
            </w:r>
            <w:r>
              <w:rPr>
                <w:rFonts w:hint="eastAsia" w:ascii="Times New Roman" w:hAnsi="Times New Roman" w:eastAsia="宋体" w:cs="Times New Roman"/>
                <w:bCs/>
                <w:i/>
                <w:iCs/>
                <w:color w:val="auto"/>
                <w:szCs w:val="21"/>
                <w:lang w:val="en-US" w:eastAsia="zh-CN"/>
              </w:rPr>
              <w:t>L</w:t>
            </w:r>
            <w:r>
              <w:rPr>
                <w:rFonts w:hint="eastAsia" w:ascii="Times New Roman" w:hAnsi="Times New Roman" w:eastAsia="宋体" w:cs="Times New Roman"/>
                <w:bCs/>
                <w:color w:val="auto"/>
                <w:szCs w:val="21"/>
                <w:vertAlign w:val="subscript"/>
                <w:lang w:val="en-US" w:eastAsia="zh-CN"/>
              </w:rPr>
              <w:t>eqg</w:t>
            </w:r>
            <w:r>
              <w:rPr>
                <w:rFonts w:hint="eastAsia" w:ascii="Times New Roman" w:hAnsi="Times New Roman" w:eastAsia="宋体" w:cs="Times New Roman"/>
                <w:bCs/>
                <w:color w:val="auto"/>
                <w:szCs w:val="21"/>
                <w:lang w:val="en-US" w:eastAsia="zh-CN"/>
              </w:rPr>
              <w:t>）</w:t>
            </w:r>
          </w:p>
          <w:p w14:paraId="0B6B66C3">
            <w:pPr>
              <w:keepNext w:val="0"/>
              <w:keepLines w:val="0"/>
              <w:pageBreakBefore w:val="0"/>
              <w:widowControl w:val="0"/>
              <w:kinsoku/>
              <w:wordWrap/>
              <w:overflowPunct/>
              <w:topLinePunct w:val="0"/>
              <w:autoSpaceDE/>
              <w:autoSpaceDN/>
              <w:bidi w:val="0"/>
              <w:adjustRightInd/>
              <w:snapToGrid/>
              <w:spacing w:before="157" w:beforeLines="50" w:after="313" w:afterLines="100" w:line="500" w:lineRule="exact"/>
              <w:ind w:firstLine="607" w:firstLineChars="253"/>
              <w:jc w:val="center"/>
              <w:textAlignment w:val="auto"/>
              <w:rPr>
                <w:color w:val="auto"/>
                <w:sz w:val="24"/>
              </w:rPr>
            </w:pPr>
            <w:r>
              <w:rPr>
                <w:color w:val="auto"/>
                <w:position w:val="-34"/>
                <w:sz w:val="24"/>
              </w:rPr>
              <w:object>
                <v:shape id="_x0000_i1033" o:spt="75" type="#_x0000_t75" style="height:40.75pt;width:205.15pt;" o:ole="t" filled="f" o:preferrelative="t" stroked="f" coordsize="21600,21600">
                  <v:path/>
                  <v:fill on="f" focussize="0,0"/>
                  <v:stroke on="f"/>
                  <v:imagedata r:id="rId27" o:title=""/>
                  <o:lock v:ext="edit" aspectratio="t"/>
                  <w10:wrap type="none"/>
                  <w10:anchorlock/>
                </v:shape>
                <o:OLEObject Type="Embed" ProgID="Equation.3" ShapeID="_x0000_i1033" DrawAspect="Content" ObjectID="_1468075733" r:id="rId26">
                  <o:LockedField>false</o:LockedField>
                </o:OLEObject>
              </w:object>
            </w:r>
          </w:p>
          <w:p w14:paraId="12092F3F">
            <w:pPr>
              <w:keepNext w:val="0"/>
              <w:keepLines w:val="0"/>
              <w:pageBreakBefore w:val="0"/>
              <w:widowControl w:val="0"/>
              <w:kinsoku/>
              <w:wordWrap/>
              <w:overflowPunct/>
              <w:topLinePunct w:val="0"/>
              <w:autoSpaceDE/>
              <w:autoSpaceDN/>
              <w:bidi w:val="0"/>
              <w:adjustRightInd/>
              <w:snapToGrid/>
              <w:spacing w:line="400" w:lineRule="exact"/>
              <w:ind w:firstLine="531" w:firstLineChars="253"/>
              <w:textAlignment w:val="auto"/>
              <w:rPr>
                <w:rFonts w:hint="default" w:hAnsi="宋体"/>
                <w:color w:val="auto"/>
                <w:sz w:val="21"/>
                <w:szCs w:val="21"/>
                <w:lang w:val="en-US"/>
              </w:rPr>
            </w:pPr>
            <w:r>
              <w:rPr>
                <w:rFonts w:hAnsi="宋体"/>
                <w:color w:val="auto"/>
                <w:sz w:val="21"/>
                <w:szCs w:val="21"/>
              </w:rPr>
              <w:t>式中：</w:t>
            </w:r>
            <w:r>
              <w:rPr>
                <w:rFonts w:hint="eastAsia" w:ascii="Times New Roman" w:hAnsi="Times New Roman" w:eastAsia="宋体" w:cs="Times New Roman"/>
                <w:bCs/>
                <w:i/>
                <w:iCs/>
                <w:color w:val="auto"/>
                <w:sz w:val="21"/>
                <w:szCs w:val="21"/>
                <w:lang w:val="en-US" w:eastAsia="zh-CN"/>
              </w:rPr>
              <w:t>L</w:t>
            </w:r>
            <w:r>
              <w:rPr>
                <w:rFonts w:hint="eastAsia" w:ascii="Times New Roman" w:hAnsi="Times New Roman" w:eastAsia="宋体" w:cs="Times New Roman"/>
                <w:bCs/>
                <w:color w:val="auto"/>
                <w:sz w:val="21"/>
                <w:szCs w:val="21"/>
                <w:vertAlign w:val="subscript"/>
                <w:lang w:val="en-US" w:eastAsia="zh-CN"/>
              </w:rPr>
              <w:t>eqg——</w:t>
            </w:r>
            <w:r>
              <w:rPr>
                <w:rFonts w:hint="eastAsia" w:ascii="Times New Roman" w:hAnsi="Times New Roman" w:eastAsia="宋体" w:cs="Times New Roman"/>
                <w:bCs/>
                <w:color w:val="auto"/>
                <w:sz w:val="21"/>
                <w:szCs w:val="21"/>
                <w:vertAlign w:val="baseline"/>
                <w:lang w:val="en-US" w:eastAsia="zh-CN"/>
              </w:rPr>
              <w:t>建设项目声源在预测点产生的噪声贡献值，dB；</w:t>
            </w:r>
          </w:p>
          <w:p w14:paraId="591B75F8">
            <w:pPr>
              <w:keepNext w:val="0"/>
              <w:keepLines w:val="0"/>
              <w:pageBreakBefore w:val="0"/>
              <w:widowControl w:val="0"/>
              <w:kinsoku/>
              <w:wordWrap/>
              <w:overflowPunct/>
              <w:topLinePunct w:val="0"/>
              <w:autoSpaceDE/>
              <w:autoSpaceDN/>
              <w:bidi w:val="0"/>
              <w:adjustRightInd/>
              <w:snapToGrid/>
              <w:spacing w:line="400" w:lineRule="exact"/>
              <w:ind w:firstLine="1157" w:firstLineChars="551"/>
              <w:textAlignment w:val="auto"/>
              <w:rPr>
                <w:color w:val="auto"/>
                <w:sz w:val="21"/>
                <w:szCs w:val="21"/>
              </w:rPr>
            </w:pPr>
            <w:r>
              <w:rPr>
                <w:color w:val="auto"/>
                <w:position w:val="-14"/>
                <w:sz w:val="21"/>
                <w:szCs w:val="21"/>
              </w:rPr>
              <w:object>
                <v:shape id="_x0000_i1034" o:spt="75" type="#_x0000_t75" style="height:19pt;width:12.3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28">
                  <o:LockedField>false</o:LockedField>
                </o:OLEObject>
              </w:object>
            </w:r>
            <w:r>
              <w:rPr>
                <w:color w:val="auto"/>
                <w:sz w:val="21"/>
                <w:szCs w:val="21"/>
              </w:rPr>
              <w:t>—</w:t>
            </w:r>
            <w:r>
              <w:rPr>
                <w:rFonts w:hAnsi="宋体"/>
                <w:color w:val="auto"/>
                <w:sz w:val="21"/>
                <w:szCs w:val="21"/>
              </w:rPr>
              <w:t>在</w:t>
            </w:r>
            <w:r>
              <w:rPr>
                <w:color w:val="auto"/>
                <w:sz w:val="21"/>
                <w:szCs w:val="21"/>
              </w:rPr>
              <w:t>T</w:t>
            </w:r>
            <w:r>
              <w:rPr>
                <w:rFonts w:hAnsi="宋体"/>
                <w:color w:val="auto"/>
                <w:sz w:val="21"/>
                <w:szCs w:val="21"/>
              </w:rPr>
              <w:t>时间内</w:t>
            </w:r>
            <w:r>
              <w:rPr>
                <w:color w:val="auto"/>
                <w:sz w:val="21"/>
                <w:szCs w:val="21"/>
              </w:rPr>
              <w:t>j</w:t>
            </w:r>
            <w:r>
              <w:rPr>
                <w:rFonts w:hAnsi="宋体"/>
                <w:color w:val="auto"/>
                <w:sz w:val="21"/>
                <w:szCs w:val="21"/>
              </w:rPr>
              <w:t>声源工作时间，</w:t>
            </w:r>
            <w:r>
              <w:rPr>
                <w:color w:val="auto"/>
                <w:sz w:val="21"/>
                <w:szCs w:val="21"/>
              </w:rPr>
              <w:t>s</w:t>
            </w:r>
            <w:r>
              <w:rPr>
                <w:rFonts w:hAnsi="宋体"/>
                <w:color w:val="auto"/>
                <w:sz w:val="21"/>
                <w:szCs w:val="21"/>
              </w:rPr>
              <w:t>；</w:t>
            </w:r>
          </w:p>
          <w:p w14:paraId="4447CDCA">
            <w:pPr>
              <w:keepNext w:val="0"/>
              <w:keepLines w:val="0"/>
              <w:pageBreakBefore w:val="0"/>
              <w:widowControl w:val="0"/>
              <w:kinsoku/>
              <w:wordWrap/>
              <w:overflowPunct/>
              <w:topLinePunct w:val="0"/>
              <w:autoSpaceDE/>
              <w:autoSpaceDN/>
              <w:bidi w:val="0"/>
              <w:adjustRightInd/>
              <w:snapToGrid/>
              <w:spacing w:line="400" w:lineRule="exact"/>
              <w:ind w:firstLine="1157" w:firstLineChars="551"/>
              <w:textAlignment w:val="auto"/>
              <w:rPr>
                <w:color w:val="auto"/>
                <w:sz w:val="21"/>
                <w:szCs w:val="21"/>
              </w:rPr>
            </w:pPr>
            <w:r>
              <w:rPr>
                <w:color w:val="auto"/>
                <w:position w:val="-12"/>
                <w:sz w:val="21"/>
                <w:szCs w:val="21"/>
              </w:rPr>
              <w:object>
                <v:shape id="_x0000_i1035" o:spt="75" type="#_x0000_t75" style="height:19pt;width:11.55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r>
              <w:rPr>
                <w:color w:val="auto"/>
                <w:sz w:val="21"/>
                <w:szCs w:val="21"/>
              </w:rPr>
              <w:t>—</w:t>
            </w:r>
            <w:r>
              <w:rPr>
                <w:rFonts w:hAnsi="宋体"/>
                <w:color w:val="auto"/>
                <w:sz w:val="21"/>
                <w:szCs w:val="21"/>
              </w:rPr>
              <w:t>在</w:t>
            </w:r>
            <w:r>
              <w:rPr>
                <w:color w:val="auto"/>
                <w:sz w:val="21"/>
                <w:szCs w:val="21"/>
              </w:rPr>
              <w:t>T</w:t>
            </w:r>
            <w:r>
              <w:rPr>
                <w:rFonts w:hAnsi="宋体"/>
                <w:color w:val="auto"/>
                <w:sz w:val="21"/>
                <w:szCs w:val="21"/>
              </w:rPr>
              <w:t>时间内</w:t>
            </w:r>
            <w:r>
              <w:rPr>
                <w:color w:val="auto"/>
                <w:sz w:val="21"/>
                <w:szCs w:val="21"/>
              </w:rPr>
              <w:t>i</w:t>
            </w:r>
            <w:r>
              <w:rPr>
                <w:rFonts w:hAnsi="宋体"/>
                <w:color w:val="auto"/>
                <w:sz w:val="21"/>
                <w:szCs w:val="21"/>
              </w:rPr>
              <w:t>声源工作时间，</w:t>
            </w:r>
            <w:r>
              <w:rPr>
                <w:color w:val="auto"/>
                <w:sz w:val="21"/>
                <w:szCs w:val="21"/>
              </w:rPr>
              <w:t>s</w:t>
            </w:r>
            <w:r>
              <w:rPr>
                <w:rFonts w:hAnsi="宋体"/>
                <w:color w:val="auto"/>
                <w:sz w:val="21"/>
                <w:szCs w:val="21"/>
              </w:rPr>
              <w:t>；</w:t>
            </w:r>
          </w:p>
          <w:p w14:paraId="403D6D97">
            <w:pPr>
              <w:keepNext w:val="0"/>
              <w:keepLines w:val="0"/>
              <w:pageBreakBefore w:val="0"/>
              <w:widowControl w:val="0"/>
              <w:kinsoku/>
              <w:wordWrap/>
              <w:overflowPunct/>
              <w:topLinePunct w:val="0"/>
              <w:autoSpaceDE/>
              <w:autoSpaceDN/>
              <w:bidi w:val="0"/>
              <w:adjustRightInd/>
              <w:snapToGrid/>
              <w:spacing w:line="400" w:lineRule="exact"/>
              <w:ind w:firstLine="1157" w:firstLineChars="551"/>
              <w:textAlignment w:val="auto"/>
              <w:rPr>
                <w:color w:val="auto"/>
                <w:sz w:val="21"/>
                <w:szCs w:val="21"/>
              </w:rPr>
            </w:pPr>
            <w:r>
              <w:rPr>
                <w:color w:val="auto"/>
                <w:sz w:val="21"/>
                <w:szCs w:val="21"/>
              </w:rPr>
              <w:t>T—</w:t>
            </w:r>
            <w:r>
              <w:rPr>
                <w:rFonts w:hAnsi="宋体"/>
                <w:color w:val="auto"/>
                <w:sz w:val="21"/>
                <w:szCs w:val="21"/>
              </w:rPr>
              <w:t>用于计算等效声级的时间，</w:t>
            </w:r>
            <w:r>
              <w:rPr>
                <w:color w:val="auto"/>
                <w:sz w:val="21"/>
                <w:szCs w:val="21"/>
              </w:rPr>
              <w:t>s</w:t>
            </w:r>
            <w:r>
              <w:rPr>
                <w:rFonts w:hAnsi="宋体"/>
                <w:color w:val="auto"/>
                <w:sz w:val="21"/>
                <w:szCs w:val="21"/>
              </w:rPr>
              <w:t>；</w:t>
            </w:r>
          </w:p>
          <w:p w14:paraId="02FBE6D7">
            <w:pPr>
              <w:keepNext w:val="0"/>
              <w:keepLines w:val="0"/>
              <w:pageBreakBefore w:val="0"/>
              <w:widowControl w:val="0"/>
              <w:kinsoku/>
              <w:wordWrap/>
              <w:overflowPunct/>
              <w:topLinePunct w:val="0"/>
              <w:autoSpaceDE/>
              <w:autoSpaceDN/>
              <w:bidi w:val="0"/>
              <w:adjustRightInd/>
              <w:snapToGrid/>
              <w:spacing w:line="400" w:lineRule="exact"/>
              <w:ind w:firstLine="1157" w:firstLineChars="551"/>
              <w:textAlignment w:val="auto"/>
              <w:rPr>
                <w:rFonts w:hint="eastAsia" w:hAnsi="宋体" w:eastAsia="宋体"/>
                <w:color w:val="auto"/>
                <w:sz w:val="21"/>
                <w:szCs w:val="21"/>
                <w:lang w:eastAsia="zh-CN"/>
              </w:rPr>
            </w:pPr>
            <w:r>
              <w:rPr>
                <w:color w:val="auto"/>
                <w:sz w:val="21"/>
                <w:szCs w:val="21"/>
              </w:rPr>
              <w:t>N—</w:t>
            </w:r>
            <w:r>
              <w:rPr>
                <w:rFonts w:hAnsi="宋体"/>
                <w:color w:val="auto"/>
                <w:sz w:val="21"/>
                <w:szCs w:val="21"/>
              </w:rPr>
              <w:t>室外声源个数</w:t>
            </w:r>
            <w:r>
              <w:rPr>
                <w:rFonts w:hint="eastAsia" w:hAnsi="宋体"/>
                <w:color w:val="auto"/>
                <w:sz w:val="21"/>
                <w:szCs w:val="21"/>
                <w:lang w:eastAsia="zh-CN"/>
              </w:rPr>
              <w:t>；</w:t>
            </w:r>
          </w:p>
          <w:p w14:paraId="2097226C">
            <w:pPr>
              <w:keepNext w:val="0"/>
              <w:keepLines w:val="0"/>
              <w:pageBreakBefore w:val="0"/>
              <w:widowControl w:val="0"/>
              <w:kinsoku/>
              <w:wordWrap/>
              <w:overflowPunct/>
              <w:topLinePunct w:val="0"/>
              <w:autoSpaceDE/>
              <w:autoSpaceDN/>
              <w:bidi w:val="0"/>
              <w:adjustRightInd/>
              <w:snapToGrid/>
              <w:spacing w:line="400" w:lineRule="exact"/>
              <w:ind w:firstLine="1157" w:firstLineChars="551"/>
              <w:textAlignment w:val="auto"/>
              <w:rPr>
                <w:rFonts w:hint="eastAsia" w:ascii="宋体" w:hAnsi="宋体" w:cs="宋体"/>
                <w:b/>
                <w:color w:val="auto"/>
                <w:szCs w:val="21"/>
              </w:rPr>
            </w:pPr>
            <w:r>
              <w:rPr>
                <w:color w:val="auto"/>
                <w:sz w:val="21"/>
                <w:szCs w:val="21"/>
              </w:rPr>
              <w:t>M—</w:t>
            </w:r>
            <w:r>
              <w:rPr>
                <w:rFonts w:hAnsi="宋体"/>
                <w:color w:val="auto"/>
                <w:sz w:val="21"/>
                <w:szCs w:val="21"/>
              </w:rPr>
              <w:t>等效室外声源个数。</w:t>
            </w:r>
            <w:r>
              <w:rPr>
                <w:color w:val="auto"/>
                <w:sz w:val="21"/>
                <w:szCs w:val="21"/>
              </w:rPr>
              <w:t xml:space="preserve"> </w:t>
            </w:r>
            <w:r>
              <w:rPr>
                <w:color w:val="auto"/>
                <w:sz w:val="24"/>
              </w:rPr>
              <w:t xml:space="preserve"> </w:t>
            </w:r>
          </w:p>
          <w:p w14:paraId="4AE84AF7">
            <w:pPr>
              <w:adjustRightInd w:val="0"/>
              <w:snapToGrid w:val="0"/>
              <w:spacing w:line="400" w:lineRule="exact"/>
              <w:ind w:firstLine="630" w:firstLineChars="300"/>
              <w:rPr>
                <w:color w:val="auto"/>
                <w:szCs w:val="21"/>
              </w:rPr>
            </w:pPr>
            <w:r>
              <w:rPr>
                <w:rFonts w:hint="eastAsia"/>
                <w:color w:val="auto"/>
                <w:kern w:val="0"/>
                <w:szCs w:val="21"/>
                <w:lang w:val="en-US" w:eastAsia="zh-CN"/>
              </w:rPr>
              <w:t>项目</w:t>
            </w:r>
            <w:r>
              <w:rPr>
                <w:color w:val="auto"/>
                <w:szCs w:val="21"/>
              </w:rPr>
              <w:t>按上述预测</w:t>
            </w:r>
            <w:r>
              <w:rPr>
                <w:rFonts w:hint="eastAsia"/>
                <w:color w:val="auto"/>
                <w:szCs w:val="21"/>
              </w:rPr>
              <w:t>公</w:t>
            </w:r>
            <w:r>
              <w:rPr>
                <w:color w:val="auto"/>
                <w:szCs w:val="21"/>
              </w:rPr>
              <w:t>式，其厂界噪声预测值见表4-</w:t>
            </w:r>
            <w:r>
              <w:rPr>
                <w:rFonts w:hint="eastAsia"/>
                <w:color w:val="auto"/>
                <w:szCs w:val="21"/>
                <w:lang w:val="en-US" w:eastAsia="zh-CN"/>
              </w:rPr>
              <w:t>5</w:t>
            </w:r>
            <w:r>
              <w:rPr>
                <w:color w:val="auto"/>
                <w:szCs w:val="21"/>
              </w:rPr>
              <w:t>。</w:t>
            </w:r>
          </w:p>
          <w:p w14:paraId="2C01B432">
            <w:pPr>
              <w:pStyle w:val="19"/>
              <w:adjustRightInd w:val="0"/>
              <w:snapToGrid w:val="0"/>
              <w:spacing w:before="0" w:beforeAutospacing="0" w:after="0" w:afterAutospacing="0" w:line="400" w:lineRule="exact"/>
              <w:jc w:val="center"/>
              <w:outlineLvl w:val="0"/>
              <w:rPr>
                <w:rFonts w:hint="eastAsia" w:ascii="Times New Roman" w:hAnsi="Times New Roman" w:eastAsia="宋体" w:cs="Times New Roman"/>
                <w:b/>
                <w:snapToGrid w:val="0"/>
                <w:color w:val="auto"/>
                <w:sz w:val="21"/>
                <w:szCs w:val="21"/>
                <w:lang w:eastAsia="zh-CN"/>
              </w:rPr>
            </w:pPr>
            <w:r>
              <w:rPr>
                <w:rFonts w:hint="eastAsia" w:ascii="Times New Roman" w:hAnsi="Times New Roman" w:eastAsia="宋体" w:cs="Times New Roman"/>
                <w:b/>
                <w:snapToGrid w:val="0"/>
                <w:color w:val="auto"/>
                <w:sz w:val="21"/>
                <w:szCs w:val="21"/>
                <w:lang w:eastAsia="zh-CN"/>
              </w:rPr>
              <w:t>表4-</w:t>
            </w:r>
            <w:r>
              <w:rPr>
                <w:rFonts w:hint="eastAsia" w:ascii="Times New Roman" w:hAnsi="Times New Roman" w:cs="Times New Roman"/>
                <w:b/>
                <w:snapToGrid w:val="0"/>
                <w:color w:val="auto"/>
                <w:sz w:val="21"/>
                <w:szCs w:val="21"/>
                <w:lang w:val="en-US" w:eastAsia="zh-CN"/>
              </w:rPr>
              <w:t>5</w:t>
            </w:r>
            <w:r>
              <w:rPr>
                <w:rFonts w:hint="eastAsia" w:ascii="Times New Roman" w:hAnsi="Times New Roman" w:eastAsia="宋体" w:cs="Times New Roman"/>
                <w:b/>
                <w:snapToGrid w:val="0"/>
                <w:color w:val="auto"/>
                <w:sz w:val="21"/>
                <w:szCs w:val="21"/>
                <w:lang w:eastAsia="zh-CN"/>
              </w:rPr>
              <w:t xml:space="preserve"> </w:t>
            </w:r>
            <w:r>
              <w:rPr>
                <w:rFonts w:hint="eastAsia" w:ascii="Times New Roman" w:hAnsi="Times New Roman" w:eastAsia="宋体" w:cs="Times New Roman"/>
                <w:b/>
                <w:snapToGrid w:val="0"/>
                <w:color w:val="auto"/>
                <w:sz w:val="21"/>
                <w:szCs w:val="21"/>
                <w:lang w:val="en-US" w:eastAsia="zh-CN"/>
              </w:rPr>
              <w:t xml:space="preserve">   </w:t>
            </w:r>
            <w:r>
              <w:rPr>
                <w:rFonts w:hint="eastAsia" w:ascii="Times New Roman" w:hAnsi="Times New Roman" w:eastAsia="宋体" w:cs="Times New Roman"/>
                <w:b/>
                <w:snapToGrid w:val="0"/>
                <w:color w:val="auto"/>
                <w:sz w:val="21"/>
                <w:szCs w:val="21"/>
                <w:lang w:eastAsia="zh-CN"/>
              </w:rPr>
              <w:t>厂界噪声预测值</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302"/>
              <w:gridCol w:w="1759"/>
              <w:gridCol w:w="1635"/>
              <w:gridCol w:w="1580"/>
            </w:tblGrid>
            <w:tr w14:paraId="208B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9" w:type="dxa"/>
                  <w:vMerge w:val="restart"/>
                  <w:tcBorders>
                    <w:tl2br w:val="single" w:color="auto" w:sz="4" w:space="0"/>
                  </w:tcBorders>
                  <w:noWrap w:val="0"/>
                  <w:vAlign w:val="center"/>
                </w:tcPr>
                <w:p w14:paraId="4E762920">
                  <w:pPr>
                    <w:pStyle w:val="19"/>
                    <w:adjustRightInd w:val="0"/>
                    <w:snapToGrid w:val="0"/>
                    <w:spacing w:before="0" w:beforeAutospacing="0" w:after="0" w:afterAutospacing="0"/>
                    <w:jc w:val="right"/>
                    <w:outlineLvl w:val="0"/>
                    <w:rPr>
                      <w:rFonts w:hint="default" w:ascii="Times New Roman" w:hAnsi="Times New Roman"/>
                      <w:snapToGrid w:val="0"/>
                      <w:color w:val="auto"/>
                      <w:sz w:val="18"/>
                      <w:szCs w:val="18"/>
                      <w:lang w:val="en-US" w:eastAsia="zh-CN"/>
                    </w:rPr>
                  </w:pPr>
                  <w:r>
                    <w:rPr>
                      <w:rFonts w:ascii="Times New Roman" w:hAnsi="Times New Roman"/>
                      <w:snapToGrid w:val="0"/>
                      <w:color w:val="auto"/>
                      <w:sz w:val="18"/>
                      <w:szCs w:val="18"/>
                      <w:lang w:val="en-US" w:eastAsia="zh-CN"/>
                    </w:rPr>
                    <w:t>距离</w:t>
                  </w:r>
                  <w:r>
                    <w:rPr>
                      <w:rFonts w:hint="eastAsia" w:ascii="Times New Roman" w:hAnsi="Times New Roman"/>
                      <w:snapToGrid w:val="0"/>
                      <w:color w:val="auto"/>
                      <w:sz w:val="18"/>
                      <w:szCs w:val="18"/>
                      <w:lang w:val="en-US" w:eastAsia="zh-CN"/>
                    </w:rPr>
                    <w:t>（m）</w:t>
                  </w:r>
                </w:p>
                <w:p w14:paraId="20EEA089">
                  <w:pPr>
                    <w:pStyle w:val="19"/>
                    <w:adjustRightInd w:val="0"/>
                    <w:snapToGrid w:val="0"/>
                    <w:spacing w:before="0" w:beforeAutospacing="0" w:after="0" w:afterAutospacing="0"/>
                    <w:outlineLvl w:val="0"/>
                    <w:rPr>
                      <w:rFonts w:ascii="Times New Roman" w:hAnsi="Times New Roman"/>
                      <w:snapToGrid w:val="0"/>
                      <w:color w:val="auto"/>
                      <w:sz w:val="18"/>
                      <w:szCs w:val="18"/>
                      <w:lang w:val="en-US" w:eastAsia="zh-CN"/>
                    </w:rPr>
                  </w:pPr>
                  <w:r>
                    <w:rPr>
                      <w:rFonts w:ascii="Times New Roman" w:hAnsi="Times New Roman"/>
                      <w:snapToGrid w:val="0"/>
                      <w:color w:val="auto"/>
                      <w:sz w:val="18"/>
                      <w:szCs w:val="18"/>
                      <w:lang w:val="en-US" w:eastAsia="zh-CN"/>
                    </w:rPr>
                    <w:t>噪声源</w:t>
                  </w:r>
                </w:p>
              </w:tc>
              <w:tc>
                <w:tcPr>
                  <w:tcW w:w="6081" w:type="dxa"/>
                  <w:gridSpan w:val="4"/>
                  <w:noWrap w:val="0"/>
                  <w:vAlign w:val="top"/>
                </w:tcPr>
                <w:p w14:paraId="739DAEBF">
                  <w:pPr>
                    <w:spacing w:line="240" w:lineRule="atLeast"/>
                    <w:jc w:val="center"/>
                    <w:rPr>
                      <w:color w:val="auto"/>
                      <w:sz w:val="18"/>
                      <w:szCs w:val="18"/>
                    </w:rPr>
                  </w:pPr>
                  <w:r>
                    <w:rPr>
                      <w:color w:val="auto"/>
                      <w:sz w:val="18"/>
                      <w:szCs w:val="18"/>
                    </w:rPr>
                    <w:t>厂界噪声</w:t>
                  </w:r>
                  <w:r>
                    <w:rPr>
                      <w:rFonts w:hint="eastAsia"/>
                      <w:color w:val="auto"/>
                      <w:sz w:val="18"/>
                      <w:szCs w:val="18"/>
                      <w:lang w:val="en-US" w:eastAsia="zh-CN"/>
                    </w:rPr>
                    <w:t>预测结果</w:t>
                  </w:r>
                </w:p>
              </w:tc>
            </w:tr>
            <w:tr w14:paraId="5E29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09" w:type="dxa"/>
                  <w:vMerge w:val="continue"/>
                  <w:noWrap w:val="0"/>
                  <w:vAlign w:val="center"/>
                </w:tcPr>
                <w:p w14:paraId="1DBA9F91">
                  <w:pPr>
                    <w:pStyle w:val="19"/>
                    <w:jc w:val="center"/>
                    <w:outlineLvl w:val="0"/>
                    <w:rPr>
                      <w:rFonts w:ascii="Times New Roman" w:hAnsi="Times New Roman"/>
                      <w:snapToGrid w:val="0"/>
                      <w:color w:val="auto"/>
                      <w:sz w:val="18"/>
                      <w:szCs w:val="18"/>
                      <w:lang w:val="en-US" w:eastAsia="zh-CN"/>
                    </w:rPr>
                  </w:pPr>
                </w:p>
              </w:tc>
              <w:tc>
                <w:tcPr>
                  <w:tcW w:w="1262" w:type="dxa"/>
                  <w:noWrap w:val="0"/>
                  <w:vAlign w:val="top"/>
                </w:tcPr>
                <w:p w14:paraId="6F3E827F">
                  <w:pPr>
                    <w:spacing w:line="240" w:lineRule="atLeast"/>
                    <w:jc w:val="center"/>
                    <w:rPr>
                      <w:rFonts w:hint="eastAsia"/>
                      <w:color w:val="auto"/>
                      <w:sz w:val="18"/>
                      <w:szCs w:val="18"/>
                      <w:lang w:val="en-US" w:eastAsia="zh-CN"/>
                    </w:rPr>
                  </w:pPr>
                  <w:r>
                    <w:rPr>
                      <w:rFonts w:hint="eastAsia"/>
                      <w:color w:val="auto"/>
                      <w:sz w:val="18"/>
                      <w:szCs w:val="18"/>
                      <w:lang w:val="en-US" w:eastAsia="zh-CN"/>
                    </w:rPr>
                    <w:t>东</w:t>
                  </w:r>
                  <w:r>
                    <w:rPr>
                      <w:color w:val="auto"/>
                      <w:sz w:val="18"/>
                      <w:szCs w:val="18"/>
                    </w:rPr>
                    <w:t>厂界</w:t>
                  </w:r>
                </w:p>
              </w:tc>
              <w:tc>
                <w:tcPr>
                  <w:tcW w:w="1704" w:type="dxa"/>
                  <w:noWrap w:val="0"/>
                  <w:vAlign w:val="top"/>
                </w:tcPr>
                <w:p w14:paraId="6CA6375C">
                  <w:pPr>
                    <w:spacing w:line="240" w:lineRule="atLeast"/>
                    <w:jc w:val="center"/>
                    <w:rPr>
                      <w:rFonts w:hint="default"/>
                      <w:color w:val="auto"/>
                      <w:sz w:val="18"/>
                      <w:szCs w:val="18"/>
                      <w:lang w:val="en-US" w:eastAsia="zh-CN"/>
                    </w:rPr>
                  </w:pPr>
                  <w:r>
                    <w:rPr>
                      <w:rFonts w:hint="eastAsia"/>
                      <w:color w:val="auto"/>
                      <w:sz w:val="18"/>
                      <w:szCs w:val="18"/>
                      <w:lang w:val="en-US" w:eastAsia="zh-CN"/>
                    </w:rPr>
                    <w:t>南厂界</w:t>
                  </w:r>
                </w:p>
              </w:tc>
              <w:tc>
                <w:tcPr>
                  <w:tcW w:w="1584" w:type="dxa"/>
                  <w:noWrap w:val="0"/>
                  <w:vAlign w:val="top"/>
                </w:tcPr>
                <w:p w14:paraId="61598890">
                  <w:pPr>
                    <w:spacing w:line="240" w:lineRule="atLeast"/>
                    <w:jc w:val="center"/>
                    <w:rPr>
                      <w:rFonts w:hint="eastAsia"/>
                      <w:color w:val="auto"/>
                      <w:sz w:val="18"/>
                      <w:szCs w:val="18"/>
                      <w:lang w:val="en-US" w:eastAsia="zh-CN"/>
                    </w:rPr>
                  </w:pPr>
                  <w:r>
                    <w:rPr>
                      <w:rFonts w:hint="eastAsia"/>
                      <w:color w:val="auto"/>
                      <w:sz w:val="18"/>
                      <w:szCs w:val="18"/>
                      <w:lang w:val="en-US" w:eastAsia="zh-CN"/>
                    </w:rPr>
                    <w:t>西厂界</w:t>
                  </w:r>
                </w:p>
              </w:tc>
              <w:tc>
                <w:tcPr>
                  <w:tcW w:w="1531" w:type="dxa"/>
                  <w:noWrap w:val="0"/>
                  <w:vAlign w:val="top"/>
                </w:tcPr>
                <w:p w14:paraId="0B0810B8">
                  <w:pPr>
                    <w:spacing w:line="240" w:lineRule="atLeast"/>
                    <w:jc w:val="center"/>
                    <w:rPr>
                      <w:rFonts w:hint="eastAsia"/>
                      <w:color w:val="auto"/>
                      <w:sz w:val="18"/>
                      <w:szCs w:val="18"/>
                      <w:lang w:val="en-US" w:eastAsia="zh-CN"/>
                    </w:rPr>
                  </w:pPr>
                  <w:r>
                    <w:rPr>
                      <w:rFonts w:hint="eastAsia"/>
                      <w:color w:val="auto"/>
                      <w:sz w:val="18"/>
                      <w:szCs w:val="18"/>
                      <w:lang w:val="en-US" w:eastAsia="zh-CN"/>
                    </w:rPr>
                    <w:t>北厂界</w:t>
                  </w:r>
                </w:p>
              </w:tc>
            </w:tr>
            <w:tr w14:paraId="0A0E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09" w:type="dxa"/>
                  <w:noWrap w:val="0"/>
                  <w:vAlign w:val="center"/>
                </w:tcPr>
                <w:p w14:paraId="4178378B">
                  <w:pPr>
                    <w:pStyle w:val="35"/>
                    <w:spacing w:line="250" w:lineRule="exac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贡献值</w:t>
                  </w:r>
                  <w:r>
                    <w:rPr>
                      <w:rFonts w:hint="default" w:ascii="Times New Roman" w:hAnsi="Times New Roman" w:cs="Times New Roman"/>
                      <w:color w:val="auto"/>
                      <w:sz w:val="18"/>
                      <w:szCs w:val="18"/>
                    </w:rPr>
                    <w:t>（</w:t>
                  </w:r>
                  <w:r>
                    <w:rPr>
                      <w:rFonts w:hint="default" w:ascii="Times New Roman" w:hAnsi="Times New Roman" w:cs="Times New Roman"/>
                      <w:snapToGrid w:val="0"/>
                      <w:color w:val="auto"/>
                      <w:sz w:val="18"/>
                      <w:szCs w:val="18"/>
                    </w:rPr>
                    <w:t>dB（A）</w:t>
                  </w:r>
                  <w:r>
                    <w:rPr>
                      <w:rFonts w:hint="default" w:ascii="Times New Roman" w:hAnsi="Times New Roman" w:cs="Times New Roman"/>
                      <w:color w:val="auto"/>
                      <w:sz w:val="18"/>
                      <w:szCs w:val="18"/>
                    </w:rPr>
                    <w:t>）</w:t>
                  </w:r>
                </w:p>
              </w:tc>
              <w:tc>
                <w:tcPr>
                  <w:tcW w:w="1262" w:type="dxa"/>
                  <w:noWrap w:val="0"/>
                  <w:vAlign w:val="center"/>
                </w:tcPr>
                <w:p w14:paraId="6CDBFF2E">
                  <w:pPr>
                    <w:pStyle w:val="19"/>
                    <w:jc w:val="center"/>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42</w:t>
                  </w:r>
                </w:p>
              </w:tc>
              <w:tc>
                <w:tcPr>
                  <w:tcW w:w="1704" w:type="dxa"/>
                  <w:noWrap w:val="0"/>
                  <w:vAlign w:val="center"/>
                </w:tcPr>
                <w:p w14:paraId="4E29249E">
                  <w:pPr>
                    <w:pStyle w:val="19"/>
                    <w:jc w:val="center"/>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44</w:t>
                  </w:r>
                </w:p>
              </w:tc>
              <w:tc>
                <w:tcPr>
                  <w:tcW w:w="1584" w:type="dxa"/>
                  <w:noWrap w:val="0"/>
                  <w:vAlign w:val="center"/>
                </w:tcPr>
                <w:p w14:paraId="5E22D8C7">
                  <w:pPr>
                    <w:pStyle w:val="19"/>
                    <w:jc w:val="center"/>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41</w:t>
                  </w:r>
                </w:p>
              </w:tc>
              <w:tc>
                <w:tcPr>
                  <w:tcW w:w="1531" w:type="dxa"/>
                  <w:noWrap w:val="0"/>
                  <w:vAlign w:val="center"/>
                </w:tcPr>
                <w:p w14:paraId="65BFC07F">
                  <w:pPr>
                    <w:pStyle w:val="19"/>
                    <w:jc w:val="center"/>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43</w:t>
                  </w:r>
                </w:p>
              </w:tc>
            </w:tr>
            <w:tr w14:paraId="353C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609" w:type="dxa"/>
                  <w:noWrap w:val="0"/>
                  <w:vAlign w:val="center"/>
                </w:tcPr>
                <w:p w14:paraId="65C99ACE">
                  <w:pPr>
                    <w:pStyle w:val="35"/>
                    <w:spacing w:line="250" w:lineRule="exac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标准值</w:t>
                  </w:r>
                  <w:r>
                    <w:rPr>
                      <w:rFonts w:hint="default" w:ascii="Times New Roman" w:hAnsi="Times New Roman" w:cs="Times New Roman"/>
                      <w:color w:val="auto"/>
                      <w:sz w:val="18"/>
                      <w:szCs w:val="18"/>
                    </w:rPr>
                    <w:t>（</w:t>
                  </w:r>
                  <w:r>
                    <w:rPr>
                      <w:rFonts w:hint="default" w:ascii="Times New Roman" w:hAnsi="Times New Roman" w:cs="Times New Roman"/>
                      <w:snapToGrid w:val="0"/>
                      <w:color w:val="auto"/>
                      <w:sz w:val="18"/>
                      <w:szCs w:val="18"/>
                    </w:rPr>
                    <w:t>dB（A）</w:t>
                  </w:r>
                  <w:r>
                    <w:rPr>
                      <w:rFonts w:hint="default" w:ascii="Times New Roman" w:hAnsi="Times New Roman" w:cs="Times New Roman"/>
                      <w:color w:val="auto"/>
                      <w:sz w:val="18"/>
                      <w:szCs w:val="18"/>
                    </w:rPr>
                    <w:t>）</w:t>
                  </w:r>
                </w:p>
              </w:tc>
              <w:tc>
                <w:tcPr>
                  <w:tcW w:w="6081" w:type="dxa"/>
                  <w:gridSpan w:val="4"/>
                  <w:noWrap w:val="0"/>
                  <w:vAlign w:val="center"/>
                </w:tcPr>
                <w:p w14:paraId="2B301EA0">
                  <w:pPr>
                    <w:pStyle w:val="19"/>
                    <w:jc w:val="center"/>
                    <w:outlineLvl w:val="0"/>
                    <w:rPr>
                      <w:rFonts w:ascii="Times New Roman" w:hAnsi="Times New Roman"/>
                      <w:snapToGrid w:val="0"/>
                      <w:color w:val="auto"/>
                      <w:sz w:val="18"/>
                      <w:szCs w:val="18"/>
                      <w:lang w:val="en-US" w:eastAsia="zh-CN"/>
                    </w:rPr>
                  </w:pPr>
                  <w:r>
                    <w:rPr>
                      <w:rFonts w:ascii="Times New Roman" w:hAnsi="Times New Roman"/>
                      <w:snapToGrid w:val="0"/>
                      <w:color w:val="auto"/>
                      <w:sz w:val="18"/>
                      <w:szCs w:val="18"/>
                      <w:lang w:val="en-US" w:eastAsia="zh-CN"/>
                    </w:rPr>
                    <w:t>6</w:t>
                  </w:r>
                  <w:r>
                    <w:rPr>
                      <w:rFonts w:hint="eastAsia" w:ascii="Times New Roman" w:hAnsi="Times New Roman"/>
                      <w:snapToGrid w:val="0"/>
                      <w:color w:val="auto"/>
                      <w:sz w:val="18"/>
                      <w:szCs w:val="18"/>
                      <w:lang w:val="en-US" w:eastAsia="zh-CN"/>
                    </w:rPr>
                    <w:t>0</w:t>
                  </w:r>
                  <w:r>
                    <w:rPr>
                      <w:rFonts w:ascii="Times New Roman" w:hAnsi="Times New Roman"/>
                      <w:snapToGrid w:val="0"/>
                      <w:color w:val="auto"/>
                      <w:sz w:val="18"/>
                      <w:szCs w:val="18"/>
                      <w:lang w:val="en-US" w:eastAsia="zh-CN"/>
                    </w:rPr>
                    <w:t>（昼间</w:t>
                  </w:r>
                  <w:r>
                    <w:rPr>
                      <w:rFonts w:hint="eastAsia" w:ascii="Times New Roman" w:hAnsi="Times New Roman"/>
                      <w:snapToGrid w:val="0"/>
                      <w:color w:val="auto"/>
                      <w:sz w:val="18"/>
                      <w:szCs w:val="18"/>
                      <w:lang w:val="en-US" w:eastAsia="zh-CN"/>
                    </w:rPr>
                    <w:t>）、50（夜间）</w:t>
                  </w:r>
                </w:p>
              </w:tc>
            </w:tr>
            <w:tr w14:paraId="4BDF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609" w:type="dxa"/>
                  <w:noWrap w:val="0"/>
                  <w:vAlign w:val="center"/>
                </w:tcPr>
                <w:p w14:paraId="2F2CD0D4">
                  <w:pPr>
                    <w:pStyle w:val="35"/>
                    <w:spacing w:line="250" w:lineRule="exact"/>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达标情况</w:t>
                  </w:r>
                </w:p>
              </w:tc>
              <w:tc>
                <w:tcPr>
                  <w:tcW w:w="6081" w:type="dxa"/>
                  <w:gridSpan w:val="4"/>
                  <w:noWrap w:val="0"/>
                  <w:vAlign w:val="center"/>
                </w:tcPr>
                <w:p w14:paraId="5DC8F8AD">
                  <w:pPr>
                    <w:pStyle w:val="19"/>
                    <w:jc w:val="center"/>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项目昼间达标，夜间不运行</w:t>
                  </w:r>
                </w:p>
              </w:tc>
            </w:tr>
          </w:tbl>
          <w:p w14:paraId="1277E32E">
            <w:pPr>
              <w:adjustRightInd w:val="0"/>
              <w:snapToGrid w:val="0"/>
              <w:spacing w:line="400" w:lineRule="exact"/>
              <w:ind w:firstLine="420" w:firstLineChars="200"/>
              <w:rPr>
                <w:rFonts w:hint="eastAsia" w:ascii="Times New Roman" w:hAnsi="Times New Roman" w:cs="Times New Roman"/>
                <w:bCs/>
                <w:color w:val="auto"/>
                <w:spacing w:val="-10"/>
                <w:szCs w:val="21"/>
                <w:lang w:eastAsia="zh-CN"/>
              </w:rPr>
            </w:pPr>
            <w:r>
              <w:rPr>
                <w:color w:val="auto"/>
                <w:szCs w:val="21"/>
              </w:rPr>
              <w:t>由上表可知，本项目生产厂房内</w:t>
            </w:r>
            <w:r>
              <w:rPr>
                <w:rFonts w:hint="eastAsia"/>
                <w:color w:val="auto"/>
                <w:szCs w:val="21"/>
              </w:rPr>
              <w:t>各</w:t>
            </w:r>
            <w:r>
              <w:rPr>
                <w:color w:val="auto"/>
                <w:szCs w:val="21"/>
              </w:rPr>
              <w:t>设备</w:t>
            </w:r>
            <w:r>
              <w:rPr>
                <w:rFonts w:hint="eastAsia"/>
                <w:color w:val="auto"/>
                <w:szCs w:val="21"/>
              </w:rPr>
              <w:t>噪声</w:t>
            </w:r>
            <w:r>
              <w:rPr>
                <w:color w:val="auto"/>
                <w:szCs w:val="21"/>
              </w:rPr>
              <w:t>经采取措施后，昼间</w:t>
            </w:r>
            <w:r>
              <w:rPr>
                <w:rFonts w:hint="eastAsia"/>
                <w:color w:val="auto"/>
                <w:szCs w:val="21"/>
                <w:lang w:eastAsia="zh-CN"/>
              </w:rPr>
              <w:t>、</w:t>
            </w:r>
            <w:r>
              <w:rPr>
                <w:rFonts w:hint="eastAsia"/>
                <w:color w:val="auto"/>
                <w:szCs w:val="21"/>
                <w:lang w:val="en-US" w:eastAsia="zh-CN"/>
              </w:rPr>
              <w:t>夜间厂界</w:t>
            </w:r>
            <w:r>
              <w:rPr>
                <w:color w:val="auto"/>
                <w:szCs w:val="21"/>
              </w:rPr>
              <w:t>噪声达到《工业企业厂界环境噪声排放标准》（GB12348-2008）中</w:t>
            </w:r>
            <w:r>
              <w:rPr>
                <w:rFonts w:hint="eastAsia"/>
                <w:color w:val="auto"/>
                <w:szCs w:val="21"/>
                <w:lang w:val="en-US" w:eastAsia="zh-CN"/>
              </w:rPr>
              <w:t>2</w:t>
            </w:r>
            <w:r>
              <w:rPr>
                <w:color w:val="auto"/>
                <w:szCs w:val="21"/>
              </w:rPr>
              <w:t>类标准限值要求</w:t>
            </w:r>
            <w:r>
              <w:rPr>
                <w:rFonts w:hint="eastAsia" w:ascii="Times New Roman" w:hAnsi="Times New Roman" w:cs="Times New Roman"/>
                <w:bCs/>
                <w:color w:val="auto"/>
                <w:spacing w:val="-10"/>
                <w:szCs w:val="21"/>
                <w:lang w:eastAsia="zh-CN"/>
              </w:rPr>
              <w:t>。</w:t>
            </w:r>
          </w:p>
          <w:p w14:paraId="74855BD9">
            <w:pPr>
              <w:pStyle w:val="19"/>
              <w:adjustRightInd w:val="0"/>
              <w:snapToGrid w:val="0"/>
              <w:spacing w:before="0" w:beforeAutospacing="0" w:after="0" w:afterAutospacing="0" w:line="400" w:lineRule="exact"/>
              <w:jc w:val="center"/>
              <w:outlineLvl w:val="0"/>
              <w:rPr>
                <w:rFonts w:hint="eastAsia" w:ascii="Times New Roman" w:hAnsi="Times New Roman"/>
                <w:b/>
                <w:snapToGrid w:val="0"/>
                <w:color w:val="auto"/>
                <w:sz w:val="21"/>
                <w:szCs w:val="21"/>
                <w:lang w:val="en-US" w:eastAsia="zh-CN"/>
              </w:rPr>
            </w:pPr>
            <w:r>
              <w:rPr>
                <w:rFonts w:hint="eastAsia" w:ascii="Times New Roman" w:hAnsi="Times New Roman"/>
                <w:b/>
                <w:snapToGrid w:val="0"/>
                <w:color w:val="auto"/>
                <w:sz w:val="21"/>
                <w:szCs w:val="21"/>
                <w:lang w:val="en-US" w:eastAsia="zh-CN"/>
              </w:rPr>
              <w:t>表4-6   项目对声环境保护目标的噪声预测值  单位：dB（A）</w:t>
            </w:r>
          </w:p>
          <w:tbl>
            <w:tblPr>
              <w:tblStyle w:val="22"/>
              <w:tblW w:w="498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335"/>
              <w:gridCol w:w="1802"/>
              <w:gridCol w:w="1438"/>
              <w:gridCol w:w="1694"/>
              <w:gridCol w:w="1655"/>
            </w:tblGrid>
            <w:tr w14:paraId="525C0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336" w:type="dxa"/>
                  <w:vMerge w:val="restart"/>
                  <w:tcBorders>
                    <w:tl2br w:val="single" w:color="auto" w:sz="12" w:space="0"/>
                  </w:tcBorders>
                  <w:noWrap w:val="0"/>
                  <w:vAlign w:val="center"/>
                </w:tcPr>
                <w:p w14:paraId="03B6CBAF">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right"/>
                    <w:textAlignment w:val="auto"/>
                    <w:outlineLvl w:val="0"/>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方位</w:t>
                  </w:r>
                </w:p>
                <w:p w14:paraId="7D00FB6A">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textAlignment w:val="auto"/>
                    <w:outlineLvl w:val="0"/>
                    <w:rPr>
                      <w:rFonts w:ascii="Times New Roman" w:hAnsi="Times New Roman"/>
                      <w:snapToGrid w:val="0"/>
                      <w:color w:val="auto"/>
                      <w:sz w:val="18"/>
                      <w:szCs w:val="18"/>
                      <w:lang w:val="en-US" w:eastAsia="zh-CN"/>
                    </w:rPr>
                  </w:pPr>
                  <w:r>
                    <w:rPr>
                      <w:rFonts w:ascii="Times New Roman" w:hAnsi="Times New Roman"/>
                      <w:snapToGrid w:val="0"/>
                      <w:color w:val="auto"/>
                      <w:sz w:val="18"/>
                      <w:szCs w:val="18"/>
                      <w:lang w:val="en-US" w:eastAsia="zh-CN"/>
                    </w:rPr>
                    <w:t>噪声源</w:t>
                  </w:r>
                </w:p>
              </w:tc>
              <w:tc>
                <w:tcPr>
                  <w:tcW w:w="6589" w:type="dxa"/>
                  <w:gridSpan w:val="4"/>
                  <w:noWrap w:val="0"/>
                  <w:vAlign w:val="top"/>
                </w:tcPr>
                <w:p w14:paraId="5E5D9B82">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color w:val="auto"/>
                      <w:sz w:val="18"/>
                      <w:szCs w:val="18"/>
                    </w:rPr>
                  </w:pPr>
                  <w:r>
                    <w:rPr>
                      <w:rFonts w:hint="eastAsia"/>
                      <w:color w:val="auto"/>
                      <w:sz w:val="18"/>
                      <w:szCs w:val="18"/>
                      <w:lang w:val="en-US" w:eastAsia="zh-CN"/>
                    </w:rPr>
                    <w:t>影响预测</w:t>
                  </w:r>
                  <w:r>
                    <w:rPr>
                      <w:color w:val="auto"/>
                      <w:sz w:val="18"/>
                      <w:szCs w:val="18"/>
                    </w:rPr>
                    <w:t>（</w:t>
                  </w:r>
                  <w:r>
                    <w:rPr>
                      <w:snapToGrid w:val="0"/>
                      <w:color w:val="auto"/>
                      <w:sz w:val="18"/>
                      <w:szCs w:val="18"/>
                    </w:rPr>
                    <w:t>dB（A）</w:t>
                  </w:r>
                  <w:r>
                    <w:rPr>
                      <w:color w:val="auto"/>
                      <w:sz w:val="18"/>
                      <w:szCs w:val="18"/>
                    </w:rPr>
                    <w:t>）</w:t>
                  </w:r>
                </w:p>
              </w:tc>
            </w:tr>
            <w:tr w14:paraId="10A25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4" w:hRule="atLeast"/>
                <w:jc w:val="center"/>
              </w:trPr>
              <w:tc>
                <w:tcPr>
                  <w:tcW w:w="1336" w:type="dxa"/>
                  <w:vMerge w:val="continue"/>
                  <w:noWrap w:val="0"/>
                  <w:vAlign w:val="center"/>
                </w:tcPr>
                <w:p w14:paraId="6A2A7F6F">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ascii="Times New Roman" w:hAnsi="Times New Roman"/>
                      <w:snapToGrid w:val="0"/>
                      <w:color w:val="auto"/>
                      <w:sz w:val="18"/>
                      <w:szCs w:val="18"/>
                      <w:lang w:val="en-US" w:eastAsia="zh-CN"/>
                    </w:rPr>
                  </w:pPr>
                </w:p>
              </w:tc>
              <w:tc>
                <w:tcPr>
                  <w:tcW w:w="3240" w:type="dxa"/>
                  <w:gridSpan w:val="2"/>
                  <w:tcBorders>
                    <w:right w:val="single" w:color="auto" w:sz="4" w:space="0"/>
                  </w:tcBorders>
                  <w:noWrap w:val="0"/>
                  <w:vAlign w:val="top"/>
                </w:tcPr>
                <w:p w14:paraId="469E2194">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color w:val="auto"/>
                      <w:sz w:val="18"/>
                      <w:szCs w:val="18"/>
                      <w:lang w:val="en-US"/>
                    </w:rPr>
                  </w:pPr>
                  <w:r>
                    <w:rPr>
                      <w:rFonts w:hint="default"/>
                      <w:color w:val="auto"/>
                      <w:sz w:val="18"/>
                      <w:szCs w:val="18"/>
                      <w:lang w:val="en-US" w:eastAsia="zh-CN"/>
                    </w:rPr>
                    <w:t>19栋</w:t>
                  </w:r>
                  <w:r>
                    <w:rPr>
                      <w:rFonts w:hint="eastAsia"/>
                      <w:color w:val="auto"/>
                      <w:sz w:val="18"/>
                      <w:szCs w:val="18"/>
                      <w:lang w:val="en-US" w:eastAsia="zh-CN"/>
                    </w:rPr>
                    <w:t>住宅</w:t>
                  </w:r>
                </w:p>
              </w:tc>
              <w:tc>
                <w:tcPr>
                  <w:tcW w:w="3349" w:type="dxa"/>
                  <w:gridSpan w:val="2"/>
                  <w:tcBorders>
                    <w:left w:val="single" w:color="auto" w:sz="4" w:space="0"/>
                  </w:tcBorders>
                  <w:noWrap w:val="0"/>
                  <w:vAlign w:val="top"/>
                </w:tcPr>
                <w:p w14:paraId="7D1DF75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color w:val="auto"/>
                      <w:sz w:val="18"/>
                      <w:szCs w:val="18"/>
                      <w:lang w:val="en-US" w:eastAsia="zh-CN"/>
                    </w:rPr>
                  </w:pPr>
                  <w:r>
                    <w:rPr>
                      <w:rFonts w:hint="eastAsia"/>
                      <w:color w:val="auto"/>
                      <w:sz w:val="18"/>
                      <w:szCs w:val="18"/>
                      <w:lang w:val="en-US" w:eastAsia="zh-CN"/>
                    </w:rPr>
                    <w:t>20栋住宅</w:t>
                  </w:r>
                </w:p>
              </w:tc>
            </w:tr>
            <w:tr w14:paraId="23B5A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336" w:type="dxa"/>
                  <w:vMerge w:val="continue"/>
                  <w:noWrap w:val="0"/>
                  <w:vAlign w:val="center"/>
                </w:tcPr>
                <w:p w14:paraId="46DE4AB4">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color w:val="auto"/>
                    </w:rPr>
                  </w:pPr>
                </w:p>
              </w:tc>
              <w:tc>
                <w:tcPr>
                  <w:tcW w:w="1802" w:type="dxa"/>
                  <w:tcBorders>
                    <w:right w:val="single" w:color="auto" w:sz="4" w:space="0"/>
                  </w:tcBorders>
                  <w:noWrap w:val="0"/>
                  <w:vAlign w:val="top"/>
                </w:tcPr>
                <w:p w14:paraId="654CA64A">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eastAsia="宋体"/>
                      <w:snapToGrid w:val="0"/>
                      <w:color w:val="auto"/>
                      <w:sz w:val="18"/>
                      <w:szCs w:val="18"/>
                      <w:lang w:val="en-US" w:eastAsia="zh-CN"/>
                    </w:rPr>
                  </w:pPr>
                  <w:r>
                    <w:rPr>
                      <w:rFonts w:hint="eastAsia"/>
                      <w:snapToGrid w:val="0"/>
                      <w:color w:val="auto"/>
                      <w:sz w:val="18"/>
                      <w:szCs w:val="18"/>
                      <w:lang w:val="en-US" w:eastAsia="zh-CN"/>
                    </w:rPr>
                    <w:t>昼间</w:t>
                  </w:r>
                </w:p>
              </w:tc>
              <w:tc>
                <w:tcPr>
                  <w:tcW w:w="1438" w:type="dxa"/>
                  <w:tcBorders>
                    <w:left w:val="single" w:color="auto" w:sz="4" w:space="0"/>
                    <w:right w:val="single" w:color="auto" w:sz="4" w:space="0"/>
                  </w:tcBorders>
                  <w:noWrap w:val="0"/>
                  <w:vAlign w:val="top"/>
                </w:tcPr>
                <w:p w14:paraId="7A007AF6">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default"/>
                      <w:snapToGrid w:val="0"/>
                      <w:color w:val="auto"/>
                      <w:sz w:val="18"/>
                      <w:szCs w:val="18"/>
                      <w:lang w:val="en-US" w:eastAsia="zh-CN"/>
                    </w:rPr>
                  </w:pPr>
                  <w:r>
                    <w:rPr>
                      <w:rFonts w:hint="eastAsia"/>
                      <w:snapToGrid w:val="0"/>
                      <w:color w:val="auto"/>
                      <w:sz w:val="18"/>
                      <w:szCs w:val="18"/>
                      <w:lang w:val="en-US" w:eastAsia="zh-CN"/>
                    </w:rPr>
                    <w:t>夜间</w:t>
                  </w:r>
                </w:p>
              </w:tc>
              <w:tc>
                <w:tcPr>
                  <w:tcW w:w="1694" w:type="dxa"/>
                  <w:tcBorders>
                    <w:left w:val="single" w:color="auto" w:sz="4" w:space="0"/>
                    <w:right w:val="single" w:color="auto" w:sz="4" w:space="0"/>
                  </w:tcBorders>
                  <w:shd w:val="clear" w:color="auto" w:fill="auto"/>
                  <w:noWrap w:val="0"/>
                  <w:vAlign w:val="top"/>
                </w:tcPr>
                <w:p w14:paraId="5E2A8B53">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Dutch801 Rm BT" w:hAnsi="Dutch801 Rm BT" w:eastAsia="宋体" w:cs="Dutch801 Rm BT"/>
                      <w:snapToGrid w:val="0"/>
                      <w:color w:val="auto"/>
                      <w:kern w:val="2"/>
                      <w:sz w:val="18"/>
                      <w:szCs w:val="18"/>
                      <w:lang w:val="en-US" w:eastAsia="zh-CN" w:bidi="ar-SA"/>
                    </w:rPr>
                  </w:pPr>
                  <w:r>
                    <w:rPr>
                      <w:rFonts w:hint="eastAsia"/>
                      <w:snapToGrid w:val="0"/>
                      <w:color w:val="auto"/>
                      <w:sz w:val="18"/>
                      <w:szCs w:val="18"/>
                      <w:lang w:val="en-US" w:eastAsia="zh-CN"/>
                    </w:rPr>
                    <w:t>昼间</w:t>
                  </w:r>
                </w:p>
              </w:tc>
              <w:tc>
                <w:tcPr>
                  <w:tcW w:w="1655" w:type="dxa"/>
                  <w:tcBorders>
                    <w:left w:val="single" w:color="auto" w:sz="4" w:space="0"/>
                  </w:tcBorders>
                  <w:shd w:val="clear" w:color="auto" w:fill="auto"/>
                  <w:noWrap w:val="0"/>
                  <w:vAlign w:val="top"/>
                </w:tcPr>
                <w:p w14:paraId="5D19F49F">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Dutch801 Rm BT" w:hAnsi="Dutch801 Rm BT" w:eastAsia="宋体" w:cs="Dutch801 Rm BT"/>
                      <w:snapToGrid w:val="0"/>
                      <w:color w:val="auto"/>
                      <w:kern w:val="2"/>
                      <w:sz w:val="18"/>
                      <w:szCs w:val="18"/>
                      <w:lang w:val="en-US" w:eastAsia="zh-CN" w:bidi="ar-SA"/>
                    </w:rPr>
                  </w:pPr>
                  <w:r>
                    <w:rPr>
                      <w:rFonts w:hint="eastAsia"/>
                      <w:snapToGrid w:val="0"/>
                      <w:color w:val="auto"/>
                      <w:sz w:val="18"/>
                      <w:szCs w:val="18"/>
                      <w:lang w:val="en-US" w:eastAsia="zh-CN"/>
                    </w:rPr>
                    <w:t>夜间</w:t>
                  </w:r>
                </w:p>
              </w:tc>
            </w:tr>
            <w:tr w14:paraId="18447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1336" w:type="dxa"/>
                  <w:noWrap w:val="0"/>
                  <w:vAlign w:val="center"/>
                </w:tcPr>
                <w:p w14:paraId="29CF94D4">
                  <w:pPr>
                    <w:pStyle w:val="35"/>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贡献值</w:t>
                  </w:r>
                </w:p>
              </w:tc>
              <w:tc>
                <w:tcPr>
                  <w:tcW w:w="1802" w:type="dxa"/>
                  <w:tcBorders>
                    <w:right w:val="single" w:color="auto" w:sz="4" w:space="0"/>
                  </w:tcBorders>
                  <w:noWrap w:val="0"/>
                  <w:vAlign w:val="center"/>
                </w:tcPr>
                <w:p w14:paraId="78E99B30">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44</w:t>
                  </w:r>
                </w:p>
              </w:tc>
              <w:tc>
                <w:tcPr>
                  <w:tcW w:w="1438" w:type="dxa"/>
                  <w:tcBorders>
                    <w:left w:val="single" w:color="auto" w:sz="4" w:space="0"/>
                    <w:right w:val="single" w:color="auto" w:sz="4" w:space="0"/>
                  </w:tcBorders>
                  <w:noWrap w:val="0"/>
                  <w:vAlign w:val="center"/>
                </w:tcPr>
                <w:p w14:paraId="2C383F95">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44</w:t>
                  </w:r>
                </w:p>
              </w:tc>
              <w:tc>
                <w:tcPr>
                  <w:tcW w:w="1694" w:type="dxa"/>
                  <w:tcBorders>
                    <w:left w:val="single" w:color="auto" w:sz="4" w:space="0"/>
                    <w:right w:val="single" w:color="auto" w:sz="4" w:space="0"/>
                  </w:tcBorders>
                  <w:shd w:val="clear" w:color="auto" w:fill="auto"/>
                  <w:noWrap w:val="0"/>
                  <w:vAlign w:val="center"/>
                </w:tcPr>
                <w:p w14:paraId="2F2C9562">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eastAsia="宋体" w:cs="Dutch801 Rm BT"/>
                      <w:snapToGrid w:val="0"/>
                      <w:color w:val="auto"/>
                      <w:kern w:val="0"/>
                      <w:sz w:val="18"/>
                      <w:szCs w:val="18"/>
                      <w:lang w:val="en-US" w:eastAsia="zh-CN" w:bidi="ar-SA"/>
                    </w:rPr>
                  </w:pPr>
                  <w:r>
                    <w:rPr>
                      <w:rFonts w:hint="eastAsia" w:ascii="Times New Roman" w:hAnsi="Times New Roman" w:cs="Dutch801 Rm BT"/>
                      <w:snapToGrid w:val="0"/>
                      <w:color w:val="auto"/>
                      <w:kern w:val="0"/>
                      <w:sz w:val="18"/>
                      <w:szCs w:val="18"/>
                      <w:lang w:val="en-US" w:eastAsia="zh-CN" w:bidi="ar-SA"/>
                    </w:rPr>
                    <w:t>24</w:t>
                  </w:r>
                </w:p>
              </w:tc>
              <w:tc>
                <w:tcPr>
                  <w:tcW w:w="1655" w:type="dxa"/>
                  <w:tcBorders>
                    <w:left w:val="single" w:color="auto" w:sz="4" w:space="0"/>
                  </w:tcBorders>
                  <w:shd w:val="clear" w:color="auto" w:fill="auto"/>
                  <w:noWrap w:val="0"/>
                  <w:vAlign w:val="center"/>
                </w:tcPr>
                <w:p w14:paraId="501E8F23">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eastAsia="宋体" w:cs="Dutch801 Rm BT"/>
                      <w:snapToGrid w:val="0"/>
                      <w:color w:val="auto"/>
                      <w:kern w:val="0"/>
                      <w:sz w:val="18"/>
                      <w:szCs w:val="18"/>
                      <w:lang w:val="en-US" w:eastAsia="zh-CN" w:bidi="ar-SA"/>
                    </w:rPr>
                  </w:pPr>
                  <w:r>
                    <w:rPr>
                      <w:rFonts w:hint="eastAsia" w:ascii="Times New Roman" w:hAnsi="Times New Roman" w:cs="Dutch801 Rm BT"/>
                      <w:snapToGrid w:val="0"/>
                      <w:color w:val="auto"/>
                      <w:kern w:val="0"/>
                      <w:sz w:val="18"/>
                      <w:szCs w:val="18"/>
                      <w:lang w:val="en-US" w:eastAsia="zh-CN" w:bidi="ar-SA"/>
                    </w:rPr>
                    <w:t>24</w:t>
                  </w:r>
                </w:p>
              </w:tc>
            </w:tr>
            <w:tr w14:paraId="36720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1336" w:type="dxa"/>
                  <w:noWrap w:val="0"/>
                  <w:vAlign w:val="center"/>
                </w:tcPr>
                <w:p w14:paraId="39705626">
                  <w:pPr>
                    <w:pStyle w:val="35"/>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本底值</w:t>
                  </w:r>
                </w:p>
              </w:tc>
              <w:tc>
                <w:tcPr>
                  <w:tcW w:w="1802" w:type="dxa"/>
                  <w:tcBorders>
                    <w:right w:val="single" w:color="auto" w:sz="4" w:space="0"/>
                  </w:tcBorders>
                  <w:noWrap w:val="0"/>
                  <w:vAlign w:val="center"/>
                </w:tcPr>
                <w:p w14:paraId="7F7D5452">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48</w:t>
                  </w:r>
                </w:p>
              </w:tc>
              <w:tc>
                <w:tcPr>
                  <w:tcW w:w="1438" w:type="dxa"/>
                  <w:tcBorders>
                    <w:left w:val="single" w:color="auto" w:sz="4" w:space="0"/>
                    <w:right w:val="single" w:color="auto" w:sz="4" w:space="0"/>
                  </w:tcBorders>
                  <w:noWrap w:val="0"/>
                  <w:vAlign w:val="center"/>
                </w:tcPr>
                <w:p w14:paraId="56565C38">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47</w:t>
                  </w:r>
                </w:p>
              </w:tc>
              <w:tc>
                <w:tcPr>
                  <w:tcW w:w="1694" w:type="dxa"/>
                  <w:tcBorders>
                    <w:left w:val="single" w:color="auto" w:sz="4" w:space="0"/>
                    <w:right w:val="single" w:color="auto" w:sz="4" w:space="0"/>
                  </w:tcBorders>
                  <w:shd w:val="clear" w:color="auto" w:fill="auto"/>
                  <w:noWrap w:val="0"/>
                  <w:vAlign w:val="center"/>
                </w:tcPr>
                <w:p w14:paraId="1E905B2F">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eastAsia" w:ascii="Times New Roman" w:hAnsi="Times New Roman" w:eastAsia="宋体" w:cs="Dutch801 Rm BT"/>
                      <w:snapToGrid w:val="0"/>
                      <w:color w:val="auto"/>
                      <w:kern w:val="0"/>
                      <w:sz w:val="18"/>
                      <w:szCs w:val="18"/>
                      <w:lang w:val="en-US" w:eastAsia="zh-CN" w:bidi="ar-SA"/>
                    </w:rPr>
                  </w:pPr>
                  <w:r>
                    <w:rPr>
                      <w:rFonts w:hint="eastAsia" w:ascii="Times New Roman" w:hAnsi="Times New Roman"/>
                      <w:snapToGrid w:val="0"/>
                      <w:color w:val="auto"/>
                      <w:sz w:val="18"/>
                      <w:szCs w:val="18"/>
                      <w:lang w:val="en-US" w:eastAsia="zh-CN"/>
                    </w:rPr>
                    <w:t>48</w:t>
                  </w:r>
                </w:p>
              </w:tc>
              <w:tc>
                <w:tcPr>
                  <w:tcW w:w="1655" w:type="dxa"/>
                  <w:tcBorders>
                    <w:left w:val="single" w:color="auto" w:sz="4" w:space="0"/>
                  </w:tcBorders>
                  <w:shd w:val="clear" w:color="auto" w:fill="auto"/>
                  <w:noWrap w:val="0"/>
                  <w:vAlign w:val="center"/>
                </w:tcPr>
                <w:p w14:paraId="6A3C0A89">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eastAsia" w:ascii="Times New Roman" w:hAnsi="Times New Roman" w:eastAsia="宋体" w:cs="Dutch801 Rm BT"/>
                      <w:snapToGrid w:val="0"/>
                      <w:color w:val="auto"/>
                      <w:kern w:val="0"/>
                      <w:sz w:val="18"/>
                      <w:szCs w:val="18"/>
                      <w:lang w:val="en-US" w:eastAsia="zh-CN" w:bidi="ar-SA"/>
                    </w:rPr>
                  </w:pPr>
                  <w:r>
                    <w:rPr>
                      <w:rFonts w:hint="eastAsia" w:ascii="Times New Roman" w:hAnsi="Times New Roman"/>
                      <w:snapToGrid w:val="0"/>
                      <w:color w:val="auto"/>
                      <w:sz w:val="18"/>
                      <w:szCs w:val="18"/>
                      <w:lang w:val="en-US" w:eastAsia="zh-CN"/>
                    </w:rPr>
                    <w:t>47</w:t>
                  </w:r>
                </w:p>
              </w:tc>
            </w:tr>
            <w:tr w14:paraId="079CE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1336" w:type="dxa"/>
                  <w:noWrap w:val="0"/>
                  <w:vAlign w:val="center"/>
                </w:tcPr>
                <w:p w14:paraId="12BD1BD1">
                  <w:pPr>
                    <w:pStyle w:val="35"/>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预测值</w:t>
                  </w:r>
                </w:p>
              </w:tc>
              <w:tc>
                <w:tcPr>
                  <w:tcW w:w="1802" w:type="dxa"/>
                  <w:noWrap w:val="0"/>
                  <w:vAlign w:val="center"/>
                </w:tcPr>
                <w:p w14:paraId="2416F56B">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49.46</w:t>
                  </w:r>
                </w:p>
              </w:tc>
              <w:tc>
                <w:tcPr>
                  <w:tcW w:w="1438" w:type="dxa"/>
                  <w:noWrap w:val="0"/>
                  <w:vAlign w:val="center"/>
                </w:tcPr>
                <w:p w14:paraId="0F6A6716">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48.76</w:t>
                  </w:r>
                </w:p>
              </w:tc>
              <w:tc>
                <w:tcPr>
                  <w:tcW w:w="1694" w:type="dxa"/>
                  <w:noWrap w:val="0"/>
                  <w:vAlign w:val="center"/>
                </w:tcPr>
                <w:p w14:paraId="60BDC11E">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48.02</w:t>
                  </w:r>
                </w:p>
              </w:tc>
              <w:tc>
                <w:tcPr>
                  <w:tcW w:w="1655" w:type="dxa"/>
                  <w:noWrap w:val="0"/>
                  <w:vAlign w:val="center"/>
                </w:tcPr>
                <w:p w14:paraId="54131A3F">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47.02</w:t>
                  </w:r>
                </w:p>
              </w:tc>
            </w:tr>
            <w:tr w14:paraId="5D820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4" w:hRule="atLeast"/>
                <w:jc w:val="center"/>
              </w:trPr>
              <w:tc>
                <w:tcPr>
                  <w:tcW w:w="1336" w:type="dxa"/>
                  <w:noWrap w:val="0"/>
                  <w:vAlign w:val="center"/>
                </w:tcPr>
                <w:p w14:paraId="204769B7">
                  <w:pPr>
                    <w:pStyle w:val="35"/>
                    <w:keepNext w:val="0"/>
                    <w:keepLines w:val="0"/>
                    <w:pageBreakBefore w:val="0"/>
                    <w:kinsoku/>
                    <w:wordWrap/>
                    <w:overflowPunct/>
                    <w:topLinePunct w:val="0"/>
                    <w:autoSpaceDE/>
                    <w:autoSpaceDN/>
                    <w:bidi w:val="0"/>
                    <w:adjustRightInd/>
                    <w:snapToGrid/>
                    <w:spacing w:beforeAutospacing="0" w:afterAutospacing="0" w:line="240" w:lineRule="exact"/>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达标情况</w:t>
                  </w:r>
                </w:p>
              </w:tc>
              <w:tc>
                <w:tcPr>
                  <w:tcW w:w="6589" w:type="dxa"/>
                  <w:gridSpan w:val="4"/>
                  <w:noWrap w:val="0"/>
                  <w:vAlign w:val="center"/>
                </w:tcPr>
                <w:p w14:paraId="280F2605">
                  <w:pPr>
                    <w:pStyle w:val="1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outlineLvl w:val="0"/>
                    <w:rPr>
                      <w:rFonts w:ascii="Times New Roman" w:hAnsi="Times New Roman"/>
                      <w:snapToGrid w:val="0"/>
                      <w:color w:val="auto"/>
                      <w:sz w:val="18"/>
                      <w:szCs w:val="18"/>
                      <w:lang w:val="en-US" w:eastAsia="zh-CN"/>
                    </w:rPr>
                  </w:pPr>
                  <w:r>
                    <w:rPr>
                      <w:rFonts w:ascii="Times New Roman" w:hAnsi="Times New Roman"/>
                      <w:snapToGrid w:val="0"/>
                      <w:color w:val="auto"/>
                      <w:sz w:val="18"/>
                      <w:szCs w:val="18"/>
                      <w:lang w:val="en-US" w:eastAsia="zh-CN"/>
                    </w:rPr>
                    <w:t>达标</w:t>
                  </w:r>
                </w:p>
              </w:tc>
            </w:tr>
          </w:tbl>
          <w:p w14:paraId="1762A6E4">
            <w:pPr>
              <w:spacing w:line="400" w:lineRule="exact"/>
              <w:ind w:firstLine="420" w:firstLineChars="200"/>
              <w:rPr>
                <w:rFonts w:hint="default" w:eastAsia="宋体"/>
                <w:color w:val="auto"/>
                <w:szCs w:val="21"/>
                <w:lang w:val="en-US" w:eastAsia="zh-CN"/>
              </w:rPr>
            </w:pPr>
            <w:r>
              <w:rPr>
                <w:rFonts w:hint="eastAsia"/>
                <w:color w:val="auto"/>
                <w:szCs w:val="21"/>
                <w:lang w:val="en-US" w:eastAsia="zh-CN"/>
              </w:rPr>
              <w:t>由上表可知，项目对周边声环境保护目标影响较小，能够满足</w:t>
            </w:r>
            <w:r>
              <w:rPr>
                <w:rFonts w:hint="eastAsia"/>
                <w:b w:val="0"/>
                <w:bCs/>
                <w:color w:val="auto"/>
                <w:szCs w:val="21"/>
                <w:lang w:val="en-US" w:eastAsia="zh-CN"/>
              </w:rPr>
              <w:t>《声环境质量标准》（GB 3096-2008）2类标准要求。</w:t>
            </w:r>
          </w:p>
          <w:p w14:paraId="4FD1B5AE">
            <w:pPr>
              <w:adjustRightInd w:val="0"/>
              <w:snapToGrid w:val="0"/>
              <w:spacing w:line="400" w:lineRule="exact"/>
              <w:ind w:firstLine="422" w:firstLineChars="200"/>
              <w:rPr>
                <w:rFonts w:hint="default"/>
                <w:b w:val="0"/>
                <w:bCs/>
                <w:color w:val="auto"/>
                <w:szCs w:val="21"/>
                <w:lang w:val="en-US" w:eastAsia="zh-CN"/>
              </w:rPr>
            </w:pPr>
            <w:r>
              <w:rPr>
                <w:rFonts w:hint="default"/>
                <w:b/>
                <w:bCs w:val="0"/>
                <w:color w:val="auto"/>
                <w:szCs w:val="21"/>
                <w:lang w:val="en-US" w:eastAsia="zh-CN"/>
              </w:rPr>
              <w:t>（</w:t>
            </w:r>
            <w:r>
              <w:rPr>
                <w:rFonts w:hint="eastAsia"/>
                <w:b/>
                <w:bCs w:val="0"/>
                <w:color w:val="auto"/>
                <w:szCs w:val="21"/>
                <w:lang w:val="en-US" w:eastAsia="zh-CN"/>
              </w:rPr>
              <w:t>3</w:t>
            </w:r>
            <w:r>
              <w:rPr>
                <w:rFonts w:hint="default"/>
                <w:b/>
                <w:bCs w:val="0"/>
                <w:color w:val="auto"/>
                <w:szCs w:val="21"/>
                <w:lang w:val="en-US" w:eastAsia="zh-CN"/>
              </w:rPr>
              <w:t>）治理措施</w:t>
            </w:r>
            <w:r>
              <w:rPr>
                <w:rFonts w:hint="default"/>
                <w:b w:val="0"/>
                <w:bCs/>
                <w:color w:val="auto"/>
                <w:szCs w:val="21"/>
                <w:lang w:val="en-US" w:eastAsia="zh-CN"/>
              </w:rPr>
              <w:t xml:space="preserve"> </w:t>
            </w:r>
          </w:p>
          <w:p w14:paraId="7A628957">
            <w:pPr>
              <w:adjustRightInd w:val="0"/>
              <w:snapToGrid w:val="0"/>
              <w:spacing w:line="400" w:lineRule="exact"/>
              <w:ind w:firstLine="420" w:firstLineChars="200"/>
              <w:rPr>
                <w:rFonts w:hint="default"/>
                <w:b w:val="0"/>
                <w:bCs/>
                <w:color w:val="auto"/>
                <w:szCs w:val="21"/>
                <w:lang w:val="en-US" w:eastAsia="zh-CN"/>
              </w:rPr>
            </w:pPr>
            <w:r>
              <w:rPr>
                <w:rFonts w:hint="default"/>
                <w:b w:val="0"/>
                <w:bCs/>
                <w:color w:val="auto"/>
                <w:szCs w:val="21"/>
                <w:lang w:val="en-US" w:eastAsia="zh-CN"/>
              </w:rPr>
              <w:t>①诊疗设备选用低噪声设备</w:t>
            </w:r>
            <w:r>
              <w:rPr>
                <w:rFonts w:hint="eastAsia"/>
                <w:b w:val="0"/>
                <w:bCs/>
                <w:color w:val="auto"/>
                <w:szCs w:val="21"/>
                <w:lang w:val="en-US" w:eastAsia="zh-CN"/>
              </w:rPr>
              <w:t>。</w:t>
            </w:r>
            <w:r>
              <w:rPr>
                <w:rFonts w:hint="default"/>
                <w:b w:val="0"/>
                <w:bCs/>
                <w:color w:val="auto"/>
                <w:szCs w:val="21"/>
                <w:lang w:val="en-US" w:eastAsia="zh-CN"/>
              </w:rPr>
              <w:t xml:space="preserve"> </w:t>
            </w:r>
          </w:p>
          <w:p w14:paraId="79CCFEC4">
            <w:pPr>
              <w:adjustRightInd w:val="0"/>
              <w:snapToGrid w:val="0"/>
              <w:spacing w:line="400" w:lineRule="exact"/>
              <w:ind w:firstLine="420" w:firstLineChars="200"/>
              <w:rPr>
                <w:rFonts w:hint="default"/>
                <w:b w:val="0"/>
                <w:bCs/>
                <w:color w:val="auto"/>
                <w:szCs w:val="21"/>
                <w:lang w:val="en-US" w:eastAsia="zh-CN"/>
              </w:rPr>
            </w:pPr>
            <w:r>
              <w:rPr>
                <w:rFonts w:hint="default"/>
                <w:b w:val="0"/>
                <w:bCs/>
                <w:color w:val="auto"/>
                <w:szCs w:val="21"/>
                <w:lang w:val="en-US" w:eastAsia="zh-CN"/>
              </w:rPr>
              <w:t>②空调选用低噪声设备，空调外机放置在项目大门上方（临近马路一侧），采取基础减振等措施</w:t>
            </w:r>
            <w:r>
              <w:rPr>
                <w:rFonts w:hint="eastAsia"/>
                <w:b w:val="0"/>
                <w:bCs/>
                <w:color w:val="auto"/>
                <w:szCs w:val="21"/>
                <w:lang w:val="en-US" w:eastAsia="zh-CN"/>
              </w:rPr>
              <w:t>。</w:t>
            </w:r>
            <w:r>
              <w:rPr>
                <w:rFonts w:hint="default"/>
                <w:b w:val="0"/>
                <w:bCs/>
                <w:color w:val="auto"/>
                <w:szCs w:val="21"/>
                <w:lang w:val="en-US" w:eastAsia="zh-CN"/>
              </w:rPr>
              <w:t xml:space="preserve"> </w:t>
            </w:r>
          </w:p>
          <w:p w14:paraId="0434776B">
            <w:pPr>
              <w:adjustRightInd w:val="0"/>
              <w:snapToGrid w:val="0"/>
              <w:spacing w:line="400" w:lineRule="exact"/>
              <w:ind w:firstLine="420" w:firstLineChars="200"/>
              <w:rPr>
                <w:rFonts w:hint="default"/>
                <w:b w:val="0"/>
                <w:bCs/>
                <w:color w:val="auto"/>
                <w:szCs w:val="21"/>
                <w:lang w:val="en-US" w:eastAsia="zh-CN"/>
              </w:rPr>
            </w:pPr>
            <w:r>
              <w:rPr>
                <w:rFonts w:hint="default"/>
                <w:b w:val="0"/>
                <w:bCs/>
                <w:color w:val="auto"/>
                <w:szCs w:val="21"/>
                <w:lang w:val="en-US" w:eastAsia="zh-CN"/>
              </w:rPr>
              <w:t>③医院加强对宠物的管理，避免宠物处于饥饿状态，为防止可能的情况，建议建设单位对发出偶发噪声的宠物进行及时的安抚，同时在安抚过程中关闭门窗，坚决杜绝可能的猫狗噪声扰民</w:t>
            </w:r>
            <w:r>
              <w:rPr>
                <w:rFonts w:hint="eastAsia"/>
                <w:b w:val="0"/>
                <w:bCs/>
                <w:color w:val="auto"/>
                <w:szCs w:val="21"/>
                <w:lang w:val="en-US" w:eastAsia="zh-CN"/>
              </w:rPr>
              <w:t>。</w:t>
            </w:r>
            <w:r>
              <w:rPr>
                <w:rFonts w:hint="default"/>
                <w:b w:val="0"/>
                <w:bCs/>
                <w:color w:val="auto"/>
                <w:szCs w:val="21"/>
                <w:lang w:val="en-US" w:eastAsia="zh-CN"/>
              </w:rPr>
              <w:t xml:space="preserve"> </w:t>
            </w:r>
          </w:p>
          <w:p w14:paraId="1692E9D7">
            <w:pPr>
              <w:adjustRightInd w:val="0"/>
              <w:snapToGrid w:val="0"/>
              <w:spacing w:line="400" w:lineRule="exact"/>
              <w:ind w:firstLine="420" w:firstLineChars="200"/>
              <w:rPr>
                <w:rFonts w:hint="default"/>
                <w:b w:val="0"/>
                <w:bCs/>
                <w:color w:val="auto"/>
                <w:szCs w:val="21"/>
                <w:lang w:val="en-US" w:eastAsia="zh-CN"/>
              </w:rPr>
            </w:pPr>
            <w:r>
              <w:rPr>
                <w:rFonts w:hint="default"/>
                <w:b w:val="0"/>
                <w:bCs/>
                <w:color w:val="auto"/>
                <w:szCs w:val="21"/>
                <w:lang w:val="en-US" w:eastAsia="zh-CN"/>
              </w:rPr>
              <w:t xml:space="preserve">④医院合理布局，采用墙体建筑降噪，夜间关闭门窗，减少宠物可能产生的噪声影响。 </w:t>
            </w:r>
          </w:p>
          <w:p w14:paraId="24CB011E">
            <w:pPr>
              <w:adjustRightInd w:val="0"/>
              <w:snapToGrid w:val="0"/>
              <w:spacing w:line="400" w:lineRule="exact"/>
              <w:ind w:firstLine="420" w:firstLineChars="200"/>
              <w:rPr>
                <w:rFonts w:hint="default"/>
                <w:b w:val="0"/>
                <w:bCs/>
                <w:color w:val="auto"/>
                <w:szCs w:val="21"/>
                <w:lang w:val="en-US" w:eastAsia="zh-CN"/>
              </w:rPr>
            </w:pPr>
            <w:r>
              <w:rPr>
                <w:rFonts w:hint="default"/>
                <w:b w:val="0"/>
                <w:bCs/>
                <w:color w:val="auto"/>
                <w:szCs w:val="21"/>
                <w:lang w:val="en-US" w:eastAsia="zh-CN"/>
              </w:rPr>
              <w:t>⑤若有住院宠物，夜间需安排值班人员巡视，对发出偶发噪声的宠物进行及时的安抚，坚决杜绝可能的猫狗噪声扰民</w:t>
            </w:r>
            <w:r>
              <w:rPr>
                <w:rFonts w:hint="eastAsia"/>
                <w:b w:val="0"/>
                <w:bCs/>
                <w:color w:val="auto"/>
                <w:szCs w:val="21"/>
                <w:lang w:val="en-US" w:eastAsia="zh-CN"/>
              </w:rPr>
              <w:t>。</w:t>
            </w:r>
          </w:p>
          <w:p w14:paraId="494EE9A2">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b/>
                <w:color w:val="auto"/>
                <w:szCs w:val="21"/>
              </w:rPr>
            </w:pPr>
            <w:r>
              <w:rPr>
                <w:b/>
                <w:color w:val="auto"/>
                <w:szCs w:val="21"/>
              </w:rPr>
              <w:t>（</w:t>
            </w:r>
            <w:r>
              <w:rPr>
                <w:rFonts w:hint="eastAsia"/>
                <w:b/>
                <w:color w:val="auto"/>
                <w:szCs w:val="21"/>
                <w:lang w:val="en-US" w:eastAsia="zh-CN"/>
              </w:rPr>
              <w:t>4</w:t>
            </w:r>
            <w:r>
              <w:rPr>
                <w:b/>
                <w:color w:val="auto"/>
                <w:szCs w:val="21"/>
              </w:rPr>
              <w:t>）监测要求</w:t>
            </w:r>
          </w:p>
          <w:p w14:paraId="0F5975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rPr>
            </w:pPr>
            <w:r>
              <w:rPr>
                <w:color w:val="auto"/>
                <w:highlight w:val="none"/>
              </w:rPr>
              <w:t>根据</w:t>
            </w:r>
            <w:r>
              <w:rPr>
                <w:rFonts w:hint="eastAsia"/>
                <w:color w:val="auto"/>
                <w:highlight w:val="none"/>
                <w:lang w:val="en-US" w:eastAsia="zh-CN"/>
              </w:rPr>
              <w:t>《关于开展工业噪声排污许可管理工作的通知》（环办环评〔2023〕14号）、</w:t>
            </w:r>
            <w:r>
              <w:rPr>
                <w:color w:val="auto"/>
                <w:highlight w:val="none"/>
              </w:rPr>
              <w:t xml:space="preserve">《排污许可证申请与核发技术规范 </w:t>
            </w:r>
            <w:r>
              <w:rPr>
                <w:rFonts w:hint="eastAsia"/>
                <w:color w:val="auto"/>
                <w:highlight w:val="none"/>
                <w:lang w:val="en-US" w:eastAsia="zh-CN"/>
              </w:rPr>
              <w:t>工业噪声</w:t>
            </w:r>
            <w:r>
              <w:rPr>
                <w:color w:val="auto"/>
                <w:highlight w:val="none"/>
              </w:rPr>
              <w:t>》（HJ</w:t>
            </w:r>
            <w:r>
              <w:rPr>
                <w:rFonts w:hint="eastAsia"/>
                <w:color w:val="auto"/>
                <w:highlight w:val="none"/>
                <w:lang w:val="en-US" w:eastAsia="zh-CN"/>
              </w:rPr>
              <w:t>1301-2023</w:t>
            </w:r>
            <w:r>
              <w:rPr>
                <w:color w:val="auto"/>
                <w:highlight w:val="none"/>
              </w:rPr>
              <w:t>）</w:t>
            </w:r>
            <w:r>
              <w:rPr>
                <w:rFonts w:hint="eastAsia"/>
                <w:color w:val="auto"/>
                <w:highlight w:val="none"/>
                <w:lang w:eastAsia="zh-CN"/>
              </w:rPr>
              <w:t>，</w:t>
            </w:r>
            <w:r>
              <w:rPr>
                <w:color w:val="auto"/>
              </w:rPr>
              <w:t>本项目噪声监测要求情况见下表：</w:t>
            </w:r>
          </w:p>
          <w:p w14:paraId="4659EC63">
            <w:pPr>
              <w:spacing w:line="400" w:lineRule="exact"/>
              <w:ind w:firstLine="422" w:firstLineChars="200"/>
              <w:jc w:val="center"/>
              <w:rPr>
                <w:rFonts w:hint="eastAsia"/>
                <w:b/>
                <w:color w:val="auto"/>
                <w:sz w:val="24"/>
              </w:rPr>
            </w:pPr>
            <w:r>
              <w:rPr>
                <w:rFonts w:hint="eastAsia"/>
                <w:b/>
                <w:color w:val="auto"/>
              </w:rPr>
              <w:t>表4-</w:t>
            </w:r>
            <w:r>
              <w:rPr>
                <w:rFonts w:hint="eastAsia"/>
                <w:b/>
                <w:color w:val="auto"/>
                <w:lang w:val="en-US" w:eastAsia="zh-CN"/>
              </w:rPr>
              <w:t>6</w:t>
            </w:r>
            <w:r>
              <w:rPr>
                <w:rFonts w:hint="eastAsia"/>
                <w:b/>
                <w:color w:val="auto"/>
              </w:rPr>
              <w:t xml:space="preserve">   项目噪声自行监测情况一览表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589"/>
              <w:gridCol w:w="1606"/>
              <w:gridCol w:w="3108"/>
            </w:tblGrid>
            <w:tr w14:paraId="4464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3" w:type="dxa"/>
                  <w:noWrap w:val="0"/>
                  <w:vAlign w:val="center"/>
                </w:tcPr>
                <w:p w14:paraId="27764AA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1589" w:type="dxa"/>
                  <w:noWrap w:val="0"/>
                  <w:vAlign w:val="center"/>
                </w:tcPr>
                <w:p w14:paraId="5EF87B2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监测指标</w:t>
                  </w:r>
                </w:p>
              </w:tc>
              <w:tc>
                <w:tcPr>
                  <w:tcW w:w="1606" w:type="dxa"/>
                  <w:noWrap w:val="0"/>
                  <w:vAlign w:val="center"/>
                </w:tcPr>
                <w:p w14:paraId="37EB3C1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监测频次</w:t>
                  </w:r>
                </w:p>
              </w:tc>
              <w:tc>
                <w:tcPr>
                  <w:tcW w:w="3108" w:type="dxa"/>
                  <w:noWrap w:val="0"/>
                  <w:vAlign w:val="center"/>
                </w:tcPr>
                <w:p w14:paraId="05876A4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6071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3" w:type="dxa"/>
                  <w:noWrap w:val="0"/>
                  <w:vAlign w:val="center"/>
                </w:tcPr>
                <w:p w14:paraId="474C118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厂界外1m</w:t>
                  </w:r>
                </w:p>
              </w:tc>
              <w:tc>
                <w:tcPr>
                  <w:tcW w:w="1589" w:type="dxa"/>
                  <w:noWrap w:val="0"/>
                  <w:vAlign w:val="center"/>
                </w:tcPr>
                <w:p w14:paraId="38118C2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等效连续A声级（Leq）</w:t>
                  </w:r>
                </w:p>
              </w:tc>
              <w:tc>
                <w:tcPr>
                  <w:tcW w:w="1606" w:type="dxa"/>
                  <w:noWrap w:val="0"/>
                  <w:vAlign w:val="center"/>
                </w:tcPr>
                <w:p w14:paraId="2492527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验收时监测1次，以后</w:t>
                  </w:r>
                  <w:r>
                    <w:rPr>
                      <w:rFonts w:hint="default" w:ascii="Times New Roman" w:hAnsi="Times New Roman" w:cs="Times New Roman"/>
                      <w:color w:val="auto"/>
                      <w:sz w:val="18"/>
                      <w:szCs w:val="18"/>
                    </w:rPr>
                    <w:t>每季度</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次</w:t>
                  </w:r>
                </w:p>
              </w:tc>
              <w:tc>
                <w:tcPr>
                  <w:tcW w:w="3108" w:type="dxa"/>
                  <w:noWrap w:val="0"/>
                  <w:vAlign w:val="center"/>
                </w:tcPr>
                <w:p w14:paraId="26F5307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《工业企业厂界环境噪声排放标准》</w:t>
                  </w:r>
                  <w:r>
                    <w:rPr>
                      <w:rFonts w:hint="default" w:ascii="Times New Roman" w:hAnsi="Times New Roman" w:cs="Times New Roman"/>
                      <w:color w:val="auto"/>
                      <w:sz w:val="18"/>
                      <w:szCs w:val="18"/>
                    </w:rPr>
                    <w:t>（GB12348-2008）</w:t>
                  </w:r>
                  <w:r>
                    <w:rPr>
                      <w:rFonts w:hint="eastAsia" w:ascii="Times New Roman" w:hAnsi="Times New Roman" w:cs="Times New Roman"/>
                      <w:color w:val="auto"/>
                      <w:sz w:val="18"/>
                      <w:szCs w:val="18"/>
                      <w:lang w:val="en-US" w:eastAsia="zh-CN"/>
                    </w:rPr>
                    <w:t>2</w:t>
                  </w:r>
                  <w:r>
                    <w:rPr>
                      <w:rFonts w:hint="default" w:ascii="Times New Roman" w:hAnsi="Times New Roman" w:cs="Times New Roman"/>
                      <w:bCs/>
                      <w:color w:val="auto"/>
                      <w:sz w:val="18"/>
                      <w:szCs w:val="18"/>
                    </w:rPr>
                    <w:t>类标准要求</w:t>
                  </w:r>
                </w:p>
              </w:tc>
            </w:tr>
          </w:tbl>
          <w:p w14:paraId="302C08B6">
            <w:pPr>
              <w:adjustRightInd w:val="0"/>
              <w:snapToGrid w:val="0"/>
              <w:spacing w:line="400" w:lineRule="exact"/>
              <w:rPr>
                <w:rFonts w:hint="eastAsia"/>
                <w:b/>
                <w:bCs/>
                <w:color w:val="auto"/>
                <w:spacing w:val="-10"/>
                <w:szCs w:val="21"/>
              </w:rPr>
            </w:pPr>
            <w:r>
              <w:rPr>
                <w:b/>
                <w:bCs/>
                <w:color w:val="auto"/>
                <w:spacing w:val="-10"/>
                <w:szCs w:val="21"/>
              </w:rPr>
              <w:t>4.</w:t>
            </w:r>
            <w:r>
              <w:rPr>
                <w:rFonts w:hint="eastAsia"/>
                <w:b/>
                <w:bCs/>
                <w:color w:val="auto"/>
                <w:spacing w:val="-10"/>
                <w:szCs w:val="21"/>
                <w:lang w:val="en-US" w:eastAsia="zh-CN"/>
              </w:rPr>
              <w:t>2.4</w:t>
            </w:r>
            <w:r>
              <w:rPr>
                <w:rFonts w:hint="eastAsia"/>
                <w:b/>
                <w:bCs/>
                <w:color w:val="auto"/>
                <w:spacing w:val="-10"/>
                <w:szCs w:val="21"/>
              </w:rPr>
              <w:t>固体废物</w:t>
            </w:r>
            <w:r>
              <w:rPr>
                <w:b/>
                <w:bCs/>
                <w:color w:val="auto"/>
                <w:spacing w:val="-10"/>
                <w:szCs w:val="21"/>
              </w:rPr>
              <w:t>环境影响及</w:t>
            </w:r>
            <w:r>
              <w:rPr>
                <w:rFonts w:hint="eastAsia"/>
                <w:b/>
                <w:bCs/>
                <w:color w:val="auto"/>
                <w:spacing w:val="-10"/>
                <w:szCs w:val="21"/>
              </w:rPr>
              <w:t>保护</w:t>
            </w:r>
            <w:r>
              <w:rPr>
                <w:b/>
                <w:bCs/>
                <w:color w:val="auto"/>
                <w:spacing w:val="-10"/>
                <w:szCs w:val="21"/>
              </w:rPr>
              <w:t>措施</w:t>
            </w:r>
          </w:p>
          <w:p w14:paraId="6F8B1870">
            <w:pPr>
              <w:numPr>
                <w:ilvl w:val="0"/>
                <w:numId w:val="0"/>
              </w:numPr>
              <w:topLinePunct/>
              <w:adjustRightInd w:val="0"/>
              <w:snapToGrid w:val="0"/>
              <w:spacing w:line="400" w:lineRule="exact"/>
              <w:ind w:firstLine="422" w:firstLineChars="200"/>
              <w:jc w:val="left"/>
              <w:rPr>
                <w:rFonts w:hint="eastAsia" w:eastAsia="宋体"/>
                <w:b/>
                <w:bCs/>
                <w:color w:val="auto"/>
                <w:szCs w:val="21"/>
                <w:lang w:eastAsia="zh-CN"/>
              </w:rPr>
            </w:pPr>
            <w:r>
              <w:rPr>
                <w:rFonts w:hint="eastAsia" w:eastAsia="宋体"/>
                <w:b/>
                <w:bCs/>
                <w:color w:val="auto"/>
                <w:szCs w:val="21"/>
                <w:lang w:val="en-US" w:eastAsia="zh-CN"/>
              </w:rPr>
              <w:t xml:space="preserve">（1）固体废物影响分析 </w:t>
            </w:r>
          </w:p>
          <w:p w14:paraId="153DC1A7">
            <w:pPr>
              <w:numPr>
                <w:ilvl w:val="0"/>
                <w:numId w:val="0"/>
              </w:numPr>
              <w:topLinePunct/>
              <w:adjustRightInd w:val="0"/>
              <w:snapToGrid w:val="0"/>
              <w:spacing w:line="400" w:lineRule="exact"/>
              <w:ind w:firstLine="420" w:firstLineChars="200"/>
              <w:jc w:val="left"/>
              <w:rPr>
                <w:rFonts w:hint="eastAsia" w:eastAsia="宋体"/>
                <w:color w:val="auto"/>
                <w:szCs w:val="21"/>
                <w:lang w:eastAsia="zh-CN"/>
              </w:rPr>
            </w:pPr>
            <w:r>
              <w:rPr>
                <w:rFonts w:hint="eastAsia" w:eastAsia="宋体"/>
                <w:color w:val="auto"/>
                <w:szCs w:val="21"/>
                <w:lang w:val="en-US" w:eastAsia="zh-CN"/>
              </w:rPr>
              <w:t xml:space="preserve">项目主要产生的固废污染物为员工日常产生的生活垃圾，美容室产生的废毛，宠物粪污，动物尸体、医疗固废和废紫外线灯管。 </w:t>
            </w:r>
          </w:p>
          <w:p w14:paraId="31107425">
            <w:pPr>
              <w:numPr>
                <w:ilvl w:val="0"/>
                <w:numId w:val="0"/>
              </w:numPr>
              <w:topLinePunct/>
              <w:adjustRightInd w:val="0"/>
              <w:snapToGrid w:val="0"/>
              <w:spacing w:line="400" w:lineRule="exact"/>
              <w:ind w:firstLine="422" w:firstLineChars="200"/>
              <w:jc w:val="left"/>
              <w:rPr>
                <w:rFonts w:hint="eastAsia" w:eastAsia="宋体"/>
                <w:b/>
                <w:bCs/>
                <w:color w:val="auto"/>
                <w:szCs w:val="21"/>
                <w:lang w:val="en-US" w:eastAsia="zh-CN"/>
              </w:rPr>
            </w:pPr>
            <w:r>
              <w:rPr>
                <w:rFonts w:hint="eastAsia" w:eastAsia="宋体"/>
                <w:b/>
                <w:bCs/>
                <w:color w:val="auto"/>
                <w:szCs w:val="21"/>
                <w:lang w:val="en-US" w:eastAsia="zh-CN"/>
              </w:rPr>
              <w:t>①生活垃圾</w:t>
            </w:r>
          </w:p>
          <w:p w14:paraId="62C29017">
            <w:pPr>
              <w:numPr>
                <w:ilvl w:val="0"/>
                <w:numId w:val="0"/>
              </w:numPr>
              <w:topLinePunct/>
              <w:adjustRightInd w:val="0"/>
              <w:snapToGrid w:val="0"/>
              <w:spacing w:line="400" w:lineRule="exact"/>
              <w:ind w:firstLine="420" w:firstLineChars="200"/>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 xml:space="preserve">项目医院职工4人，每天流动性顾客15人，生活垃圾按0.5kg/人·d 计算，生活垃圾产生量约为 9.5kg/d（3.325t/a），袋装收集后交由环卫部门统一收运。 </w:t>
            </w:r>
          </w:p>
          <w:p w14:paraId="1A2F2D70">
            <w:pPr>
              <w:numPr>
                <w:ilvl w:val="0"/>
                <w:numId w:val="0"/>
              </w:numPr>
              <w:topLinePunct/>
              <w:adjustRightInd w:val="0"/>
              <w:snapToGrid w:val="0"/>
              <w:spacing w:line="400" w:lineRule="exact"/>
              <w:ind w:firstLine="422" w:firstLineChars="200"/>
              <w:jc w:val="left"/>
              <w:rPr>
                <w:rFonts w:hint="eastAsia" w:eastAsia="宋体"/>
                <w:b/>
                <w:bCs/>
                <w:color w:val="auto"/>
                <w:szCs w:val="21"/>
                <w:lang w:eastAsia="zh-CN"/>
              </w:rPr>
            </w:pPr>
            <w:r>
              <w:rPr>
                <w:rFonts w:hint="eastAsia" w:eastAsia="宋体"/>
                <w:b/>
                <w:bCs/>
                <w:color w:val="auto"/>
                <w:szCs w:val="21"/>
                <w:lang w:val="en-US" w:eastAsia="zh-CN"/>
              </w:rPr>
              <w:t xml:space="preserve">②废毛 </w:t>
            </w:r>
          </w:p>
          <w:p w14:paraId="34E2C5F1">
            <w:pPr>
              <w:numPr>
                <w:ilvl w:val="0"/>
                <w:numId w:val="0"/>
              </w:numPr>
              <w:topLinePunct/>
              <w:adjustRightInd w:val="0"/>
              <w:snapToGrid w:val="0"/>
              <w:spacing w:line="400" w:lineRule="exact"/>
              <w:ind w:firstLine="420" w:firstLineChars="200"/>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美容室在进行剪毛、修毛等活动时要产生废毛等（包括洗浴废水经格栅产生的废毛），美容室宠物接待量为5只/d，废毛产生量按0.1kg/只·d计算，产生量约为0.5kg/d（0.1</w:t>
            </w:r>
            <w:r>
              <w:rPr>
                <w:rFonts w:hint="eastAsia" w:ascii="Times New Roman" w:hAnsi="Times New Roman" w:eastAsia="宋体" w:cs="Times New Roman"/>
                <w:color w:val="auto"/>
                <w:szCs w:val="21"/>
                <w:lang w:val="en-US" w:eastAsia="zh-CN"/>
              </w:rPr>
              <w:t>75</w:t>
            </w:r>
            <w:r>
              <w:rPr>
                <w:rFonts w:hint="default" w:ascii="Times New Roman" w:hAnsi="Times New Roman" w:eastAsia="宋体" w:cs="Times New Roman"/>
                <w:color w:val="auto"/>
                <w:szCs w:val="21"/>
                <w:lang w:val="en-US" w:eastAsia="zh-CN"/>
              </w:rPr>
              <w:t xml:space="preserve">t/a），收集后与生活垃圾一起交由环卫部门统一收运。 </w:t>
            </w:r>
          </w:p>
          <w:p w14:paraId="1F30E27F">
            <w:pPr>
              <w:numPr>
                <w:ilvl w:val="0"/>
                <w:numId w:val="0"/>
              </w:numPr>
              <w:topLinePunct/>
              <w:adjustRightInd w:val="0"/>
              <w:snapToGrid w:val="0"/>
              <w:spacing w:line="400" w:lineRule="exact"/>
              <w:ind w:firstLine="422" w:firstLineChars="200"/>
              <w:jc w:val="left"/>
              <w:rPr>
                <w:rFonts w:hint="eastAsia" w:eastAsia="宋体"/>
                <w:b/>
                <w:bCs/>
                <w:color w:val="auto"/>
                <w:szCs w:val="21"/>
                <w:lang w:eastAsia="zh-CN"/>
              </w:rPr>
            </w:pPr>
            <w:r>
              <w:rPr>
                <w:rFonts w:hint="eastAsia" w:eastAsia="宋体"/>
                <w:b/>
                <w:bCs/>
                <w:color w:val="auto"/>
                <w:szCs w:val="21"/>
                <w:lang w:val="en-US" w:eastAsia="zh-CN"/>
              </w:rPr>
              <w:t xml:space="preserve">③动物粪污 </w:t>
            </w:r>
          </w:p>
          <w:p w14:paraId="1FF73B58">
            <w:pPr>
              <w:numPr>
                <w:ilvl w:val="0"/>
                <w:numId w:val="0"/>
              </w:numPr>
              <w:topLinePunct/>
              <w:adjustRightInd w:val="0"/>
              <w:snapToGrid w:val="0"/>
              <w:spacing w:line="400" w:lineRule="exact"/>
              <w:ind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设计门诊接待量为10只/d（猫5只，狗5只），宠物住院量12只（猫6只，狗6只）。诊疗的动物均经过排便训练，猫住院及诊疗期间产生的粪便与尿液均可使用猫砂盒收集，日常工作人员及时清理猫砂盒，清理出的猫砂喷洒消毒剂后紧袋收集，含粪便与尿液的猫砂产生量按照0.8kg/只猫·d进行计算，每天猫最大就诊与住院量按照11只进行考虑，因此猫含粪便与尿液的猫砂产生量为8.8kg/d（3.08t/a）。</w:t>
            </w:r>
          </w:p>
          <w:p w14:paraId="7AB9B1EF">
            <w:pPr>
              <w:numPr>
                <w:ilvl w:val="0"/>
                <w:numId w:val="0"/>
              </w:numPr>
              <w:topLinePunct/>
              <w:adjustRightInd w:val="0"/>
              <w:snapToGrid w:val="0"/>
              <w:spacing w:line="400" w:lineRule="exact"/>
              <w:ind w:firstLine="420" w:firstLineChars="200"/>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犬住院部与诊疗期间排污采取干湿分离，尿液直接</w:t>
            </w:r>
            <w:r>
              <w:rPr>
                <w:rFonts w:hint="eastAsia" w:ascii="Times New Roman" w:hAnsi="Times New Roman" w:cs="Times New Roman"/>
                <w:color w:val="auto"/>
                <w:szCs w:val="21"/>
                <w:lang w:val="en-US" w:eastAsia="zh-CN"/>
              </w:rPr>
              <w:t>进入</w:t>
            </w:r>
            <w:r>
              <w:rPr>
                <w:rFonts w:hint="default" w:ascii="Times New Roman" w:hAnsi="Times New Roman" w:eastAsia="宋体" w:cs="Times New Roman"/>
                <w:color w:val="auto"/>
                <w:szCs w:val="21"/>
                <w:lang w:val="en-US" w:eastAsia="zh-CN"/>
              </w:rPr>
              <w:t xml:space="preserve">医疗废水处理设施进行消毒后进入生化池处理。粪便消毒后紧袋收集暂存于加盖收集桶后，与生活垃圾一起交由环卫部门收运，产生量按照1.0kg/只狗·d进行计算，每天犬最大就诊与住院宠物量按11只进行考虑，因此犬粪污产生量为11kg/d（3.85t/a）。 </w:t>
            </w:r>
          </w:p>
          <w:p w14:paraId="5ADEC37E">
            <w:pPr>
              <w:numPr>
                <w:ilvl w:val="0"/>
                <w:numId w:val="0"/>
              </w:numPr>
              <w:topLinePunct/>
              <w:adjustRightInd w:val="0"/>
              <w:snapToGrid w:val="0"/>
              <w:spacing w:line="400" w:lineRule="exact"/>
              <w:ind w:firstLine="420" w:firstLineChars="200"/>
              <w:jc w:val="left"/>
              <w:rPr>
                <w:rFonts w:hint="eastAsia" w:eastAsia="宋体"/>
                <w:color w:val="auto"/>
                <w:szCs w:val="21"/>
                <w:lang w:val="en-US" w:eastAsia="zh-CN"/>
              </w:rPr>
            </w:pPr>
            <w:r>
              <w:rPr>
                <w:rFonts w:hint="eastAsia" w:eastAsia="宋体"/>
                <w:color w:val="auto"/>
                <w:szCs w:val="21"/>
                <w:lang w:val="en-US" w:eastAsia="zh-CN"/>
              </w:rPr>
              <w:t>项目将动物粪污喷洒消毒剂后与生活垃圾一起交由环卫部门收运。则项目宠物粪便产生量为19.8kg/d（6.93t/a）。</w:t>
            </w:r>
          </w:p>
          <w:p w14:paraId="6353272A">
            <w:pPr>
              <w:numPr>
                <w:ilvl w:val="0"/>
                <w:numId w:val="0"/>
              </w:numPr>
              <w:topLinePunct/>
              <w:adjustRightInd w:val="0"/>
              <w:snapToGrid w:val="0"/>
              <w:spacing w:line="400" w:lineRule="exact"/>
              <w:ind w:firstLine="420" w:firstLineChars="200"/>
              <w:jc w:val="left"/>
              <w:rPr>
                <w:rFonts w:hint="eastAsia" w:eastAsia="宋体"/>
                <w:color w:val="auto"/>
                <w:szCs w:val="21"/>
                <w:lang w:val="en-US" w:eastAsia="zh-CN"/>
              </w:rPr>
            </w:pPr>
            <w:r>
              <w:rPr>
                <w:rFonts w:hint="eastAsia" w:eastAsia="宋体"/>
                <w:color w:val="auto"/>
                <w:szCs w:val="21"/>
                <w:lang w:val="en-US" w:eastAsia="zh-CN"/>
              </w:rPr>
              <w:t>根据《关于印发医疗废物分类目录（2021年版）的通知》（国卫医函〔2021〕238号）中</w:t>
            </w:r>
            <w:r>
              <w:rPr>
                <w:rFonts w:hint="eastAsia"/>
                <w:color w:val="auto"/>
                <w:szCs w:val="21"/>
                <w:lang w:val="en-US" w:eastAsia="zh-CN"/>
              </w:rPr>
              <w:t>“</w:t>
            </w:r>
            <w:r>
              <w:rPr>
                <w:rFonts w:hint="eastAsia" w:eastAsia="宋体"/>
                <w:color w:val="auto"/>
                <w:szCs w:val="21"/>
                <w:lang w:val="en-US" w:eastAsia="zh-CN"/>
              </w:rPr>
              <w:t>感染性废物、损伤性废物以及相关技术可处理的病理性废物，采用高温蒸汽、微波、化学消毒、高温干热或者其他方式消毒处理后，在满足相关入厂（场）要求的前提下，运输至生活垃圾焚烧厂或生活垃圾填埋场等处置。运输、贮存、处置过程不按照医疗废物管理</w:t>
            </w:r>
            <w:r>
              <w:rPr>
                <w:rFonts w:hint="eastAsia"/>
                <w:color w:val="auto"/>
                <w:szCs w:val="21"/>
                <w:lang w:val="en-US" w:eastAsia="zh-CN"/>
              </w:rPr>
              <w:t>”</w:t>
            </w:r>
            <w:r>
              <w:rPr>
                <w:rFonts w:hint="eastAsia" w:eastAsia="宋体"/>
                <w:color w:val="auto"/>
                <w:szCs w:val="21"/>
                <w:lang w:val="en-US" w:eastAsia="zh-CN"/>
              </w:rPr>
              <w:t>。</w:t>
            </w:r>
          </w:p>
          <w:p w14:paraId="0257BF47">
            <w:pPr>
              <w:numPr>
                <w:ilvl w:val="0"/>
                <w:numId w:val="0"/>
              </w:numPr>
              <w:topLinePunct/>
              <w:adjustRightInd w:val="0"/>
              <w:snapToGrid w:val="0"/>
              <w:spacing w:line="400" w:lineRule="exact"/>
              <w:ind w:firstLine="420" w:firstLineChars="200"/>
              <w:jc w:val="left"/>
              <w:rPr>
                <w:rFonts w:hint="eastAsia" w:eastAsia="宋体"/>
                <w:color w:val="auto"/>
                <w:szCs w:val="21"/>
                <w:lang w:eastAsia="zh-CN"/>
              </w:rPr>
            </w:pPr>
            <w:r>
              <w:rPr>
                <w:rFonts w:hint="eastAsia" w:eastAsia="宋体"/>
                <w:color w:val="auto"/>
                <w:szCs w:val="21"/>
                <w:lang w:val="en-US" w:eastAsia="zh-CN"/>
              </w:rPr>
              <w:t xml:space="preserve">项目宠物粪污为感染性废物，医院宠物粪污日常采用猫砂干燥且喷洒消毒剂消毒，消毒、干燥处置后的宠物粪污符合生活垃圾填埋处置的要求，故项目宠物粪污运输、贮存、处置过程不按照医疗废物管理。 </w:t>
            </w:r>
          </w:p>
          <w:p w14:paraId="1299CBDB">
            <w:pPr>
              <w:numPr>
                <w:ilvl w:val="0"/>
                <w:numId w:val="0"/>
              </w:numPr>
              <w:topLinePunct/>
              <w:adjustRightInd w:val="0"/>
              <w:snapToGrid w:val="0"/>
              <w:spacing w:line="400" w:lineRule="exact"/>
              <w:ind w:firstLine="422" w:firstLineChars="200"/>
              <w:jc w:val="left"/>
              <w:rPr>
                <w:rFonts w:hint="eastAsia" w:eastAsia="宋体"/>
                <w:b/>
                <w:bCs/>
                <w:color w:val="auto"/>
                <w:szCs w:val="21"/>
                <w:lang w:val="en-US" w:eastAsia="zh-CN"/>
              </w:rPr>
            </w:pPr>
            <w:r>
              <w:rPr>
                <w:rFonts w:hint="eastAsia" w:eastAsia="宋体"/>
                <w:b/>
                <w:bCs/>
                <w:color w:val="auto"/>
                <w:szCs w:val="21"/>
                <w:lang w:val="en-US" w:eastAsia="zh-CN"/>
              </w:rPr>
              <w:t>④动物尸体</w:t>
            </w:r>
          </w:p>
          <w:p w14:paraId="7E6ED2DD">
            <w:pPr>
              <w:numPr>
                <w:ilvl w:val="0"/>
                <w:numId w:val="0"/>
              </w:numPr>
              <w:topLinePunct/>
              <w:adjustRightInd w:val="0"/>
              <w:snapToGrid w:val="0"/>
              <w:spacing w:line="400" w:lineRule="exact"/>
              <w:ind w:firstLine="420" w:firstLineChars="200"/>
              <w:jc w:val="left"/>
              <w:rPr>
                <w:rFonts w:hint="eastAsia" w:eastAsia="宋体"/>
                <w:color w:val="auto"/>
                <w:szCs w:val="21"/>
                <w:lang w:eastAsia="zh-CN"/>
              </w:rPr>
            </w:pPr>
            <w:r>
              <w:rPr>
                <w:rFonts w:hint="eastAsia" w:eastAsia="宋体"/>
                <w:color w:val="auto"/>
                <w:szCs w:val="21"/>
                <w:lang w:val="en-US" w:eastAsia="zh-CN"/>
              </w:rPr>
              <w:t>项目日常工作主要是诊断治疗动物普通病和突发病，若遇动物安乐死或者不治身亡现象，产生的动物尸体不得随意处置，根据《关于病害动物无害化处理有关意见的复函》（环办函〔2014〕789 号）</w:t>
            </w:r>
            <w:r>
              <w:rPr>
                <w:rFonts w:hint="eastAsia"/>
                <w:color w:val="auto"/>
                <w:szCs w:val="21"/>
                <w:lang w:val="en-US" w:eastAsia="zh-CN"/>
              </w:rPr>
              <w:t>“</w:t>
            </w:r>
            <w:r>
              <w:rPr>
                <w:rFonts w:hint="eastAsia" w:eastAsia="宋体"/>
                <w:color w:val="auto"/>
                <w:szCs w:val="21"/>
                <w:lang w:val="en-US" w:eastAsia="zh-CN"/>
              </w:rPr>
              <w:t>三、我部认为病害动物无害化处理项目由农业部门按照有关法律法规和技术规范进行监管，可以实现病害动物无害化处理和环境污染防控的目的，不宜在认定为危险废物集中处置项目</w:t>
            </w:r>
            <w:r>
              <w:rPr>
                <w:rFonts w:hint="eastAsia"/>
                <w:color w:val="auto"/>
                <w:szCs w:val="21"/>
                <w:lang w:val="en-US" w:eastAsia="zh-CN"/>
              </w:rPr>
              <w:t>”</w:t>
            </w:r>
            <w:r>
              <w:rPr>
                <w:rFonts w:hint="eastAsia" w:eastAsia="宋体"/>
                <w:color w:val="auto"/>
                <w:szCs w:val="21"/>
                <w:lang w:val="en-US" w:eastAsia="zh-CN"/>
              </w:rPr>
              <w:t xml:space="preserve">。 </w:t>
            </w:r>
          </w:p>
          <w:p w14:paraId="43452698">
            <w:pPr>
              <w:numPr>
                <w:ilvl w:val="0"/>
                <w:numId w:val="0"/>
              </w:numPr>
              <w:topLinePunct/>
              <w:adjustRightInd w:val="0"/>
              <w:snapToGrid w:val="0"/>
              <w:spacing w:line="400" w:lineRule="exact"/>
              <w:ind w:firstLine="420" w:firstLineChars="200"/>
              <w:jc w:val="left"/>
              <w:rPr>
                <w:rFonts w:hint="eastAsia" w:eastAsia="宋体"/>
                <w:color w:val="auto"/>
                <w:szCs w:val="21"/>
                <w:lang w:eastAsia="zh-CN"/>
              </w:rPr>
            </w:pPr>
            <w:r>
              <w:rPr>
                <w:rFonts w:hint="default" w:ascii="Times New Roman" w:hAnsi="Times New Roman" w:eastAsia="宋体" w:cs="Times New Roman"/>
                <w:color w:val="auto"/>
                <w:sz w:val="21"/>
                <w:szCs w:val="21"/>
                <w:highlight w:val="none"/>
                <w:lang w:val="en-US" w:eastAsia="zh-CN"/>
              </w:rPr>
              <w:t>按照《中华人民共和国动物防疫法》规定，对于病死动物尸体应当按照兽医主管部门的规定进行无害化处理，《病死及病害动物无害化处理技术规范》（农医发〔2017〕 25 号）明确了病死及病害动物无害化处理的技术要求。根据《重庆市动物防疫条例》第一章第二十三条和二十五条，</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从事动物饲养、屠宰、经营、隔离、运输的单位和个人应当对病死或者死因不明的动物尸体进行无害化处理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动物尸体无害化处理责任单位和个人不具备无害化处理能力的，应当将动物尸体交送无害化处理场所处理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。根据《动物诊疗机构诊疗废弃物及动物尸体处置规范》（DB50/T 1668-2024），动物尸体应交由具有资质的无害化处理场所处理。因此，</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动物尸体不在医院内暂存</w:t>
            </w:r>
            <w:r>
              <w:rPr>
                <w:rFonts w:hint="eastAsia" w:cs="Times New Roman"/>
                <w:color w:val="auto"/>
                <w:sz w:val="21"/>
                <w:szCs w:val="21"/>
                <w:highlight w:val="none"/>
                <w:lang w:val="en-US" w:eastAsia="zh-CN"/>
              </w:rPr>
              <w:t>，产生后</w:t>
            </w:r>
            <w:r>
              <w:rPr>
                <w:rFonts w:hint="default" w:ascii="Times New Roman" w:hAnsi="Times New Roman" w:eastAsia="宋体" w:cs="Times New Roman"/>
                <w:color w:val="auto"/>
                <w:sz w:val="21"/>
                <w:szCs w:val="21"/>
                <w:highlight w:val="none"/>
                <w:lang w:val="en-US" w:eastAsia="zh-CN"/>
              </w:rPr>
              <w:t>由宠物主人</w:t>
            </w:r>
            <w:r>
              <w:rPr>
                <w:rFonts w:hint="eastAsia" w:cs="Times New Roman"/>
                <w:color w:val="auto"/>
                <w:sz w:val="21"/>
                <w:szCs w:val="21"/>
                <w:highlight w:val="none"/>
                <w:lang w:val="en-US" w:eastAsia="zh-CN"/>
              </w:rPr>
              <w:t>领回并及时交由具有资质的无害化处理场所处理；若宠物主人不愿带走处置，医院应及时收集，放入专用的防渗漏的尸体袋，双层包装，在包装袋表面喷洒消毒液后，放入泡沫箱并封口，并及时交具有资质的无害化处理场所处理。</w:t>
            </w:r>
          </w:p>
          <w:p w14:paraId="229EE841">
            <w:pPr>
              <w:numPr>
                <w:ilvl w:val="0"/>
                <w:numId w:val="0"/>
              </w:numPr>
              <w:topLinePunct/>
              <w:adjustRightInd w:val="0"/>
              <w:snapToGrid w:val="0"/>
              <w:spacing w:line="400" w:lineRule="exact"/>
              <w:ind w:firstLine="422" w:firstLineChars="200"/>
              <w:jc w:val="left"/>
              <w:rPr>
                <w:rFonts w:hint="eastAsia" w:eastAsia="宋体"/>
                <w:color w:val="auto"/>
                <w:szCs w:val="21"/>
                <w:lang w:eastAsia="zh-CN"/>
              </w:rPr>
            </w:pPr>
            <w:r>
              <w:rPr>
                <w:rFonts w:hint="eastAsia" w:eastAsia="宋体"/>
                <w:b/>
                <w:bCs/>
                <w:color w:val="auto"/>
                <w:szCs w:val="21"/>
                <w:lang w:val="en-US" w:eastAsia="zh-CN"/>
              </w:rPr>
              <w:t>⑤医疗废物</w:t>
            </w:r>
            <w:r>
              <w:rPr>
                <w:rFonts w:hint="eastAsia" w:eastAsia="宋体"/>
                <w:color w:val="auto"/>
                <w:szCs w:val="21"/>
                <w:lang w:val="en-US" w:eastAsia="zh-CN"/>
              </w:rPr>
              <w:t xml:space="preserve"> </w:t>
            </w:r>
          </w:p>
          <w:p w14:paraId="7CE4D633">
            <w:pPr>
              <w:numPr>
                <w:ilvl w:val="0"/>
                <w:numId w:val="0"/>
              </w:numPr>
              <w:topLinePunct/>
              <w:adjustRightInd w:val="0"/>
              <w:snapToGrid w:val="0"/>
              <w:spacing w:line="400" w:lineRule="exact"/>
              <w:ind w:firstLine="420" w:firstLineChars="200"/>
              <w:jc w:val="left"/>
              <w:rPr>
                <w:rFonts w:hint="eastAsia" w:eastAsia="宋体"/>
                <w:color w:val="auto"/>
                <w:szCs w:val="21"/>
                <w:lang w:eastAsia="zh-CN"/>
              </w:rPr>
            </w:pPr>
            <w:r>
              <w:rPr>
                <w:rFonts w:hint="eastAsia" w:eastAsia="宋体"/>
                <w:color w:val="auto"/>
                <w:szCs w:val="21"/>
                <w:lang w:val="en-US" w:eastAsia="zh-CN"/>
              </w:rPr>
              <w:t>诊疗活动产生的医疗废物来源广泛、成分复杂，废弃物主要包括病理性废物、损伤性废物、手术过程中产生</w:t>
            </w:r>
            <w:r>
              <w:rPr>
                <w:rFonts w:hint="eastAsia"/>
                <w:color w:val="auto"/>
                <w:szCs w:val="21"/>
                <w:lang w:val="en-US" w:eastAsia="zh-CN"/>
              </w:rPr>
              <w:t>的</w:t>
            </w:r>
            <w:r>
              <w:rPr>
                <w:rFonts w:hint="eastAsia" w:eastAsia="宋体"/>
                <w:color w:val="auto"/>
                <w:szCs w:val="21"/>
                <w:lang w:val="en-US" w:eastAsia="zh-CN"/>
              </w:rPr>
              <w:t>动物组织及一次性医疗器具等，废物类别为</w:t>
            </w:r>
            <w:r>
              <w:rPr>
                <w:rFonts w:hint="eastAsia"/>
                <w:color w:val="auto"/>
                <w:szCs w:val="21"/>
                <w:lang w:val="en-US" w:eastAsia="zh-CN"/>
              </w:rPr>
              <w:t>“</w:t>
            </w:r>
            <w:r>
              <w:rPr>
                <w:rFonts w:hint="eastAsia" w:eastAsia="宋体"/>
                <w:color w:val="auto"/>
                <w:szCs w:val="21"/>
                <w:lang w:val="en-US" w:eastAsia="zh-CN"/>
              </w:rPr>
              <w:t>HW01 医疗废物（危险废物代码：841-001-01、841-002-01、841-003-01、841-004-01、841-005-01）。</w:t>
            </w:r>
            <w:r>
              <w:rPr>
                <w:rFonts w:hint="eastAsia"/>
                <w:color w:val="auto"/>
                <w:szCs w:val="21"/>
                <w:lang w:val="en-US" w:eastAsia="zh-CN"/>
              </w:rPr>
              <w:t>”</w:t>
            </w:r>
            <w:r>
              <w:rPr>
                <w:rFonts w:hint="eastAsia" w:eastAsia="宋体"/>
                <w:color w:val="auto"/>
                <w:szCs w:val="21"/>
                <w:lang w:val="en-US" w:eastAsia="zh-CN"/>
              </w:rPr>
              <w:t xml:space="preserve">，废物产生量按每日每门诊病例0.2kg计算，项目门诊接待宠物量为10只/d。因此，医疗废物产生量为2kg/d（0.7t/a）。医疗废物暂存在医疗废物收集点，定期统一由资质单位收运处置。 </w:t>
            </w:r>
          </w:p>
          <w:p w14:paraId="2303FC9B">
            <w:pPr>
              <w:numPr>
                <w:ilvl w:val="0"/>
                <w:numId w:val="0"/>
              </w:numPr>
              <w:topLinePunct/>
              <w:adjustRightInd w:val="0"/>
              <w:snapToGrid w:val="0"/>
              <w:spacing w:line="400" w:lineRule="exact"/>
              <w:ind w:firstLine="422" w:firstLineChars="200"/>
              <w:jc w:val="left"/>
              <w:rPr>
                <w:rFonts w:hint="eastAsia" w:eastAsia="宋体"/>
                <w:b/>
                <w:bCs/>
                <w:color w:val="auto"/>
                <w:szCs w:val="21"/>
                <w:lang w:eastAsia="zh-CN"/>
              </w:rPr>
            </w:pPr>
            <w:r>
              <w:rPr>
                <w:rFonts w:hint="eastAsia" w:eastAsia="宋体"/>
                <w:b/>
                <w:bCs/>
                <w:color w:val="auto"/>
                <w:szCs w:val="21"/>
                <w:lang w:val="en-US" w:eastAsia="zh-CN"/>
              </w:rPr>
              <w:t>⑥废紫外灯管</w:t>
            </w:r>
          </w:p>
          <w:p w14:paraId="12A454D9">
            <w:pPr>
              <w:numPr>
                <w:ilvl w:val="0"/>
                <w:numId w:val="0"/>
              </w:numPr>
              <w:topLinePunct/>
              <w:adjustRightInd w:val="0"/>
              <w:snapToGrid w:val="0"/>
              <w:spacing w:line="400" w:lineRule="exact"/>
              <w:ind w:firstLine="420" w:firstLineChars="200"/>
              <w:jc w:val="left"/>
              <w:rPr>
                <w:rFonts w:hint="eastAsia" w:eastAsia="宋体"/>
                <w:color w:val="auto"/>
                <w:szCs w:val="21"/>
                <w:lang w:eastAsia="zh-CN"/>
              </w:rPr>
            </w:pPr>
            <w:r>
              <w:rPr>
                <w:rFonts w:hint="eastAsia" w:eastAsia="宋体"/>
                <w:color w:val="auto"/>
                <w:szCs w:val="21"/>
                <w:lang w:val="en-US" w:eastAsia="zh-CN"/>
              </w:rPr>
              <w:t>项目手术室与病房使用移动紫外线消毒车对房间宠物笼等进行消毒杀菌，产生量较少，产生量约为0.001t/a。</w:t>
            </w:r>
            <w:r>
              <w:rPr>
                <w:rFonts w:hint="eastAsia" w:ascii="Times New Roman" w:hAnsi="Times New Roman" w:eastAsia="宋体" w:cs="Times New Roman"/>
                <w:color w:val="auto"/>
                <w:szCs w:val="21"/>
                <w:highlight w:val="none"/>
                <w:lang w:val="en-US" w:eastAsia="zh-CN"/>
              </w:rPr>
              <w:t>根据《国家危险废物名录（2025年版）》属于危险废物，类别为HW29，危废代码：900-023-29。</w:t>
            </w:r>
            <w:r>
              <w:rPr>
                <w:rFonts w:hint="eastAsia" w:eastAsia="宋体"/>
                <w:color w:val="auto"/>
                <w:szCs w:val="21"/>
                <w:lang w:val="en-US" w:eastAsia="zh-CN"/>
              </w:rPr>
              <w:t xml:space="preserve">废紫外灯管经收集后暂存于医废贮存点，定期统一由资质单位收运处置。 </w:t>
            </w:r>
          </w:p>
          <w:p w14:paraId="01D48BBE">
            <w:pPr>
              <w:numPr>
                <w:ilvl w:val="0"/>
                <w:numId w:val="0"/>
              </w:numPr>
              <w:topLinePunct/>
              <w:adjustRightInd w:val="0"/>
              <w:snapToGrid w:val="0"/>
              <w:spacing w:line="400" w:lineRule="exact"/>
              <w:ind w:firstLine="420" w:firstLineChars="200"/>
              <w:jc w:val="left"/>
              <w:rPr>
                <w:rFonts w:hint="default" w:eastAsia="宋体"/>
                <w:color w:val="auto"/>
                <w:szCs w:val="21"/>
              </w:rPr>
            </w:pPr>
            <w:r>
              <w:rPr>
                <w:rFonts w:hint="default" w:eastAsia="宋体"/>
                <w:color w:val="auto"/>
                <w:szCs w:val="21"/>
              </w:rPr>
              <w:t>固体废物污染源源强核算结果及相关参数一览表见下表4-</w:t>
            </w:r>
            <w:r>
              <w:rPr>
                <w:rFonts w:hint="eastAsia"/>
                <w:color w:val="auto"/>
                <w:szCs w:val="21"/>
                <w:lang w:val="en-US" w:eastAsia="zh-CN"/>
              </w:rPr>
              <w:t>7</w:t>
            </w:r>
            <w:r>
              <w:rPr>
                <w:rFonts w:hint="default" w:eastAsia="宋体"/>
                <w:color w:val="auto"/>
                <w:szCs w:val="21"/>
              </w:rPr>
              <w:t>。</w:t>
            </w:r>
          </w:p>
          <w:p w14:paraId="1FB50F4D">
            <w:pPr>
              <w:spacing w:line="400" w:lineRule="exact"/>
              <w:ind w:firstLine="422" w:firstLineChars="200"/>
              <w:rPr>
                <w:rFonts w:hint="default"/>
                <w:b/>
                <w:bCs/>
                <w:snapToGrid w:val="0"/>
                <w:color w:val="auto"/>
                <w:szCs w:val="21"/>
                <w:lang w:val="en-US" w:eastAsia="zh-CN"/>
              </w:rPr>
            </w:pPr>
          </w:p>
          <w:p w14:paraId="7C74B9AD">
            <w:pPr>
              <w:pStyle w:val="19"/>
              <w:keepNext w:val="0"/>
              <w:keepLines w:val="0"/>
              <w:pageBreakBefore w:val="0"/>
              <w:kinsoku/>
              <w:wordWrap/>
              <w:overflowPunct/>
              <w:topLinePunct w:val="0"/>
              <w:autoSpaceDE/>
              <w:autoSpaceDN/>
              <w:bidi w:val="0"/>
              <w:adjustRightInd w:val="0"/>
              <w:snapToGrid w:val="0"/>
              <w:spacing w:before="0" w:beforeAutospacing="0" w:after="0" w:afterAutospacing="0" w:line="400" w:lineRule="exact"/>
              <w:ind w:firstLine="480" w:firstLineChars="200"/>
              <w:jc w:val="left"/>
              <w:textAlignment w:val="auto"/>
              <w:outlineLvl w:val="0"/>
              <w:rPr>
                <w:rFonts w:hint="default" w:ascii="Times New Roman" w:hAnsi="Times New Roman" w:eastAsia="宋体" w:cs="Times New Roman"/>
                <w:bCs/>
                <w:color w:val="auto"/>
                <w:spacing w:val="0"/>
                <w:position w:val="0"/>
                <w:szCs w:val="21"/>
                <w:lang w:val="en-US" w:eastAsia="zh-CN"/>
              </w:rPr>
            </w:pPr>
          </w:p>
        </w:tc>
      </w:tr>
    </w:tbl>
    <w:p w14:paraId="5071180E">
      <w:pPr>
        <w:pStyle w:val="19"/>
        <w:jc w:val="center"/>
        <w:outlineLvl w:val="0"/>
        <w:rPr>
          <w:rFonts w:hint="default" w:ascii="Times New Roman" w:hAnsi="Times New Roman" w:eastAsia="宋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56AEF9">
      <w:pPr>
        <w:spacing w:line="400" w:lineRule="exact"/>
        <w:ind w:firstLine="422" w:firstLineChars="200"/>
        <w:jc w:val="center"/>
        <w:rPr>
          <w:rFonts w:hint="default" w:eastAsia="宋体"/>
          <w:b/>
          <w:color w:val="auto"/>
          <w:lang w:eastAsia="zh-CN"/>
        </w:rPr>
      </w:pPr>
      <w:r>
        <w:rPr>
          <w:rFonts w:hint="default" w:eastAsia="宋体"/>
          <w:b/>
          <w:color w:val="auto"/>
          <w:lang w:eastAsia="zh-CN"/>
        </w:rPr>
        <w:t>表4-</w:t>
      </w:r>
      <w:r>
        <w:rPr>
          <w:rFonts w:hint="eastAsia"/>
          <w:b/>
          <w:color w:val="auto"/>
          <w:lang w:val="en-US" w:eastAsia="zh-CN"/>
        </w:rPr>
        <w:t>7</w:t>
      </w:r>
      <w:r>
        <w:rPr>
          <w:rFonts w:hint="default" w:eastAsia="宋体"/>
          <w:b/>
          <w:color w:val="auto"/>
          <w:lang w:eastAsia="zh-CN"/>
        </w:rPr>
        <w:t xml:space="preserve"> </w:t>
      </w:r>
      <w:r>
        <w:rPr>
          <w:rFonts w:hint="default" w:eastAsia="宋体"/>
          <w:b/>
          <w:color w:val="auto"/>
          <w:lang w:val="en-US" w:eastAsia="zh-CN"/>
        </w:rPr>
        <w:t xml:space="preserve">  </w:t>
      </w:r>
      <w:r>
        <w:rPr>
          <w:rFonts w:hint="default" w:eastAsia="宋体"/>
          <w:b/>
          <w:color w:val="auto"/>
          <w:lang w:eastAsia="zh-CN"/>
        </w:rPr>
        <w:t>固体废物污染源源强核算结果及相关参数一览表</w:t>
      </w:r>
    </w:p>
    <w:tbl>
      <w:tblPr>
        <w:tblStyle w:val="22"/>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428"/>
        <w:gridCol w:w="1654"/>
        <w:gridCol w:w="1910"/>
        <w:gridCol w:w="1356"/>
        <w:gridCol w:w="1212"/>
        <w:gridCol w:w="1308"/>
        <w:gridCol w:w="959"/>
        <w:gridCol w:w="1321"/>
        <w:gridCol w:w="1482"/>
      </w:tblGrid>
      <w:tr w14:paraId="0963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43" w:type="dxa"/>
            <w:vMerge w:val="restart"/>
            <w:tcBorders>
              <w:tl2br w:val="nil"/>
              <w:tr2bl w:val="nil"/>
            </w:tcBorders>
            <w:noWrap w:val="0"/>
            <w:vAlign w:val="center"/>
          </w:tcPr>
          <w:p w14:paraId="49269B6C">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工序</w:t>
            </w:r>
          </w:p>
        </w:tc>
        <w:tc>
          <w:tcPr>
            <w:tcW w:w="1428" w:type="dxa"/>
            <w:vMerge w:val="restart"/>
            <w:tcBorders>
              <w:tl2br w:val="nil"/>
              <w:tr2bl w:val="nil"/>
            </w:tcBorders>
            <w:noWrap w:val="0"/>
            <w:vAlign w:val="center"/>
          </w:tcPr>
          <w:p w14:paraId="2BB2260B">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产生源</w:t>
            </w:r>
          </w:p>
        </w:tc>
        <w:tc>
          <w:tcPr>
            <w:tcW w:w="1654" w:type="dxa"/>
            <w:vMerge w:val="restart"/>
            <w:tcBorders>
              <w:tl2br w:val="nil"/>
              <w:tr2bl w:val="nil"/>
            </w:tcBorders>
            <w:noWrap w:val="0"/>
            <w:vAlign w:val="center"/>
          </w:tcPr>
          <w:p w14:paraId="72B32A9E">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固体废物名称</w:t>
            </w:r>
          </w:p>
        </w:tc>
        <w:tc>
          <w:tcPr>
            <w:tcW w:w="1910" w:type="dxa"/>
            <w:vMerge w:val="restart"/>
            <w:tcBorders>
              <w:tl2br w:val="nil"/>
              <w:tr2bl w:val="nil"/>
            </w:tcBorders>
            <w:noWrap w:val="0"/>
            <w:vAlign w:val="center"/>
          </w:tcPr>
          <w:p w14:paraId="624482A7">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废物代码</w:t>
            </w:r>
          </w:p>
        </w:tc>
        <w:tc>
          <w:tcPr>
            <w:tcW w:w="1356" w:type="dxa"/>
            <w:vMerge w:val="restart"/>
            <w:tcBorders>
              <w:tl2br w:val="nil"/>
              <w:tr2bl w:val="nil"/>
            </w:tcBorders>
            <w:noWrap w:val="0"/>
            <w:vAlign w:val="center"/>
          </w:tcPr>
          <w:p w14:paraId="5F598F59">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固废属性</w:t>
            </w:r>
          </w:p>
        </w:tc>
        <w:tc>
          <w:tcPr>
            <w:tcW w:w="2520" w:type="dxa"/>
            <w:gridSpan w:val="2"/>
            <w:tcBorders>
              <w:tl2br w:val="nil"/>
              <w:tr2bl w:val="nil"/>
            </w:tcBorders>
            <w:noWrap w:val="0"/>
            <w:vAlign w:val="center"/>
          </w:tcPr>
          <w:p w14:paraId="0014D0E8">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产生量</w:t>
            </w:r>
          </w:p>
        </w:tc>
        <w:tc>
          <w:tcPr>
            <w:tcW w:w="2280" w:type="dxa"/>
            <w:gridSpan w:val="2"/>
            <w:tcBorders>
              <w:tl2br w:val="nil"/>
              <w:tr2bl w:val="nil"/>
            </w:tcBorders>
            <w:noWrap w:val="0"/>
            <w:vAlign w:val="center"/>
          </w:tcPr>
          <w:p w14:paraId="5595908E">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处置措施</w:t>
            </w:r>
          </w:p>
        </w:tc>
        <w:tc>
          <w:tcPr>
            <w:tcW w:w="1482" w:type="dxa"/>
            <w:vMerge w:val="restart"/>
            <w:tcBorders>
              <w:tl2br w:val="nil"/>
              <w:tr2bl w:val="nil"/>
            </w:tcBorders>
            <w:noWrap w:val="0"/>
            <w:vAlign w:val="center"/>
          </w:tcPr>
          <w:p w14:paraId="21D9F99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最终去向</w:t>
            </w:r>
          </w:p>
        </w:tc>
      </w:tr>
      <w:tr w14:paraId="469E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543" w:type="dxa"/>
            <w:vMerge w:val="continue"/>
            <w:tcBorders>
              <w:tl2br w:val="nil"/>
              <w:tr2bl w:val="nil"/>
            </w:tcBorders>
            <w:noWrap w:val="0"/>
            <w:vAlign w:val="center"/>
          </w:tcPr>
          <w:p w14:paraId="6D9E4DB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428" w:type="dxa"/>
            <w:vMerge w:val="continue"/>
            <w:tcBorders>
              <w:tl2br w:val="nil"/>
              <w:tr2bl w:val="nil"/>
            </w:tcBorders>
            <w:noWrap w:val="0"/>
            <w:vAlign w:val="center"/>
          </w:tcPr>
          <w:p w14:paraId="077C2388">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654" w:type="dxa"/>
            <w:vMerge w:val="continue"/>
            <w:tcBorders>
              <w:tl2br w:val="nil"/>
              <w:tr2bl w:val="nil"/>
            </w:tcBorders>
            <w:noWrap w:val="0"/>
            <w:vAlign w:val="center"/>
          </w:tcPr>
          <w:p w14:paraId="017A7DF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910" w:type="dxa"/>
            <w:vMerge w:val="continue"/>
            <w:tcBorders>
              <w:tl2br w:val="nil"/>
              <w:tr2bl w:val="nil"/>
            </w:tcBorders>
            <w:noWrap w:val="0"/>
            <w:vAlign w:val="center"/>
          </w:tcPr>
          <w:p w14:paraId="493A979D">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56" w:type="dxa"/>
            <w:vMerge w:val="continue"/>
            <w:tcBorders>
              <w:tl2br w:val="nil"/>
              <w:tr2bl w:val="nil"/>
            </w:tcBorders>
            <w:noWrap w:val="0"/>
            <w:vAlign w:val="center"/>
          </w:tcPr>
          <w:p w14:paraId="7309FDE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212" w:type="dxa"/>
            <w:tcBorders>
              <w:tl2br w:val="nil"/>
              <w:tr2bl w:val="nil"/>
            </w:tcBorders>
            <w:noWrap w:val="0"/>
            <w:vAlign w:val="center"/>
          </w:tcPr>
          <w:p w14:paraId="3B3C62F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核算方法</w:t>
            </w:r>
          </w:p>
        </w:tc>
        <w:tc>
          <w:tcPr>
            <w:tcW w:w="1308" w:type="dxa"/>
            <w:tcBorders>
              <w:tl2br w:val="nil"/>
              <w:tr2bl w:val="nil"/>
            </w:tcBorders>
            <w:noWrap w:val="0"/>
            <w:vAlign w:val="center"/>
          </w:tcPr>
          <w:p w14:paraId="3626D3B6">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产生量（</w:t>
            </w:r>
            <w:r>
              <w:rPr>
                <w:rFonts w:hint="eastAsia" w:ascii="Times New Roman" w:hAnsi="Times New Roman" w:cs="Times New Roman" w:eastAsiaTheme="majorEastAsia"/>
                <w:i w:val="0"/>
                <w:iCs w:val="0"/>
                <w:snapToGrid w:val="0"/>
                <w:color w:val="auto"/>
                <w:sz w:val="18"/>
                <w:szCs w:val="18"/>
                <w:lang w:val="en-US" w:eastAsia="zh-CN"/>
              </w:rPr>
              <w:t>t</w:t>
            </w:r>
            <w:r>
              <w:rPr>
                <w:rFonts w:hint="default" w:ascii="Times New Roman" w:hAnsi="Times New Roman" w:cs="Times New Roman" w:eastAsiaTheme="majorEastAsia"/>
                <w:i w:val="0"/>
                <w:iCs w:val="0"/>
                <w:snapToGrid w:val="0"/>
                <w:color w:val="auto"/>
                <w:sz w:val="18"/>
                <w:szCs w:val="18"/>
                <w:lang w:val="en-US" w:eastAsia="zh-CN"/>
              </w:rPr>
              <w:t>/a）</w:t>
            </w:r>
          </w:p>
        </w:tc>
        <w:tc>
          <w:tcPr>
            <w:tcW w:w="959" w:type="dxa"/>
            <w:tcBorders>
              <w:tl2br w:val="nil"/>
              <w:tr2bl w:val="nil"/>
            </w:tcBorders>
            <w:noWrap w:val="0"/>
            <w:vAlign w:val="center"/>
          </w:tcPr>
          <w:p w14:paraId="6AA97F77">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工艺</w:t>
            </w:r>
          </w:p>
        </w:tc>
        <w:tc>
          <w:tcPr>
            <w:tcW w:w="1321" w:type="dxa"/>
            <w:tcBorders>
              <w:tl2br w:val="nil"/>
              <w:tr2bl w:val="nil"/>
            </w:tcBorders>
            <w:noWrap w:val="0"/>
            <w:vAlign w:val="center"/>
          </w:tcPr>
          <w:p w14:paraId="74115F07">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处置量（</w:t>
            </w:r>
            <w:r>
              <w:rPr>
                <w:rFonts w:hint="eastAsia" w:ascii="Times New Roman" w:hAnsi="Times New Roman" w:cs="Times New Roman" w:eastAsiaTheme="majorEastAsia"/>
                <w:i w:val="0"/>
                <w:iCs w:val="0"/>
                <w:snapToGrid w:val="0"/>
                <w:color w:val="auto"/>
                <w:sz w:val="18"/>
                <w:szCs w:val="18"/>
                <w:lang w:val="en-US" w:eastAsia="zh-CN"/>
              </w:rPr>
              <w:t>t</w:t>
            </w:r>
            <w:r>
              <w:rPr>
                <w:rFonts w:hint="default" w:ascii="Times New Roman" w:hAnsi="Times New Roman" w:cs="Times New Roman" w:eastAsiaTheme="majorEastAsia"/>
                <w:i w:val="0"/>
                <w:iCs w:val="0"/>
                <w:snapToGrid w:val="0"/>
                <w:color w:val="auto"/>
                <w:sz w:val="18"/>
                <w:szCs w:val="18"/>
                <w:lang w:val="en-US" w:eastAsia="zh-CN"/>
              </w:rPr>
              <w:t>/a）</w:t>
            </w:r>
          </w:p>
        </w:tc>
        <w:tc>
          <w:tcPr>
            <w:tcW w:w="1482" w:type="dxa"/>
            <w:vMerge w:val="continue"/>
            <w:tcBorders>
              <w:tl2br w:val="nil"/>
              <w:tr2bl w:val="nil"/>
            </w:tcBorders>
            <w:noWrap w:val="0"/>
            <w:vAlign w:val="center"/>
          </w:tcPr>
          <w:p w14:paraId="2B8DF5D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r>
      <w:tr w14:paraId="6B72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43" w:type="dxa"/>
            <w:tcBorders>
              <w:tl2br w:val="nil"/>
              <w:tr2bl w:val="nil"/>
            </w:tcBorders>
            <w:shd w:val="clear" w:color="auto" w:fill="auto"/>
            <w:noWrap w:val="0"/>
            <w:vAlign w:val="center"/>
          </w:tcPr>
          <w:p w14:paraId="286B7D3E">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办公</w:t>
            </w:r>
          </w:p>
        </w:tc>
        <w:tc>
          <w:tcPr>
            <w:tcW w:w="1428" w:type="dxa"/>
            <w:tcBorders>
              <w:tl2br w:val="nil"/>
              <w:tr2bl w:val="nil"/>
            </w:tcBorders>
            <w:shd w:val="clear" w:color="auto" w:fill="auto"/>
            <w:noWrap w:val="0"/>
            <w:vAlign w:val="center"/>
          </w:tcPr>
          <w:p w14:paraId="74C663EF">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职工</w:t>
            </w:r>
          </w:p>
        </w:tc>
        <w:tc>
          <w:tcPr>
            <w:tcW w:w="1654" w:type="dxa"/>
            <w:tcBorders>
              <w:tl2br w:val="nil"/>
              <w:tr2bl w:val="nil"/>
            </w:tcBorders>
            <w:shd w:val="clear" w:color="auto" w:fill="auto"/>
            <w:noWrap w:val="0"/>
            <w:vAlign w:val="center"/>
          </w:tcPr>
          <w:p w14:paraId="781A108E">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生活垃圾</w:t>
            </w:r>
          </w:p>
        </w:tc>
        <w:tc>
          <w:tcPr>
            <w:tcW w:w="1910" w:type="dxa"/>
            <w:tcBorders>
              <w:tl2br w:val="nil"/>
              <w:tr2bl w:val="nil"/>
            </w:tcBorders>
            <w:shd w:val="clear" w:color="auto" w:fill="auto"/>
            <w:noWrap w:val="0"/>
            <w:vAlign w:val="center"/>
          </w:tcPr>
          <w:p w14:paraId="6BC9E67D">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eastAsia" w:ascii="Times New Roman" w:hAnsi="Times New Roman" w:cs="Times New Roman" w:eastAsiaTheme="majorEastAsia"/>
                <w:i w:val="0"/>
                <w:iCs w:val="0"/>
                <w:snapToGrid w:val="0"/>
                <w:color w:val="auto"/>
                <w:sz w:val="18"/>
                <w:szCs w:val="18"/>
                <w:lang w:val="en-US" w:eastAsia="zh-CN"/>
              </w:rPr>
              <w:t>900-099-S64</w:t>
            </w:r>
          </w:p>
        </w:tc>
        <w:tc>
          <w:tcPr>
            <w:tcW w:w="1356" w:type="dxa"/>
            <w:vMerge w:val="restart"/>
            <w:tcBorders>
              <w:tl2br w:val="nil"/>
              <w:tr2bl w:val="nil"/>
            </w:tcBorders>
            <w:shd w:val="clear" w:color="auto" w:fill="auto"/>
            <w:noWrap w:val="0"/>
            <w:vAlign w:val="center"/>
          </w:tcPr>
          <w:p w14:paraId="69241BF2">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一般固废</w:t>
            </w:r>
          </w:p>
        </w:tc>
        <w:tc>
          <w:tcPr>
            <w:tcW w:w="1212" w:type="dxa"/>
            <w:vMerge w:val="restart"/>
            <w:tcBorders>
              <w:tl2br w:val="nil"/>
              <w:tr2bl w:val="nil"/>
            </w:tcBorders>
            <w:shd w:val="clear" w:color="auto" w:fill="auto"/>
            <w:noWrap w:val="0"/>
            <w:vAlign w:val="center"/>
          </w:tcPr>
          <w:p w14:paraId="051B884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物料衡算法</w:t>
            </w:r>
          </w:p>
        </w:tc>
        <w:tc>
          <w:tcPr>
            <w:tcW w:w="1308" w:type="dxa"/>
            <w:tcBorders>
              <w:tl2br w:val="nil"/>
              <w:tr2bl w:val="nil"/>
            </w:tcBorders>
            <w:shd w:val="clear" w:color="auto" w:fill="auto"/>
            <w:noWrap w:val="0"/>
            <w:vAlign w:val="center"/>
          </w:tcPr>
          <w:p w14:paraId="4E4268FF">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3.325</w:t>
            </w:r>
          </w:p>
        </w:tc>
        <w:tc>
          <w:tcPr>
            <w:tcW w:w="959" w:type="dxa"/>
            <w:vMerge w:val="restart"/>
            <w:tcBorders>
              <w:tl2br w:val="nil"/>
              <w:tr2bl w:val="nil"/>
            </w:tcBorders>
            <w:shd w:val="clear" w:color="auto" w:fill="auto"/>
            <w:noWrap w:val="0"/>
            <w:vAlign w:val="center"/>
          </w:tcPr>
          <w:p w14:paraId="02BA5E2B">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委外处置</w:t>
            </w:r>
          </w:p>
        </w:tc>
        <w:tc>
          <w:tcPr>
            <w:tcW w:w="1321" w:type="dxa"/>
            <w:tcBorders>
              <w:tl2br w:val="nil"/>
              <w:tr2bl w:val="nil"/>
            </w:tcBorders>
            <w:shd w:val="clear" w:color="auto" w:fill="auto"/>
            <w:noWrap w:val="0"/>
            <w:vAlign w:val="center"/>
          </w:tcPr>
          <w:p w14:paraId="45B21168">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kern w:val="0"/>
                <w:sz w:val="18"/>
                <w:szCs w:val="18"/>
                <w:lang w:val="en-US" w:eastAsia="zh-CN" w:bidi="ar-SA"/>
              </w:rPr>
              <w:t>3.325</w:t>
            </w:r>
          </w:p>
        </w:tc>
        <w:tc>
          <w:tcPr>
            <w:tcW w:w="1482" w:type="dxa"/>
            <w:tcBorders>
              <w:tl2br w:val="nil"/>
              <w:tr2bl w:val="nil"/>
            </w:tcBorders>
            <w:shd w:val="clear" w:color="auto" w:fill="auto"/>
            <w:noWrap w:val="0"/>
            <w:vAlign w:val="center"/>
          </w:tcPr>
          <w:p w14:paraId="78145F9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交由环卫部门清运处置</w:t>
            </w:r>
          </w:p>
        </w:tc>
      </w:tr>
      <w:tr w14:paraId="6AB7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43" w:type="dxa"/>
            <w:tcBorders>
              <w:tl2br w:val="nil"/>
              <w:tr2bl w:val="nil"/>
            </w:tcBorders>
            <w:shd w:val="clear" w:color="auto" w:fill="auto"/>
            <w:noWrap w:val="0"/>
            <w:vAlign w:val="center"/>
          </w:tcPr>
          <w:p w14:paraId="225FC7DF">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kern w:val="0"/>
                <w:sz w:val="18"/>
                <w:szCs w:val="18"/>
                <w:lang w:val="en-US" w:eastAsia="zh-CN"/>
              </w:rPr>
              <w:t>美容</w:t>
            </w:r>
          </w:p>
        </w:tc>
        <w:tc>
          <w:tcPr>
            <w:tcW w:w="1428" w:type="dxa"/>
            <w:tcBorders>
              <w:tl2br w:val="nil"/>
              <w:tr2bl w:val="nil"/>
            </w:tcBorders>
            <w:shd w:val="clear" w:color="auto" w:fill="auto"/>
            <w:noWrap w:val="0"/>
            <w:vAlign w:val="center"/>
          </w:tcPr>
          <w:p w14:paraId="51458033">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美容</w:t>
            </w:r>
          </w:p>
        </w:tc>
        <w:tc>
          <w:tcPr>
            <w:tcW w:w="1654" w:type="dxa"/>
            <w:tcBorders>
              <w:tl2br w:val="nil"/>
              <w:tr2bl w:val="nil"/>
            </w:tcBorders>
            <w:shd w:val="clear" w:color="auto" w:fill="auto"/>
            <w:noWrap w:val="0"/>
            <w:vAlign w:val="center"/>
          </w:tcPr>
          <w:p w14:paraId="368BFD36">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废毛</w:t>
            </w:r>
          </w:p>
        </w:tc>
        <w:tc>
          <w:tcPr>
            <w:tcW w:w="1910" w:type="dxa"/>
            <w:tcBorders>
              <w:tl2br w:val="nil"/>
              <w:tr2bl w:val="nil"/>
            </w:tcBorders>
            <w:shd w:val="clear" w:color="auto" w:fill="auto"/>
            <w:noWrap w:val="0"/>
            <w:vAlign w:val="center"/>
          </w:tcPr>
          <w:p w14:paraId="634A3CC0">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eastAsia" w:ascii="Times New Roman" w:hAnsi="Times New Roman" w:cs="Times New Roman" w:eastAsiaTheme="majorEastAsia"/>
                <w:i w:val="0"/>
                <w:iCs w:val="0"/>
                <w:snapToGrid w:val="0"/>
                <w:color w:val="auto"/>
                <w:sz w:val="18"/>
                <w:szCs w:val="18"/>
                <w:lang w:val="en-US" w:eastAsia="zh-CN"/>
              </w:rPr>
              <w:t>900-099-S64</w:t>
            </w:r>
          </w:p>
        </w:tc>
        <w:tc>
          <w:tcPr>
            <w:tcW w:w="1356" w:type="dxa"/>
            <w:vMerge w:val="continue"/>
            <w:tcBorders>
              <w:tl2br w:val="nil"/>
              <w:tr2bl w:val="nil"/>
            </w:tcBorders>
            <w:shd w:val="clear" w:color="auto" w:fill="auto"/>
            <w:noWrap w:val="0"/>
            <w:vAlign w:val="center"/>
          </w:tcPr>
          <w:p w14:paraId="02A78055">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p>
        </w:tc>
        <w:tc>
          <w:tcPr>
            <w:tcW w:w="1212" w:type="dxa"/>
            <w:vMerge w:val="continue"/>
            <w:tcBorders>
              <w:tl2br w:val="nil"/>
              <w:tr2bl w:val="nil"/>
            </w:tcBorders>
            <w:shd w:val="clear" w:color="auto" w:fill="auto"/>
            <w:noWrap w:val="0"/>
            <w:vAlign w:val="center"/>
          </w:tcPr>
          <w:p w14:paraId="7262685D">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p>
        </w:tc>
        <w:tc>
          <w:tcPr>
            <w:tcW w:w="1308" w:type="dxa"/>
            <w:tcBorders>
              <w:tl2br w:val="nil"/>
              <w:tr2bl w:val="nil"/>
            </w:tcBorders>
            <w:shd w:val="clear" w:color="auto" w:fill="auto"/>
            <w:noWrap w:val="0"/>
            <w:vAlign w:val="center"/>
          </w:tcPr>
          <w:p w14:paraId="0CEAF5AA">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0.175</w:t>
            </w:r>
          </w:p>
        </w:tc>
        <w:tc>
          <w:tcPr>
            <w:tcW w:w="959" w:type="dxa"/>
            <w:vMerge w:val="continue"/>
            <w:tcBorders>
              <w:tl2br w:val="nil"/>
              <w:tr2bl w:val="nil"/>
            </w:tcBorders>
            <w:shd w:val="clear" w:color="auto" w:fill="auto"/>
            <w:noWrap w:val="0"/>
            <w:vAlign w:val="center"/>
          </w:tcPr>
          <w:p w14:paraId="4AE03FE2">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p>
        </w:tc>
        <w:tc>
          <w:tcPr>
            <w:tcW w:w="1321" w:type="dxa"/>
            <w:tcBorders>
              <w:tl2br w:val="nil"/>
              <w:tr2bl w:val="nil"/>
            </w:tcBorders>
            <w:shd w:val="clear" w:color="auto" w:fill="auto"/>
            <w:noWrap w:val="0"/>
            <w:vAlign w:val="center"/>
          </w:tcPr>
          <w:p w14:paraId="5CFE4CD2">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0.175</w:t>
            </w:r>
          </w:p>
        </w:tc>
        <w:tc>
          <w:tcPr>
            <w:tcW w:w="1482" w:type="dxa"/>
            <w:tcBorders>
              <w:tl2br w:val="nil"/>
              <w:tr2bl w:val="nil"/>
            </w:tcBorders>
            <w:shd w:val="clear" w:color="auto" w:fill="auto"/>
            <w:noWrap w:val="0"/>
            <w:vAlign w:val="center"/>
          </w:tcPr>
          <w:p w14:paraId="4D8EBB89">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交由环卫部门清运处置</w:t>
            </w:r>
          </w:p>
        </w:tc>
      </w:tr>
      <w:tr w14:paraId="43B3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43" w:type="dxa"/>
            <w:tcBorders>
              <w:tl2br w:val="nil"/>
              <w:tr2bl w:val="nil"/>
            </w:tcBorders>
            <w:shd w:val="clear" w:color="auto" w:fill="auto"/>
            <w:noWrap w:val="0"/>
            <w:vAlign w:val="center"/>
          </w:tcPr>
          <w:p w14:paraId="2488E171">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诊疗、住院</w:t>
            </w:r>
          </w:p>
        </w:tc>
        <w:tc>
          <w:tcPr>
            <w:tcW w:w="1428" w:type="dxa"/>
            <w:tcBorders>
              <w:tl2br w:val="nil"/>
              <w:tr2bl w:val="nil"/>
            </w:tcBorders>
            <w:shd w:val="clear" w:color="auto" w:fill="auto"/>
            <w:noWrap w:val="0"/>
            <w:vAlign w:val="center"/>
          </w:tcPr>
          <w:p w14:paraId="6CA295AF">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诊疗、住院</w:t>
            </w:r>
          </w:p>
        </w:tc>
        <w:tc>
          <w:tcPr>
            <w:tcW w:w="1654" w:type="dxa"/>
            <w:tcBorders>
              <w:tl2br w:val="nil"/>
              <w:tr2bl w:val="nil"/>
            </w:tcBorders>
            <w:shd w:val="clear" w:color="auto" w:fill="auto"/>
            <w:noWrap w:val="0"/>
            <w:vAlign w:val="center"/>
          </w:tcPr>
          <w:p w14:paraId="3DAA67A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动物粪污</w:t>
            </w:r>
          </w:p>
        </w:tc>
        <w:tc>
          <w:tcPr>
            <w:tcW w:w="1910" w:type="dxa"/>
            <w:tcBorders>
              <w:tl2br w:val="nil"/>
              <w:tr2bl w:val="nil"/>
            </w:tcBorders>
            <w:shd w:val="clear" w:color="auto" w:fill="auto"/>
            <w:noWrap w:val="0"/>
            <w:vAlign w:val="center"/>
          </w:tcPr>
          <w:p w14:paraId="2FE9E65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900-099-S64</w:t>
            </w:r>
          </w:p>
        </w:tc>
        <w:tc>
          <w:tcPr>
            <w:tcW w:w="1356" w:type="dxa"/>
            <w:vMerge w:val="continue"/>
            <w:tcBorders>
              <w:tl2br w:val="nil"/>
              <w:tr2bl w:val="nil"/>
            </w:tcBorders>
            <w:shd w:val="clear" w:color="auto" w:fill="auto"/>
            <w:noWrap w:val="0"/>
            <w:vAlign w:val="center"/>
          </w:tcPr>
          <w:p w14:paraId="0BFA184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212" w:type="dxa"/>
            <w:vMerge w:val="continue"/>
            <w:tcBorders>
              <w:tl2br w:val="nil"/>
              <w:tr2bl w:val="nil"/>
            </w:tcBorders>
            <w:shd w:val="clear" w:color="auto" w:fill="auto"/>
            <w:noWrap w:val="0"/>
            <w:vAlign w:val="center"/>
          </w:tcPr>
          <w:p w14:paraId="0EE0B35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08" w:type="dxa"/>
            <w:tcBorders>
              <w:tl2br w:val="nil"/>
              <w:tr2bl w:val="nil"/>
            </w:tcBorders>
            <w:shd w:val="clear" w:color="auto" w:fill="auto"/>
            <w:noWrap w:val="0"/>
            <w:vAlign w:val="center"/>
          </w:tcPr>
          <w:p w14:paraId="6079A85C">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6.93</w:t>
            </w:r>
          </w:p>
        </w:tc>
        <w:tc>
          <w:tcPr>
            <w:tcW w:w="959" w:type="dxa"/>
            <w:vMerge w:val="continue"/>
            <w:tcBorders>
              <w:tl2br w:val="nil"/>
              <w:tr2bl w:val="nil"/>
            </w:tcBorders>
            <w:shd w:val="clear" w:color="auto" w:fill="auto"/>
            <w:noWrap w:val="0"/>
            <w:vAlign w:val="center"/>
          </w:tcPr>
          <w:p w14:paraId="403C64A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21" w:type="dxa"/>
            <w:tcBorders>
              <w:tl2br w:val="nil"/>
              <w:tr2bl w:val="nil"/>
            </w:tcBorders>
            <w:shd w:val="clear" w:color="auto" w:fill="auto"/>
            <w:noWrap w:val="0"/>
            <w:vAlign w:val="center"/>
          </w:tcPr>
          <w:p w14:paraId="599628C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kern w:val="0"/>
                <w:sz w:val="18"/>
                <w:szCs w:val="18"/>
                <w:lang w:val="en-US" w:eastAsia="zh-CN" w:bidi="ar-SA"/>
              </w:rPr>
              <w:t>6.93</w:t>
            </w:r>
          </w:p>
        </w:tc>
        <w:tc>
          <w:tcPr>
            <w:tcW w:w="1482" w:type="dxa"/>
            <w:tcBorders>
              <w:tl2br w:val="nil"/>
              <w:tr2bl w:val="nil"/>
            </w:tcBorders>
            <w:shd w:val="clear" w:color="auto" w:fill="auto"/>
            <w:noWrap w:val="0"/>
            <w:vAlign w:val="center"/>
          </w:tcPr>
          <w:p w14:paraId="486134CB">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消毒后与生活垃圾一起交由环卫部门</w:t>
            </w:r>
            <w:r>
              <w:rPr>
                <w:rFonts w:hint="eastAsia" w:ascii="Times New Roman" w:hAnsi="Times New Roman" w:cs="Times New Roman" w:eastAsiaTheme="majorEastAsia"/>
                <w:i w:val="0"/>
                <w:iCs w:val="0"/>
                <w:snapToGrid w:val="0"/>
                <w:color w:val="auto"/>
                <w:sz w:val="18"/>
                <w:szCs w:val="18"/>
                <w:lang w:val="en-US" w:eastAsia="zh-CN"/>
              </w:rPr>
              <w:t>清运处置</w:t>
            </w:r>
          </w:p>
        </w:tc>
      </w:tr>
      <w:tr w14:paraId="4043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43" w:type="dxa"/>
            <w:tcBorders>
              <w:tl2br w:val="nil"/>
              <w:tr2bl w:val="nil"/>
            </w:tcBorders>
            <w:shd w:val="clear" w:color="auto" w:fill="auto"/>
            <w:noWrap w:val="0"/>
            <w:vAlign w:val="center"/>
          </w:tcPr>
          <w:p w14:paraId="77563948">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诊疗</w:t>
            </w:r>
          </w:p>
        </w:tc>
        <w:tc>
          <w:tcPr>
            <w:tcW w:w="1428" w:type="dxa"/>
            <w:tcBorders>
              <w:tl2br w:val="nil"/>
              <w:tr2bl w:val="nil"/>
            </w:tcBorders>
            <w:shd w:val="clear" w:color="auto" w:fill="auto"/>
            <w:noWrap w:val="0"/>
            <w:vAlign w:val="center"/>
          </w:tcPr>
          <w:p w14:paraId="02F8486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诊疗</w:t>
            </w:r>
          </w:p>
        </w:tc>
        <w:tc>
          <w:tcPr>
            <w:tcW w:w="1654" w:type="dxa"/>
            <w:tcBorders>
              <w:tl2br w:val="nil"/>
              <w:tr2bl w:val="nil"/>
            </w:tcBorders>
            <w:shd w:val="clear" w:color="auto" w:fill="auto"/>
            <w:noWrap w:val="0"/>
            <w:vAlign w:val="center"/>
          </w:tcPr>
          <w:p w14:paraId="27288BC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动物尸体</w:t>
            </w:r>
          </w:p>
        </w:tc>
        <w:tc>
          <w:tcPr>
            <w:tcW w:w="1910" w:type="dxa"/>
            <w:tcBorders>
              <w:tl2br w:val="nil"/>
              <w:tr2bl w:val="nil"/>
            </w:tcBorders>
            <w:shd w:val="clear" w:color="auto" w:fill="auto"/>
            <w:noWrap w:val="0"/>
            <w:vAlign w:val="center"/>
          </w:tcPr>
          <w:p w14:paraId="642C5C4C">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w:t>
            </w:r>
          </w:p>
        </w:tc>
        <w:tc>
          <w:tcPr>
            <w:tcW w:w="1356" w:type="dxa"/>
            <w:vMerge w:val="continue"/>
            <w:tcBorders>
              <w:tl2br w:val="nil"/>
              <w:tr2bl w:val="nil"/>
            </w:tcBorders>
            <w:shd w:val="clear" w:color="auto" w:fill="auto"/>
            <w:noWrap w:val="0"/>
            <w:vAlign w:val="center"/>
          </w:tcPr>
          <w:p w14:paraId="349DC16F">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212" w:type="dxa"/>
            <w:vMerge w:val="continue"/>
            <w:tcBorders>
              <w:tl2br w:val="nil"/>
              <w:tr2bl w:val="nil"/>
            </w:tcBorders>
            <w:shd w:val="clear" w:color="auto" w:fill="auto"/>
            <w:noWrap w:val="0"/>
            <w:vAlign w:val="center"/>
          </w:tcPr>
          <w:p w14:paraId="639682E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08" w:type="dxa"/>
            <w:tcBorders>
              <w:tl2br w:val="nil"/>
              <w:tr2bl w:val="nil"/>
            </w:tcBorders>
            <w:shd w:val="clear" w:color="auto" w:fill="auto"/>
            <w:noWrap w:val="0"/>
            <w:vAlign w:val="center"/>
          </w:tcPr>
          <w:p w14:paraId="5C18B90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少量</w:t>
            </w:r>
          </w:p>
        </w:tc>
        <w:tc>
          <w:tcPr>
            <w:tcW w:w="959" w:type="dxa"/>
            <w:vMerge w:val="continue"/>
            <w:tcBorders>
              <w:tl2br w:val="nil"/>
              <w:tr2bl w:val="nil"/>
            </w:tcBorders>
            <w:shd w:val="clear" w:color="auto" w:fill="auto"/>
            <w:noWrap w:val="0"/>
            <w:vAlign w:val="center"/>
          </w:tcPr>
          <w:p w14:paraId="0C29B7CD">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21" w:type="dxa"/>
            <w:tcBorders>
              <w:tl2br w:val="nil"/>
              <w:tr2bl w:val="nil"/>
            </w:tcBorders>
            <w:shd w:val="clear" w:color="auto" w:fill="auto"/>
            <w:noWrap w:val="0"/>
            <w:vAlign w:val="center"/>
          </w:tcPr>
          <w:p w14:paraId="4A5F8651">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eastAsia" w:ascii="Times New Roman" w:hAnsi="Times New Roman" w:cs="Times New Roman" w:eastAsiaTheme="majorEastAsia"/>
                <w:i w:val="0"/>
                <w:iCs w:val="0"/>
                <w:snapToGrid w:val="0"/>
                <w:color w:val="auto"/>
                <w:sz w:val="18"/>
                <w:szCs w:val="18"/>
                <w:lang w:val="en-US" w:eastAsia="zh-CN"/>
              </w:rPr>
              <w:t>少量</w:t>
            </w:r>
          </w:p>
        </w:tc>
        <w:tc>
          <w:tcPr>
            <w:tcW w:w="1482" w:type="dxa"/>
            <w:tcBorders>
              <w:tl2br w:val="nil"/>
              <w:tr2bl w:val="nil"/>
            </w:tcBorders>
            <w:shd w:val="clear" w:color="auto" w:fill="auto"/>
            <w:noWrap w:val="0"/>
            <w:vAlign w:val="center"/>
          </w:tcPr>
          <w:p w14:paraId="317966C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不在医院内暂存，产生后由宠物主人领回或直接交送有资质的无害化处理场所进行处理。</w:t>
            </w:r>
          </w:p>
        </w:tc>
      </w:tr>
      <w:tr w14:paraId="1259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03" w:type="dxa"/>
            <w:gridSpan w:val="6"/>
            <w:tcBorders>
              <w:tl2br w:val="nil"/>
              <w:tr2bl w:val="nil"/>
            </w:tcBorders>
            <w:noWrap w:val="0"/>
            <w:vAlign w:val="center"/>
          </w:tcPr>
          <w:p w14:paraId="6122F7C7">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b/>
                <w:i w:val="0"/>
                <w:iCs w:val="0"/>
                <w:snapToGrid w:val="0"/>
                <w:color w:val="auto"/>
                <w:sz w:val="18"/>
                <w:szCs w:val="18"/>
                <w:lang w:val="en-US" w:eastAsia="zh-CN"/>
              </w:rPr>
              <w:t>小计</w:t>
            </w:r>
          </w:p>
        </w:tc>
        <w:tc>
          <w:tcPr>
            <w:tcW w:w="1308" w:type="dxa"/>
            <w:tcBorders>
              <w:tl2br w:val="nil"/>
              <w:tr2bl w:val="nil"/>
            </w:tcBorders>
            <w:noWrap w:val="0"/>
            <w:vAlign w:val="center"/>
          </w:tcPr>
          <w:p w14:paraId="40C4243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i w:val="0"/>
                <w:iCs w:val="0"/>
                <w:snapToGrid w:val="0"/>
                <w:color w:val="auto"/>
                <w:sz w:val="18"/>
                <w:szCs w:val="18"/>
                <w:lang w:val="en-US" w:eastAsia="zh-CN"/>
              </w:rPr>
            </w:pPr>
            <w:r>
              <w:rPr>
                <w:rFonts w:hint="eastAsia" w:ascii="Times New Roman" w:hAnsi="Times New Roman" w:cs="Times New Roman" w:eastAsiaTheme="majorEastAsia"/>
                <w:b/>
                <w:bCs/>
                <w:i w:val="0"/>
                <w:iCs w:val="0"/>
                <w:snapToGrid w:val="0"/>
                <w:color w:val="auto"/>
                <w:sz w:val="18"/>
                <w:szCs w:val="18"/>
                <w:lang w:val="en-US" w:eastAsia="zh-CN"/>
              </w:rPr>
              <w:t>10.43</w:t>
            </w:r>
          </w:p>
        </w:tc>
        <w:tc>
          <w:tcPr>
            <w:tcW w:w="959" w:type="dxa"/>
            <w:tcBorders>
              <w:tl2br w:val="nil"/>
              <w:tr2bl w:val="nil"/>
            </w:tcBorders>
            <w:noWrap w:val="0"/>
            <w:vAlign w:val="center"/>
          </w:tcPr>
          <w:p w14:paraId="5BD6187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bCs/>
                <w:i w:val="0"/>
                <w:iCs w:val="0"/>
                <w:snapToGrid w:val="0"/>
                <w:color w:val="auto"/>
                <w:sz w:val="18"/>
                <w:szCs w:val="18"/>
                <w:lang w:val="en-US" w:eastAsia="zh-CN"/>
              </w:rPr>
            </w:pPr>
            <w:r>
              <w:rPr>
                <w:rFonts w:hint="default" w:ascii="Times New Roman" w:hAnsi="Times New Roman" w:cs="Times New Roman" w:eastAsiaTheme="majorEastAsia"/>
                <w:b/>
                <w:bCs/>
                <w:i w:val="0"/>
                <w:iCs w:val="0"/>
                <w:snapToGrid w:val="0"/>
                <w:color w:val="auto"/>
                <w:sz w:val="18"/>
                <w:szCs w:val="18"/>
                <w:lang w:val="en-US" w:eastAsia="zh-CN"/>
              </w:rPr>
              <w:t>/</w:t>
            </w:r>
          </w:p>
        </w:tc>
        <w:tc>
          <w:tcPr>
            <w:tcW w:w="1321" w:type="dxa"/>
            <w:tcBorders>
              <w:tl2br w:val="nil"/>
              <w:tr2bl w:val="nil"/>
            </w:tcBorders>
            <w:noWrap w:val="0"/>
            <w:vAlign w:val="center"/>
          </w:tcPr>
          <w:p w14:paraId="4A2B9BE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bCs/>
                <w:i w:val="0"/>
                <w:iCs w:val="0"/>
                <w:snapToGrid w:val="0"/>
                <w:color w:val="auto"/>
                <w:sz w:val="18"/>
                <w:szCs w:val="18"/>
                <w:lang w:val="en-US" w:eastAsia="zh-CN"/>
              </w:rPr>
            </w:pPr>
            <w:r>
              <w:rPr>
                <w:rFonts w:hint="eastAsia" w:ascii="Times New Roman" w:hAnsi="Times New Roman" w:cs="Times New Roman" w:eastAsiaTheme="majorEastAsia"/>
                <w:b/>
                <w:bCs/>
                <w:i w:val="0"/>
                <w:iCs w:val="0"/>
                <w:snapToGrid w:val="0"/>
                <w:color w:val="auto"/>
                <w:sz w:val="18"/>
                <w:szCs w:val="18"/>
                <w:lang w:val="en-US" w:eastAsia="zh-CN"/>
              </w:rPr>
              <w:t>10.43</w:t>
            </w:r>
          </w:p>
        </w:tc>
        <w:tc>
          <w:tcPr>
            <w:tcW w:w="1482" w:type="dxa"/>
            <w:tcBorders>
              <w:tl2br w:val="nil"/>
              <w:tr2bl w:val="nil"/>
            </w:tcBorders>
            <w:noWrap w:val="0"/>
            <w:vAlign w:val="center"/>
          </w:tcPr>
          <w:p w14:paraId="060D440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bCs/>
                <w:i w:val="0"/>
                <w:iCs w:val="0"/>
                <w:snapToGrid w:val="0"/>
                <w:color w:val="auto"/>
                <w:sz w:val="18"/>
                <w:szCs w:val="18"/>
                <w:lang w:val="en-US" w:eastAsia="zh-CN"/>
              </w:rPr>
            </w:pPr>
            <w:r>
              <w:rPr>
                <w:rFonts w:hint="default" w:ascii="Times New Roman" w:hAnsi="Times New Roman" w:cs="Times New Roman" w:eastAsiaTheme="majorEastAsia"/>
                <w:b/>
                <w:bCs/>
                <w:i w:val="0"/>
                <w:iCs w:val="0"/>
                <w:snapToGrid w:val="0"/>
                <w:color w:val="auto"/>
                <w:sz w:val="18"/>
                <w:szCs w:val="18"/>
                <w:lang w:val="en-US" w:eastAsia="zh-CN"/>
              </w:rPr>
              <w:t>/</w:t>
            </w:r>
          </w:p>
        </w:tc>
      </w:tr>
      <w:tr w14:paraId="4DE0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43" w:type="dxa"/>
            <w:tcBorders>
              <w:tl2br w:val="nil"/>
              <w:tr2bl w:val="nil"/>
            </w:tcBorders>
            <w:noWrap w:val="0"/>
            <w:vAlign w:val="center"/>
          </w:tcPr>
          <w:p w14:paraId="5223A08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门诊、住院</w:t>
            </w:r>
          </w:p>
        </w:tc>
        <w:tc>
          <w:tcPr>
            <w:tcW w:w="1428" w:type="dxa"/>
            <w:tcBorders>
              <w:tl2br w:val="nil"/>
              <w:tr2bl w:val="nil"/>
            </w:tcBorders>
            <w:noWrap w:val="0"/>
            <w:vAlign w:val="center"/>
          </w:tcPr>
          <w:p w14:paraId="02F719D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门诊、住院</w:t>
            </w:r>
          </w:p>
        </w:tc>
        <w:tc>
          <w:tcPr>
            <w:tcW w:w="1654" w:type="dxa"/>
            <w:tcBorders>
              <w:tl2br w:val="nil"/>
              <w:tr2bl w:val="nil"/>
            </w:tcBorders>
            <w:noWrap w:val="0"/>
            <w:vAlign w:val="center"/>
          </w:tcPr>
          <w:p w14:paraId="492E308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医疗废物</w:t>
            </w:r>
          </w:p>
        </w:tc>
        <w:tc>
          <w:tcPr>
            <w:tcW w:w="1910" w:type="dxa"/>
            <w:tcBorders>
              <w:tl2br w:val="nil"/>
              <w:tr2bl w:val="nil"/>
            </w:tcBorders>
            <w:noWrap w:val="0"/>
            <w:vAlign w:val="center"/>
          </w:tcPr>
          <w:p w14:paraId="5BBAB5DB">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841-001-01</w:t>
            </w:r>
          </w:p>
          <w:p w14:paraId="572875EA">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841-002-01</w:t>
            </w:r>
          </w:p>
          <w:p w14:paraId="4228351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841-003-01</w:t>
            </w:r>
          </w:p>
          <w:p w14:paraId="543FDAF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841-004-01</w:t>
            </w:r>
          </w:p>
          <w:p w14:paraId="355F9C4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841-005-01</w:t>
            </w:r>
          </w:p>
        </w:tc>
        <w:tc>
          <w:tcPr>
            <w:tcW w:w="1356" w:type="dxa"/>
            <w:vMerge w:val="restart"/>
            <w:tcBorders>
              <w:tl2br w:val="nil"/>
              <w:tr2bl w:val="nil"/>
            </w:tcBorders>
            <w:noWrap w:val="0"/>
            <w:vAlign w:val="center"/>
          </w:tcPr>
          <w:p w14:paraId="274FD671">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危险废物</w:t>
            </w:r>
          </w:p>
        </w:tc>
        <w:tc>
          <w:tcPr>
            <w:tcW w:w="1212" w:type="dxa"/>
            <w:vMerge w:val="restart"/>
            <w:tcBorders>
              <w:tl2br w:val="nil"/>
              <w:tr2bl w:val="nil"/>
            </w:tcBorders>
            <w:noWrap w:val="0"/>
            <w:vAlign w:val="center"/>
          </w:tcPr>
          <w:p w14:paraId="5119C31F">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物料衡算法</w:t>
            </w:r>
          </w:p>
        </w:tc>
        <w:tc>
          <w:tcPr>
            <w:tcW w:w="1308" w:type="dxa"/>
            <w:tcBorders>
              <w:tl2br w:val="nil"/>
              <w:tr2bl w:val="nil"/>
            </w:tcBorders>
            <w:noWrap w:val="0"/>
            <w:vAlign w:val="center"/>
          </w:tcPr>
          <w:p w14:paraId="64B7A7D3">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0.7</w:t>
            </w:r>
          </w:p>
        </w:tc>
        <w:tc>
          <w:tcPr>
            <w:tcW w:w="959" w:type="dxa"/>
            <w:vMerge w:val="restart"/>
            <w:tcBorders>
              <w:tl2br w:val="nil"/>
              <w:tr2bl w:val="nil"/>
            </w:tcBorders>
            <w:noWrap w:val="0"/>
            <w:vAlign w:val="center"/>
          </w:tcPr>
          <w:p w14:paraId="3CD6487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委外处置</w:t>
            </w:r>
          </w:p>
        </w:tc>
        <w:tc>
          <w:tcPr>
            <w:tcW w:w="1321" w:type="dxa"/>
            <w:tcBorders>
              <w:tl2br w:val="nil"/>
              <w:tr2bl w:val="nil"/>
            </w:tcBorders>
            <w:noWrap w:val="0"/>
            <w:vAlign w:val="center"/>
          </w:tcPr>
          <w:p w14:paraId="14F9B430">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kern w:val="0"/>
                <w:sz w:val="18"/>
                <w:szCs w:val="18"/>
                <w:lang w:val="en-US" w:eastAsia="zh-CN" w:bidi="ar-SA"/>
              </w:rPr>
              <w:t>0.7</w:t>
            </w:r>
          </w:p>
        </w:tc>
        <w:tc>
          <w:tcPr>
            <w:tcW w:w="1482" w:type="dxa"/>
            <w:vMerge w:val="restart"/>
            <w:tcBorders>
              <w:tl2br w:val="nil"/>
              <w:tr2bl w:val="nil"/>
            </w:tcBorders>
            <w:noWrap w:val="0"/>
            <w:vAlign w:val="center"/>
          </w:tcPr>
          <w:p w14:paraId="7CAF6D64">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交由有危废处理资质单位处理。</w:t>
            </w:r>
          </w:p>
        </w:tc>
      </w:tr>
      <w:tr w14:paraId="6BBC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43" w:type="dxa"/>
            <w:tcBorders>
              <w:tl2br w:val="nil"/>
              <w:tr2bl w:val="nil"/>
            </w:tcBorders>
            <w:noWrap w:val="0"/>
            <w:vAlign w:val="center"/>
          </w:tcPr>
          <w:p w14:paraId="7EC8EE5A">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来自手术室与病房紫外线消毒</w:t>
            </w:r>
          </w:p>
        </w:tc>
        <w:tc>
          <w:tcPr>
            <w:tcW w:w="1428" w:type="dxa"/>
            <w:tcBorders>
              <w:tl2br w:val="nil"/>
              <w:tr2bl w:val="nil"/>
            </w:tcBorders>
            <w:noWrap w:val="0"/>
            <w:vAlign w:val="center"/>
          </w:tcPr>
          <w:p w14:paraId="68094F3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sz w:val="18"/>
                <w:szCs w:val="18"/>
                <w:lang w:val="en-US" w:eastAsia="zh-CN"/>
              </w:rPr>
            </w:pPr>
            <w:r>
              <w:rPr>
                <w:rFonts w:hint="eastAsia" w:ascii="Times New Roman" w:hAnsi="Times New Roman" w:cs="Times New Roman" w:eastAsiaTheme="majorEastAsia"/>
                <w:i w:val="0"/>
                <w:iCs w:val="0"/>
                <w:snapToGrid w:val="0"/>
                <w:color w:val="auto"/>
                <w:sz w:val="18"/>
                <w:szCs w:val="18"/>
                <w:lang w:val="en-US" w:eastAsia="zh-CN"/>
              </w:rPr>
              <w:t>来自手术室与病房紫外线消毒</w:t>
            </w:r>
          </w:p>
        </w:tc>
        <w:tc>
          <w:tcPr>
            <w:tcW w:w="1654" w:type="dxa"/>
            <w:tcBorders>
              <w:tl2br w:val="nil"/>
              <w:tr2bl w:val="nil"/>
            </w:tcBorders>
            <w:noWrap w:val="0"/>
            <w:vAlign w:val="center"/>
          </w:tcPr>
          <w:p w14:paraId="45B8D82A">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废紫外线灯管</w:t>
            </w:r>
          </w:p>
        </w:tc>
        <w:tc>
          <w:tcPr>
            <w:tcW w:w="1910" w:type="dxa"/>
            <w:tcBorders>
              <w:tl2br w:val="nil"/>
              <w:tr2bl w:val="nil"/>
            </w:tcBorders>
            <w:noWrap w:val="0"/>
            <w:vAlign w:val="center"/>
          </w:tcPr>
          <w:p w14:paraId="47F9157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900-023-29</w:t>
            </w:r>
          </w:p>
        </w:tc>
        <w:tc>
          <w:tcPr>
            <w:tcW w:w="1356" w:type="dxa"/>
            <w:vMerge w:val="continue"/>
            <w:tcBorders>
              <w:tl2br w:val="nil"/>
              <w:tr2bl w:val="nil"/>
            </w:tcBorders>
            <w:noWrap w:val="0"/>
            <w:vAlign w:val="center"/>
          </w:tcPr>
          <w:p w14:paraId="322EE91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212" w:type="dxa"/>
            <w:vMerge w:val="continue"/>
            <w:tcBorders>
              <w:tl2br w:val="nil"/>
              <w:tr2bl w:val="nil"/>
            </w:tcBorders>
            <w:noWrap w:val="0"/>
            <w:vAlign w:val="center"/>
          </w:tcPr>
          <w:p w14:paraId="03A01771">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08" w:type="dxa"/>
            <w:tcBorders>
              <w:tl2br w:val="nil"/>
              <w:tr2bl w:val="nil"/>
            </w:tcBorders>
            <w:noWrap w:val="0"/>
            <w:vAlign w:val="center"/>
          </w:tcPr>
          <w:p w14:paraId="714EB0FB">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0.001</w:t>
            </w:r>
          </w:p>
        </w:tc>
        <w:tc>
          <w:tcPr>
            <w:tcW w:w="959" w:type="dxa"/>
            <w:vMerge w:val="continue"/>
            <w:tcBorders>
              <w:tl2br w:val="nil"/>
              <w:tr2bl w:val="nil"/>
            </w:tcBorders>
            <w:noWrap w:val="0"/>
            <w:vAlign w:val="center"/>
          </w:tcPr>
          <w:p w14:paraId="6FF870D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c>
          <w:tcPr>
            <w:tcW w:w="1321" w:type="dxa"/>
            <w:tcBorders>
              <w:tl2br w:val="nil"/>
              <w:tr2bl w:val="nil"/>
            </w:tcBorders>
            <w:noWrap w:val="0"/>
            <w:vAlign w:val="center"/>
          </w:tcPr>
          <w:p w14:paraId="28347B77">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i w:val="0"/>
                <w:iCs w:val="0"/>
                <w:snapToGrid w:val="0"/>
                <w:color w:val="auto"/>
                <w:sz w:val="18"/>
                <w:szCs w:val="18"/>
                <w:lang w:val="en-US" w:eastAsia="zh-CN"/>
              </w:rPr>
              <w:t>0.001</w:t>
            </w:r>
          </w:p>
        </w:tc>
        <w:tc>
          <w:tcPr>
            <w:tcW w:w="1482" w:type="dxa"/>
            <w:vMerge w:val="continue"/>
            <w:tcBorders>
              <w:tl2br w:val="nil"/>
              <w:tr2bl w:val="nil"/>
            </w:tcBorders>
            <w:noWrap w:val="0"/>
            <w:vAlign w:val="center"/>
          </w:tcPr>
          <w:p w14:paraId="710A1CC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sz w:val="18"/>
                <w:szCs w:val="18"/>
                <w:lang w:val="en-US" w:eastAsia="zh-CN"/>
              </w:rPr>
            </w:pPr>
          </w:p>
        </w:tc>
      </w:tr>
      <w:tr w14:paraId="4EB3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103" w:type="dxa"/>
            <w:gridSpan w:val="6"/>
            <w:tcBorders>
              <w:tl2br w:val="nil"/>
              <w:tr2bl w:val="nil"/>
            </w:tcBorders>
            <w:noWrap w:val="0"/>
            <w:vAlign w:val="center"/>
          </w:tcPr>
          <w:p w14:paraId="068B74E0">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r>
              <w:rPr>
                <w:rFonts w:hint="default" w:ascii="Times New Roman" w:hAnsi="Times New Roman" w:cs="Times New Roman" w:eastAsiaTheme="majorEastAsia"/>
                <w:b/>
                <w:i w:val="0"/>
                <w:iCs w:val="0"/>
                <w:snapToGrid w:val="0"/>
                <w:color w:val="auto"/>
                <w:sz w:val="18"/>
                <w:szCs w:val="18"/>
                <w:lang w:val="en-US" w:eastAsia="zh-CN"/>
              </w:rPr>
              <w:t>小计</w:t>
            </w:r>
          </w:p>
        </w:tc>
        <w:tc>
          <w:tcPr>
            <w:tcW w:w="1308" w:type="dxa"/>
            <w:tcBorders>
              <w:tl2br w:val="nil"/>
              <w:tr2bl w:val="nil"/>
            </w:tcBorders>
            <w:noWrap w:val="0"/>
            <w:vAlign w:val="center"/>
          </w:tcPr>
          <w:p w14:paraId="1A968A0A">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bCs/>
                <w:i w:val="0"/>
                <w:iCs w:val="0"/>
                <w:snapToGrid w:val="0"/>
                <w:color w:val="auto"/>
                <w:sz w:val="18"/>
                <w:szCs w:val="18"/>
                <w:lang w:val="en-US" w:eastAsia="zh-CN"/>
              </w:rPr>
            </w:pPr>
            <w:r>
              <w:rPr>
                <w:rFonts w:hint="eastAsia" w:ascii="Times New Roman" w:hAnsi="Times New Roman" w:cs="Times New Roman" w:eastAsiaTheme="majorEastAsia"/>
                <w:b/>
                <w:bCs/>
                <w:i w:val="0"/>
                <w:iCs w:val="0"/>
                <w:snapToGrid w:val="0"/>
                <w:color w:val="auto"/>
                <w:sz w:val="18"/>
                <w:szCs w:val="18"/>
                <w:lang w:val="en-US" w:eastAsia="zh-CN"/>
              </w:rPr>
              <w:t>0.701</w:t>
            </w:r>
          </w:p>
        </w:tc>
        <w:tc>
          <w:tcPr>
            <w:tcW w:w="959" w:type="dxa"/>
            <w:tcBorders>
              <w:tl2br w:val="nil"/>
              <w:tr2bl w:val="nil"/>
            </w:tcBorders>
            <w:noWrap w:val="0"/>
            <w:vAlign w:val="center"/>
          </w:tcPr>
          <w:p w14:paraId="6656A7E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bCs/>
                <w:i w:val="0"/>
                <w:iCs w:val="0"/>
                <w:snapToGrid w:val="0"/>
                <w:color w:val="auto"/>
                <w:sz w:val="18"/>
                <w:szCs w:val="18"/>
                <w:lang w:val="en-US" w:eastAsia="zh-CN"/>
              </w:rPr>
            </w:pPr>
            <w:r>
              <w:rPr>
                <w:rFonts w:hint="default" w:ascii="Times New Roman" w:hAnsi="Times New Roman" w:cs="Times New Roman" w:eastAsiaTheme="majorEastAsia"/>
                <w:b/>
                <w:bCs/>
                <w:i w:val="0"/>
                <w:iCs w:val="0"/>
                <w:snapToGrid w:val="0"/>
                <w:color w:val="auto"/>
                <w:sz w:val="18"/>
                <w:szCs w:val="18"/>
                <w:lang w:val="en-US" w:eastAsia="zh-CN"/>
              </w:rPr>
              <w:t>/</w:t>
            </w:r>
          </w:p>
        </w:tc>
        <w:tc>
          <w:tcPr>
            <w:tcW w:w="1321" w:type="dxa"/>
            <w:tcBorders>
              <w:tl2br w:val="nil"/>
              <w:tr2bl w:val="nil"/>
            </w:tcBorders>
            <w:noWrap w:val="0"/>
            <w:vAlign w:val="center"/>
          </w:tcPr>
          <w:p w14:paraId="7A71864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b/>
                <w:bCs/>
                <w:i w:val="0"/>
                <w:iCs w:val="0"/>
                <w:snapToGrid w:val="0"/>
                <w:color w:val="auto"/>
                <w:sz w:val="18"/>
                <w:szCs w:val="18"/>
                <w:lang w:val="en-US" w:eastAsia="zh-CN"/>
              </w:rPr>
            </w:pPr>
            <w:r>
              <w:rPr>
                <w:rFonts w:hint="eastAsia" w:ascii="Times New Roman" w:hAnsi="Times New Roman" w:cs="Times New Roman" w:eastAsiaTheme="majorEastAsia"/>
                <w:b/>
                <w:bCs/>
                <w:i w:val="0"/>
                <w:iCs w:val="0"/>
                <w:snapToGrid w:val="0"/>
                <w:color w:val="auto"/>
                <w:sz w:val="18"/>
                <w:szCs w:val="18"/>
                <w:lang w:val="en-US" w:eastAsia="zh-CN"/>
              </w:rPr>
              <w:t>0.701</w:t>
            </w:r>
          </w:p>
        </w:tc>
        <w:tc>
          <w:tcPr>
            <w:tcW w:w="1482" w:type="dxa"/>
            <w:vMerge w:val="continue"/>
            <w:tcBorders>
              <w:tl2br w:val="nil"/>
              <w:tr2bl w:val="nil"/>
            </w:tcBorders>
            <w:noWrap w:val="0"/>
            <w:vAlign w:val="center"/>
          </w:tcPr>
          <w:p w14:paraId="198F2AF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sz w:val="18"/>
                <w:szCs w:val="18"/>
                <w:lang w:val="en-US" w:eastAsia="zh-CN"/>
              </w:rPr>
            </w:pPr>
          </w:p>
        </w:tc>
      </w:tr>
    </w:tbl>
    <w:p w14:paraId="290BB40E">
      <w:pPr>
        <w:pStyle w:val="19"/>
        <w:jc w:val="center"/>
        <w:outlineLvl w:val="0"/>
        <w:rPr>
          <w:rFonts w:hint="default" w:ascii="Times New Roman" w:hAnsi="Times New Roman" w:eastAsia="宋体" w:cs="Times New Roman"/>
          <w:snapToGrid w:val="0"/>
          <w:color w:val="auto"/>
          <w:sz w:val="30"/>
          <w:szCs w:val="30"/>
        </w:rPr>
        <w:sectPr>
          <w:pgSz w:w="16838" w:h="11906" w:orient="landscape"/>
          <w:pgMar w:top="1531" w:right="1701"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8163"/>
      </w:tblGrid>
      <w:tr w14:paraId="2AC8B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260E4D7B">
            <w:pPr>
              <w:adjustRightInd w:val="0"/>
              <w:snapToGrid w:val="0"/>
              <w:jc w:val="center"/>
              <w:rPr>
                <w:rFonts w:hint="default" w:ascii="Times New Roman" w:hAnsi="Times New Roman" w:eastAsia="宋体" w:cs="Times New Roman"/>
                <w:bCs/>
                <w:color w:val="auto"/>
                <w:spacing w:val="0"/>
                <w:szCs w:val="21"/>
              </w:rPr>
            </w:pPr>
            <w:r>
              <w:rPr>
                <w:rFonts w:hint="default" w:ascii="Times New Roman" w:hAnsi="Times New Roman" w:eastAsia="宋体" w:cs="Times New Roman"/>
                <w:bCs/>
                <w:color w:val="auto"/>
                <w:spacing w:val="0"/>
                <w:szCs w:val="21"/>
              </w:rPr>
              <w:t>运营</w:t>
            </w:r>
          </w:p>
          <w:p w14:paraId="68C4D870">
            <w:pPr>
              <w:adjustRightInd w:val="0"/>
              <w:snapToGrid w:val="0"/>
              <w:jc w:val="center"/>
              <w:rPr>
                <w:rFonts w:hint="default" w:ascii="Times New Roman" w:hAnsi="Times New Roman" w:eastAsia="宋体" w:cs="Times New Roman"/>
                <w:bCs/>
                <w:color w:val="auto"/>
                <w:spacing w:val="0"/>
                <w:szCs w:val="21"/>
              </w:rPr>
            </w:pPr>
            <w:r>
              <w:rPr>
                <w:rFonts w:hint="default" w:ascii="Times New Roman" w:hAnsi="Times New Roman" w:eastAsia="宋体" w:cs="Times New Roman"/>
                <w:bCs/>
                <w:color w:val="auto"/>
                <w:spacing w:val="0"/>
                <w:szCs w:val="21"/>
              </w:rPr>
              <w:t>期环</w:t>
            </w:r>
          </w:p>
          <w:p w14:paraId="572054D5">
            <w:pPr>
              <w:adjustRightInd w:val="0"/>
              <w:snapToGrid w:val="0"/>
              <w:jc w:val="center"/>
              <w:rPr>
                <w:rFonts w:hint="default" w:ascii="Times New Roman" w:hAnsi="Times New Roman" w:eastAsia="宋体" w:cs="Times New Roman"/>
                <w:bCs/>
                <w:color w:val="auto"/>
                <w:spacing w:val="0"/>
                <w:szCs w:val="21"/>
              </w:rPr>
            </w:pPr>
            <w:r>
              <w:rPr>
                <w:rFonts w:hint="default" w:ascii="Times New Roman" w:hAnsi="Times New Roman" w:eastAsia="宋体" w:cs="Times New Roman"/>
                <w:bCs/>
                <w:color w:val="auto"/>
                <w:spacing w:val="0"/>
                <w:szCs w:val="21"/>
              </w:rPr>
              <w:t>境影</w:t>
            </w:r>
          </w:p>
          <w:p w14:paraId="4EDF735E">
            <w:pPr>
              <w:adjustRightInd w:val="0"/>
              <w:snapToGrid w:val="0"/>
              <w:jc w:val="center"/>
              <w:rPr>
                <w:rFonts w:hint="default" w:ascii="Times New Roman" w:hAnsi="Times New Roman" w:eastAsia="宋体" w:cs="Times New Roman"/>
                <w:bCs/>
                <w:color w:val="auto"/>
                <w:spacing w:val="0"/>
                <w:szCs w:val="21"/>
              </w:rPr>
            </w:pPr>
            <w:r>
              <w:rPr>
                <w:rFonts w:hint="default" w:ascii="Times New Roman" w:hAnsi="Times New Roman" w:eastAsia="宋体" w:cs="Times New Roman"/>
                <w:bCs/>
                <w:color w:val="auto"/>
                <w:spacing w:val="0"/>
                <w:szCs w:val="21"/>
              </w:rPr>
              <w:t>响和</w:t>
            </w:r>
          </w:p>
          <w:p w14:paraId="23F8286B">
            <w:pPr>
              <w:adjustRightInd w:val="0"/>
              <w:snapToGrid w:val="0"/>
              <w:jc w:val="center"/>
              <w:rPr>
                <w:rFonts w:hint="default" w:ascii="Times New Roman" w:hAnsi="Times New Roman" w:eastAsia="宋体" w:cs="Times New Roman"/>
                <w:bCs/>
                <w:color w:val="auto"/>
                <w:spacing w:val="0"/>
                <w:szCs w:val="21"/>
              </w:rPr>
            </w:pPr>
            <w:r>
              <w:rPr>
                <w:rFonts w:hint="default" w:ascii="Times New Roman" w:hAnsi="Times New Roman" w:eastAsia="宋体" w:cs="Times New Roman"/>
                <w:bCs/>
                <w:color w:val="auto"/>
                <w:spacing w:val="0"/>
                <w:szCs w:val="21"/>
              </w:rPr>
              <w:t>保护</w:t>
            </w:r>
          </w:p>
          <w:p w14:paraId="32D7BA66">
            <w:pPr>
              <w:adjustRightInd w:val="0"/>
              <w:snapToGrid w:val="0"/>
              <w:jc w:val="center"/>
              <w:rPr>
                <w:rFonts w:hint="default" w:ascii="Times New Roman" w:hAnsi="Times New Roman" w:eastAsia="宋体" w:cs="Times New Roman"/>
                <w:bCs/>
                <w:color w:val="auto"/>
                <w:spacing w:val="0"/>
                <w:szCs w:val="21"/>
              </w:rPr>
            </w:pPr>
            <w:r>
              <w:rPr>
                <w:rFonts w:hint="default" w:ascii="Times New Roman" w:hAnsi="Times New Roman" w:eastAsia="宋体" w:cs="Times New Roman"/>
                <w:bCs/>
                <w:color w:val="auto"/>
                <w:spacing w:val="0"/>
                <w:szCs w:val="21"/>
              </w:rPr>
              <w:t>措施</w:t>
            </w:r>
          </w:p>
        </w:tc>
        <w:tc>
          <w:tcPr>
            <w:tcW w:w="8162" w:type="dxa"/>
            <w:noWrap w:val="0"/>
            <w:vAlign w:val="center"/>
          </w:tcPr>
          <w:p w14:paraId="5725825B">
            <w:pPr>
              <w:numPr>
                <w:ilvl w:val="0"/>
                <w:numId w:val="0"/>
              </w:numPr>
              <w:topLinePunct/>
              <w:adjustRightInd w:val="0"/>
              <w:snapToGrid w:val="0"/>
              <w:spacing w:line="400" w:lineRule="exact"/>
              <w:ind w:firstLine="422" w:firstLineChars="200"/>
              <w:jc w:val="left"/>
              <w:rPr>
                <w:rFonts w:hint="default" w:eastAsia="宋体"/>
                <w:b/>
                <w:bCs w:val="0"/>
                <w:color w:val="auto"/>
                <w:szCs w:val="21"/>
                <w:lang w:val="en-US" w:eastAsia="zh-CN"/>
              </w:rPr>
            </w:pPr>
            <w:r>
              <w:rPr>
                <w:rFonts w:hint="eastAsia" w:eastAsia="宋体"/>
                <w:b/>
                <w:bCs w:val="0"/>
                <w:color w:val="auto"/>
                <w:szCs w:val="21"/>
                <w:lang w:val="en-US" w:eastAsia="zh-CN"/>
              </w:rPr>
              <w:t>（4）</w:t>
            </w:r>
            <w:r>
              <w:rPr>
                <w:rFonts w:hint="default" w:eastAsia="宋体"/>
                <w:b/>
                <w:bCs w:val="0"/>
                <w:color w:val="auto"/>
                <w:szCs w:val="21"/>
                <w:lang w:val="en-US" w:eastAsia="zh-CN"/>
              </w:rPr>
              <w:t>固体废物影响及防治措施</w:t>
            </w:r>
          </w:p>
          <w:p w14:paraId="408F9BAB">
            <w:pPr>
              <w:numPr>
                <w:ilvl w:val="0"/>
                <w:numId w:val="0"/>
              </w:numPr>
              <w:topLinePunct/>
              <w:adjustRightInd w:val="0"/>
              <w:snapToGrid w:val="0"/>
              <w:spacing w:line="400" w:lineRule="exact"/>
              <w:ind w:firstLine="422" w:firstLineChars="200"/>
              <w:jc w:val="left"/>
              <w:rPr>
                <w:rFonts w:hint="eastAsia" w:eastAsia="宋体"/>
                <w:b/>
                <w:bCs w:val="0"/>
                <w:color w:val="auto"/>
                <w:szCs w:val="21"/>
                <w:lang w:val="en-US" w:eastAsia="zh-CN"/>
              </w:rPr>
            </w:pPr>
            <w:r>
              <w:rPr>
                <w:rFonts w:hint="eastAsia"/>
                <w:b/>
                <w:bCs w:val="0"/>
                <w:color w:val="auto"/>
                <w:szCs w:val="21"/>
                <w:lang w:val="en-US" w:eastAsia="zh-CN"/>
              </w:rPr>
              <w:t>1）</w:t>
            </w:r>
            <w:r>
              <w:rPr>
                <w:rFonts w:hint="eastAsia" w:eastAsia="宋体"/>
                <w:b/>
                <w:bCs w:val="0"/>
                <w:color w:val="auto"/>
                <w:szCs w:val="21"/>
                <w:lang w:val="en-US" w:eastAsia="zh-CN"/>
              </w:rPr>
              <w:t xml:space="preserve">管理要求 </w:t>
            </w:r>
          </w:p>
          <w:p w14:paraId="7A227381">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建设单位应当采取防扬散、防流失、防渗漏或者其他防止污染环境的措施，不得擅自倾倒、堆放、丢弃、遗撒固体废物。 </w:t>
            </w:r>
          </w:p>
          <w:p w14:paraId="5FFE4222">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①医疗废物 </w:t>
            </w:r>
          </w:p>
          <w:p w14:paraId="07D76EFF">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b w:val="0"/>
                <w:bCs/>
                <w:color w:val="auto"/>
                <w:szCs w:val="21"/>
                <w:lang w:val="en-US" w:eastAsia="zh-CN"/>
              </w:rPr>
              <w:t>I、</w:t>
            </w:r>
            <w:r>
              <w:rPr>
                <w:rFonts w:hint="eastAsia" w:eastAsia="宋体"/>
                <w:b w:val="0"/>
                <w:bCs/>
                <w:color w:val="auto"/>
                <w:szCs w:val="21"/>
                <w:lang w:val="en-US" w:eastAsia="zh-CN"/>
              </w:rPr>
              <w:t xml:space="preserve">医疗废物的收集 </w:t>
            </w:r>
          </w:p>
          <w:p w14:paraId="49B4A1E3">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根据《医疗卫生机构废物管理办法》（卫生部令第 36号），医疗废物应采用专用容器进行收集，明确各类废弃物标识，分类包装，并本着即时、方便、安全、快捷的原则，进行收集。 </w:t>
            </w:r>
          </w:p>
          <w:p w14:paraId="4E6E595C">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感染性废物、损伤性废物不能混合收集；放入存放容器包装物内的各类废物不得取出。 </w:t>
            </w:r>
          </w:p>
          <w:p w14:paraId="71D13E05">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当盛装的医疗废物达到存储容器的3/4时，应当使用有效的封口方法对包装进行封口密封。 </w:t>
            </w:r>
          </w:p>
          <w:p w14:paraId="6ED5CCB5">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医疗废物中的锐利物必须单独存放，并统一按照医学废物处理。 </w:t>
            </w:r>
          </w:p>
          <w:p w14:paraId="510701EE">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收集锐利物的包装容器应使用硬质、防漏、防刺破的材料。 </w:t>
            </w:r>
          </w:p>
          <w:p w14:paraId="13E1A605">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b w:val="0"/>
                <w:bCs/>
                <w:color w:val="auto"/>
                <w:szCs w:val="21"/>
                <w:lang w:val="en-US" w:eastAsia="zh-CN"/>
              </w:rPr>
              <w:t>II、</w:t>
            </w:r>
            <w:r>
              <w:rPr>
                <w:rFonts w:hint="eastAsia" w:eastAsia="宋体"/>
                <w:b w:val="0"/>
                <w:bCs/>
                <w:color w:val="auto"/>
                <w:szCs w:val="21"/>
                <w:lang w:val="en-US" w:eastAsia="zh-CN"/>
              </w:rPr>
              <w:t xml:space="preserve">医疗废物包装 </w:t>
            </w:r>
          </w:p>
          <w:p w14:paraId="565CDC17">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项目医疗废物包装应符合《医疗废物专用包装袋、容器和警示标志标准》（HJ421-2008），除损伤性废物之外的医疗废物采用非聚氯乙烯原料制作，且符合一定防渗和撕裂强度性能要求的软质口袋进行包装。 </w:t>
            </w:r>
          </w:p>
          <w:p w14:paraId="09F3E9D3">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包装袋的颜色为黄色，并有盛装医疗废物类型的文字说明，如盛装感染性废物，应在包装袋上加注</w:t>
            </w:r>
            <w:r>
              <w:rPr>
                <w:rFonts w:hint="eastAsia"/>
                <w:b w:val="0"/>
                <w:bCs/>
                <w:color w:val="auto"/>
                <w:szCs w:val="21"/>
                <w:lang w:val="en-US" w:eastAsia="zh-CN"/>
              </w:rPr>
              <w:t>“</w:t>
            </w:r>
            <w:r>
              <w:rPr>
                <w:rFonts w:hint="eastAsia" w:eastAsia="宋体"/>
                <w:b w:val="0"/>
                <w:bCs/>
                <w:color w:val="auto"/>
                <w:szCs w:val="21"/>
                <w:lang w:val="en-US" w:eastAsia="zh-CN"/>
              </w:rPr>
              <w:t>感染性废物</w:t>
            </w:r>
            <w:r>
              <w:rPr>
                <w:rFonts w:hint="eastAsia"/>
                <w:b w:val="0"/>
                <w:bCs/>
                <w:color w:val="auto"/>
                <w:szCs w:val="21"/>
                <w:lang w:val="en-US" w:eastAsia="zh-CN"/>
              </w:rPr>
              <w:t>”</w:t>
            </w:r>
            <w:r>
              <w:rPr>
                <w:rFonts w:hint="eastAsia" w:eastAsia="宋体"/>
                <w:b w:val="0"/>
                <w:bCs/>
                <w:color w:val="auto"/>
                <w:szCs w:val="21"/>
                <w:lang w:val="en-US" w:eastAsia="zh-CN"/>
              </w:rPr>
              <w:t xml:space="preserve">字样。 </w:t>
            </w:r>
          </w:p>
          <w:p w14:paraId="306942F5">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PVC）塑料为制造原料。利器盒整体颜色为黄色，在盒体侧面注明</w:t>
            </w:r>
            <w:r>
              <w:rPr>
                <w:rFonts w:hint="eastAsia"/>
                <w:b w:val="0"/>
                <w:bCs/>
                <w:color w:val="auto"/>
                <w:szCs w:val="21"/>
                <w:lang w:val="en-US" w:eastAsia="zh-CN"/>
              </w:rPr>
              <w:t>“</w:t>
            </w:r>
            <w:r>
              <w:rPr>
                <w:rFonts w:hint="eastAsia" w:eastAsia="宋体"/>
                <w:b w:val="0"/>
                <w:bCs/>
                <w:color w:val="auto"/>
                <w:szCs w:val="21"/>
                <w:lang w:val="en-US" w:eastAsia="zh-CN"/>
              </w:rPr>
              <w:t>损伤性物质</w:t>
            </w:r>
            <w:r>
              <w:rPr>
                <w:rFonts w:hint="eastAsia"/>
                <w:b w:val="0"/>
                <w:bCs/>
                <w:color w:val="auto"/>
                <w:szCs w:val="21"/>
                <w:lang w:val="en-US" w:eastAsia="zh-CN"/>
              </w:rPr>
              <w:t>”</w:t>
            </w:r>
            <w:r>
              <w:rPr>
                <w:rFonts w:hint="eastAsia" w:eastAsia="宋体"/>
                <w:b w:val="0"/>
                <w:bCs/>
                <w:color w:val="auto"/>
                <w:szCs w:val="21"/>
                <w:lang w:val="en-US" w:eastAsia="zh-CN"/>
              </w:rPr>
              <w:t xml:space="preserve">，利器盒上应印刷医疗废物警示标志。 </w:t>
            </w:r>
          </w:p>
          <w:p w14:paraId="6FCBA277">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项目医疗废物用（黄色）专塑料袋盛装，盛装时要系紧袋口，放置于带盖的容器（塑料桶）内。</w:t>
            </w:r>
          </w:p>
          <w:p w14:paraId="5C83D79B">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b w:val="0"/>
                <w:bCs/>
                <w:color w:val="auto"/>
                <w:szCs w:val="21"/>
                <w:lang w:val="en-US" w:eastAsia="zh-CN"/>
              </w:rPr>
              <w:t>III、</w:t>
            </w:r>
            <w:r>
              <w:rPr>
                <w:rFonts w:hint="eastAsia" w:eastAsia="宋体"/>
                <w:b w:val="0"/>
                <w:bCs/>
                <w:color w:val="auto"/>
                <w:szCs w:val="21"/>
                <w:lang w:val="en-US" w:eastAsia="zh-CN"/>
              </w:rPr>
              <w:t xml:space="preserve">危险废物贮存库要求 </w:t>
            </w:r>
          </w:p>
          <w:p w14:paraId="2EBF3F6E">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项目在</w:t>
            </w:r>
            <w:r>
              <w:rPr>
                <w:rFonts w:hint="eastAsia"/>
                <w:b w:val="0"/>
                <w:bCs/>
                <w:color w:val="auto"/>
                <w:szCs w:val="21"/>
                <w:lang w:val="en-US" w:eastAsia="zh-CN"/>
              </w:rPr>
              <w:t>2</w:t>
            </w:r>
            <w:r>
              <w:rPr>
                <w:rFonts w:hint="eastAsia" w:eastAsia="宋体"/>
                <w:b w:val="0"/>
                <w:bCs/>
                <w:color w:val="auto"/>
                <w:szCs w:val="21"/>
                <w:lang w:val="en-US" w:eastAsia="zh-CN"/>
              </w:rPr>
              <w:t>F</w:t>
            </w:r>
            <w:r>
              <w:rPr>
                <w:rFonts w:hint="eastAsia"/>
                <w:b w:val="0"/>
                <w:bCs/>
                <w:color w:val="auto"/>
                <w:szCs w:val="21"/>
                <w:lang w:val="en-US" w:eastAsia="zh-CN"/>
              </w:rPr>
              <w:t>药房内闲置区域</w:t>
            </w:r>
            <w:r>
              <w:rPr>
                <w:rFonts w:hint="eastAsia" w:eastAsia="宋体"/>
                <w:b w:val="0"/>
                <w:bCs/>
                <w:color w:val="auto"/>
                <w:szCs w:val="21"/>
                <w:lang w:val="en-US" w:eastAsia="zh-CN"/>
              </w:rPr>
              <w:t>设置1个危险废物贮存</w:t>
            </w:r>
            <w:r>
              <w:rPr>
                <w:rFonts w:hint="eastAsia"/>
                <w:b w:val="0"/>
                <w:bCs/>
                <w:color w:val="auto"/>
                <w:szCs w:val="21"/>
                <w:lang w:val="en-US" w:eastAsia="zh-CN"/>
              </w:rPr>
              <w:t>点</w:t>
            </w:r>
            <w:r>
              <w:rPr>
                <w:rFonts w:hint="eastAsia" w:eastAsia="宋体"/>
                <w:b w:val="0"/>
                <w:bCs/>
                <w:color w:val="auto"/>
                <w:szCs w:val="21"/>
                <w:lang w:val="en-US" w:eastAsia="zh-CN"/>
              </w:rPr>
              <w:t>，</w:t>
            </w:r>
            <w:r>
              <w:rPr>
                <w:rFonts w:hint="eastAsia"/>
                <w:b w:val="0"/>
                <w:bCs/>
                <w:color w:val="auto"/>
                <w:szCs w:val="21"/>
                <w:lang w:val="en-US" w:eastAsia="zh-CN"/>
              </w:rPr>
              <w:t>建筑</w:t>
            </w:r>
            <w:r>
              <w:rPr>
                <w:rFonts w:hint="eastAsia" w:eastAsia="宋体"/>
                <w:b w:val="0"/>
                <w:bCs/>
                <w:color w:val="auto"/>
                <w:szCs w:val="21"/>
                <w:lang w:val="en-US" w:eastAsia="zh-CN"/>
              </w:rPr>
              <w:t>面积</w:t>
            </w:r>
            <w:r>
              <w:rPr>
                <w:rFonts w:hint="eastAsia"/>
                <w:b w:val="0"/>
                <w:bCs/>
                <w:color w:val="auto"/>
                <w:szCs w:val="21"/>
                <w:lang w:val="en-US" w:eastAsia="zh-CN"/>
              </w:rPr>
              <w:t>2</w:t>
            </w:r>
            <w:r>
              <w:rPr>
                <w:rFonts w:hint="eastAsia" w:eastAsia="宋体"/>
                <w:b w:val="0"/>
                <w:bCs/>
                <w:color w:val="auto"/>
                <w:szCs w:val="21"/>
                <w:lang w:val="en-US" w:eastAsia="zh-CN"/>
              </w:rPr>
              <w:t>m</w:t>
            </w:r>
            <w:r>
              <w:rPr>
                <w:rFonts w:hint="eastAsia" w:eastAsia="宋体"/>
                <w:b w:val="0"/>
                <w:bCs/>
                <w:color w:val="auto"/>
                <w:szCs w:val="21"/>
                <w:vertAlign w:val="superscript"/>
                <w:lang w:val="en-US" w:eastAsia="zh-CN"/>
              </w:rPr>
              <w:t>2</w:t>
            </w:r>
            <w:r>
              <w:rPr>
                <w:rFonts w:hint="eastAsia" w:eastAsia="宋体"/>
                <w:b w:val="0"/>
                <w:bCs/>
                <w:color w:val="auto"/>
                <w:szCs w:val="21"/>
                <w:lang w:val="en-US" w:eastAsia="zh-CN"/>
              </w:rPr>
              <w:t>，主要贮存医疗废物和少量废紫外线灯管，</w:t>
            </w:r>
            <w:r>
              <w:rPr>
                <w:rFonts w:hint="eastAsia"/>
                <w:b w:val="0"/>
                <w:bCs/>
                <w:color w:val="auto"/>
                <w:szCs w:val="21"/>
                <w:lang w:val="en-US" w:eastAsia="zh-CN"/>
              </w:rPr>
              <w:t>贮存点满足</w:t>
            </w:r>
            <w:r>
              <w:rPr>
                <w:rFonts w:hint="eastAsia" w:eastAsia="宋体"/>
                <w:b w:val="0"/>
                <w:bCs/>
                <w:color w:val="auto"/>
                <w:szCs w:val="21"/>
                <w:lang w:val="en-US" w:eastAsia="zh-CN"/>
              </w:rPr>
              <w:t xml:space="preserve">《医疗卫生机构医疗废物管理办法》（卫生部令第36号）、《危险废物贮存污染控制标准》（GB18597-2023）、《危险废物管理计划和管理台账制定技术导则》（HJ1259-2022）、《建设项目危险废物环境影响评价指南》（公告2017年第43号）等要求，根据《医疗卫生机构医疗废物管理办法》（卫生部令第36号），医疗废物贮存应满足以下要求： </w:t>
            </w:r>
          </w:p>
          <w:p w14:paraId="124DEDEE">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A</w:t>
            </w:r>
            <w:r>
              <w:rPr>
                <w:rFonts w:hint="eastAsia"/>
                <w:b w:val="0"/>
                <w:bCs/>
                <w:color w:val="auto"/>
                <w:szCs w:val="21"/>
                <w:lang w:val="en-US" w:eastAsia="zh-CN"/>
              </w:rPr>
              <w:t>、</w:t>
            </w:r>
            <w:r>
              <w:rPr>
                <w:rFonts w:hint="eastAsia" w:eastAsia="宋体"/>
                <w:b w:val="0"/>
                <w:bCs/>
                <w:color w:val="auto"/>
                <w:szCs w:val="21"/>
                <w:lang w:val="en-US" w:eastAsia="zh-CN"/>
              </w:rPr>
              <w:t xml:space="preserve">医疗废物的暂时贮存设施、设备，应当远离医疗区、食品加工区和人员活动区以及生活垃圾存放场所，并设置明显的警示标识和防渗漏、防鼠、防蚊蝇、防蟑螂、防盗以及预防儿童接触等安全措施； </w:t>
            </w:r>
          </w:p>
          <w:p w14:paraId="398BF16F">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B</w:t>
            </w:r>
            <w:r>
              <w:rPr>
                <w:rFonts w:hint="eastAsia"/>
                <w:b w:val="0"/>
                <w:bCs/>
                <w:color w:val="auto"/>
                <w:szCs w:val="21"/>
                <w:lang w:val="en-US" w:eastAsia="zh-CN"/>
              </w:rPr>
              <w:t>、</w:t>
            </w:r>
            <w:r>
              <w:rPr>
                <w:rFonts w:hint="eastAsia" w:eastAsia="宋体"/>
                <w:b w:val="0"/>
                <w:bCs/>
                <w:color w:val="auto"/>
                <w:szCs w:val="21"/>
                <w:lang w:val="en-US" w:eastAsia="zh-CN"/>
              </w:rPr>
              <w:t xml:space="preserve">医疗废物的暂时贮存设施、设备应当定期消毒和清洁； </w:t>
            </w:r>
          </w:p>
          <w:p w14:paraId="0F737F18">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C</w:t>
            </w:r>
            <w:r>
              <w:rPr>
                <w:rFonts w:hint="eastAsia"/>
                <w:b w:val="0"/>
                <w:bCs/>
                <w:color w:val="auto"/>
                <w:szCs w:val="21"/>
                <w:lang w:val="en-US" w:eastAsia="zh-CN"/>
              </w:rPr>
              <w:t>、</w:t>
            </w:r>
            <w:r>
              <w:rPr>
                <w:rFonts w:hint="eastAsia" w:eastAsia="宋体"/>
                <w:b w:val="0"/>
                <w:bCs/>
                <w:color w:val="auto"/>
                <w:szCs w:val="21"/>
                <w:lang w:val="en-US" w:eastAsia="zh-CN"/>
              </w:rPr>
              <w:t>医疗卫生机构应当使用防渗漏、防遗撒的专用运送工具，按照本单位确定的内部医疗废物运送时间、路线，将医疗废物收集、运送至暂时贮存地点；</w:t>
            </w:r>
          </w:p>
          <w:p w14:paraId="1AC383C7">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D</w:t>
            </w:r>
            <w:r>
              <w:rPr>
                <w:rFonts w:hint="eastAsia"/>
                <w:b w:val="0"/>
                <w:bCs/>
                <w:color w:val="auto"/>
                <w:szCs w:val="21"/>
                <w:lang w:val="en-US" w:eastAsia="zh-CN"/>
              </w:rPr>
              <w:t>、</w:t>
            </w:r>
            <w:r>
              <w:rPr>
                <w:rFonts w:hint="eastAsia" w:eastAsia="宋体"/>
                <w:b w:val="0"/>
                <w:bCs/>
                <w:color w:val="auto"/>
                <w:szCs w:val="21"/>
                <w:lang w:val="en-US" w:eastAsia="zh-CN"/>
              </w:rPr>
              <w:t xml:space="preserve">医疗卫生机构应当建立医疗废物暂时贮存设施、设备，不得露天存放医疗废物；应防止医疗废物在暂存间中腐败散发恶臭，做到日产日清。确实不能日产日清，且当地最高气温高于25℃时，应将医疗废物低温暂存，暂存温度应低于20℃，时间最长不超过2天。 </w:t>
            </w:r>
          </w:p>
          <w:p w14:paraId="50815609">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E</w:t>
            </w:r>
            <w:r>
              <w:rPr>
                <w:rFonts w:hint="eastAsia"/>
                <w:b w:val="0"/>
                <w:bCs/>
                <w:color w:val="auto"/>
                <w:szCs w:val="21"/>
                <w:lang w:val="en-US" w:eastAsia="zh-CN"/>
              </w:rPr>
              <w:t>、</w:t>
            </w:r>
            <w:r>
              <w:rPr>
                <w:rFonts w:hint="eastAsia" w:eastAsia="宋体"/>
                <w:b w:val="0"/>
                <w:bCs/>
                <w:color w:val="auto"/>
                <w:szCs w:val="21"/>
                <w:lang w:val="en-US" w:eastAsia="zh-CN"/>
              </w:rPr>
              <w:t xml:space="preserve">医疗卫生机构应当对医疗废物进行登记，登记内容应当包括医疗废物的来源、种类、重量或者数量、交接时间、最终去向以及经办人签名等项目。登记资料至少保存3年； </w:t>
            </w:r>
          </w:p>
          <w:p w14:paraId="723BADB2">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F</w:t>
            </w:r>
            <w:r>
              <w:rPr>
                <w:rFonts w:hint="eastAsia"/>
                <w:b w:val="0"/>
                <w:bCs/>
                <w:color w:val="auto"/>
                <w:szCs w:val="21"/>
                <w:lang w:val="en-US" w:eastAsia="zh-CN"/>
              </w:rPr>
              <w:t>、</w:t>
            </w:r>
            <w:r>
              <w:rPr>
                <w:rFonts w:hint="eastAsia" w:eastAsia="宋体"/>
                <w:b w:val="0"/>
                <w:bCs/>
                <w:color w:val="auto"/>
                <w:szCs w:val="21"/>
                <w:lang w:val="en-US" w:eastAsia="zh-CN"/>
              </w:rPr>
              <w:t xml:space="preserve">暂时贮存病理性废物，应当具备低温贮存或者防腐条件； </w:t>
            </w:r>
          </w:p>
          <w:p w14:paraId="69B989AB">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G</w:t>
            </w:r>
            <w:r>
              <w:rPr>
                <w:rFonts w:hint="eastAsia"/>
                <w:b w:val="0"/>
                <w:bCs/>
                <w:color w:val="auto"/>
                <w:szCs w:val="21"/>
                <w:lang w:val="en-US" w:eastAsia="zh-CN"/>
              </w:rPr>
              <w:t>、</w:t>
            </w:r>
            <w:r>
              <w:rPr>
                <w:rFonts w:hint="eastAsia" w:eastAsia="宋体"/>
                <w:b w:val="0"/>
                <w:bCs/>
                <w:color w:val="auto"/>
                <w:szCs w:val="21"/>
                <w:lang w:val="en-US" w:eastAsia="zh-CN"/>
              </w:rPr>
              <w:t xml:space="preserve">液态危险废物存放区底部设置防渗漏收集盘，发生泄漏时可对泄漏废物进行有效收集。 </w:t>
            </w:r>
          </w:p>
          <w:p w14:paraId="531CF236">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H</w:t>
            </w:r>
            <w:r>
              <w:rPr>
                <w:rFonts w:hint="eastAsia"/>
                <w:b w:val="0"/>
                <w:bCs/>
                <w:color w:val="auto"/>
                <w:szCs w:val="21"/>
                <w:lang w:val="en-US" w:eastAsia="zh-CN"/>
              </w:rPr>
              <w:t>、</w:t>
            </w:r>
            <w:r>
              <w:rPr>
                <w:rFonts w:hint="eastAsia" w:eastAsia="宋体"/>
                <w:b w:val="0"/>
                <w:bCs/>
                <w:color w:val="auto"/>
                <w:szCs w:val="21"/>
                <w:lang w:val="en-US" w:eastAsia="zh-CN"/>
              </w:rPr>
              <w:t>按照</w:t>
            </w:r>
            <w:r>
              <w:rPr>
                <w:rFonts w:hint="eastAsia"/>
                <w:b w:val="0"/>
                <w:bCs/>
                <w:color w:val="auto"/>
                <w:szCs w:val="21"/>
                <w:lang w:val="en-US" w:eastAsia="zh-CN"/>
              </w:rPr>
              <w:t>“</w:t>
            </w:r>
            <w:r>
              <w:rPr>
                <w:rFonts w:hint="eastAsia" w:eastAsia="宋体"/>
                <w:b w:val="0"/>
                <w:bCs/>
                <w:color w:val="auto"/>
                <w:szCs w:val="21"/>
                <w:lang w:val="en-US" w:eastAsia="zh-CN"/>
              </w:rPr>
              <w:t>防风、防晒、防雨、防漏、防渗、防腐</w:t>
            </w:r>
            <w:r>
              <w:rPr>
                <w:rFonts w:hint="eastAsia"/>
                <w:b w:val="0"/>
                <w:bCs/>
                <w:color w:val="auto"/>
                <w:szCs w:val="21"/>
                <w:lang w:val="en-US" w:eastAsia="zh-CN"/>
              </w:rPr>
              <w:t>”</w:t>
            </w:r>
            <w:r>
              <w:rPr>
                <w:rFonts w:hint="eastAsia" w:eastAsia="宋体"/>
                <w:b w:val="0"/>
                <w:bCs/>
                <w:color w:val="auto"/>
                <w:szCs w:val="21"/>
                <w:lang w:val="en-US" w:eastAsia="zh-CN"/>
              </w:rPr>
              <w:t>的环保要求规范建设。暂存</w:t>
            </w:r>
            <w:r>
              <w:rPr>
                <w:rFonts w:hint="eastAsia"/>
                <w:b w:val="0"/>
                <w:bCs/>
                <w:color w:val="auto"/>
                <w:szCs w:val="21"/>
                <w:lang w:val="en-US" w:eastAsia="zh-CN"/>
              </w:rPr>
              <w:t>点</w:t>
            </w:r>
            <w:r>
              <w:rPr>
                <w:rFonts w:hint="eastAsia" w:eastAsia="宋体"/>
                <w:b w:val="0"/>
                <w:bCs/>
                <w:color w:val="auto"/>
                <w:szCs w:val="21"/>
                <w:lang w:val="en-US" w:eastAsia="zh-CN"/>
              </w:rPr>
              <w:t>设防盗门并上锁，设专人进行管理。暂存间地面及裙脚进行防渗处理，防渗技术要求：等效黏土防渗层 Mb≥6.0m，K≤1.0×10</w:t>
            </w:r>
            <w:r>
              <w:rPr>
                <w:rFonts w:hint="eastAsia" w:eastAsia="宋体"/>
                <w:b w:val="0"/>
                <w:bCs/>
                <w:color w:val="auto"/>
                <w:szCs w:val="21"/>
                <w:vertAlign w:val="superscript"/>
                <w:lang w:val="en-US" w:eastAsia="zh-CN"/>
              </w:rPr>
              <w:t>-7</w:t>
            </w:r>
            <w:r>
              <w:rPr>
                <w:rFonts w:hint="eastAsia" w:eastAsia="宋体"/>
                <w:b w:val="0"/>
                <w:bCs/>
                <w:color w:val="auto"/>
                <w:szCs w:val="21"/>
                <w:lang w:val="en-US" w:eastAsia="zh-CN"/>
              </w:rPr>
              <w:t>cm/s，防渗材料必须与危险废物相容。室内设置安全照明设施和观察窗口。</w:t>
            </w:r>
          </w:p>
          <w:p w14:paraId="4C480F4F">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b w:val="0"/>
                <w:bCs/>
                <w:color w:val="auto"/>
                <w:szCs w:val="21"/>
                <w:lang w:val="en-US" w:eastAsia="zh-CN"/>
              </w:rPr>
              <w:t>IV、</w:t>
            </w:r>
            <w:r>
              <w:rPr>
                <w:rFonts w:hint="eastAsia" w:eastAsia="宋体"/>
                <w:b w:val="0"/>
                <w:bCs/>
                <w:color w:val="auto"/>
                <w:szCs w:val="21"/>
                <w:lang w:val="en-US" w:eastAsia="zh-CN"/>
              </w:rPr>
              <w:t xml:space="preserve">医疗废物交接、转移 </w:t>
            </w:r>
          </w:p>
          <w:p w14:paraId="0F8AA110">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危险废物贮存库贮存的医疗废物定期由有明显医疗废物标识的专用车辆运至有资质的单位处理。 </w:t>
            </w:r>
          </w:p>
          <w:p w14:paraId="65B4AFFB">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医疗废物转移必须按照《危险废物转移联单管理办法》的规定，执行危险废物转移联单制度。 </w:t>
            </w:r>
          </w:p>
          <w:p w14:paraId="65DC8D4C">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禁止转让、买卖医疗废物，禁止在运输过程中丢弃医疗废物，禁止随意倾倒、堆放医疗废物或者医疗废物混入其他废物或生活垃圾中。 </w:t>
            </w:r>
          </w:p>
          <w:p w14:paraId="66D0269E">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宠物医院应对交接的医疗废物如实计量，严格按照有关规定进行交接登记，并将记录保存备查。 </w:t>
            </w:r>
          </w:p>
          <w:p w14:paraId="6634E0D6">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医疗废物处理单位应对医疗废物的来源、种类、数量、交接时间、处置方法等情况进行登记，登记资料保存时间不少于 3 年，定期接受环保、卫生部门检查。 </w:t>
            </w:r>
          </w:p>
          <w:p w14:paraId="04609034">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b w:val="0"/>
                <w:bCs/>
                <w:color w:val="auto"/>
                <w:szCs w:val="21"/>
                <w:lang w:val="en-US" w:eastAsia="zh-CN"/>
              </w:rPr>
              <w:t>V、</w:t>
            </w:r>
            <w:r>
              <w:rPr>
                <w:rFonts w:hint="eastAsia" w:eastAsia="宋体"/>
                <w:b w:val="0"/>
                <w:bCs/>
                <w:color w:val="auto"/>
                <w:szCs w:val="21"/>
                <w:lang w:val="en-US" w:eastAsia="zh-CN"/>
              </w:rPr>
              <w:t xml:space="preserve">医疗废物处置 </w:t>
            </w:r>
          </w:p>
          <w:p w14:paraId="1F0189C5">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 xml:space="preserve">项目产生医疗废物分类收集后暂存危险废物贮存库，定期送有医疗废物处理资质的单位处理。 </w:t>
            </w:r>
          </w:p>
          <w:p w14:paraId="7C7C7B87">
            <w:pPr>
              <w:numPr>
                <w:ilvl w:val="0"/>
                <w:numId w:val="0"/>
              </w:numPr>
              <w:topLinePunct/>
              <w:adjustRightInd w:val="0"/>
              <w:snapToGrid w:val="0"/>
              <w:spacing w:line="400" w:lineRule="exact"/>
              <w:ind w:firstLine="420" w:firstLineChars="200"/>
              <w:jc w:val="left"/>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 xml:space="preserve">②其他废物 </w:t>
            </w:r>
          </w:p>
          <w:p w14:paraId="24A054C3">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eastAsia="宋体"/>
                <w:b w:val="0"/>
                <w:bCs/>
                <w:color w:val="auto"/>
                <w:szCs w:val="21"/>
                <w:lang w:val="en-US" w:eastAsia="zh-CN"/>
              </w:rPr>
              <w:t>猫、狗宠物住院、诊疗产生的动物粪污经消毒处理后紧袋收集，置于加盖垃圾桶</w:t>
            </w:r>
            <w:r>
              <w:rPr>
                <w:rFonts w:hint="eastAsia"/>
                <w:b w:val="0"/>
                <w:bCs/>
                <w:color w:val="auto"/>
                <w:szCs w:val="21"/>
                <w:lang w:val="en-US" w:eastAsia="zh-CN"/>
              </w:rPr>
              <w:t>，</w:t>
            </w:r>
            <w:r>
              <w:rPr>
                <w:rFonts w:hint="eastAsia" w:eastAsia="宋体"/>
                <w:b w:val="0"/>
                <w:bCs/>
                <w:color w:val="auto"/>
                <w:szCs w:val="21"/>
                <w:lang w:val="en-US" w:eastAsia="zh-CN"/>
              </w:rPr>
              <w:t xml:space="preserve">与生活垃圾交环卫部门进行处置；生活垃圾以及宠物废毛交环卫部门统一收运；废紫外线灯管属于危险废物，分类收集后暂存于危险废物贮存库，定期交有资质处理单位处置。 </w:t>
            </w:r>
          </w:p>
          <w:p w14:paraId="372A1616">
            <w:pPr>
              <w:numPr>
                <w:ilvl w:val="0"/>
                <w:numId w:val="0"/>
              </w:numPr>
              <w:topLinePunct/>
              <w:adjustRightInd w:val="0"/>
              <w:snapToGrid w:val="0"/>
              <w:spacing w:line="400" w:lineRule="exact"/>
              <w:ind w:firstLine="420" w:firstLineChars="200"/>
              <w:jc w:val="left"/>
              <w:rPr>
                <w:rFonts w:hint="eastAsia" w:eastAsia="宋体"/>
                <w:b w:val="0"/>
                <w:bCs/>
                <w:color w:val="auto"/>
                <w:szCs w:val="21"/>
                <w:lang w:val="en-US" w:eastAsia="zh-CN"/>
              </w:rPr>
            </w:pPr>
            <w:r>
              <w:rPr>
                <w:rFonts w:hint="eastAsia"/>
                <w:b w:val="0"/>
                <w:bCs/>
                <w:color w:val="auto"/>
                <w:szCs w:val="21"/>
                <w:lang w:val="en-US" w:eastAsia="zh-CN"/>
              </w:rPr>
              <w:t>综上，</w:t>
            </w:r>
            <w:r>
              <w:rPr>
                <w:rFonts w:hint="eastAsia" w:eastAsia="宋体"/>
                <w:b w:val="0"/>
                <w:bCs/>
                <w:color w:val="auto"/>
                <w:szCs w:val="21"/>
                <w:lang w:val="en-US" w:eastAsia="zh-CN"/>
              </w:rPr>
              <w:t>项目固体废物经上述处理后，不会对周围环境产生明显影响</w:t>
            </w:r>
            <w:r>
              <w:rPr>
                <w:rFonts w:hint="eastAsia"/>
                <w:b w:val="0"/>
                <w:bCs/>
                <w:color w:val="auto"/>
                <w:szCs w:val="21"/>
                <w:lang w:val="en-US" w:eastAsia="zh-CN"/>
              </w:rPr>
              <w:t>，</w:t>
            </w:r>
            <w:r>
              <w:rPr>
                <w:rFonts w:hint="eastAsia" w:eastAsia="宋体"/>
                <w:b w:val="0"/>
                <w:bCs/>
                <w:color w:val="auto"/>
                <w:szCs w:val="21"/>
                <w:lang w:val="en-US" w:eastAsia="zh-CN"/>
              </w:rPr>
              <w:t>符合《中华人民共和国固体废物污染环境防治法》中的相关规定。其中，医疗废物符合《医疗废物管理条例》（2011 修正本）、《医疗卫生机构医疗废物管理办法》（卫生部令第36号）、《医疗废物专用包装袋、容器和警示标志标准》（HJ421-2008）中的有关规定。</w:t>
            </w:r>
          </w:p>
          <w:p w14:paraId="329967F5">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2.5</w:t>
            </w:r>
            <w:r>
              <w:rPr>
                <w:rFonts w:hint="default" w:ascii="Times New Roman" w:hAnsi="Times New Roman" w:eastAsia="宋体" w:cs="Times New Roman"/>
                <w:b/>
                <w:bCs/>
                <w:color w:val="auto"/>
                <w:sz w:val="21"/>
                <w:szCs w:val="21"/>
              </w:rPr>
              <w:t>地下水及土壤环境影响及保护措施</w:t>
            </w:r>
          </w:p>
          <w:p w14:paraId="13B9DB4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highlight w:val="none"/>
                <w:lang w:eastAsia="zh-CN" w:bidi="ar"/>
              </w:rPr>
              <w:t>项目运营期间排放的废气污染物主要为异味，排放量较小，且项目位于城市建成区，周边地面均进行了硬化处理，无污染地下水和土壤的途径，废气不会对其产生影响</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eastAsia="zh-CN" w:bidi="ar"/>
              </w:rPr>
              <w:t>项目废水主要是医疗废水、生活污水、洗浴废水，废水污染物主要包括 pH、COD、BOD</w:t>
            </w:r>
            <w:r>
              <w:rPr>
                <w:rFonts w:hint="default" w:ascii="Times New Roman" w:hAnsi="Times New Roman"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eastAsia="zh-CN" w:bidi="ar"/>
              </w:rPr>
              <w:t>、SS、NH</w:t>
            </w:r>
            <w:r>
              <w:rPr>
                <w:rFonts w:hint="default" w:ascii="Times New Roman" w:hAnsi="Times New Roman"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eastAsia="zh-CN" w:bidi="ar"/>
              </w:rPr>
              <w:t>-N、LAS、粪大肠菌群、总余</w:t>
            </w:r>
            <w:r>
              <w:rPr>
                <w:rFonts w:hint="default" w:ascii="Times New Roman" w:hAnsi="Times New Roman" w:cs="Times New Roman"/>
                <w:color w:val="auto"/>
                <w:kern w:val="0"/>
                <w:sz w:val="21"/>
                <w:szCs w:val="21"/>
                <w:highlight w:val="none"/>
                <w:lang w:val="en-US" w:eastAsia="zh-CN" w:bidi="ar"/>
              </w:rPr>
              <w:t>氯</w:t>
            </w:r>
            <w:r>
              <w:rPr>
                <w:rFonts w:hint="default" w:ascii="Times New Roman" w:hAnsi="Times New Roman" w:eastAsia="宋体" w:cs="Times New Roman"/>
                <w:color w:val="auto"/>
                <w:kern w:val="0"/>
                <w:sz w:val="21"/>
                <w:szCs w:val="21"/>
                <w:highlight w:val="none"/>
                <w:lang w:eastAsia="zh-CN" w:bidi="ar"/>
              </w:rPr>
              <w:t>等不涉及重金属及持久性污染物</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eastAsia="zh-CN" w:bidi="ar"/>
              </w:rPr>
              <w:t>危废贮存点</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eastAsia="zh-CN" w:bidi="ar"/>
              </w:rPr>
              <w:t>含医疗废物暂存</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eastAsia="zh-CN" w:bidi="ar"/>
              </w:rPr>
              <w:t>等区域均进行了防渗处理，且项目所在区域无地下水集中式饮用水源和热水、矿泉水、温泉等特殊地下水资源，地下水环境不敏感，项目排放的污染物不会对地下水及土壤产生影响。</w:t>
            </w:r>
          </w:p>
          <w:p w14:paraId="37EA480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b/>
                <w:bCs/>
                <w:color w:val="auto"/>
              </w:rPr>
            </w:pPr>
            <w:r>
              <w:rPr>
                <w:rFonts w:hint="default"/>
                <w:b/>
                <w:bCs/>
                <w:color w:val="auto"/>
              </w:rPr>
              <w:t>4.</w:t>
            </w:r>
            <w:r>
              <w:rPr>
                <w:rFonts w:hint="eastAsia"/>
                <w:b/>
                <w:bCs/>
                <w:color w:val="auto"/>
                <w:lang w:val="en-US" w:eastAsia="zh-CN"/>
              </w:rPr>
              <w:t>2.6</w:t>
            </w:r>
            <w:r>
              <w:rPr>
                <w:rFonts w:hint="default"/>
                <w:b/>
                <w:bCs/>
                <w:color w:val="auto"/>
              </w:rPr>
              <w:t>环境风险环境影响及保护措施</w:t>
            </w:r>
          </w:p>
          <w:p w14:paraId="33535806">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default" w:ascii="Times New Roman" w:hAnsi="Times New Roman" w:eastAsia="宋体" w:cs="Times New Roman"/>
                <w:b/>
                <w:bCs/>
                <w:color w:val="auto"/>
                <w:spacing w:val="0"/>
                <w:szCs w:val="21"/>
              </w:rPr>
            </w:pPr>
            <w:r>
              <w:rPr>
                <w:rFonts w:hint="default" w:ascii="Times New Roman" w:hAnsi="Times New Roman" w:eastAsia="宋体" w:cs="Times New Roman"/>
                <w:b/>
                <w:bCs/>
                <w:color w:val="auto"/>
                <w:spacing w:val="0"/>
                <w:szCs w:val="21"/>
              </w:rPr>
              <w:t>（1）风险源调查</w:t>
            </w:r>
          </w:p>
          <w:p w14:paraId="10251D6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eastAsia="宋体"/>
                <w:color w:val="auto"/>
                <w:szCs w:val="21"/>
                <w:lang w:val="en-US" w:eastAsia="zh-CN"/>
              </w:rPr>
            </w:pPr>
            <w:r>
              <w:rPr>
                <w:rFonts w:hint="default" w:eastAsia="宋体"/>
                <w:color w:val="auto"/>
                <w:szCs w:val="21"/>
              </w:rPr>
              <w:t>按照《建设项目环境风险评价技术导则》（HJ169-2018）附录中附录B</w:t>
            </w:r>
            <w:r>
              <w:rPr>
                <w:rFonts w:hint="eastAsia" w:eastAsia="宋体"/>
                <w:color w:val="auto"/>
                <w:szCs w:val="21"/>
                <w:lang w:eastAsia="zh-CN"/>
              </w:rPr>
              <w:t>，项目风险物质及储存量见下表。</w:t>
            </w:r>
          </w:p>
          <w:p w14:paraId="7EBACF9A">
            <w:pPr>
              <w:adjustRightInd w:val="0"/>
              <w:snapToGrid w:val="0"/>
              <w:spacing w:line="400" w:lineRule="exact"/>
              <w:jc w:val="center"/>
              <w:rPr>
                <w:rFonts w:hint="default" w:eastAsia="宋体"/>
                <w:b/>
                <w:color w:val="auto"/>
                <w:szCs w:val="21"/>
              </w:rPr>
            </w:pPr>
            <w:r>
              <w:rPr>
                <w:rFonts w:hint="eastAsia" w:eastAsia="宋体"/>
                <w:b/>
                <w:color w:val="auto"/>
                <w:szCs w:val="21"/>
                <w:lang w:val="en-US" w:eastAsia="zh-CN"/>
              </w:rPr>
              <w:t xml:space="preserve">表4-8 </w:t>
            </w:r>
            <w:r>
              <w:rPr>
                <w:rFonts w:hint="default" w:eastAsia="宋体"/>
                <w:b/>
                <w:color w:val="auto"/>
                <w:szCs w:val="21"/>
                <w:lang w:val="en-US" w:eastAsia="zh-CN"/>
              </w:rPr>
              <w:t xml:space="preserve"> </w:t>
            </w:r>
            <w:r>
              <w:rPr>
                <w:rFonts w:hint="eastAsia" w:eastAsia="宋体"/>
                <w:b/>
                <w:color w:val="auto"/>
                <w:szCs w:val="21"/>
                <w:lang w:val="en-US" w:eastAsia="zh-CN"/>
              </w:rPr>
              <w:t>项目风险物质储存情况见下表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133"/>
              <w:gridCol w:w="2167"/>
              <w:gridCol w:w="2178"/>
            </w:tblGrid>
            <w:tr w14:paraId="0507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9" w:type="dxa"/>
                  <w:noWrap w:val="0"/>
                  <w:vAlign w:val="center"/>
                </w:tcPr>
                <w:p w14:paraId="0D1F6EC7">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序号</w:t>
                  </w:r>
                </w:p>
              </w:tc>
              <w:tc>
                <w:tcPr>
                  <w:tcW w:w="2133" w:type="dxa"/>
                  <w:noWrap w:val="0"/>
                  <w:vAlign w:val="center"/>
                </w:tcPr>
                <w:p w14:paraId="05307512">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名称</w:t>
                  </w:r>
                </w:p>
              </w:tc>
              <w:tc>
                <w:tcPr>
                  <w:tcW w:w="2167" w:type="dxa"/>
                  <w:noWrap w:val="0"/>
                  <w:vAlign w:val="center"/>
                </w:tcPr>
                <w:p w14:paraId="3C419049">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储存位置</w:t>
                  </w:r>
                </w:p>
              </w:tc>
              <w:tc>
                <w:tcPr>
                  <w:tcW w:w="2177" w:type="dxa"/>
                  <w:noWrap w:val="0"/>
                  <w:vAlign w:val="center"/>
                </w:tcPr>
                <w:p w14:paraId="6B297CF7">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最大储存量（t）</w:t>
                  </w:r>
                </w:p>
              </w:tc>
            </w:tr>
            <w:tr w14:paraId="1E87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59" w:type="dxa"/>
                  <w:noWrap w:val="0"/>
                  <w:vAlign w:val="center"/>
                </w:tcPr>
                <w:p w14:paraId="3116CF62">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w:t>
                  </w:r>
                </w:p>
              </w:tc>
              <w:tc>
                <w:tcPr>
                  <w:tcW w:w="2133" w:type="dxa"/>
                  <w:noWrap w:val="0"/>
                  <w:vAlign w:val="center"/>
                </w:tcPr>
                <w:p w14:paraId="578E48D3">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二氧化氯消毒片</w:t>
                  </w:r>
                </w:p>
              </w:tc>
              <w:tc>
                <w:tcPr>
                  <w:tcW w:w="2167" w:type="dxa"/>
                  <w:noWrap w:val="0"/>
                  <w:vAlign w:val="center"/>
                </w:tcPr>
                <w:p w14:paraId="64250A0A">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手术室</w:t>
                  </w:r>
                </w:p>
              </w:tc>
              <w:tc>
                <w:tcPr>
                  <w:tcW w:w="2177" w:type="dxa"/>
                  <w:noWrap w:val="0"/>
                  <w:vAlign w:val="center"/>
                </w:tcPr>
                <w:p w14:paraId="22C48896">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0.005</w:t>
                  </w:r>
                </w:p>
              </w:tc>
            </w:tr>
            <w:tr w14:paraId="322F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59" w:type="dxa"/>
                  <w:noWrap w:val="0"/>
                  <w:vAlign w:val="center"/>
                </w:tcPr>
                <w:p w14:paraId="64D38DCC">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w:t>
                  </w:r>
                </w:p>
              </w:tc>
              <w:tc>
                <w:tcPr>
                  <w:tcW w:w="2133" w:type="dxa"/>
                  <w:noWrap w:val="0"/>
                  <w:vAlign w:val="center"/>
                </w:tcPr>
                <w:p w14:paraId="157A5197">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84消毒液</w:t>
                  </w:r>
                </w:p>
              </w:tc>
              <w:tc>
                <w:tcPr>
                  <w:tcW w:w="2167" w:type="dxa"/>
                  <w:noWrap w:val="0"/>
                  <w:vAlign w:val="center"/>
                </w:tcPr>
                <w:p w14:paraId="0F0CA184">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手术室</w:t>
                  </w:r>
                </w:p>
              </w:tc>
              <w:tc>
                <w:tcPr>
                  <w:tcW w:w="2177" w:type="dxa"/>
                  <w:noWrap w:val="0"/>
                  <w:vAlign w:val="center"/>
                </w:tcPr>
                <w:p w14:paraId="1A0D00E7">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cs="Times New Roman"/>
                      <w:color w:val="auto"/>
                      <w:sz w:val="18"/>
                      <w:szCs w:val="18"/>
                      <w:highlight w:val="none"/>
                      <w:lang w:val="en-US" w:eastAsia="zh-CN"/>
                    </w:rPr>
                    <w:t>0.005871</w:t>
                  </w:r>
                </w:p>
              </w:tc>
            </w:tr>
            <w:tr w14:paraId="4C89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59" w:type="dxa"/>
                  <w:noWrap w:val="0"/>
                  <w:vAlign w:val="center"/>
                </w:tcPr>
                <w:p w14:paraId="15056721">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3</w:t>
                  </w:r>
                </w:p>
              </w:tc>
              <w:tc>
                <w:tcPr>
                  <w:tcW w:w="2133" w:type="dxa"/>
                  <w:noWrap w:val="0"/>
                  <w:vAlign w:val="center"/>
                </w:tcPr>
                <w:p w14:paraId="79F60AC6">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酒精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75%</w:t>
                  </w:r>
                  <w:r>
                    <w:rPr>
                      <w:rFonts w:hint="default" w:ascii="Times New Roman" w:hAnsi="Times New Roman" w:cs="Times New Roman"/>
                      <w:color w:val="auto"/>
                      <w:sz w:val="18"/>
                      <w:szCs w:val="18"/>
                      <w:lang w:eastAsia="zh-CN"/>
                    </w:rPr>
                    <w:t>）</w:t>
                  </w:r>
                </w:p>
              </w:tc>
              <w:tc>
                <w:tcPr>
                  <w:tcW w:w="2167" w:type="dxa"/>
                  <w:noWrap w:val="0"/>
                  <w:vAlign w:val="center"/>
                </w:tcPr>
                <w:p w14:paraId="1597C5F7">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药房</w:t>
                  </w:r>
                </w:p>
              </w:tc>
              <w:tc>
                <w:tcPr>
                  <w:tcW w:w="2177" w:type="dxa"/>
                  <w:noWrap w:val="0"/>
                  <w:vAlign w:val="center"/>
                </w:tcPr>
                <w:p w14:paraId="73824949">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0.0</w:t>
                  </w:r>
                  <w:r>
                    <w:rPr>
                      <w:rFonts w:hint="eastAsia" w:ascii="Times New Roman" w:hAnsi="Times New Roman" w:cs="Times New Roman"/>
                      <w:bCs/>
                      <w:color w:val="auto"/>
                      <w:sz w:val="18"/>
                      <w:szCs w:val="18"/>
                      <w:highlight w:val="none"/>
                      <w:vertAlign w:val="baseline"/>
                      <w:lang w:val="en-US" w:eastAsia="zh-CN"/>
                    </w:rPr>
                    <w:t>43</w:t>
                  </w:r>
                </w:p>
              </w:tc>
            </w:tr>
            <w:tr w14:paraId="3597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59" w:type="dxa"/>
                  <w:noWrap w:val="0"/>
                  <w:vAlign w:val="center"/>
                </w:tcPr>
                <w:p w14:paraId="554B57FD">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cs="Times New Roman"/>
                      <w:bCs/>
                      <w:color w:val="auto"/>
                      <w:sz w:val="18"/>
                      <w:szCs w:val="18"/>
                      <w:highlight w:val="none"/>
                      <w:vertAlign w:val="baseline"/>
                      <w:lang w:val="en-US" w:eastAsia="zh-CN"/>
                    </w:rPr>
                    <w:t>4</w:t>
                  </w:r>
                </w:p>
              </w:tc>
              <w:tc>
                <w:tcPr>
                  <w:tcW w:w="2133" w:type="dxa"/>
                  <w:noWrap w:val="0"/>
                  <w:vAlign w:val="center"/>
                </w:tcPr>
                <w:p w14:paraId="471D2CCD">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cs="Times New Roman"/>
                      <w:bCs/>
                      <w:color w:val="auto"/>
                      <w:sz w:val="18"/>
                      <w:szCs w:val="18"/>
                      <w:highlight w:val="none"/>
                      <w:vertAlign w:val="baseline"/>
                      <w:lang w:val="en-US" w:eastAsia="zh-CN"/>
                    </w:rPr>
                    <w:t>危险废物</w:t>
                  </w:r>
                </w:p>
              </w:tc>
              <w:tc>
                <w:tcPr>
                  <w:tcW w:w="2167" w:type="dxa"/>
                  <w:noWrap w:val="0"/>
                  <w:vAlign w:val="center"/>
                </w:tcPr>
                <w:p w14:paraId="4F219612">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危险废物贮存点</w:t>
                  </w:r>
                </w:p>
              </w:tc>
              <w:tc>
                <w:tcPr>
                  <w:tcW w:w="2177" w:type="dxa"/>
                  <w:noWrap w:val="0"/>
                  <w:vAlign w:val="center"/>
                </w:tcPr>
                <w:p w14:paraId="4CF69B10">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0.701</w:t>
                  </w:r>
                </w:p>
              </w:tc>
            </w:tr>
            <w:tr w14:paraId="5682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936" w:type="dxa"/>
                  <w:gridSpan w:val="4"/>
                  <w:noWrap w:val="0"/>
                  <w:vAlign w:val="center"/>
                </w:tcPr>
                <w:p w14:paraId="4D5A5488">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both"/>
                    <w:textAlignment w:val="auto"/>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cs="Times New Roman"/>
                      <w:bCs/>
                      <w:color w:val="auto"/>
                      <w:sz w:val="18"/>
                      <w:szCs w:val="18"/>
                      <w:highlight w:val="none"/>
                      <w:vertAlign w:val="baseline"/>
                      <w:lang w:val="en-US" w:eastAsia="zh-CN"/>
                    </w:rPr>
                    <w:t>注：84消毒液密度约为1.1742g/cm</w:t>
                  </w:r>
                  <w:r>
                    <w:rPr>
                      <w:rFonts w:hint="default" w:ascii="Times New Roman" w:hAnsi="Times New Roman" w:cs="Times New Roman"/>
                      <w:bCs/>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vertAlign w:val="baseline"/>
                      <w:lang w:val="en-US" w:eastAsia="zh-CN"/>
                    </w:rPr>
                    <w:t>。</w:t>
                  </w:r>
                </w:p>
              </w:tc>
            </w:tr>
          </w:tbl>
          <w:p w14:paraId="08B89001">
            <w:pPr>
              <w:pStyle w:val="39"/>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（2）Q值判定</w:t>
            </w:r>
          </w:p>
          <w:p w14:paraId="15539BC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当只涉及一种危险物质时，计算该物质的总量与其临界量比值，即为</w:t>
            </w:r>
            <w:r>
              <w:rPr>
                <w:rFonts w:hint="default" w:ascii="Times New Roman" w:hAnsi="Times New Roman" w:eastAsia="宋体" w:cs="Times New Roman"/>
                <w:bCs/>
                <w:color w:val="auto"/>
                <w:spacing w:val="0"/>
                <w:szCs w:val="21"/>
              </w:rPr>
              <w:t>Q；</w:t>
            </w:r>
          </w:p>
          <w:p w14:paraId="3AD433D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当存在多种危险物质时，按下式计算物质总量与其临界量比值</w:t>
            </w:r>
            <w:r>
              <w:rPr>
                <w:rFonts w:hint="default" w:ascii="Times New Roman" w:hAnsi="Times New Roman" w:eastAsia="宋体" w:cs="Times New Roman"/>
                <w:bCs/>
                <w:color w:val="auto"/>
                <w:spacing w:val="0"/>
                <w:szCs w:val="21"/>
              </w:rPr>
              <w:t>（Q）</w:t>
            </w:r>
            <w:r>
              <w:rPr>
                <w:rFonts w:hint="default" w:ascii="Times New Roman" w:hAnsi="Times New Roman" w:eastAsia="宋体" w:cs="Times New Roman"/>
                <w:color w:val="auto"/>
                <w:spacing w:val="0"/>
                <w:szCs w:val="21"/>
              </w:rPr>
              <w:t>：</w:t>
            </w:r>
          </w:p>
          <w:p w14:paraId="6E2FEA87">
            <w:pPr>
              <w:adjustRightInd w:val="0"/>
              <w:snapToGrid w:val="0"/>
              <w:spacing w:line="360" w:lineRule="auto"/>
              <w:ind w:firstLine="420" w:firstLineChars="200"/>
              <w:rPr>
                <w:rFonts w:hint="default" w:ascii="Times New Roman" w:hAnsi="Times New Roman" w:eastAsia="宋体" w:cs="Times New Roman"/>
                <w:color w:val="auto"/>
                <w:spacing w:val="0"/>
                <w:szCs w:val="21"/>
              </w:rPr>
            </w:pPr>
          </w:p>
          <w:p w14:paraId="3F31EEC9">
            <w:pPr>
              <w:adjustRightInd w:val="0"/>
              <w:snapToGrid w:val="0"/>
              <w:spacing w:line="360" w:lineRule="auto"/>
              <w:ind w:firstLine="420" w:firstLineChars="200"/>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rPr>
              <w:drawing>
                <wp:anchor distT="0" distB="0" distL="114300" distR="114300" simplePos="0" relativeHeight="251661312" behindDoc="0" locked="0" layoutInCell="1" allowOverlap="1">
                  <wp:simplePos x="0" y="0"/>
                  <wp:positionH relativeFrom="column">
                    <wp:posOffset>1778000</wp:posOffset>
                  </wp:positionH>
                  <wp:positionV relativeFrom="paragraph">
                    <wp:posOffset>87630</wp:posOffset>
                  </wp:positionV>
                  <wp:extent cx="1155700" cy="370840"/>
                  <wp:effectExtent l="0" t="0" r="6350" b="1016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1155700" cy="370840"/>
                          </a:xfrm>
                          <a:prstGeom prst="rect">
                            <a:avLst/>
                          </a:prstGeom>
                          <a:noFill/>
                          <a:ln>
                            <a:noFill/>
                          </a:ln>
                        </pic:spPr>
                      </pic:pic>
                    </a:graphicData>
                  </a:graphic>
                </wp:anchor>
              </w:drawing>
            </w:r>
          </w:p>
          <w:p w14:paraId="297A749E">
            <w:pPr>
              <w:adjustRightInd w:val="0"/>
              <w:snapToGrid w:val="0"/>
              <w:spacing w:line="360" w:lineRule="auto"/>
              <w:ind w:firstLine="420" w:firstLineChars="200"/>
              <w:rPr>
                <w:rFonts w:hint="default" w:ascii="Times New Roman" w:hAnsi="Times New Roman" w:eastAsia="宋体" w:cs="Times New Roman"/>
                <w:color w:val="auto"/>
                <w:spacing w:val="0"/>
                <w:szCs w:val="21"/>
              </w:rPr>
            </w:pPr>
          </w:p>
          <w:p w14:paraId="04309C28">
            <w:pPr>
              <w:keepNext w:val="0"/>
              <w:keepLines w:val="0"/>
              <w:pageBreakBefore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式中：q</w:t>
            </w:r>
            <w:r>
              <w:rPr>
                <w:rFonts w:hint="default" w:ascii="Times New Roman" w:hAnsi="Times New Roman" w:eastAsia="宋体" w:cs="Times New Roman"/>
                <w:color w:val="auto"/>
                <w:spacing w:val="0"/>
                <w:szCs w:val="21"/>
                <w:vertAlign w:val="subscript"/>
              </w:rPr>
              <w:t>1</w:t>
            </w:r>
            <w:r>
              <w:rPr>
                <w:rFonts w:hint="default" w:ascii="Times New Roman" w:hAnsi="Times New Roman" w:eastAsia="宋体" w:cs="Times New Roman"/>
                <w:color w:val="auto"/>
                <w:spacing w:val="0"/>
                <w:szCs w:val="21"/>
              </w:rPr>
              <w:t>，q</w:t>
            </w:r>
            <w:r>
              <w:rPr>
                <w:rFonts w:hint="default" w:ascii="Times New Roman" w:hAnsi="Times New Roman" w:eastAsia="宋体" w:cs="Times New Roman"/>
                <w:color w:val="auto"/>
                <w:spacing w:val="0"/>
                <w:szCs w:val="21"/>
                <w:vertAlign w:val="subscript"/>
              </w:rPr>
              <w:t>2</w:t>
            </w:r>
            <w:r>
              <w:rPr>
                <w:rFonts w:hint="default" w:ascii="Times New Roman" w:hAnsi="Times New Roman" w:eastAsia="宋体" w:cs="Times New Roman"/>
                <w:color w:val="auto"/>
                <w:spacing w:val="0"/>
                <w:szCs w:val="21"/>
              </w:rPr>
              <w:t>……q</w:t>
            </w:r>
            <w:r>
              <w:rPr>
                <w:rFonts w:hint="default" w:ascii="Times New Roman" w:hAnsi="Times New Roman" w:eastAsia="宋体" w:cs="Times New Roman"/>
                <w:color w:val="auto"/>
                <w:spacing w:val="0"/>
                <w:szCs w:val="21"/>
                <w:vertAlign w:val="subscript"/>
              </w:rPr>
              <w:t>n</w:t>
            </w:r>
            <w:r>
              <w:rPr>
                <w:rFonts w:hint="default" w:ascii="Times New Roman" w:hAnsi="Times New Roman" w:eastAsia="宋体" w:cs="Times New Roman"/>
                <w:color w:val="auto"/>
                <w:spacing w:val="0"/>
                <w:szCs w:val="21"/>
              </w:rPr>
              <w:t>——每种危险物质的最大存在总量，t；</w:t>
            </w:r>
          </w:p>
          <w:p w14:paraId="29953164">
            <w:pPr>
              <w:keepNext w:val="0"/>
              <w:keepLines w:val="0"/>
              <w:pageBreakBefore w:val="0"/>
              <w:kinsoku/>
              <w:wordWrap/>
              <w:overflowPunct/>
              <w:topLinePunct w:val="0"/>
              <w:autoSpaceDE/>
              <w:autoSpaceDN/>
              <w:bidi w:val="0"/>
              <w:adjustRightInd w:val="0"/>
              <w:snapToGrid w:val="0"/>
              <w:spacing w:line="400" w:lineRule="exact"/>
              <w:ind w:firstLine="1050" w:firstLineChars="50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Q</w:t>
            </w:r>
            <w:r>
              <w:rPr>
                <w:rFonts w:hint="default" w:ascii="Times New Roman" w:hAnsi="Times New Roman" w:eastAsia="宋体" w:cs="Times New Roman"/>
                <w:color w:val="auto"/>
                <w:spacing w:val="0"/>
                <w:szCs w:val="21"/>
                <w:vertAlign w:val="subscript"/>
              </w:rPr>
              <w:t>1</w:t>
            </w:r>
            <w:r>
              <w:rPr>
                <w:rFonts w:hint="default" w:ascii="Times New Roman" w:hAnsi="Times New Roman" w:eastAsia="宋体" w:cs="Times New Roman"/>
                <w:color w:val="auto"/>
                <w:spacing w:val="0"/>
                <w:szCs w:val="21"/>
              </w:rPr>
              <w:t>，Q</w:t>
            </w:r>
            <w:r>
              <w:rPr>
                <w:rFonts w:hint="default" w:ascii="Times New Roman" w:hAnsi="Times New Roman" w:eastAsia="宋体" w:cs="Times New Roman"/>
                <w:color w:val="auto"/>
                <w:spacing w:val="0"/>
                <w:szCs w:val="21"/>
                <w:vertAlign w:val="subscript"/>
              </w:rPr>
              <w:t>2</w:t>
            </w:r>
            <w:r>
              <w:rPr>
                <w:rFonts w:hint="default" w:ascii="Times New Roman" w:hAnsi="Times New Roman" w:eastAsia="宋体" w:cs="Times New Roman"/>
                <w:color w:val="auto"/>
                <w:spacing w:val="0"/>
                <w:szCs w:val="21"/>
              </w:rPr>
              <w:t>……Q</w:t>
            </w:r>
            <w:r>
              <w:rPr>
                <w:rFonts w:hint="default" w:ascii="Times New Roman" w:hAnsi="Times New Roman" w:eastAsia="宋体" w:cs="Times New Roman"/>
                <w:color w:val="auto"/>
                <w:spacing w:val="0"/>
                <w:szCs w:val="21"/>
                <w:vertAlign w:val="subscript"/>
              </w:rPr>
              <w:t>n</w:t>
            </w:r>
            <w:r>
              <w:rPr>
                <w:rFonts w:hint="default" w:ascii="Times New Roman" w:hAnsi="Times New Roman" w:eastAsia="宋体" w:cs="Times New Roman"/>
                <w:color w:val="auto"/>
                <w:spacing w:val="0"/>
                <w:szCs w:val="21"/>
              </w:rPr>
              <w:t>——每种危险物质的临界量，t。</w:t>
            </w:r>
          </w:p>
          <w:p w14:paraId="3587063E">
            <w:pPr>
              <w:keepNext w:val="0"/>
              <w:keepLines w:val="0"/>
              <w:pageBreakBefore w:val="0"/>
              <w:kinsoku/>
              <w:wordWrap/>
              <w:overflowPunct/>
              <w:topLinePunct w:val="0"/>
              <w:autoSpaceDE/>
              <w:autoSpaceDN/>
              <w:bidi w:val="0"/>
              <w:adjustRightInd w:val="0"/>
              <w:snapToGrid w:val="0"/>
              <w:spacing w:line="400" w:lineRule="exact"/>
              <w:ind w:firstLine="1050" w:firstLineChars="50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当Q&lt;1，该项目环境风险潜势为І；</w:t>
            </w:r>
          </w:p>
          <w:p w14:paraId="3283EB50">
            <w:pPr>
              <w:keepNext w:val="0"/>
              <w:keepLines w:val="0"/>
              <w:pageBreakBefore w:val="0"/>
              <w:kinsoku/>
              <w:wordWrap/>
              <w:overflowPunct/>
              <w:topLinePunct w:val="0"/>
              <w:autoSpaceDE/>
              <w:autoSpaceDN/>
              <w:bidi w:val="0"/>
              <w:adjustRightInd w:val="0"/>
              <w:snapToGrid w:val="0"/>
              <w:spacing w:line="400" w:lineRule="exact"/>
              <w:ind w:firstLine="1050" w:firstLineChars="50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当Q≥1时，将Q值划分为：（1）1≤Q&lt;10；（2）10≤Q&lt;100；（3）Q≥100。</w:t>
            </w:r>
          </w:p>
          <w:p w14:paraId="10EDC851">
            <w:pPr>
              <w:keepNext w:val="0"/>
              <w:keepLines w:val="0"/>
              <w:pageBreakBefore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lang w:eastAsia="zh-CN"/>
              </w:rPr>
              <w:t>根据</w:t>
            </w:r>
            <w:r>
              <w:rPr>
                <w:rFonts w:hint="default" w:ascii="Times New Roman" w:hAnsi="Times New Roman" w:eastAsia="宋体" w:cs="Times New Roman"/>
                <w:color w:val="auto"/>
                <w:spacing w:val="0"/>
                <w:szCs w:val="21"/>
              </w:rPr>
              <w:t>《建设项目环境风险评价技术导则》（HJ169-2018）附录B，本项目</w:t>
            </w:r>
            <w:r>
              <w:rPr>
                <w:rFonts w:hint="default" w:ascii="Times New Roman" w:hAnsi="Times New Roman" w:eastAsia="宋体" w:cs="Times New Roman"/>
                <w:color w:val="auto"/>
                <w:spacing w:val="0"/>
                <w:szCs w:val="21"/>
                <w:lang w:eastAsia="zh-CN"/>
              </w:rPr>
              <w:t>涉及的危险物质与其临界量比值结果，见表4-</w:t>
            </w:r>
            <w:r>
              <w:rPr>
                <w:rFonts w:hint="eastAsia" w:ascii="Times New Roman" w:hAnsi="Times New Roman" w:cs="Times New Roman"/>
                <w:color w:val="auto"/>
                <w:spacing w:val="0"/>
                <w:szCs w:val="21"/>
                <w:lang w:val="en-US" w:eastAsia="zh-CN"/>
              </w:rPr>
              <w:t>9</w:t>
            </w:r>
            <w:r>
              <w:rPr>
                <w:rFonts w:hint="default" w:ascii="Times New Roman" w:hAnsi="Times New Roman" w:eastAsia="宋体" w:cs="Times New Roman"/>
                <w:color w:val="auto"/>
                <w:spacing w:val="0"/>
                <w:szCs w:val="21"/>
                <w:lang w:eastAsia="zh-CN"/>
              </w:rPr>
              <w:t>。</w:t>
            </w:r>
          </w:p>
          <w:p w14:paraId="7B7475E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color w:val="auto"/>
                <w:spacing w:val="0"/>
                <w:kern w:val="0"/>
                <w:szCs w:val="21"/>
              </w:rPr>
            </w:pPr>
            <w:r>
              <w:rPr>
                <w:rFonts w:hint="default" w:ascii="Times New Roman" w:hAnsi="Times New Roman" w:eastAsia="宋体" w:cs="Times New Roman"/>
                <w:b/>
                <w:bCs/>
                <w:color w:val="auto"/>
                <w:spacing w:val="0"/>
                <w:kern w:val="0"/>
                <w:szCs w:val="21"/>
              </w:rPr>
              <w:t>表</w:t>
            </w:r>
            <w:r>
              <w:rPr>
                <w:rFonts w:hint="default" w:ascii="Times New Roman" w:hAnsi="Times New Roman" w:eastAsia="宋体" w:cs="Times New Roman"/>
                <w:b/>
                <w:color w:val="auto"/>
                <w:spacing w:val="0"/>
                <w:szCs w:val="21"/>
              </w:rPr>
              <w:t>4-</w:t>
            </w:r>
            <w:r>
              <w:rPr>
                <w:rFonts w:hint="eastAsia" w:ascii="Times New Roman" w:hAnsi="Times New Roman" w:cs="Times New Roman"/>
                <w:b/>
                <w:color w:val="auto"/>
                <w:spacing w:val="0"/>
                <w:szCs w:val="21"/>
                <w:lang w:val="en-US" w:eastAsia="zh-CN"/>
              </w:rPr>
              <w:t>9</w:t>
            </w:r>
            <w:r>
              <w:rPr>
                <w:rFonts w:hint="default" w:ascii="Times New Roman" w:hAnsi="Times New Roman" w:eastAsia="宋体" w:cs="Times New Roman"/>
                <w:b/>
                <w:bCs/>
                <w:color w:val="auto"/>
                <w:spacing w:val="0"/>
                <w:kern w:val="0"/>
                <w:szCs w:val="21"/>
              </w:rPr>
              <w:t xml:space="preserve"> </w:t>
            </w:r>
            <w:r>
              <w:rPr>
                <w:rFonts w:hint="default" w:ascii="Times New Roman" w:hAnsi="Times New Roman" w:eastAsia="宋体" w:cs="Times New Roman"/>
                <w:b/>
                <w:bCs/>
                <w:color w:val="auto"/>
                <w:spacing w:val="0"/>
                <w:kern w:val="0"/>
                <w:szCs w:val="21"/>
                <w:lang w:val="en-US" w:eastAsia="zh-CN"/>
              </w:rPr>
              <w:t xml:space="preserve">  </w:t>
            </w:r>
            <w:r>
              <w:rPr>
                <w:rFonts w:hint="default" w:ascii="Times New Roman" w:hAnsi="Times New Roman" w:eastAsia="宋体" w:cs="Times New Roman"/>
                <w:b/>
                <w:bCs/>
                <w:color w:val="auto"/>
                <w:spacing w:val="0"/>
                <w:kern w:val="0"/>
                <w:szCs w:val="21"/>
              </w:rPr>
              <w:t>建设项目Q值确定表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518"/>
              <w:gridCol w:w="1600"/>
              <w:gridCol w:w="1400"/>
              <w:gridCol w:w="1386"/>
              <w:gridCol w:w="1422"/>
            </w:tblGrid>
            <w:tr w14:paraId="3519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11" w:type="dxa"/>
                  <w:tcBorders>
                    <w:tl2br w:val="nil"/>
                    <w:tr2bl w:val="nil"/>
                  </w:tcBorders>
                  <w:noWrap w:val="0"/>
                  <w:vAlign w:val="center"/>
                </w:tcPr>
                <w:p w14:paraId="413E8FDC">
                  <w:pPr>
                    <w:jc w:val="center"/>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序号</w:t>
                  </w:r>
                </w:p>
              </w:tc>
              <w:tc>
                <w:tcPr>
                  <w:tcW w:w="1518" w:type="dxa"/>
                  <w:tcBorders>
                    <w:tl2br w:val="nil"/>
                    <w:tr2bl w:val="nil"/>
                  </w:tcBorders>
                  <w:noWrap w:val="0"/>
                  <w:vAlign w:val="center"/>
                </w:tcPr>
                <w:p w14:paraId="750D69D8">
                  <w:pPr>
                    <w:jc w:val="center"/>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危险物质名称</w:t>
                  </w:r>
                </w:p>
              </w:tc>
              <w:tc>
                <w:tcPr>
                  <w:tcW w:w="1600" w:type="dxa"/>
                  <w:tcBorders>
                    <w:tl2br w:val="nil"/>
                    <w:tr2bl w:val="nil"/>
                  </w:tcBorders>
                  <w:noWrap w:val="0"/>
                  <w:vAlign w:val="center"/>
                </w:tcPr>
                <w:p w14:paraId="592602B0">
                  <w:pPr>
                    <w:jc w:val="center"/>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CAS号</w:t>
                  </w:r>
                </w:p>
              </w:tc>
              <w:tc>
                <w:tcPr>
                  <w:tcW w:w="1400" w:type="dxa"/>
                  <w:tcBorders>
                    <w:tl2br w:val="nil"/>
                    <w:tr2bl w:val="nil"/>
                  </w:tcBorders>
                  <w:noWrap w:val="0"/>
                  <w:vAlign w:val="center"/>
                </w:tcPr>
                <w:p w14:paraId="4D3AF301">
                  <w:pPr>
                    <w:jc w:val="center"/>
                    <w:rPr>
                      <w:rFonts w:hint="eastAsia"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rPr>
                    <w:t>最大</w:t>
                  </w:r>
                  <w:r>
                    <w:rPr>
                      <w:rFonts w:hint="eastAsia" w:ascii="Times New Roman" w:hAnsi="Times New Roman" w:cs="Times New Roman"/>
                      <w:color w:val="auto"/>
                      <w:spacing w:val="0"/>
                      <w:sz w:val="18"/>
                      <w:szCs w:val="18"/>
                      <w:lang w:val="en-US" w:eastAsia="zh-CN"/>
                    </w:rPr>
                    <w:t>储存</w:t>
                  </w:r>
                  <w:r>
                    <w:rPr>
                      <w:rFonts w:hint="default" w:ascii="Times New Roman" w:hAnsi="Times New Roman" w:eastAsia="宋体" w:cs="Times New Roman"/>
                      <w:color w:val="auto"/>
                      <w:spacing w:val="0"/>
                      <w:sz w:val="18"/>
                      <w:szCs w:val="18"/>
                    </w:rPr>
                    <w:t>总量q</w:t>
                  </w:r>
                  <w:r>
                    <w:rPr>
                      <w:rFonts w:hint="default" w:ascii="Times New Roman" w:hAnsi="Times New Roman" w:eastAsia="宋体" w:cs="Times New Roman"/>
                      <w:color w:val="auto"/>
                      <w:spacing w:val="0"/>
                      <w:sz w:val="18"/>
                      <w:szCs w:val="18"/>
                      <w:vertAlign w:val="subscript"/>
                    </w:rPr>
                    <w:t>n</w:t>
                  </w:r>
                  <w:r>
                    <w:rPr>
                      <w:rFonts w:hint="default" w:ascii="Times New Roman" w:hAnsi="Times New Roman" w:eastAsia="宋体" w:cs="Times New Roman"/>
                      <w:color w:val="auto"/>
                      <w:spacing w:val="0"/>
                      <w:sz w:val="18"/>
                      <w:szCs w:val="18"/>
                    </w:rPr>
                    <w:t>/</w:t>
                  </w:r>
                  <w:r>
                    <w:rPr>
                      <w:rFonts w:hint="eastAsia" w:ascii="Times New Roman" w:hAnsi="Times New Roman" w:cs="Times New Roman"/>
                      <w:color w:val="auto"/>
                      <w:spacing w:val="0"/>
                      <w:sz w:val="18"/>
                      <w:szCs w:val="18"/>
                      <w:lang w:val="en-US" w:eastAsia="zh-CN"/>
                    </w:rPr>
                    <w:t>t</w:t>
                  </w:r>
                </w:p>
              </w:tc>
              <w:tc>
                <w:tcPr>
                  <w:tcW w:w="1386" w:type="dxa"/>
                  <w:tcBorders>
                    <w:tl2br w:val="nil"/>
                    <w:tr2bl w:val="nil"/>
                  </w:tcBorders>
                  <w:noWrap w:val="0"/>
                  <w:vAlign w:val="center"/>
                </w:tcPr>
                <w:p w14:paraId="6B1CF36F">
                  <w:pPr>
                    <w:jc w:val="center"/>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临界量</w:t>
                  </w:r>
                </w:p>
                <w:p w14:paraId="48777E96">
                  <w:pPr>
                    <w:jc w:val="center"/>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Q</w:t>
                  </w:r>
                  <w:r>
                    <w:rPr>
                      <w:rFonts w:hint="default" w:ascii="Times New Roman" w:hAnsi="Times New Roman" w:eastAsia="宋体" w:cs="Times New Roman"/>
                      <w:color w:val="auto"/>
                      <w:spacing w:val="0"/>
                      <w:sz w:val="18"/>
                      <w:szCs w:val="18"/>
                      <w:vertAlign w:val="subscript"/>
                    </w:rPr>
                    <w:t>n</w:t>
                  </w:r>
                  <w:r>
                    <w:rPr>
                      <w:rFonts w:hint="default" w:ascii="Times New Roman" w:hAnsi="Times New Roman" w:eastAsia="宋体" w:cs="Times New Roman"/>
                      <w:color w:val="auto"/>
                      <w:spacing w:val="0"/>
                      <w:sz w:val="18"/>
                      <w:szCs w:val="18"/>
                    </w:rPr>
                    <w:t>/t</w:t>
                  </w:r>
                </w:p>
              </w:tc>
              <w:tc>
                <w:tcPr>
                  <w:tcW w:w="1422" w:type="dxa"/>
                  <w:tcBorders>
                    <w:tl2br w:val="nil"/>
                    <w:tr2bl w:val="nil"/>
                  </w:tcBorders>
                  <w:noWrap w:val="0"/>
                  <w:vAlign w:val="center"/>
                </w:tcPr>
                <w:p w14:paraId="15998C28">
                  <w:pPr>
                    <w:widowControl/>
                    <w:jc w:val="center"/>
                    <w:rPr>
                      <w:rFonts w:hint="default" w:ascii="Times New Roman" w:hAnsi="Times New Roman" w:eastAsia="宋体" w:cs="Times New Roman"/>
                      <w:color w:val="auto"/>
                      <w:spacing w:val="0"/>
                      <w:kern w:val="0"/>
                      <w:sz w:val="18"/>
                      <w:szCs w:val="18"/>
                    </w:rPr>
                  </w:pPr>
                  <w:r>
                    <w:rPr>
                      <w:rFonts w:hint="default" w:ascii="Times New Roman" w:hAnsi="Times New Roman" w:eastAsia="宋体" w:cs="Times New Roman"/>
                      <w:color w:val="auto"/>
                      <w:spacing w:val="0"/>
                      <w:kern w:val="0"/>
                      <w:sz w:val="18"/>
                      <w:szCs w:val="18"/>
                    </w:rPr>
                    <w:t>该种危险物质Q值</w:t>
                  </w:r>
                </w:p>
              </w:tc>
            </w:tr>
            <w:tr w14:paraId="3728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11" w:type="dxa"/>
                  <w:tcBorders>
                    <w:tl2br w:val="nil"/>
                    <w:tr2bl w:val="nil"/>
                  </w:tcBorders>
                  <w:noWrap w:val="0"/>
                  <w:vAlign w:val="center"/>
                </w:tcPr>
                <w:p w14:paraId="2D281634">
                  <w:pPr>
                    <w:snapToGrid w:val="0"/>
                    <w:jc w:val="center"/>
                    <w:rPr>
                      <w:rFonts w:hint="default" w:ascii="Times New Roman" w:hAnsi="Times New Roman" w:eastAsia="宋体" w:cs="Times New Roman"/>
                      <w:bCs/>
                      <w:color w:val="auto"/>
                      <w:spacing w:val="0"/>
                      <w:sz w:val="18"/>
                      <w:szCs w:val="18"/>
                      <w:lang w:val="en-US" w:eastAsia="zh-CN"/>
                    </w:rPr>
                  </w:pPr>
                  <w:r>
                    <w:rPr>
                      <w:rFonts w:hint="default" w:ascii="Times New Roman" w:hAnsi="Times New Roman" w:eastAsia="宋体" w:cs="Times New Roman"/>
                      <w:bCs/>
                      <w:color w:val="auto"/>
                      <w:spacing w:val="0"/>
                      <w:sz w:val="18"/>
                      <w:szCs w:val="18"/>
                      <w:lang w:val="en-US" w:eastAsia="zh-CN"/>
                    </w:rPr>
                    <w:t>1</w:t>
                  </w:r>
                </w:p>
              </w:tc>
              <w:tc>
                <w:tcPr>
                  <w:tcW w:w="1518" w:type="dxa"/>
                  <w:tcBorders>
                    <w:tl2br w:val="nil"/>
                    <w:tr2bl w:val="nil"/>
                  </w:tcBorders>
                  <w:shd w:val="clear" w:color="auto" w:fill="auto"/>
                  <w:noWrap w:val="0"/>
                  <w:vAlign w:val="center"/>
                </w:tcPr>
                <w:p w14:paraId="68639D50">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二氧化氯消毒片</w:t>
                  </w:r>
                </w:p>
              </w:tc>
              <w:tc>
                <w:tcPr>
                  <w:tcW w:w="1600" w:type="dxa"/>
                  <w:tcBorders>
                    <w:tl2br w:val="nil"/>
                    <w:tr2bl w:val="nil"/>
                  </w:tcBorders>
                  <w:shd w:val="clear" w:color="auto" w:fill="auto"/>
                  <w:noWrap w:val="0"/>
                  <w:vAlign w:val="center"/>
                </w:tcPr>
                <w:p w14:paraId="367FF1A8">
                  <w:pPr>
                    <w:pStyle w:val="7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10049-04-4</w:t>
                  </w:r>
                </w:p>
              </w:tc>
              <w:tc>
                <w:tcPr>
                  <w:tcW w:w="1400" w:type="dxa"/>
                  <w:tcBorders>
                    <w:tl2br w:val="nil"/>
                    <w:tr2bl w:val="nil"/>
                  </w:tcBorders>
                  <w:shd w:val="clear" w:color="auto" w:fill="auto"/>
                  <w:noWrap w:val="0"/>
                  <w:vAlign w:val="center"/>
                </w:tcPr>
                <w:p w14:paraId="4F7EEF87">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eastAsia" w:ascii="Times New Roman" w:hAnsi="Times New Roman" w:cs="Times New Roman"/>
                      <w:bCs/>
                      <w:color w:val="auto"/>
                      <w:sz w:val="18"/>
                      <w:szCs w:val="18"/>
                      <w:highlight w:val="none"/>
                      <w:vertAlign w:val="baseline"/>
                      <w:lang w:val="en-US" w:eastAsia="zh-CN"/>
                    </w:rPr>
                    <w:t>0.005</w:t>
                  </w:r>
                </w:p>
              </w:tc>
              <w:tc>
                <w:tcPr>
                  <w:tcW w:w="1386" w:type="dxa"/>
                  <w:tcBorders>
                    <w:tl2br w:val="nil"/>
                    <w:tr2bl w:val="nil"/>
                  </w:tcBorders>
                  <w:shd w:val="clear" w:color="auto" w:fill="auto"/>
                  <w:noWrap w:val="0"/>
                  <w:vAlign w:val="center"/>
                </w:tcPr>
                <w:p w14:paraId="535FBA62">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eastAsia="宋体" w:cs="Times New Roman"/>
                      <w:color w:val="auto"/>
                      <w:spacing w:val="0"/>
                      <w:kern w:val="2"/>
                      <w:sz w:val="18"/>
                      <w:szCs w:val="18"/>
                      <w:lang w:val="en-US" w:eastAsia="zh-CN" w:bidi="ar-SA"/>
                    </w:rPr>
                    <w:t>0.5</w:t>
                  </w:r>
                </w:p>
              </w:tc>
              <w:tc>
                <w:tcPr>
                  <w:tcW w:w="1422" w:type="dxa"/>
                  <w:tcBorders>
                    <w:tl2br w:val="nil"/>
                    <w:tr2bl w:val="nil"/>
                  </w:tcBorders>
                  <w:noWrap w:val="0"/>
                  <w:vAlign w:val="center"/>
                </w:tcPr>
                <w:p w14:paraId="1CFBAF7E">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eastAsia="宋体" w:cs="Times New Roman"/>
                      <w:color w:val="auto"/>
                      <w:spacing w:val="0"/>
                      <w:kern w:val="2"/>
                      <w:sz w:val="18"/>
                      <w:szCs w:val="18"/>
                      <w:lang w:val="en-US" w:eastAsia="zh-CN" w:bidi="ar-SA"/>
                    </w:rPr>
                    <w:t>0.01</w:t>
                  </w:r>
                </w:p>
              </w:tc>
            </w:tr>
            <w:tr w14:paraId="683F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11" w:type="dxa"/>
                  <w:tcBorders>
                    <w:tl2br w:val="nil"/>
                    <w:tr2bl w:val="nil"/>
                  </w:tcBorders>
                  <w:noWrap w:val="0"/>
                  <w:vAlign w:val="center"/>
                </w:tcPr>
                <w:p w14:paraId="0267B819">
                  <w:pPr>
                    <w:snapToGrid w:val="0"/>
                    <w:jc w:val="center"/>
                    <w:rPr>
                      <w:rFonts w:hint="default" w:ascii="Times New Roman" w:hAnsi="Times New Roman" w:eastAsia="宋体" w:cs="Times New Roman"/>
                      <w:bCs/>
                      <w:color w:val="auto"/>
                      <w:spacing w:val="0"/>
                      <w:sz w:val="18"/>
                      <w:szCs w:val="18"/>
                      <w:lang w:val="en-US" w:eastAsia="zh-CN"/>
                    </w:rPr>
                  </w:pPr>
                  <w:r>
                    <w:rPr>
                      <w:rFonts w:hint="default" w:ascii="Times New Roman" w:hAnsi="Times New Roman" w:cs="Times New Roman"/>
                      <w:bCs/>
                      <w:color w:val="auto"/>
                      <w:spacing w:val="0"/>
                      <w:sz w:val="18"/>
                      <w:szCs w:val="18"/>
                      <w:lang w:val="en-US" w:eastAsia="zh-CN"/>
                    </w:rPr>
                    <w:t>2</w:t>
                  </w:r>
                </w:p>
              </w:tc>
              <w:tc>
                <w:tcPr>
                  <w:tcW w:w="1518" w:type="dxa"/>
                  <w:tcBorders>
                    <w:tl2br w:val="nil"/>
                    <w:tr2bl w:val="nil"/>
                  </w:tcBorders>
                  <w:shd w:val="clear" w:color="auto" w:fill="auto"/>
                  <w:noWrap w:val="0"/>
                  <w:vAlign w:val="center"/>
                </w:tcPr>
                <w:p w14:paraId="3FAA7E82">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84消毒液</w:t>
                  </w:r>
                </w:p>
              </w:tc>
              <w:tc>
                <w:tcPr>
                  <w:tcW w:w="1600" w:type="dxa"/>
                  <w:tcBorders>
                    <w:tl2br w:val="nil"/>
                    <w:tr2bl w:val="nil"/>
                  </w:tcBorders>
                  <w:shd w:val="clear" w:color="auto" w:fill="auto"/>
                  <w:noWrap w:val="0"/>
                  <w:vAlign w:val="center"/>
                </w:tcPr>
                <w:p w14:paraId="3740F876">
                  <w:pPr>
                    <w:pStyle w:val="7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7681-52-9</w:t>
                  </w:r>
                </w:p>
              </w:tc>
              <w:tc>
                <w:tcPr>
                  <w:tcW w:w="1400" w:type="dxa"/>
                  <w:tcBorders>
                    <w:tl2br w:val="nil"/>
                    <w:tr2bl w:val="nil"/>
                  </w:tcBorders>
                  <w:shd w:val="clear" w:color="auto" w:fill="auto"/>
                  <w:noWrap w:val="0"/>
                  <w:vAlign w:val="center"/>
                </w:tcPr>
                <w:p w14:paraId="5C79F065">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eastAsia" w:ascii="Times New Roman" w:hAnsi="Times New Roman" w:cs="Times New Roman"/>
                      <w:bCs/>
                      <w:color w:val="auto"/>
                      <w:sz w:val="18"/>
                      <w:szCs w:val="18"/>
                      <w:highlight w:val="none"/>
                      <w:vertAlign w:val="baseline"/>
                      <w:lang w:val="en-US" w:eastAsia="zh-CN"/>
                    </w:rPr>
                    <w:t>0.005871</w:t>
                  </w:r>
                </w:p>
              </w:tc>
              <w:tc>
                <w:tcPr>
                  <w:tcW w:w="1386" w:type="dxa"/>
                  <w:tcBorders>
                    <w:tl2br w:val="nil"/>
                    <w:tr2bl w:val="nil"/>
                  </w:tcBorders>
                  <w:shd w:val="clear" w:color="auto" w:fill="auto"/>
                  <w:noWrap w:val="0"/>
                  <w:vAlign w:val="center"/>
                </w:tcPr>
                <w:p w14:paraId="60B084AE">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cs="Times New Roman"/>
                      <w:color w:val="auto"/>
                      <w:spacing w:val="0"/>
                      <w:kern w:val="2"/>
                      <w:sz w:val="18"/>
                      <w:szCs w:val="18"/>
                      <w:lang w:val="en-US" w:eastAsia="zh-CN" w:bidi="ar-SA"/>
                    </w:rPr>
                    <w:t>5</w:t>
                  </w:r>
                </w:p>
              </w:tc>
              <w:tc>
                <w:tcPr>
                  <w:tcW w:w="1422" w:type="dxa"/>
                  <w:tcBorders>
                    <w:tl2br w:val="nil"/>
                    <w:tr2bl w:val="nil"/>
                  </w:tcBorders>
                  <w:noWrap w:val="0"/>
                  <w:vAlign w:val="center"/>
                </w:tcPr>
                <w:p w14:paraId="1E21FCB7">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cs="Times New Roman"/>
                      <w:color w:val="auto"/>
                      <w:spacing w:val="0"/>
                      <w:kern w:val="2"/>
                      <w:sz w:val="18"/>
                      <w:szCs w:val="18"/>
                      <w:lang w:val="en-US" w:eastAsia="zh-CN" w:bidi="ar-SA"/>
                    </w:rPr>
                    <w:t>0.0012</w:t>
                  </w:r>
                </w:p>
              </w:tc>
            </w:tr>
            <w:tr w14:paraId="7EFA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noWrap w:val="0"/>
                  <w:vAlign w:val="center"/>
                </w:tcPr>
                <w:p w14:paraId="71C3ECDE">
                  <w:pPr>
                    <w:snapToGrid w:val="0"/>
                    <w:jc w:val="center"/>
                    <w:rPr>
                      <w:rFonts w:hint="default" w:ascii="Times New Roman" w:hAnsi="Times New Roman" w:cs="Times New Roman"/>
                      <w:bCs/>
                      <w:color w:val="auto"/>
                      <w:spacing w:val="0"/>
                      <w:sz w:val="18"/>
                      <w:szCs w:val="18"/>
                      <w:lang w:val="en-US" w:eastAsia="zh-CN"/>
                    </w:rPr>
                  </w:pPr>
                  <w:r>
                    <w:rPr>
                      <w:rFonts w:hint="default" w:ascii="Times New Roman" w:hAnsi="Times New Roman" w:cs="Times New Roman"/>
                      <w:bCs/>
                      <w:color w:val="auto"/>
                      <w:spacing w:val="0"/>
                      <w:sz w:val="18"/>
                      <w:szCs w:val="18"/>
                      <w:lang w:val="en-US" w:eastAsia="zh-CN"/>
                    </w:rPr>
                    <w:t>3</w:t>
                  </w:r>
                </w:p>
              </w:tc>
              <w:tc>
                <w:tcPr>
                  <w:tcW w:w="1518" w:type="dxa"/>
                  <w:tcBorders>
                    <w:tl2br w:val="nil"/>
                    <w:tr2bl w:val="nil"/>
                  </w:tcBorders>
                  <w:shd w:val="clear" w:color="auto" w:fill="auto"/>
                  <w:noWrap w:val="0"/>
                  <w:vAlign w:val="center"/>
                </w:tcPr>
                <w:p w14:paraId="53A3FF25">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酒精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75%</w:t>
                  </w:r>
                  <w:r>
                    <w:rPr>
                      <w:rFonts w:hint="default" w:ascii="Times New Roman" w:hAnsi="Times New Roman" w:cs="Times New Roman"/>
                      <w:color w:val="auto"/>
                      <w:sz w:val="18"/>
                      <w:szCs w:val="18"/>
                      <w:lang w:eastAsia="zh-CN"/>
                    </w:rPr>
                    <w:t>）</w:t>
                  </w:r>
                </w:p>
              </w:tc>
              <w:tc>
                <w:tcPr>
                  <w:tcW w:w="1600" w:type="dxa"/>
                  <w:tcBorders>
                    <w:tl2br w:val="nil"/>
                    <w:tr2bl w:val="nil"/>
                  </w:tcBorders>
                  <w:shd w:val="clear" w:color="auto" w:fill="auto"/>
                  <w:noWrap w:val="0"/>
                  <w:vAlign w:val="center"/>
                </w:tcPr>
                <w:p w14:paraId="2B83F4DE">
                  <w:pPr>
                    <w:pStyle w:val="7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64-17-5</w:t>
                  </w:r>
                </w:p>
              </w:tc>
              <w:tc>
                <w:tcPr>
                  <w:tcW w:w="1400" w:type="dxa"/>
                  <w:tcBorders>
                    <w:tl2br w:val="nil"/>
                    <w:tr2bl w:val="nil"/>
                  </w:tcBorders>
                  <w:shd w:val="clear" w:color="auto" w:fill="auto"/>
                  <w:noWrap w:val="0"/>
                  <w:vAlign w:val="center"/>
                </w:tcPr>
                <w:p w14:paraId="5E75512E">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0.0</w:t>
                  </w:r>
                  <w:r>
                    <w:rPr>
                      <w:rFonts w:hint="eastAsia" w:ascii="Times New Roman" w:hAnsi="Times New Roman" w:cs="Times New Roman"/>
                      <w:bCs/>
                      <w:color w:val="auto"/>
                      <w:sz w:val="18"/>
                      <w:szCs w:val="18"/>
                      <w:highlight w:val="none"/>
                      <w:vertAlign w:val="baseline"/>
                      <w:lang w:val="en-US" w:eastAsia="zh-CN"/>
                    </w:rPr>
                    <w:t>43</w:t>
                  </w:r>
                </w:p>
              </w:tc>
              <w:tc>
                <w:tcPr>
                  <w:tcW w:w="1386" w:type="dxa"/>
                  <w:tcBorders>
                    <w:tl2br w:val="nil"/>
                    <w:tr2bl w:val="nil"/>
                  </w:tcBorders>
                  <w:shd w:val="clear" w:color="auto" w:fill="auto"/>
                  <w:noWrap w:val="0"/>
                  <w:vAlign w:val="center"/>
                </w:tcPr>
                <w:p w14:paraId="4FEACF44">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eastAsia="宋体" w:cs="Times New Roman"/>
                      <w:color w:val="auto"/>
                      <w:spacing w:val="0"/>
                      <w:kern w:val="2"/>
                      <w:sz w:val="18"/>
                      <w:szCs w:val="18"/>
                      <w:lang w:val="en-US" w:eastAsia="zh-CN" w:bidi="ar-SA"/>
                    </w:rPr>
                    <w:t>500</w:t>
                  </w:r>
                </w:p>
              </w:tc>
              <w:tc>
                <w:tcPr>
                  <w:tcW w:w="1422" w:type="dxa"/>
                  <w:tcBorders>
                    <w:tl2br w:val="nil"/>
                    <w:tr2bl w:val="nil"/>
                  </w:tcBorders>
                  <w:noWrap w:val="0"/>
                  <w:vAlign w:val="center"/>
                </w:tcPr>
                <w:p w14:paraId="584B9D99">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eastAsia="宋体" w:cs="Times New Roman"/>
                      <w:color w:val="auto"/>
                      <w:spacing w:val="0"/>
                      <w:kern w:val="2"/>
                      <w:sz w:val="18"/>
                      <w:szCs w:val="18"/>
                      <w:lang w:val="en-US" w:eastAsia="zh-CN" w:bidi="ar-SA"/>
                    </w:rPr>
                    <w:t>0.00009</w:t>
                  </w:r>
                </w:p>
              </w:tc>
            </w:tr>
            <w:tr w14:paraId="62E5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11" w:type="dxa"/>
                  <w:tcBorders>
                    <w:tl2br w:val="nil"/>
                    <w:tr2bl w:val="nil"/>
                  </w:tcBorders>
                  <w:noWrap w:val="0"/>
                  <w:vAlign w:val="center"/>
                </w:tcPr>
                <w:p w14:paraId="224C268A">
                  <w:pPr>
                    <w:snapToGrid w:val="0"/>
                    <w:jc w:val="center"/>
                    <w:rPr>
                      <w:rFonts w:hint="default" w:ascii="Times New Roman" w:hAnsi="Times New Roman" w:cs="Times New Roman"/>
                      <w:bCs/>
                      <w:color w:val="auto"/>
                      <w:spacing w:val="0"/>
                      <w:sz w:val="18"/>
                      <w:szCs w:val="18"/>
                      <w:lang w:val="en-US" w:eastAsia="zh-CN"/>
                    </w:rPr>
                  </w:pPr>
                  <w:r>
                    <w:rPr>
                      <w:rFonts w:hint="eastAsia" w:ascii="Times New Roman" w:hAnsi="Times New Roman" w:cs="Times New Roman"/>
                      <w:bCs/>
                      <w:color w:val="auto"/>
                      <w:spacing w:val="0"/>
                      <w:sz w:val="18"/>
                      <w:szCs w:val="18"/>
                      <w:lang w:val="en-US" w:eastAsia="zh-CN"/>
                    </w:rPr>
                    <w:t>4</w:t>
                  </w:r>
                </w:p>
              </w:tc>
              <w:tc>
                <w:tcPr>
                  <w:tcW w:w="1518" w:type="dxa"/>
                  <w:tcBorders>
                    <w:tl2br w:val="nil"/>
                    <w:tr2bl w:val="nil"/>
                  </w:tcBorders>
                  <w:shd w:val="clear" w:color="auto" w:fill="auto"/>
                  <w:noWrap w:val="0"/>
                  <w:vAlign w:val="center"/>
                </w:tcPr>
                <w:p w14:paraId="551184D8">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kern w:val="2"/>
                      <w:sz w:val="18"/>
                      <w:szCs w:val="18"/>
                      <w:lang w:val="en-US" w:eastAsia="zh-CN" w:bidi="ar-SA"/>
                    </w:rPr>
                    <w:t>危险废物</w:t>
                  </w:r>
                </w:p>
              </w:tc>
              <w:tc>
                <w:tcPr>
                  <w:tcW w:w="1600" w:type="dxa"/>
                  <w:tcBorders>
                    <w:tl2br w:val="nil"/>
                    <w:tr2bl w:val="nil"/>
                  </w:tcBorders>
                  <w:noWrap w:val="0"/>
                  <w:vAlign w:val="center"/>
                </w:tcPr>
                <w:p w14:paraId="7B34F694">
                  <w:pPr>
                    <w:keepNext w:val="0"/>
                    <w:keepLines w:val="0"/>
                    <w:pageBreakBefore w:val="0"/>
                    <w:widowControl w:val="0"/>
                    <w:kinsoku/>
                    <w:wordWrap/>
                    <w:overflowPunct/>
                    <w:topLinePunct w:val="0"/>
                    <w:autoSpaceDE/>
                    <w:autoSpaceDN/>
                    <w:bidi w:val="0"/>
                    <w:adjustRightInd w:val="0"/>
                    <w:snapToGrid w:val="0"/>
                    <w:spacing w:line="240" w:lineRule="auto"/>
                    <w:ind w:left="-57" w:leftChars="0" w:right="-57"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w:t>
                  </w:r>
                </w:p>
              </w:tc>
              <w:tc>
                <w:tcPr>
                  <w:tcW w:w="1400" w:type="dxa"/>
                  <w:tcBorders>
                    <w:tl2br w:val="nil"/>
                    <w:tr2bl w:val="nil"/>
                  </w:tcBorders>
                  <w:shd w:val="clear" w:color="auto" w:fill="auto"/>
                  <w:noWrap w:val="0"/>
                  <w:vAlign w:val="center"/>
                </w:tcPr>
                <w:p w14:paraId="1A2B58D0">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0.701</w:t>
                  </w:r>
                </w:p>
              </w:tc>
              <w:tc>
                <w:tcPr>
                  <w:tcW w:w="1386" w:type="dxa"/>
                  <w:tcBorders>
                    <w:tl2br w:val="nil"/>
                    <w:tr2bl w:val="nil"/>
                  </w:tcBorders>
                  <w:noWrap w:val="0"/>
                  <w:vAlign w:val="center"/>
                </w:tcPr>
                <w:p w14:paraId="4FED7FEF">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kern w:val="2"/>
                      <w:sz w:val="18"/>
                      <w:szCs w:val="18"/>
                      <w:lang w:val="en-US" w:eastAsia="zh-CN" w:bidi="ar-SA"/>
                    </w:rPr>
                    <w:t>50</w:t>
                  </w:r>
                </w:p>
              </w:tc>
              <w:tc>
                <w:tcPr>
                  <w:tcW w:w="1422" w:type="dxa"/>
                  <w:tcBorders>
                    <w:tl2br w:val="nil"/>
                    <w:tr2bl w:val="nil"/>
                  </w:tcBorders>
                  <w:noWrap w:val="0"/>
                  <w:vAlign w:val="center"/>
                </w:tcPr>
                <w:p w14:paraId="7D80D0F1">
                  <w:pPr>
                    <w:snapToGrid w:val="0"/>
                    <w:jc w:val="center"/>
                    <w:rPr>
                      <w:rFonts w:hint="default" w:ascii="Times New Roman" w:hAnsi="Times New Roman" w:eastAsia="宋体" w:cs="Times New Roman"/>
                      <w:color w:val="auto"/>
                      <w:spacing w:val="0"/>
                      <w:kern w:val="2"/>
                      <w:sz w:val="18"/>
                      <w:szCs w:val="18"/>
                      <w:lang w:val="en-US" w:eastAsia="zh-CN" w:bidi="ar-SA"/>
                    </w:rPr>
                  </w:pPr>
                  <w:r>
                    <w:rPr>
                      <w:rFonts w:hint="eastAsia" w:ascii="Times New Roman" w:hAnsi="Times New Roman" w:eastAsia="宋体" w:cs="Times New Roman"/>
                      <w:color w:val="auto"/>
                      <w:spacing w:val="0"/>
                      <w:kern w:val="2"/>
                      <w:sz w:val="18"/>
                      <w:szCs w:val="18"/>
                      <w:lang w:val="en-US" w:eastAsia="zh-CN" w:bidi="ar-SA"/>
                    </w:rPr>
                    <w:t>0.014</w:t>
                  </w:r>
                </w:p>
              </w:tc>
            </w:tr>
            <w:tr w14:paraId="2336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6515" w:type="dxa"/>
                  <w:gridSpan w:val="5"/>
                  <w:tcBorders>
                    <w:tl2br w:val="nil"/>
                    <w:tr2bl w:val="nil"/>
                  </w:tcBorders>
                  <w:noWrap w:val="0"/>
                  <w:vAlign w:val="center"/>
                </w:tcPr>
                <w:p w14:paraId="2E8D1B49">
                  <w:pPr>
                    <w:jc w:val="center"/>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项目Q值Σ</w:t>
                  </w:r>
                </w:p>
              </w:tc>
              <w:tc>
                <w:tcPr>
                  <w:tcW w:w="1422" w:type="dxa"/>
                  <w:tcBorders>
                    <w:tl2br w:val="nil"/>
                    <w:tr2bl w:val="nil"/>
                  </w:tcBorders>
                  <w:noWrap w:val="0"/>
                  <w:vAlign w:val="center"/>
                </w:tcPr>
                <w:p w14:paraId="6DA1A2EE">
                  <w:pPr>
                    <w:keepNext w:val="0"/>
                    <w:keepLines w:val="0"/>
                    <w:widowControl/>
                    <w:suppressLineNumbers w:val="0"/>
                    <w:jc w:val="center"/>
                    <w:textAlignment w:val="center"/>
                    <w:rPr>
                      <w:rFonts w:hint="default" w:ascii="Times New Roman" w:hAnsi="Times New Roman" w:eastAsia="宋体" w:cs="Times New Roman"/>
                      <w:i w:val="0"/>
                      <w:color w:val="auto"/>
                      <w:spacing w:val="0"/>
                      <w:kern w:val="2"/>
                      <w:sz w:val="18"/>
                      <w:szCs w:val="18"/>
                      <w:u w:val="none"/>
                      <w:lang w:val="en-US" w:eastAsia="zh-CN" w:bidi="ar-SA"/>
                    </w:rPr>
                  </w:pPr>
                  <w:r>
                    <w:rPr>
                      <w:rFonts w:hint="eastAsia" w:ascii="Times New Roman" w:hAnsi="Times New Roman" w:cs="Times New Roman"/>
                      <w:i w:val="0"/>
                      <w:color w:val="auto"/>
                      <w:kern w:val="0"/>
                      <w:sz w:val="18"/>
                      <w:szCs w:val="18"/>
                      <w:u w:val="none"/>
                      <w:lang w:val="en-US" w:eastAsia="zh-CN" w:bidi="ar"/>
                    </w:rPr>
                    <w:t>0.02529</w:t>
                  </w:r>
                </w:p>
              </w:tc>
            </w:tr>
            <w:tr w14:paraId="6AEF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7937" w:type="dxa"/>
                  <w:gridSpan w:val="6"/>
                  <w:tcBorders>
                    <w:tl2br w:val="nil"/>
                    <w:tr2bl w:val="nil"/>
                  </w:tcBorders>
                  <w:noWrap w:val="0"/>
                  <w:vAlign w:val="center"/>
                </w:tcPr>
                <w:p w14:paraId="3390E684">
                  <w:pPr>
                    <w:keepNext w:val="0"/>
                    <w:keepLines w:val="0"/>
                    <w:widowControl/>
                    <w:suppressLineNumbers w:val="0"/>
                    <w:jc w:val="center"/>
                    <w:textAlignment w:val="center"/>
                    <w:rPr>
                      <w:rFonts w:hint="eastAsia" w:ascii="Times New Roman" w:hAnsi="Times New Roman" w:cs="Times New Roman"/>
                      <w:i w:val="0"/>
                      <w:color w:val="auto"/>
                      <w:kern w:val="0"/>
                      <w:sz w:val="18"/>
                      <w:szCs w:val="18"/>
                      <w:u w:val="none"/>
                      <w:lang w:val="en-US" w:eastAsia="zh-CN" w:bidi="ar"/>
                    </w:rPr>
                  </w:pPr>
                  <w:r>
                    <w:rPr>
                      <w:rFonts w:hint="eastAsia"/>
                      <w:color w:val="auto"/>
                      <w:sz w:val="15"/>
                      <w:szCs w:val="15"/>
                      <w:lang w:val="en-US" w:eastAsia="zh-CN"/>
                    </w:rPr>
                    <w:t>危险废物临界量参照《浙江省企业环境风险评估技术指南（第二版）》（浙环办函（2015）54 号）</w:t>
                  </w:r>
                </w:p>
              </w:tc>
            </w:tr>
          </w:tbl>
          <w:p w14:paraId="20269614">
            <w:pPr>
              <w:keepNext w:val="0"/>
              <w:keepLines w:val="0"/>
              <w:pageBreakBefore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根据表4-</w:t>
            </w:r>
            <w:r>
              <w:rPr>
                <w:rFonts w:hint="eastAsia" w:ascii="Times New Roman" w:hAnsi="Times New Roman" w:cs="Times New Roman"/>
                <w:color w:val="auto"/>
                <w:spacing w:val="0"/>
                <w:szCs w:val="21"/>
                <w:lang w:val="en-US" w:eastAsia="zh-CN"/>
              </w:rPr>
              <w:t>9</w:t>
            </w:r>
            <w:r>
              <w:rPr>
                <w:rFonts w:hint="default" w:ascii="Times New Roman" w:hAnsi="Times New Roman" w:eastAsia="宋体" w:cs="Times New Roman"/>
                <w:color w:val="auto"/>
                <w:spacing w:val="0"/>
                <w:szCs w:val="21"/>
                <w:lang w:eastAsia="zh-CN"/>
              </w:rPr>
              <w:t>可知，本项目Q=</w:t>
            </w:r>
            <w:r>
              <w:rPr>
                <w:rFonts w:hint="default" w:ascii="Times New Roman" w:hAnsi="Times New Roman" w:eastAsia="宋体" w:cs="Times New Roman"/>
                <w:color w:val="auto"/>
                <w:spacing w:val="0"/>
                <w:szCs w:val="21"/>
                <w:lang w:val="en-US" w:eastAsia="zh-CN"/>
              </w:rPr>
              <w:t>0.0</w:t>
            </w:r>
            <w:r>
              <w:rPr>
                <w:rFonts w:hint="eastAsia" w:ascii="Times New Roman" w:hAnsi="Times New Roman" w:cs="Times New Roman"/>
                <w:color w:val="auto"/>
                <w:spacing w:val="0"/>
                <w:szCs w:val="21"/>
                <w:lang w:val="en-US" w:eastAsia="zh-CN"/>
              </w:rPr>
              <w:t>2529</w:t>
            </w:r>
            <w:r>
              <w:rPr>
                <w:rFonts w:hint="default" w:ascii="Times New Roman" w:hAnsi="Times New Roman" w:eastAsia="宋体" w:cs="Times New Roman"/>
                <w:color w:val="auto"/>
                <w:spacing w:val="0"/>
                <w:szCs w:val="21"/>
                <w:lang w:eastAsia="zh-CN"/>
              </w:rPr>
              <w:t>（Q＜1），故本项目储存的环境风险物质未超过临界量。</w:t>
            </w:r>
          </w:p>
          <w:p w14:paraId="4A2670CD">
            <w:pPr>
              <w:numPr>
                <w:ilvl w:val="0"/>
                <w:numId w:val="0"/>
              </w:numPr>
              <w:spacing w:line="400" w:lineRule="exact"/>
              <w:ind w:firstLine="422" w:firstLineChars="200"/>
              <w:rPr>
                <w:rFonts w:hint="eastAsia"/>
                <w:b/>
                <w:bCs/>
                <w:color w:val="auto"/>
                <w:kern w:val="0"/>
                <w:szCs w:val="21"/>
              </w:rPr>
            </w:pPr>
            <w:r>
              <w:rPr>
                <w:rFonts w:hint="eastAsia" w:ascii="Dutch801 Rm BT" w:hAnsi="Dutch801 Rm BT" w:eastAsia="宋体" w:cs="Dutch801 Rm BT"/>
                <w:b/>
                <w:bCs/>
                <w:color w:val="auto"/>
                <w:kern w:val="0"/>
                <w:sz w:val="21"/>
                <w:szCs w:val="21"/>
                <w:lang w:val="en-US" w:eastAsia="zh-CN" w:bidi="ar-SA"/>
              </w:rPr>
              <w:t>（3）</w:t>
            </w:r>
            <w:r>
              <w:rPr>
                <w:b/>
                <w:bCs/>
                <w:color w:val="auto"/>
                <w:kern w:val="0"/>
                <w:szCs w:val="21"/>
              </w:rPr>
              <w:t>风险防范措施</w:t>
            </w:r>
            <w:r>
              <w:rPr>
                <w:rFonts w:hint="eastAsia"/>
                <w:b/>
                <w:bCs/>
                <w:color w:val="auto"/>
                <w:kern w:val="0"/>
                <w:szCs w:val="21"/>
              </w:rPr>
              <w:t>及应急要求</w:t>
            </w:r>
          </w:p>
          <w:p w14:paraId="384A3DDF">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①药品和化学品贮存及使用风险防范措施</w:t>
            </w:r>
          </w:p>
          <w:p w14:paraId="58926F9E">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项目不涉及配置试剂，故项目风险管理主要为药品的风险管理。 </w:t>
            </w:r>
          </w:p>
          <w:p w14:paraId="5A39F721">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项目为正规动物医院，其药品存放在药房处。所有试剂应摆放至相应位置，贴上相应标签；有效期已过的试剂、药品，由实验室人员负责按照</w:t>
            </w:r>
            <w:r>
              <w:rPr>
                <w:rFonts w:hint="eastAsia"/>
                <w:b w:val="0"/>
                <w:bCs w:val="0"/>
                <w:color w:val="auto"/>
                <w:kern w:val="0"/>
                <w:szCs w:val="21"/>
                <w:lang w:val="en-US" w:eastAsia="zh-CN"/>
              </w:rPr>
              <w:t>“</w:t>
            </w:r>
            <w:r>
              <w:rPr>
                <w:rFonts w:hint="eastAsia" w:eastAsia="宋体"/>
                <w:b w:val="0"/>
                <w:bCs w:val="0"/>
                <w:color w:val="auto"/>
                <w:kern w:val="0"/>
                <w:szCs w:val="21"/>
                <w:lang w:val="en-US" w:eastAsia="zh-CN"/>
              </w:rPr>
              <w:t>危险废弃物及其包装物管理</w:t>
            </w:r>
            <w:r>
              <w:rPr>
                <w:rFonts w:hint="eastAsia"/>
                <w:b w:val="0"/>
                <w:bCs w:val="0"/>
                <w:color w:val="auto"/>
                <w:kern w:val="0"/>
                <w:szCs w:val="21"/>
                <w:lang w:val="en-US" w:eastAsia="zh-CN"/>
              </w:rPr>
              <w:t>”</w:t>
            </w:r>
            <w:r>
              <w:rPr>
                <w:rFonts w:hint="eastAsia" w:eastAsia="宋体"/>
                <w:b w:val="0"/>
                <w:bCs w:val="0"/>
                <w:color w:val="auto"/>
                <w:kern w:val="0"/>
                <w:szCs w:val="21"/>
                <w:lang w:val="en-US" w:eastAsia="zh-CN"/>
              </w:rPr>
              <w:t>进行处理；</w:t>
            </w:r>
          </w:p>
          <w:p w14:paraId="5EABE8A6">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医用危险化学品的购买、储存、保管和使用，以及运输应当按照《危险化学品安全 </w:t>
            </w:r>
          </w:p>
          <w:p w14:paraId="405C0369">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管理条例》的规定进行管理，危险化学品必须储存在专用的储存室内，其存储方式、方 </w:t>
            </w:r>
          </w:p>
          <w:p w14:paraId="3AEAFAD2">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法和数量必须符合国家标准，并由专人管理，危险化学品出入库应进行核查登记，并定 </w:t>
            </w:r>
          </w:p>
          <w:p w14:paraId="05C653A2">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期检查库存，实行双人双发、双人保管制度。</w:t>
            </w:r>
          </w:p>
          <w:p w14:paraId="2E11CBD4">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②氧气储存风险防范及应急措施</w:t>
            </w:r>
          </w:p>
          <w:p w14:paraId="6BC215D4">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项目氧气瓶存放于手术室内，由专人进行管理，氧气瓶不得与可燃气体气瓶同室储 </w:t>
            </w:r>
          </w:p>
          <w:p w14:paraId="7D3B0B2D">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存。储存室内禁绝烟火，并远离热源和明火。吸氧用氧者及其近旁人员，必须禁绝抽烟 </w:t>
            </w:r>
          </w:p>
          <w:p w14:paraId="7A95BDAB">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及其他一切火源。防止瓶内积水及积存其他污物，防止气瓶腐蚀及其他损害，进而避免</w:t>
            </w:r>
          </w:p>
          <w:p w14:paraId="7F97D963">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气瓶爆炸。严禁使用超过检验期的气瓶。氧气瓶发生爆炸后会带来安全问题，但不会造</w:t>
            </w:r>
          </w:p>
          <w:p w14:paraId="0C667B2D">
            <w:pPr>
              <w:numPr>
                <w:ilvl w:val="0"/>
                <w:numId w:val="0"/>
              </w:numPr>
              <w:spacing w:line="400" w:lineRule="exact"/>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成环境危害。</w:t>
            </w:r>
          </w:p>
          <w:p w14:paraId="7C3A9FED">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③医疗废水事故排放防范及应急措施</w:t>
            </w:r>
          </w:p>
          <w:p w14:paraId="4460032F">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eastAsia" w:eastAsia="宋体"/>
                <w:b w:val="0"/>
                <w:bCs w:val="0"/>
                <w:color w:val="auto"/>
                <w:kern w:val="0"/>
                <w:szCs w:val="21"/>
                <w:lang w:val="en-US" w:eastAsia="zh-CN"/>
              </w:rPr>
              <w:t xml:space="preserve">为减轻污染负荷，避免出现废水事故排放，项目采取以下防范及应急措施： </w:t>
            </w:r>
          </w:p>
          <w:p w14:paraId="5E52D2FD">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default" w:eastAsia="宋体"/>
                <w:b w:val="0"/>
                <w:bCs w:val="0"/>
                <w:color w:val="auto"/>
                <w:kern w:val="0"/>
                <w:szCs w:val="21"/>
                <w:lang w:val="en-US" w:eastAsia="zh-CN"/>
              </w:rPr>
              <w:t>A</w:t>
            </w:r>
            <w:r>
              <w:rPr>
                <w:rFonts w:hint="eastAsia" w:eastAsia="宋体"/>
                <w:b w:val="0"/>
                <w:bCs w:val="0"/>
                <w:color w:val="auto"/>
                <w:kern w:val="0"/>
                <w:szCs w:val="21"/>
                <w:lang w:val="en-US" w:eastAsia="zh-CN"/>
              </w:rPr>
              <w:t xml:space="preserve">、定期对消毒处理设施进行检查，确保其正常运行，严防污水事故性排放。一旦消毒处理设施出现故障时，立即停止用水，减少废水产生量，同时，切断消毒设施与污水管网的接口，未处理废水收集后待设施恢复正常运行再由污水处理设施进行处理，防止医疗废水未经消毒处理直接排入市政污水管网。 </w:t>
            </w:r>
          </w:p>
          <w:p w14:paraId="3108CA13">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default" w:eastAsia="宋体"/>
                <w:b w:val="0"/>
                <w:bCs w:val="0"/>
                <w:color w:val="auto"/>
                <w:kern w:val="0"/>
                <w:szCs w:val="21"/>
                <w:lang w:val="en-US" w:eastAsia="zh-CN"/>
              </w:rPr>
              <w:t>B</w:t>
            </w:r>
            <w:r>
              <w:rPr>
                <w:rFonts w:hint="eastAsia" w:eastAsia="宋体"/>
                <w:b w:val="0"/>
                <w:bCs w:val="0"/>
                <w:color w:val="auto"/>
                <w:kern w:val="0"/>
                <w:szCs w:val="21"/>
                <w:lang w:val="en-US" w:eastAsia="zh-CN"/>
              </w:rPr>
              <w:t xml:space="preserve">、加强消毒处理设施的日常管理工作，加强检查、维护保养，及时更新，建立处理设施消毒记录和操作规程。 </w:t>
            </w:r>
          </w:p>
          <w:p w14:paraId="71CB7BE4">
            <w:pPr>
              <w:numPr>
                <w:ilvl w:val="0"/>
                <w:numId w:val="0"/>
              </w:numPr>
              <w:spacing w:line="400" w:lineRule="exact"/>
              <w:ind w:firstLine="420" w:firstLineChars="200"/>
              <w:rPr>
                <w:rFonts w:hint="eastAsia" w:eastAsia="宋体"/>
                <w:b w:val="0"/>
                <w:bCs w:val="0"/>
                <w:color w:val="auto"/>
                <w:kern w:val="0"/>
                <w:szCs w:val="21"/>
                <w:lang w:val="en-US" w:eastAsia="zh-CN"/>
              </w:rPr>
            </w:pPr>
            <w:r>
              <w:rPr>
                <w:rFonts w:hint="default" w:eastAsia="宋体"/>
                <w:b w:val="0"/>
                <w:bCs w:val="0"/>
                <w:color w:val="auto"/>
                <w:kern w:val="0"/>
                <w:szCs w:val="21"/>
                <w:lang w:val="en-US" w:eastAsia="zh-CN"/>
              </w:rPr>
              <w:t>C</w:t>
            </w:r>
            <w:r>
              <w:rPr>
                <w:rFonts w:hint="eastAsia" w:eastAsia="宋体"/>
                <w:b w:val="0"/>
                <w:bCs w:val="0"/>
                <w:color w:val="auto"/>
                <w:kern w:val="0"/>
                <w:szCs w:val="21"/>
                <w:lang w:val="en-US" w:eastAsia="zh-CN"/>
              </w:rPr>
              <w:t xml:space="preserve">、加强对操作人员的岗位培训，确保医疗废水消毒后排放，杜绝事故性排放，建立健全应急预案体系、环保管理机制和各项环保规章制度，落实岗位环保责任制，加强环境风险防范工作，防止事故排放导致环境问题。 </w:t>
            </w:r>
          </w:p>
          <w:p w14:paraId="33F8C531">
            <w:pPr>
              <w:numPr>
                <w:ilvl w:val="0"/>
                <w:numId w:val="0"/>
              </w:numPr>
              <w:spacing w:line="400" w:lineRule="exact"/>
              <w:ind w:firstLine="420" w:firstLineChars="200"/>
              <w:rPr>
                <w:rFonts w:hint="eastAsia"/>
                <w:b w:val="0"/>
                <w:bCs w:val="0"/>
                <w:color w:val="auto"/>
                <w:kern w:val="0"/>
                <w:szCs w:val="21"/>
                <w:lang w:val="en-US" w:eastAsia="zh-CN"/>
              </w:rPr>
            </w:pPr>
            <w:r>
              <w:rPr>
                <w:rFonts w:hint="eastAsia" w:eastAsia="宋体"/>
                <w:b w:val="0"/>
                <w:bCs w:val="0"/>
                <w:color w:val="auto"/>
                <w:kern w:val="0"/>
                <w:szCs w:val="21"/>
                <w:lang w:val="en-US" w:eastAsia="zh-CN"/>
              </w:rPr>
              <w:t>《医院污水处理工程技术规范》（</w:t>
            </w:r>
            <w:r>
              <w:rPr>
                <w:rFonts w:hint="default" w:eastAsia="宋体"/>
                <w:b w:val="0"/>
                <w:bCs w:val="0"/>
                <w:color w:val="auto"/>
                <w:kern w:val="0"/>
                <w:szCs w:val="21"/>
                <w:lang w:val="en-US" w:eastAsia="zh-CN"/>
              </w:rPr>
              <w:t>HJ2029-2013</w:t>
            </w:r>
            <w:r>
              <w:rPr>
                <w:rFonts w:hint="eastAsia" w:eastAsia="宋体"/>
                <w:b w:val="0"/>
                <w:bCs w:val="0"/>
                <w:color w:val="auto"/>
                <w:kern w:val="0"/>
                <w:szCs w:val="21"/>
                <w:lang w:val="en-US" w:eastAsia="zh-CN"/>
              </w:rPr>
              <w:t>）该标准的适用范围为医院污水处理工程。疗养院、康复医院等其他医疗机构和兽医院的污水处理工程可参照执行该标准。</w:t>
            </w:r>
            <w:r>
              <w:rPr>
                <w:rFonts w:hint="eastAsia"/>
                <w:b w:val="0"/>
                <w:bCs w:val="0"/>
                <w:color w:val="auto"/>
                <w:kern w:val="0"/>
                <w:szCs w:val="21"/>
                <w:lang w:val="en-US" w:eastAsia="zh-CN"/>
              </w:rPr>
              <w:t>项目属于动物医院，规模较小，较一般医院产生的废水量极少，且项目污水处理设施工艺简单，采取以上防范及应急措施，风险可控，故不按照《医院污水处理工程技术规范》（HJ2029-2013）要求设置应急事故池。</w:t>
            </w:r>
          </w:p>
          <w:p w14:paraId="20D0F868">
            <w:pPr>
              <w:spacing w:line="400" w:lineRule="exact"/>
              <w:ind w:firstLine="420" w:firstLineChars="200"/>
              <w:rPr>
                <w:rFonts w:hint="eastAsia" w:eastAsia="宋体"/>
                <w:color w:val="auto"/>
                <w:szCs w:val="21"/>
              </w:rPr>
            </w:pPr>
            <w:r>
              <w:rPr>
                <w:rFonts w:hint="eastAsia" w:eastAsia="宋体"/>
                <w:color w:val="auto"/>
                <w:szCs w:val="21"/>
                <w:lang w:val="en-US" w:eastAsia="zh-CN"/>
              </w:rPr>
              <w:t xml:space="preserve">④医疗废物收集、贮存风险防范措施 </w:t>
            </w:r>
          </w:p>
          <w:p w14:paraId="0D537F42">
            <w:pPr>
              <w:spacing w:line="400" w:lineRule="exact"/>
              <w:ind w:firstLine="420" w:firstLineChars="200"/>
              <w:rPr>
                <w:rFonts w:hint="eastAsia" w:eastAsia="宋体"/>
                <w:color w:val="auto"/>
                <w:szCs w:val="21"/>
              </w:rPr>
            </w:pPr>
            <w:r>
              <w:rPr>
                <w:rFonts w:hint="eastAsia" w:eastAsia="宋体"/>
                <w:color w:val="auto"/>
                <w:szCs w:val="21"/>
                <w:lang w:val="en-US" w:eastAsia="zh-CN"/>
              </w:rPr>
              <w:t>项目在药房闲置区域设置有危险废物贮存点，主要贮存医疗废物和少量废紫外线灯管，按照《医疗卫生机构医疗废物管理办法》和《医疗废物集中处置技术规范（试行）》（环发〔</w:t>
            </w:r>
            <w:r>
              <w:rPr>
                <w:rFonts w:hint="default" w:eastAsia="宋体"/>
                <w:color w:val="auto"/>
                <w:szCs w:val="21"/>
                <w:lang w:val="en-US" w:eastAsia="zh-CN"/>
              </w:rPr>
              <w:t>2003</w:t>
            </w:r>
            <w:r>
              <w:rPr>
                <w:rFonts w:hint="eastAsia" w:eastAsia="宋体"/>
                <w:color w:val="auto"/>
                <w:szCs w:val="21"/>
                <w:lang w:val="en-US" w:eastAsia="zh-CN"/>
              </w:rPr>
              <w:t>〕</w:t>
            </w:r>
            <w:r>
              <w:rPr>
                <w:rFonts w:hint="default" w:eastAsia="宋体"/>
                <w:color w:val="auto"/>
                <w:szCs w:val="21"/>
                <w:lang w:val="en-US" w:eastAsia="zh-CN"/>
              </w:rPr>
              <w:t xml:space="preserve">206 </w:t>
            </w:r>
            <w:r>
              <w:rPr>
                <w:rFonts w:hint="eastAsia" w:eastAsia="宋体"/>
                <w:color w:val="auto"/>
                <w:szCs w:val="21"/>
                <w:lang w:val="en-US" w:eastAsia="zh-CN"/>
              </w:rPr>
              <w:t xml:space="preserve">号）进行防风、防晒、防雨、防漏、防渗、防腐处理；医疗废物按照相关规定分类收集、采用专用容器存放；医疗废物暂存的位置应避免雨淋、泄漏并设置防鼠、防蚊蝇、防蟑螂的安全措施。 </w:t>
            </w:r>
          </w:p>
          <w:p w14:paraId="65C7D431">
            <w:pPr>
              <w:spacing w:line="400" w:lineRule="exact"/>
              <w:ind w:firstLine="420" w:firstLineChars="200"/>
              <w:rPr>
                <w:rFonts w:hint="eastAsia" w:eastAsia="宋体"/>
                <w:color w:val="auto"/>
                <w:szCs w:val="21"/>
              </w:rPr>
            </w:pPr>
            <w:r>
              <w:rPr>
                <w:rFonts w:hint="eastAsia" w:eastAsia="宋体"/>
                <w:color w:val="auto"/>
                <w:szCs w:val="21"/>
                <w:lang w:val="en-US" w:eastAsia="zh-CN"/>
              </w:rPr>
              <w:t>根据前文分析可知，项目危险废物贮存点内暂存的主要为医疗固废和废紫外线灯管，项目产生的医疗固废主要为测试的试纸和固定包装的试样、试液等，其中试样和试液均有固定包装，不会呈散乱收集可流动的状态。且项目危险废物暂存间为混凝土地面，厚度＞</w:t>
            </w:r>
            <w:r>
              <w:rPr>
                <w:rFonts w:hint="default" w:eastAsia="宋体"/>
                <w:color w:val="auto"/>
                <w:szCs w:val="21"/>
                <w:lang w:val="en-US" w:eastAsia="zh-CN"/>
              </w:rPr>
              <w:t>2mm</w:t>
            </w:r>
            <w:r>
              <w:rPr>
                <w:rFonts w:hint="eastAsia" w:eastAsia="宋体"/>
                <w:color w:val="auto"/>
                <w:szCs w:val="21"/>
                <w:lang w:val="en-US" w:eastAsia="zh-CN"/>
              </w:rPr>
              <w:t xml:space="preserve">，对地下水及土壤影响较小；危险废物贮存库设置有加盖的医疗垃圾收集桶，因此，臭气产生的风险性也较小。 </w:t>
            </w:r>
          </w:p>
          <w:p w14:paraId="23FD49F0">
            <w:pPr>
              <w:spacing w:line="400" w:lineRule="exact"/>
              <w:ind w:firstLine="420" w:firstLineChars="200"/>
              <w:rPr>
                <w:rFonts w:hint="eastAsia" w:eastAsia="宋体"/>
                <w:color w:val="auto"/>
                <w:szCs w:val="21"/>
                <w:lang w:val="en-US" w:eastAsia="zh-CN"/>
              </w:rPr>
            </w:pPr>
            <w:r>
              <w:rPr>
                <w:rFonts w:hint="eastAsia" w:eastAsia="宋体"/>
                <w:color w:val="auto"/>
                <w:szCs w:val="21"/>
                <w:lang w:val="en-US" w:eastAsia="zh-CN"/>
              </w:rPr>
              <w:t>⑤动物疫情风险分析</w:t>
            </w:r>
          </w:p>
          <w:p w14:paraId="47918921">
            <w:pPr>
              <w:spacing w:line="400" w:lineRule="exact"/>
              <w:ind w:firstLine="420" w:firstLineChars="200"/>
              <w:rPr>
                <w:rFonts w:hint="eastAsia" w:eastAsia="宋体"/>
                <w:color w:val="auto"/>
                <w:szCs w:val="21"/>
              </w:rPr>
            </w:pPr>
            <w:r>
              <w:rPr>
                <w:rFonts w:hint="eastAsia" w:eastAsia="宋体"/>
                <w:color w:val="auto"/>
                <w:szCs w:val="21"/>
                <w:lang w:val="en-US" w:eastAsia="zh-CN"/>
              </w:rPr>
              <w:t>项目为动物医院，主要接待患病猫犬，发病且传染的可能性较高。医院仅对一般宠物感染病症进行隔离治疗，并设置了隔离病房；医院不接收经诊断患人畜交叉感染传染病的宠物，若本医院诊断有疑似人畜共患传染病，及时报当地动物卫生监督部门，严格按照《</w:t>
            </w:r>
            <w:r>
              <w:rPr>
                <w:rFonts w:hint="eastAsia"/>
                <w:color w:val="auto"/>
                <w:szCs w:val="21"/>
                <w:lang w:val="en-US" w:eastAsia="zh-CN"/>
              </w:rPr>
              <w:t>重庆市动物防疫条例</w:t>
            </w:r>
            <w:r>
              <w:rPr>
                <w:rFonts w:hint="eastAsia" w:eastAsia="宋体"/>
                <w:color w:val="auto"/>
                <w:szCs w:val="21"/>
                <w:lang w:val="en-US" w:eastAsia="zh-CN"/>
              </w:rPr>
              <w:t xml:space="preserve">》、《重庆市无规定动物疫病区管理办法》的相关规定进行管理。 </w:t>
            </w:r>
          </w:p>
          <w:p w14:paraId="1B52ED72">
            <w:pPr>
              <w:spacing w:line="400" w:lineRule="exact"/>
              <w:ind w:firstLine="420" w:firstLineChars="200"/>
              <w:rPr>
                <w:rFonts w:hint="eastAsia" w:eastAsia="宋体"/>
                <w:color w:val="auto"/>
                <w:szCs w:val="21"/>
              </w:rPr>
            </w:pPr>
            <w:r>
              <w:rPr>
                <w:rFonts w:hint="eastAsia" w:eastAsia="宋体"/>
                <w:color w:val="auto"/>
                <w:szCs w:val="21"/>
                <w:lang w:val="en-US" w:eastAsia="zh-CN"/>
              </w:rPr>
              <w:t xml:space="preserve">为预防动物疫情的风险，主要采取的措施包括： </w:t>
            </w:r>
          </w:p>
          <w:p w14:paraId="488F7978">
            <w:pPr>
              <w:spacing w:line="400" w:lineRule="exact"/>
              <w:ind w:firstLine="420" w:firstLineChars="200"/>
              <w:rPr>
                <w:rFonts w:hint="eastAsia" w:eastAsia="宋体"/>
                <w:color w:val="auto"/>
                <w:szCs w:val="21"/>
              </w:rPr>
            </w:pPr>
            <w:r>
              <w:rPr>
                <w:rFonts w:hint="eastAsia" w:eastAsia="宋体"/>
                <w:color w:val="auto"/>
                <w:szCs w:val="21"/>
                <w:lang w:val="en-US" w:eastAsia="zh-CN"/>
              </w:rPr>
              <w:t xml:space="preserve">根据《重庆市人民政府办公厅关于印发重庆市突发动物疫情应急预案的通知》，建立突发动物疫情预防控制体系，做好日常预防准备工作，及时向本级兽医主管部门通报可能导致疫情的信息，做到信息互通、资源共享。发现动物群体发病或者死亡的，应当以电话或书面等形式，立即向当地兽医部门报告。 </w:t>
            </w:r>
          </w:p>
          <w:p w14:paraId="45C044D3">
            <w:pPr>
              <w:spacing w:line="400" w:lineRule="exact"/>
              <w:ind w:firstLine="420" w:firstLineChars="200"/>
              <w:rPr>
                <w:rFonts w:hint="eastAsia" w:eastAsia="宋体"/>
                <w:color w:val="auto"/>
                <w:szCs w:val="21"/>
              </w:rPr>
            </w:pPr>
            <w:r>
              <w:rPr>
                <w:rFonts w:hint="eastAsia" w:eastAsia="宋体"/>
                <w:color w:val="auto"/>
                <w:szCs w:val="21"/>
                <w:lang w:val="en-US" w:eastAsia="zh-CN"/>
              </w:rPr>
              <w:t>建立严格的卫生防疫制度，要认真贯彻</w:t>
            </w:r>
            <w:r>
              <w:rPr>
                <w:rFonts w:hint="eastAsia"/>
                <w:color w:val="auto"/>
                <w:szCs w:val="21"/>
                <w:lang w:val="en-US" w:eastAsia="zh-CN"/>
              </w:rPr>
              <w:t>“</w:t>
            </w:r>
            <w:r>
              <w:rPr>
                <w:rFonts w:hint="eastAsia" w:eastAsia="宋体"/>
                <w:color w:val="auto"/>
                <w:szCs w:val="21"/>
                <w:lang w:val="en-US" w:eastAsia="zh-CN"/>
              </w:rPr>
              <w:t>防重于治</w:t>
            </w:r>
            <w:r>
              <w:rPr>
                <w:rFonts w:hint="eastAsia"/>
                <w:color w:val="auto"/>
                <w:szCs w:val="21"/>
                <w:lang w:val="en-US" w:eastAsia="zh-CN"/>
              </w:rPr>
              <w:t>”</w:t>
            </w:r>
            <w:r>
              <w:rPr>
                <w:rFonts w:hint="eastAsia" w:eastAsia="宋体"/>
                <w:color w:val="auto"/>
                <w:szCs w:val="21"/>
                <w:lang w:val="en-US" w:eastAsia="zh-CN"/>
              </w:rPr>
              <w:t>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14:paraId="1102326F">
            <w:pPr>
              <w:spacing w:line="400" w:lineRule="exact"/>
              <w:ind w:firstLine="420" w:firstLineChars="200"/>
              <w:rPr>
                <w:rFonts w:hint="default" w:eastAsia="宋体"/>
                <w:color w:val="auto"/>
                <w:szCs w:val="21"/>
                <w:lang w:val="en-US" w:eastAsia="zh-CN"/>
              </w:rPr>
            </w:pPr>
            <w:r>
              <w:rPr>
                <w:rFonts w:hint="default" w:eastAsia="宋体"/>
                <w:color w:val="auto"/>
                <w:szCs w:val="21"/>
                <w:lang w:val="en-US" w:eastAsia="zh-CN"/>
              </w:rPr>
              <w:t>综上所述，本项目所用原辅材料不构成重大危险源，生产过程中也不存在重大风险，对周围环境的风险影响较小，其环境风险是可控的。</w:t>
            </w:r>
          </w:p>
          <w:p w14:paraId="7DA9337D">
            <w:pPr>
              <w:keepNext w:val="0"/>
              <w:keepLines w:val="0"/>
              <w:pageBreakBefore w:val="0"/>
              <w:widowControl w:val="0"/>
              <w:kinsoku/>
              <w:wordWrap/>
              <w:overflowPunct/>
              <w:topLinePunct w:val="0"/>
              <w:bidi w:val="0"/>
              <w:adjustRightInd w:val="0"/>
              <w:snapToGrid w:val="0"/>
              <w:spacing w:line="400" w:lineRule="exact"/>
              <w:textAlignment w:val="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4.2.7</w:t>
            </w:r>
            <w:r>
              <w:rPr>
                <w:rFonts w:hint="eastAsia" w:cs="Times New Roman"/>
                <w:b/>
                <w:bCs/>
                <w:color w:val="auto"/>
                <w:szCs w:val="21"/>
                <w:lang w:val="en-US" w:eastAsia="zh-CN"/>
              </w:rPr>
              <w:t>“</w:t>
            </w:r>
            <w:r>
              <w:rPr>
                <w:rFonts w:hint="eastAsia" w:ascii="Times New Roman" w:hAnsi="Times New Roman" w:cs="Times New Roman"/>
                <w:b/>
                <w:bCs/>
                <w:color w:val="auto"/>
                <w:szCs w:val="21"/>
                <w:lang w:val="en-US" w:eastAsia="zh-CN"/>
              </w:rPr>
              <w:t>以新带老</w:t>
            </w:r>
            <w:r>
              <w:rPr>
                <w:rFonts w:hint="eastAsia" w:cs="Times New Roman"/>
                <w:b/>
                <w:bCs/>
                <w:color w:val="auto"/>
                <w:szCs w:val="21"/>
                <w:lang w:val="en-US" w:eastAsia="zh-CN"/>
              </w:rPr>
              <w:t>”</w:t>
            </w:r>
            <w:r>
              <w:rPr>
                <w:rFonts w:hint="eastAsia" w:ascii="Times New Roman" w:hAnsi="Times New Roman" w:cs="Times New Roman"/>
                <w:b/>
                <w:bCs/>
                <w:color w:val="auto"/>
                <w:szCs w:val="21"/>
                <w:lang w:val="en-US" w:eastAsia="zh-CN"/>
              </w:rPr>
              <w:t>措施</w:t>
            </w:r>
          </w:p>
          <w:p w14:paraId="6F29AF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本项目“以新带老”措施详见表4-10。</w:t>
            </w:r>
          </w:p>
          <w:p w14:paraId="0B4FB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cs="Times New Roman"/>
                <w:b/>
                <w:bCs w:val="0"/>
                <w:color w:val="auto"/>
                <w:spacing w:val="0"/>
                <w:sz w:val="21"/>
                <w:szCs w:val="21"/>
                <w:highlight w:val="none"/>
                <w:lang w:val="en-US" w:eastAsia="zh-CN"/>
              </w:rPr>
            </w:pPr>
            <w:r>
              <w:rPr>
                <w:rFonts w:hint="eastAsia" w:cs="Times New Roman"/>
                <w:b/>
                <w:bCs w:val="0"/>
                <w:color w:val="auto"/>
                <w:spacing w:val="0"/>
                <w:sz w:val="21"/>
                <w:szCs w:val="21"/>
                <w:highlight w:val="none"/>
                <w:lang w:val="en-US" w:eastAsia="zh-CN"/>
              </w:rPr>
              <w:t xml:space="preserve">表4-10  </w:t>
            </w:r>
            <w:r>
              <w:rPr>
                <w:rFonts w:hint="eastAsia" w:ascii="Times New Roman" w:hAnsi="Times New Roman" w:eastAsia="宋体" w:cs="Times New Roman"/>
                <w:b/>
                <w:bCs w:val="0"/>
                <w:color w:val="auto"/>
                <w:spacing w:val="0"/>
                <w:sz w:val="21"/>
                <w:szCs w:val="21"/>
                <w:highlight w:val="none"/>
                <w:lang w:val="en-US" w:eastAsia="zh-CN"/>
              </w:rPr>
              <w:t>项目“以新带老”措施</w:t>
            </w:r>
            <w:r>
              <w:rPr>
                <w:rFonts w:hint="eastAsia" w:cs="Times New Roman"/>
                <w:b/>
                <w:bCs w:val="0"/>
                <w:color w:val="auto"/>
                <w:spacing w:val="0"/>
                <w:sz w:val="21"/>
                <w:szCs w:val="21"/>
                <w:highlight w:val="none"/>
                <w:lang w:val="en-US" w:eastAsia="zh-CN"/>
              </w:rPr>
              <w:t>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905"/>
              <w:gridCol w:w="3640"/>
            </w:tblGrid>
            <w:tr w14:paraId="1CC5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tcPr>
                <w:p w14:paraId="43188161">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eastAsia="宋体" w:cs="Times New Roman"/>
                      <w:bCs/>
                      <w:color w:val="auto"/>
                      <w:sz w:val="18"/>
                      <w:szCs w:val="18"/>
                      <w:highlight w:val="none"/>
                      <w:vertAlign w:val="baseline"/>
                      <w:lang w:val="en-US" w:eastAsia="zh-CN"/>
                    </w:rPr>
                    <w:t>序号</w:t>
                  </w:r>
                </w:p>
              </w:tc>
              <w:tc>
                <w:tcPr>
                  <w:tcW w:w="1830" w:type="pct"/>
                </w:tcPr>
                <w:p w14:paraId="5940D4D6">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eastAsia="宋体" w:cs="Times New Roman"/>
                      <w:bCs/>
                      <w:color w:val="auto"/>
                      <w:sz w:val="18"/>
                      <w:szCs w:val="18"/>
                      <w:highlight w:val="none"/>
                      <w:vertAlign w:val="baseline"/>
                      <w:lang w:val="en-US" w:eastAsia="zh-CN"/>
                    </w:rPr>
                    <w:t>现有问题</w:t>
                  </w:r>
                </w:p>
              </w:tc>
              <w:tc>
                <w:tcPr>
                  <w:tcW w:w="2293" w:type="pct"/>
                </w:tcPr>
                <w:p w14:paraId="5CABB3E1">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eastAsia="宋体" w:cs="Times New Roman"/>
                      <w:bCs/>
                      <w:color w:val="auto"/>
                      <w:sz w:val="18"/>
                      <w:szCs w:val="18"/>
                      <w:highlight w:val="none"/>
                      <w:vertAlign w:val="baseline"/>
                      <w:lang w:val="en-US" w:eastAsia="zh-CN"/>
                    </w:rPr>
                    <w:t>“以新带老”措施</w:t>
                  </w:r>
                </w:p>
              </w:tc>
            </w:tr>
            <w:tr w14:paraId="2147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vAlign w:val="center"/>
                </w:tcPr>
                <w:p w14:paraId="4145A1C5">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sz w:val="18"/>
                      <w:szCs w:val="18"/>
                      <w:highlight w:val="none"/>
                      <w:vertAlign w:val="baseline"/>
                      <w:lang w:val="en-US" w:eastAsia="zh-CN"/>
                    </w:rPr>
                  </w:pPr>
                  <w:r>
                    <w:rPr>
                      <w:rFonts w:hint="eastAsia" w:ascii="Times New Roman" w:hAnsi="Times New Roman" w:eastAsia="宋体" w:cs="Times New Roman"/>
                      <w:bCs/>
                      <w:color w:val="auto"/>
                      <w:sz w:val="18"/>
                      <w:szCs w:val="18"/>
                      <w:highlight w:val="none"/>
                      <w:vertAlign w:val="baseline"/>
                      <w:lang w:val="en-US" w:eastAsia="zh-CN"/>
                    </w:rPr>
                    <w:t>1</w:t>
                  </w:r>
                </w:p>
              </w:tc>
              <w:tc>
                <w:tcPr>
                  <w:tcW w:w="1830" w:type="pct"/>
                  <w:vAlign w:val="center"/>
                </w:tcPr>
                <w:p w14:paraId="015B67CF">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left"/>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kern w:val="2"/>
                      <w:sz w:val="18"/>
                      <w:szCs w:val="18"/>
                      <w:highlight w:val="none"/>
                      <w:vertAlign w:val="baseline"/>
                      <w:lang w:val="en-US" w:eastAsia="zh-CN" w:bidi="ar-SA"/>
                    </w:rPr>
                    <w:t>医疗废水未消毒预处理</w:t>
                  </w:r>
                </w:p>
              </w:tc>
              <w:tc>
                <w:tcPr>
                  <w:tcW w:w="2293" w:type="pct"/>
                  <w:vAlign w:val="center"/>
                </w:tcPr>
                <w:p w14:paraId="426567BB">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left"/>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kern w:val="2"/>
                      <w:sz w:val="18"/>
                      <w:szCs w:val="18"/>
                      <w:highlight w:val="none"/>
                      <w:vertAlign w:val="baseline"/>
                      <w:lang w:val="en-US" w:eastAsia="zh-CN" w:bidi="ar-SA"/>
                    </w:rPr>
                    <w:t>在手术室洗手台下设置一个消毒设施，用于收集处理医院内化验室、手术室等产生的医疗废水，处理能力约0.5m</w:t>
                  </w:r>
                  <w:r>
                    <w:rPr>
                      <w:rFonts w:hint="default" w:ascii="Times New Roman" w:hAnsi="Times New Roman" w:eastAsia="宋体" w:cs="Times New Roman"/>
                      <w:bCs/>
                      <w:color w:val="auto"/>
                      <w:kern w:val="2"/>
                      <w:sz w:val="18"/>
                      <w:szCs w:val="18"/>
                      <w:highlight w:val="none"/>
                      <w:vertAlign w:val="superscript"/>
                      <w:lang w:val="en-US" w:eastAsia="zh-CN" w:bidi="ar-SA"/>
                    </w:rPr>
                    <w:t>3</w:t>
                  </w:r>
                  <w:r>
                    <w:rPr>
                      <w:rFonts w:hint="default" w:ascii="Times New Roman" w:hAnsi="Times New Roman" w:eastAsia="宋体" w:cs="Times New Roman"/>
                      <w:bCs/>
                      <w:color w:val="auto"/>
                      <w:kern w:val="2"/>
                      <w:sz w:val="18"/>
                      <w:szCs w:val="18"/>
                      <w:highlight w:val="none"/>
                      <w:vertAlign w:val="baseline"/>
                      <w:lang w:val="en-US" w:eastAsia="zh-CN" w:bidi="ar-SA"/>
                    </w:rPr>
                    <w:t>/d，对医疗废水进行消毒预处理，日常人工投加氯片进行消毒，氯片为外购。</w:t>
                  </w:r>
                </w:p>
              </w:tc>
            </w:tr>
            <w:tr w14:paraId="418D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pct"/>
                  <w:shd w:val="clear" w:color="auto" w:fill="auto"/>
                  <w:vAlign w:val="center"/>
                </w:tcPr>
                <w:p w14:paraId="5EC0EBC0">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eastAsia" w:ascii="Times New Roman" w:hAnsi="Times New Roman" w:eastAsia="宋体" w:cs="Times New Roman"/>
                      <w:bCs/>
                      <w:color w:val="auto"/>
                      <w:kern w:val="2"/>
                      <w:sz w:val="18"/>
                      <w:szCs w:val="18"/>
                      <w:highlight w:val="none"/>
                      <w:vertAlign w:val="baseline"/>
                      <w:lang w:val="en-US" w:eastAsia="zh-CN" w:bidi="ar-SA"/>
                    </w:rPr>
                    <w:t>2</w:t>
                  </w:r>
                </w:p>
              </w:tc>
              <w:tc>
                <w:tcPr>
                  <w:tcW w:w="1830" w:type="pct"/>
                  <w:shd w:val="clear" w:color="auto" w:fill="auto"/>
                  <w:vAlign w:val="center"/>
                </w:tcPr>
                <w:p w14:paraId="5D13AEC1">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left"/>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项目危险废物贮存点未按照要求设施标识标牌。</w:t>
                  </w:r>
                </w:p>
              </w:tc>
              <w:tc>
                <w:tcPr>
                  <w:tcW w:w="2293" w:type="pct"/>
                  <w:shd w:val="clear" w:color="auto" w:fill="auto"/>
                  <w:vAlign w:val="center"/>
                </w:tcPr>
                <w:p w14:paraId="1A9CA362">
                  <w:pPr>
                    <w:pStyle w:val="75"/>
                    <w:keepNext w:val="0"/>
                    <w:keepLines w:val="0"/>
                    <w:pageBreakBefore w:val="0"/>
                    <w:widowControl w:val="0"/>
                    <w:kinsoku/>
                    <w:wordWrap/>
                    <w:overflowPunct/>
                    <w:topLinePunct w:val="0"/>
                    <w:autoSpaceDE/>
                    <w:autoSpaceDN/>
                    <w:bidi w:val="0"/>
                    <w:adjustRightInd/>
                    <w:snapToGrid w:val="0"/>
                    <w:spacing w:line="240" w:lineRule="exact"/>
                    <w:ind w:firstLine="0" w:firstLineChars="0"/>
                    <w:jc w:val="left"/>
                    <w:textAlignment w:val="auto"/>
                    <w:rPr>
                      <w:rFonts w:hint="default" w:ascii="Times New Roman" w:hAnsi="Times New Roman" w:eastAsia="宋体" w:cs="Times New Roman"/>
                      <w:bCs/>
                      <w:color w:val="auto"/>
                      <w:kern w:val="2"/>
                      <w:sz w:val="18"/>
                      <w:szCs w:val="18"/>
                      <w:highlight w:val="none"/>
                      <w:vertAlign w:val="baseline"/>
                      <w:lang w:val="en-US" w:eastAsia="zh-CN" w:bidi="ar-SA"/>
                    </w:rPr>
                  </w:pPr>
                  <w:r>
                    <w:rPr>
                      <w:rFonts w:hint="default" w:ascii="Times New Roman" w:hAnsi="Times New Roman" w:eastAsia="宋体" w:cs="Times New Roman"/>
                      <w:bCs/>
                      <w:color w:val="auto"/>
                      <w:sz w:val="18"/>
                      <w:szCs w:val="18"/>
                      <w:highlight w:val="none"/>
                      <w:vertAlign w:val="baseline"/>
                      <w:lang w:val="en-US" w:eastAsia="zh-CN"/>
                    </w:rPr>
                    <w:t>贮存点严格按照《危险废物贮存污染控制标准》</w:t>
                  </w:r>
                  <w:r>
                    <w:rPr>
                      <w:rFonts w:hint="eastAsia" w:cs="Times New Roman"/>
                      <w:bCs/>
                      <w:color w:val="auto"/>
                      <w:sz w:val="18"/>
                      <w:szCs w:val="18"/>
                      <w:highlight w:val="none"/>
                      <w:vertAlign w:val="baseline"/>
                      <w:lang w:val="en-US" w:eastAsia="zh-CN"/>
                    </w:rPr>
                    <w:t>（</w:t>
                  </w:r>
                  <w:r>
                    <w:rPr>
                      <w:rFonts w:hint="default" w:ascii="Times New Roman" w:hAnsi="Times New Roman" w:eastAsia="宋体" w:cs="Times New Roman"/>
                      <w:bCs/>
                      <w:color w:val="auto"/>
                      <w:sz w:val="18"/>
                      <w:szCs w:val="18"/>
                      <w:highlight w:val="none"/>
                      <w:vertAlign w:val="baseline"/>
                      <w:lang w:val="en-US" w:eastAsia="zh-CN"/>
                    </w:rPr>
                    <w:t>GB18597-2023</w:t>
                  </w:r>
                  <w:r>
                    <w:rPr>
                      <w:rFonts w:hint="eastAsia" w:cs="Times New Roman"/>
                      <w:bCs/>
                      <w:color w:val="auto"/>
                      <w:sz w:val="18"/>
                      <w:szCs w:val="18"/>
                      <w:highlight w:val="none"/>
                      <w:vertAlign w:val="baseline"/>
                      <w:lang w:val="en-US" w:eastAsia="zh-CN"/>
                    </w:rPr>
                    <w:t>）</w:t>
                  </w:r>
                  <w:r>
                    <w:rPr>
                      <w:rFonts w:hint="default" w:ascii="Times New Roman" w:hAnsi="Times New Roman" w:eastAsia="宋体" w:cs="Times New Roman"/>
                      <w:bCs/>
                      <w:color w:val="auto"/>
                      <w:sz w:val="18"/>
                      <w:szCs w:val="18"/>
                      <w:highlight w:val="none"/>
                      <w:vertAlign w:val="baseline"/>
                      <w:lang w:val="en-US" w:eastAsia="zh-CN"/>
                    </w:rPr>
                    <w:t>中的要求设置，同时按照《危险废物识别标志设置技术规范》</w:t>
                  </w:r>
                  <w:r>
                    <w:rPr>
                      <w:rFonts w:hint="eastAsia" w:cs="Times New Roman"/>
                      <w:bCs/>
                      <w:color w:val="auto"/>
                      <w:sz w:val="18"/>
                      <w:szCs w:val="18"/>
                      <w:highlight w:val="none"/>
                      <w:vertAlign w:val="baseline"/>
                      <w:lang w:val="en-US" w:eastAsia="zh-CN"/>
                    </w:rPr>
                    <w:t>（</w:t>
                  </w:r>
                  <w:r>
                    <w:rPr>
                      <w:rFonts w:hint="default" w:ascii="Times New Roman" w:hAnsi="Times New Roman" w:eastAsia="宋体" w:cs="Times New Roman"/>
                      <w:bCs/>
                      <w:color w:val="auto"/>
                      <w:sz w:val="18"/>
                      <w:szCs w:val="18"/>
                      <w:highlight w:val="none"/>
                      <w:vertAlign w:val="baseline"/>
                      <w:lang w:val="en-US" w:eastAsia="zh-CN"/>
                    </w:rPr>
                    <w:t>HJ1276-2022</w:t>
                  </w:r>
                  <w:r>
                    <w:rPr>
                      <w:rFonts w:hint="eastAsia" w:cs="Times New Roman"/>
                      <w:bCs/>
                      <w:color w:val="auto"/>
                      <w:sz w:val="18"/>
                      <w:szCs w:val="18"/>
                      <w:highlight w:val="none"/>
                      <w:vertAlign w:val="baseline"/>
                      <w:lang w:val="en-US" w:eastAsia="zh-CN"/>
                    </w:rPr>
                    <w:t>）</w:t>
                  </w:r>
                  <w:r>
                    <w:rPr>
                      <w:rFonts w:hint="default" w:ascii="Times New Roman" w:hAnsi="Times New Roman" w:eastAsia="宋体" w:cs="Times New Roman"/>
                      <w:bCs/>
                      <w:color w:val="auto"/>
                      <w:sz w:val="18"/>
                      <w:szCs w:val="18"/>
                      <w:highlight w:val="none"/>
                      <w:vertAlign w:val="baseline"/>
                      <w:lang w:val="en-US" w:eastAsia="zh-CN"/>
                    </w:rPr>
                    <w:t>设置危险废物标识标牌。贮存点内医疗废物进行分类分区贮存，各类危废采用专用包装贮存，定期交资质单位处置。</w:t>
                  </w:r>
                </w:p>
              </w:tc>
            </w:tr>
          </w:tbl>
          <w:p w14:paraId="51980B79">
            <w:pPr>
              <w:spacing w:line="400" w:lineRule="exact"/>
              <w:ind w:firstLine="420" w:firstLineChars="200"/>
              <w:rPr>
                <w:rFonts w:hint="default" w:eastAsia="宋体"/>
                <w:color w:val="auto"/>
                <w:szCs w:val="21"/>
                <w:lang w:val="en-US" w:eastAsia="zh-CN"/>
              </w:rPr>
            </w:pPr>
          </w:p>
          <w:p w14:paraId="57675649">
            <w:pPr>
              <w:spacing w:line="400" w:lineRule="exact"/>
              <w:ind w:firstLine="420" w:firstLineChars="200"/>
              <w:rPr>
                <w:rFonts w:hint="default" w:eastAsia="宋体"/>
                <w:color w:val="auto"/>
                <w:szCs w:val="21"/>
                <w:lang w:val="en-US" w:eastAsia="zh-CN"/>
              </w:rPr>
            </w:pPr>
          </w:p>
          <w:p w14:paraId="4F63CC90">
            <w:pPr>
              <w:spacing w:line="400" w:lineRule="exact"/>
              <w:ind w:firstLine="420" w:firstLineChars="200"/>
              <w:rPr>
                <w:rFonts w:hint="default" w:eastAsia="宋体"/>
                <w:color w:val="auto"/>
                <w:szCs w:val="21"/>
                <w:lang w:val="en-US" w:eastAsia="zh-CN"/>
              </w:rPr>
            </w:pPr>
          </w:p>
          <w:p w14:paraId="5350E3D1">
            <w:pPr>
              <w:spacing w:line="400" w:lineRule="exact"/>
              <w:ind w:firstLine="420" w:firstLineChars="200"/>
              <w:rPr>
                <w:rFonts w:hint="default" w:eastAsia="宋体"/>
                <w:color w:val="auto"/>
                <w:szCs w:val="21"/>
                <w:lang w:val="en-US" w:eastAsia="zh-CN"/>
              </w:rPr>
            </w:pPr>
          </w:p>
        </w:tc>
      </w:tr>
    </w:tbl>
    <w:p w14:paraId="555B1AF9">
      <w:pPr>
        <w:pStyle w:val="19"/>
        <w:jc w:val="center"/>
        <w:outlineLvl w:val="0"/>
        <w:rPr>
          <w:rFonts w:hint="default" w:ascii="Times New Roman" w:hAnsi="Times New Roman" w:eastAsia="宋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10091EA">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w:t>
      </w:r>
      <w:bookmarkStart w:id="36" w:name="_Hlk54167917"/>
      <w:r>
        <w:rPr>
          <w:rFonts w:hint="default" w:ascii="Times New Roman" w:hAnsi="Times New Roman" w:eastAsia="宋体" w:cs="Times New Roman"/>
          <w:snapToGrid w:val="0"/>
          <w:color w:val="auto"/>
          <w:sz w:val="30"/>
          <w:szCs w:val="30"/>
        </w:rPr>
        <w:t>环境保护措施监督检查清单</w:t>
      </w:r>
      <w:bookmarkEnd w:id="3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448"/>
        <w:gridCol w:w="1140"/>
        <w:gridCol w:w="2640"/>
        <w:gridCol w:w="2247"/>
      </w:tblGrid>
      <w:tr w14:paraId="41AB1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5" w:type="dxa"/>
            <w:tcBorders>
              <w:tl2br w:val="single" w:color="auto" w:sz="4" w:space="0"/>
            </w:tcBorders>
            <w:noWrap w:val="0"/>
            <w:vAlign w:val="top"/>
          </w:tcPr>
          <w:p w14:paraId="22FD1B73">
            <w:pPr>
              <w:adjustRightInd w:val="0"/>
              <w:snapToGrid w:val="0"/>
              <w:ind w:firstLine="720" w:firstLineChars="4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内容</w:t>
            </w:r>
          </w:p>
          <w:p w14:paraId="75416B02">
            <w:pPr>
              <w:adjustRightInd w:val="0"/>
              <w:snapToGri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要素</w:t>
            </w:r>
          </w:p>
        </w:tc>
        <w:tc>
          <w:tcPr>
            <w:tcW w:w="1448" w:type="dxa"/>
            <w:noWrap w:val="0"/>
            <w:vAlign w:val="center"/>
          </w:tcPr>
          <w:p w14:paraId="31794826">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排放口</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编号、</w:t>
            </w:r>
          </w:p>
          <w:p w14:paraId="110D315D">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/污染源</w:t>
            </w:r>
          </w:p>
        </w:tc>
        <w:tc>
          <w:tcPr>
            <w:tcW w:w="1140" w:type="dxa"/>
            <w:noWrap w:val="0"/>
            <w:vAlign w:val="center"/>
          </w:tcPr>
          <w:p w14:paraId="32C3440A">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污染物项目</w:t>
            </w:r>
          </w:p>
        </w:tc>
        <w:tc>
          <w:tcPr>
            <w:tcW w:w="2640" w:type="dxa"/>
            <w:noWrap w:val="0"/>
            <w:vAlign w:val="center"/>
          </w:tcPr>
          <w:p w14:paraId="57DA9D6A">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环境保护措施</w:t>
            </w:r>
          </w:p>
        </w:tc>
        <w:tc>
          <w:tcPr>
            <w:tcW w:w="2247" w:type="dxa"/>
            <w:noWrap w:val="0"/>
            <w:vAlign w:val="center"/>
          </w:tcPr>
          <w:p w14:paraId="0A9518FC">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执行标准</w:t>
            </w:r>
          </w:p>
        </w:tc>
      </w:tr>
      <w:tr w14:paraId="04A92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25" w:type="dxa"/>
            <w:noWrap w:val="0"/>
            <w:vAlign w:val="center"/>
          </w:tcPr>
          <w:p w14:paraId="1D1B40F4">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大气环境</w:t>
            </w:r>
          </w:p>
        </w:tc>
        <w:tc>
          <w:tcPr>
            <w:tcW w:w="1448" w:type="dxa"/>
            <w:noWrap w:val="0"/>
            <w:vAlign w:val="center"/>
          </w:tcPr>
          <w:p w14:paraId="41A2ABCB">
            <w:pPr>
              <w:adjustRightInd w:val="0"/>
              <w:snapToGrid w:val="0"/>
              <w:jc w:val="center"/>
              <w:rPr>
                <w:rFonts w:hint="default" w:ascii="Times New Roman" w:hAnsi="Times New Roman" w:cs="Times New Roman"/>
                <w:color w:val="auto"/>
                <w:spacing w:val="0"/>
                <w:kern w:val="2"/>
                <w:sz w:val="18"/>
                <w:szCs w:val="18"/>
                <w:lang w:val="en-US" w:eastAsia="zh-CN" w:bidi="ar-SA"/>
              </w:rPr>
            </w:pPr>
            <w:r>
              <w:rPr>
                <w:rFonts w:hint="default" w:ascii="Times New Roman" w:hAnsi="Times New Roman" w:cs="Times New Roman"/>
                <w:color w:val="auto"/>
                <w:spacing w:val="0"/>
                <w:kern w:val="2"/>
                <w:sz w:val="18"/>
                <w:szCs w:val="18"/>
                <w:lang w:val="en-US" w:eastAsia="zh-CN" w:bidi="ar-SA"/>
              </w:rPr>
              <w:t>诊疗、住院等</w:t>
            </w:r>
          </w:p>
        </w:tc>
        <w:tc>
          <w:tcPr>
            <w:tcW w:w="1140" w:type="dxa"/>
            <w:noWrap w:val="0"/>
            <w:vAlign w:val="center"/>
          </w:tcPr>
          <w:p w14:paraId="323D7E74">
            <w:pPr>
              <w:adjustRightInd w:val="0"/>
              <w:snapToGrid w:val="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kern w:val="2"/>
                <w:sz w:val="18"/>
                <w:szCs w:val="18"/>
                <w:lang w:val="en-US" w:eastAsia="zh-CN" w:bidi="ar-SA"/>
              </w:rPr>
              <w:t>异味</w:t>
            </w:r>
          </w:p>
        </w:tc>
        <w:tc>
          <w:tcPr>
            <w:tcW w:w="2640" w:type="dxa"/>
            <w:noWrap w:val="0"/>
            <w:vAlign w:val="center"/>
          </w:tcPr>
          <w:p w14:paraId="2445CF78">
            <w:pPr>
              <w:adjustRightInd w:val="0"/>
              <w:snapToGrid w:val="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采用自然通风和空调系统结合的形式进行通风；每天使用消毒液等对院区进行消毒</w:t>
            </w:r>
          </w:p>
        </w:tc>
        <w:tc>
          <w:tcPr>
            <w:tcW w:w="2247" w:type="dxa"/>
            <w:noWrap w:val="0"/>
            <w:vAlign w:val="center"/>
          </w:tcPr>
          <w:p w14:paraId="4C4449BD">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《恶臭污染物排放标准》（GB14554-93）</w:t>
            </w:r>
          </w:p>
        </w:tc>
      </w:tr>
      <w:tr w14:paraId="1AB1F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325" w:type="dxa"/>
            <w:noWrap w:val="0"/>
            <w:vAlign w:val="center"/>
          </w:tcPr>
          <w:p w14:paraId="2CE350AA">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地表水环境</w:t>
            </w:r>
          </w:p>
        </w:tc>
        <w:tc>
          <w:tcPr>
            <w:tcW w:w="1448" w:type="dxa"/>
            <w:noWrap w:val="0"/>
            <w:vAlign w:val="center"/>
          </w:tcPr>
          <w:p w14:paraId="171F0F55">
            <w:pPr>
              <w:adjustRightInd w:val="0"/>
              <w:snapToGrid w:val="0"/>
              <w:jc w:val="center"/>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spacing w:val="0"/>
                <w:sz w:val="18"/>
                <w:szCs w:val="18"/>
                <w:lang w:val="en-US" w:eastAsia="zh-CN"/>
              </w:rPr>
              <w:t>生化池、消毒设施</w:t>
            </w:r>
          </w:p>
        </w:tc>
        <w:tc>
          <w:tcPr>
            <w:tcW w:w="1140" w:type="dxa"/>
            <w:noWrap w:val="0"/>
            <w:vAlign w:val="center"/>
          </w:tcPr>
          <w:p w14:paraId="4C54312F">
            <w:pPr>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COD、SS、氨氮、粪大肠菌群、BOD</w:t>
            </w:r>
            <w:r>
              <w:rPr>
                <w:rFonts w:hint="default" w:ascii="Times New Roman" w:hAnsi="Times New Roman" w:eastAsia="宋体" w:cs="Times New Roman"/>
                <w:color w:val="auto"/>
                <w:spacing w:val="0"/>
                <w:sz w:val="18"/>
                <w:szCs w:val="18"/>
                <w:vertAlign w:val="subscript"/>
                <w:lang w:val="en-US" w:eastAsia="zh-CN"/>
              </w:rPr>
              <w:t>5</w:t>
            </w:r>
            <w:r>
              <w:rPr>
                <w:rFonts w:hint="default" w:ascii="Times New Roman" w:hAnsi="Times New Roman" w:eastAsia="宋体" w:cs="Times New Roman"/>
                <w:color w:val="auto"/>
                <w:spacing w:val="0"/>
                <w:sz w:val="18"/>
                <w:szCs w:val="18"/>
                <w:lang w:val="en-US" w:eastAsia="zh-CN"/>
              </w:rPr>
              <w:t>、总余氯、LAS</w:t>
            </w:r>
          </w:p>
        </w:tc>
        <w:tc>
          <w:tcPr>
            <w:tcW w:w="2640" w:type="dxa"/>
            <w:noWrap w:val="0"/>
            <w:vAlign w:val="center"/>
          </w:tcPr>
          <w:p w14:paraId="676BD717">
            <w:pPr>
              <w:adjustRightInd w:val="0"/>
              <w:snapToGrid w:val="0"/>
              <w:jc w:val="center"/>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kern w:val="2"/>
                <w:sz w:val="18"/>
                <w:szCs w:val="18"/>
                <w:lang w:val="en-US" w:eastAsia="zh-CN" w:bidi="ar-SA"/>
              </w:rPr>
              <w:t>各产废水单元设置可移动废水收集桶或收集盆，医疗废水经废水收集桶或收集盆收集后倒入</w:t>
            </w:r>
            <w:r>
              <w:rPr>
                <w:rFonts w:hint="default" w:ascii="Times New Roman" w:hAnsi="Times New Roman" w:cs="Times New Roman"/>
                <w:color w:val="auto"/>
                <w:spacing w:val="0"/>
                <w:kern w:val="2"/>
                <w:sz w:val="18"/>
                <w:szCs w:val="18"/>
                <w:lang w:val="en-US" w:eastAsia="zh-CN" w:bidi="ar-SA"/>
              </w:rPr>
              <w:t>手术室洗手槽</w:t>
            </w:r>
            <w:r>
              <w:rPr>
                <w:rFonts w:hint="default" w:ascii="Times New Roman" w:hAnsi="Times New Roman" w:eastAsia="宋体" w:cs="Times New Roman"/>
                <w:color w:val="auto"/>
                <w:spacing w:val="0"/>
                <w:kern w:val="2"/>
                <w:sz w:val="18"/>
                <w:szCs w:val="18"/>
                <w:lang w:val="en-US" w:eastAsia="zh-CN" w:bidi="ar-SA"/>
              </w:rPr>
              <w:t>，经水槽下方</w:t>
            </w:r>
            <w:r>
              <w:rPr>
                <w:rFonts w:hint="default" w:ascii="Times New Roman" w:hAnsi="Times New Roman" w:cs="Times New Roman"/>
                <w:color w:val="auto"/>
                <w:spacing w:val="0"/>
                <w:kern w:val="2"/>
                <w:sz w:val="18"/>
                <w:szCs w:val="18"/>
                <w:lang w:val="en-US" w:eastAsia="zh-CN" w:bidi="ar-SA"/>
              </w:rPr>
              <w:t>设置的</w:t>
            </w:r>
            <w:r>
              <w:rPr>
                <w:rFonts w:hint="default" w:ascii="Times New Roman" w:hAnsi="Times New Roman" w:eastAsia="宋体" w:cs="Times New Roman"/>
                <w:color w:val="auto"/>
                <w:spacing w:val="0"/>
                <w:kern w:val="2"/>
                <w:sz w:val="18"/>
                <w:szCs w:val="18"/>
                <w:lang w:val="en-US" w:eastAsia="zh-CN" w:bidi="ar-SA"/>
              </w:rPr>
              <w:t>消毒设备（处理能力为</w:t>
            </w:r>
            <w:r>
              <w:rPr>
                <w:rFonts w:hint="default" w:ascii="Times New Roman" w:hAnsi="Times New Roman" w:cs="Times New Roman"/>
                <w:color w:val="auto"/>
                <w:spacing w:val="0"/>
                <w:kern w:val="2"/>
                <w:sz w:val="18"/>
                <w:szCs w:val="18"/>
                <w:lang w:val="en-US" w:eastAsia="zh-CN" w:bidi="ar-SA"/>
              </w:rPr>
              <w:t>0.5</w:t>
            </w:r>
            <w:r>
              <w:rPr>
                <w:rFonts w:hint="default" w:ascii="Times New Roman" w:hAnsi="Times New Roman" w:eastAsia="宋体" w:cs="Times New Roman"/>
                <w:color w:val="auto"/>
                <w:spacing w:val="0"/>
                <w:kern w:val="2"/>
                <w:sz w:val="18"/>
                <w:szCs w:val="18"/>
                <w:lang w:val="en-US" w:eastAsia="zh-CN" w:bidi="ar-SA"/>
              </w:rPr>
              <w:t>m</w:t>
            </w:r>
            <w:r>
              <w:rPr>
                <w:rFonts w:hint="default" w:ascii="Times New Roman" w:hAnsi="Times New Roman" w:eastAsia="宋体" w:cs="Times New Roman"/>
                <w:color w:val="auto"/>
                <w:spacing w:val="0"/>
                <w:kern w:val="2"/>
                <w:sz w:val="18"/>
                <w:szCs w:val="18"/>
                <w:vertAlign w:val="superscript"/>
                <w:lang w:val="en-US" w:eastAsia="zh-CN" w:bidi="ar-SA"/>
              </w:rPr>
              <w:t>3</w:t>
            </w:r>
            <w:r>
              <w:rPr>
                <w:rFonts w:hint="default" w:ascii="Times New Roman" w:hAnsi="Times New Roman" w:eastAsia="宋体" w:cs="Times New Roman"/>
                <w:color w:val="auto"/>
                <w:spacing w:val="0"/>
                <w:kern w:val="2"/>
                <w:sz w:val="18"/>
                <w:szCs w:val="18"/>
                <w:lang w:val="en-US" w:eastAsia="zh-CN" w:bidi="ar-SA"/>
              </w:rPr>
              <w:t>/d）消毒预处理（停留时间不少于1h）后</w:t>
            </w:r>
            <w:r>
              <w:rPr>
                <w:rFonts w:hint="default" w:ascii="Times New Roman" w:hAnsi="Times New Roman" w:cs="Times New Roman"/>
                <w:color w:val="auto"/>
                <w:spacing w:val="0"/>
                <w:kern w:val="2"/>
                <w:sz w:val="18"/>
                <w:szCs w:val="18"/>
                <w:lang w:val="en-US" w:eastAsia="zh-CN" w:bidi="ar-SA"/>
              </w:rPr>
              <w:t>，和经格栅预处理的宠物洗浴废水</w:t>
            </w:r>
            <w:r>
              <w:rPr>
                <w:rFonts w:hint="default" w:ascii="Times New Roman" w:hAnsi="Times New Roman" w:eastAsia="宋体" w:cs="Times New Roman"/>
                <w:color w:val="auto"/>
                <w:spacing w:val="0"/>
                <w:kern w:val="2"/>
                <w:sz w:val="18"/>
                <w:szCs w:val="18"/>
                <w:lang w:val="en-US" w:eastAsia="zh-CN" w:bidi="ar-SA"/>
              </w:rPr>
              <w:t>与生活污水一并依托</w:t>
            </w:r>
            <w:r>
              <w:rPr>
                <w:rFonts w:hint="default" w:ascii="Times New Roman" w:hAnsi="Times New Roman" w:cs="Times New Roman"/>
                <w:color w:val="auto"/>
                <w:spacing w:val="0"/>
                <w:kern w:val="2"/>
                <w:sz w:val="18"/>
                <w:szCs w:val="18"/>
                <w:lang w:val="en-US" w:eastAsia="zh-CN" w:bidi="ar-SA"/>
              </w:rPr>
              <w:t>小区</w:t>
            </w:r>
            <w:r>
              <w:rPr>
                <w:rFonts w:hint="default" w:ascii="Times New Roman" w:hAnsi="Times New Roman" w:eastAsia="宋体" w:cs="Times New Roman"/>
                <w:color w:val="auto"/>
                <w:spacing w:val="0"/>
                <w:kern w:val="2"/>
                <w:sz w:val="18"/>
                <w:szCs w:val="18"/>
                <w:lang w:val="en-US" w:eastAsia="zh-CN" w:bidi="ar-SA"/>
              </w:rPr>
              <w:t>已建生化池（处理能力</w:t>
            </w:r>
            <w:r>
              <w:rPr>
                <w:rFonts w:hint="default" w:ascii="Times New Roman" w:hAnsi="Times New Roman" w:cs="Times New Roman"/>
                <w:color w:val="auto"/>
                <w:spacing w:val="0"/>
                <w:kern w:val="2"/>
                <w:sz w:val="18"/>
                <w:szCs w:val="18"/>
                <w:lang w:val="en-US" w:eastAsia="zh-CN" w:bidi="ar-SA"/>
              </w:rPr>
              <w:t>200</w:t>
            </w:r>
            <w:r>
              <w:rPr>
                <w:rFonts w:hint="default" w:ascii="Times New Roman" w:hAnsi="Times New Roman" w:eastAsia="宋体" w:cs="Times New Roman"/>
                <w:color w:val="auto"/>
                <w:spacing w:val="0"/>
                <w:kern w:val="2"/>
                <w:sz w:val="18"/>
                <w:szCs w:val="18"/>
                <w:lang w:val="en-US" w:eastAsia="zh-CN" w:bidi="ar-SA"/>
              </w:rPr>
              <w:t>m</w:t>
            </w:r>
            <w:r>
              <w:rPr>
                <w:rFonts w:hint="default" w:ascii="Times New Roman" w:hAnsi="Times New Roman" w:eastAsia="宋体" w:cs="Times New Roman"/>
                <w:color w:val="auto"/>
                <w:spacing w:val="0"/>
                <w:kern w:val="2"/>
                <w:sz w:val="18"/>
                <w:szCs w:val="18"/>
                <w:vertAlign w:val="superscript"/>
                <w:lang w:val="en-US" w:eastAsia="zh-CN" w:bidi="ar-SA"/>
              </w:rPr>
              <w:t>3</w:t>
            </w:r>
            <w:r>
              <w:rPr>
                <w:rFonts w:hint="default" w:ascii="Times New Roman" w:hAnsi="Times New Roman" w:eastAsia="宋体" w:cs="Times New Roman"/>
                <w:color w:val="auto"/>
                <w:spacing w:val="0"/>
                <w:kern w:val="2"/>
                <w:sz w:val="18"/>
                <w:szCs w:val="18"/>
                <w:lang w:val="en-US" w:eastAsia="zh-CN" w:bidi="ar-SA"/>
              </w:rPr>
              <w:t>/d，厌氧工艺）处理</w:t>
            </w:r>
          </w:p>
        </w:tc>
        <w:tc>
          <w:tcPr>
            <w:tcW w:w="2247" w:type="dxa"/>
            <w:noWrap w:val="0"/>
            <w:vAlign w:val="center"/>
          </w:tcPr>
          <w:p w14:paraId="309BFB5D">
            <w:pPr>
              <w:adjustRightInd w:val="0"/>
              <w:snapToGrid w:val="0"/>
              <w:jc w:val="center"/>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kern w:val="2"/>
                <w:sz w:val="18"/>
                <w:szCs w:val="18"/>
                <w:lang w:val="en-US" w:eastAsia="zh-CN" w:bidi="ar-SA"/>
              </w:rPr>
              <w:t>《污水综合排放标准》（GB8978-1996）三级标准</w:t>
            </w:r>
          </w:p>
        </w:tc>
      </w:tr>
      <w:tr w14:paraId="290FF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5" w:type="dxa"/>
            <w:noWrap w:val="0"/>
            <w:vAlign w:val="center"/>
          </w:tcPr>
          <w:p w14:paraId="192CF92D">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声环境</w:t>
            </w:r>
          </w:p>
        </w:tc>
        <w:tc>
          <w:tcPr>
            <w:tcW w:w="1448" w:type="dxa"/>
            <w:noWrap w:val="0"/>
            <w:vAlign w:val="center"/>
          </w:tcPr>
          <w:p w14:paraId="1F73D052">
            <w:pPr>
              <w:adjustRightInd w:val="0"/>
              <w:snapToGrid w:val="0"/>
              <w:jc w:val="center"/>
              <w:rPr>
                <w:rFonts w:hint="default" w:ascii="Times New Roman" w:hAnsi="Times New Roman" w:eastAsia="宋体" w:cs="Times New Roman"/>
                <w:bCs/>
                <w:color w:val="auto"/>
                <w:spacing w:val="0"/>
                <w:kern w:val="2"/>
                <w:sz w:val="18"/>
                <w:szCs w:val="18"/>
                <w:lang w:val="en-US" w:eastAsia="zh-CN" w:bidi="ar-SA"/>
              </w:rPr>
            </w:pPr>
            <w:r>
              <w:rPr>
                <w:rFonts w:hint="default" w:ascii="Times New Roman" w:hAnsi="Times New Roman" w:cs="Times New Roman"/>
                <w:bCs/>
                <w:color w:val="auto"/>
                <w:spacing w:val="0"/>
                <w:sz w:val="18"/>
                <w:szCs w:val="18"/>
                <w:lang w:val="en-US" w:eastAsia="zh-CN"/>
              </w:rPr>
              <w:t>空调外机、宠物叫声</w:t>
            </w:r>
          </w:p>
        </w:tc>
        <w:tc>
          <w:tcPr>
            <w:tcW w:w="1140" w:type="dxa"/>
            <w:noWrap w:val="0"/>
            <w:vAlign w:val="center"/>
          </w:tcPr>
          <w:p w14:paraId="2FBC60CE">
            <w:pPr>
              <w:adjustRightInd w:val="0"/>
              <w:snapToGrid w:val="0"/>
              <w:jc w:val="center"/>
              <w:rPr>
                <w:rFonts w:hint="default" w:ascii="Times New Roman" w:hAnsi="Times New Roman" w:eastAsia="宋体" w:cs="Times New Roman"/>
                <w:bCs/>
                <w:color w:val="auto"/>
                <w:spacing w:val="0"/>
                <w:kern w:val="2"/>
                <w:sz w:val="18"/>
                <w:szCs w:val="18"/>
                <w:lang w:val="en-US" w:eastAsia="zh-CN" w:bidi="ar-SA"/>
              </w:rPr>
            </w:pPr>
            <w:r>
              <w:rPr>
                <w:rFonts w:hint="default" w:ascii="Times New Roman" w:hAnsi="Times New Roman" w:eastAsia="宋体" w:cs="Times New Roman"/>
                <w:bCs/>
                <w:color w:val="auto"/>
                <w:spacing w:val="0"/>
                <w:sz w:val="18"/>
                <w:szCs w:val="18"/>
              </w:rPr>
              <w:t>噪声</w:t>
            </w:r>
          </w:p>
        </w:tc>
        <w:tc>
          <w:tcPr>
            <w:tcW w:w="2640" w:type="dxa"/>
            <w:noWrap w:val="0"/>
            <w:vAlign w:val="center"/>
          </w:tcPr>
          <w:p w14:paraId="65A4DDB2">
            <w:pPr>
              <w:adjustRightInd w:val="0"/>
              <w:snapToGrid w:val="0"/>
              <w:jc w:val="center"/>
              <w:rPr>
                <w:rFonts w:hint="default" w:ascii="Times New Roman" w:hAnsi="Times New Roman" w:eastAsia="宋体" w:cs="Times New Roman"/>
                <w:bCs/>
                <w:color w:val="auto"/>
                <w:spacing w:val="0"/>
                <w:kern w:val="2"/>
                <w:sz w:val="18"/>
                <w:szCs w:val="18"/>
                <w:lang w:val="en-US" w:eastAsia="zh-CN" w:bidi="ar-SA"/>
              </w:rPr>
            </w:pPr>
            <w:r>
              <w:rPr>
                <w:rFonts w:hint="default" w:ascii="Times New Roman" w:hAnsi="Times New Roman" w:eastAsia="宋体" w:cs="Times New Roman"/>
                <w:color w:val="auto"/>
                <w:sz w:val="18"/>
                <w:szCs w:val="18"/>
                <w:highlight w:val="none"/>
              </w:rPr>
              <w:t>选用低噪声设备，采取基础减振措施，同时加强管理，避免动物处于饥饿状态，夜间关闭门窗避免动物乱叫。</w:t>
            </w:r>
          </w:p>
        </w:tc>
        <w:tc>
          <w:tcPr>
            <w:tcW w:w="2247" w:type="dxa"/>
            <w:noWrap w:val="0"/>
            <w:vAlign w:val="center"/>
          </w:tcPr>
          <w:p w14:paraId="642F8527">
            <w:pPr>
              <w:adjustRightInd w:val="0"/>
              <w:snapToGrid w:val="0"/>
              <w:jc w:val="center"/>
              <w:rPr>
                <w:rFonts w:hint="default" w:ascii="Times New Roman" w:hAnsi="Times New Roman" w:eastAsia="宋体" w:cs="Times New Roman"/>
                <w:bCs/>
                <w:color w:val="auto"/>
                <w:spacing w:val="0"/>
                <w:kern w:val="2"/>
                <w:sz w:val="18"/>
                <w:szCs w:val="18"/>
                <w:lang w:val="en-US" w:eastAsia="zh-CN" w:bidi="ar-SA"/>
              </w:rPr>
            </w:pPr>
            <w:r>
              <w:rPr>
                <w:rFonts w:hint="default" w:ascii="Times New Roman" w:hAnsi="Times New Roman" w:eastAsia="宋体" w:cs="Times New Roman"/>
                <w:bCs/>
                <w:color w:val="auto"/>
                <w:spacing w:val="0"/>
                <w:sz w:val="18"/>
                <w:szCs w:val="18"/>
              </w:rPr>
              <w:t>《工业企业厂界环境噪声排放标准》（GB12348-2008）中</w:t>
            </w:r>
            <w:r>
              <w:rPr>
                <w:rFonts w:hint="default" w:ascii="Times New Roman" w:hAnsi="Times New Roman" w:cs="Times New Roman"/>
                <w:bCs/>
                <w:color w:val="auto"/>
                <w:spacing w:val="0"/>
                <w:sz w:val="18"/>
                <w:szCs w:val="18"/>
                <w:lang w:val="en-US" w:eastAsia="zh-CN"/>
              </w:rPr>
              <w:t>2</w:t>
            </w:r>
            <w:r>
              <w:rPr>
                <w:rFonts w:hint="default" w:ascii="Times New Roman" w:hAnsi="Times New Roman" w:eastAsia="宋体" w:cs="Times New Roman"/>
                <w:bCs/>
                <w:color w:val="auto"/>
                <w:spacing w:val="0"/>
                <w:sz w:val="18"/>
                <w:szCs w:val="18"/>
              </w:rPr>
              <w:t>类标准</w:t>
            </w:r>
          </w:p>
        </w:tc>
      </w:tr>
      <w:tr w14:paraId="415B0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5" w:type="dxa"/>
            <w:noWrap w:val="0"/>
            <w:vAlign w:val="center"/>
          </w:tcPr>
          <w:p w14:paraId="67D6C399">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电磁辐射</w:t>
            </w:r>
          </w:p>
        </w:tc>
        <w:tc>
          <w:tcPr>
            <w:tcW w:w="1448" w:type="dxa"/>
            <w:noWrap w:val="0"/>
            <w:vAlign w:val="center"/>
          </w:tcPr>
          <w:p w14:paraId="1288F6F1">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140" w:type="dxa"/>
            <w:noWrap w:val="0"/>
            <w:vAlign w:val="center"/>
          </w:tcPr>
          <w:p w14:paraId="786F6295">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2640" w:type="dxa"/>
            <w:noWrap w:val="0"/>
            <w:vAlign w:val="center"/>
          </w:tcPr>
          <w:p w14:paraId="1535C6AA">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2247" w:type="dxa"/>
            <w:noWrap w:val="0"/>
            <w:vAlign w:val="center"/>
          </w:tcPr>
          <w:p w14:paraId="57EA0DD3">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092F4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325" w:type="dxa"/>
            <w:noWrap w:val="0"/>
            <w:vAlign w:val="center"/>
          </w:tcPr>
          <w:p w14:paraId="5D8E9238">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固体废物</w:t>
            </w:r>
          </w:p>
        </w:tc>
        <w:tc>
          <w:tcPr>
            <w:tcW w:w="7475" w:type="dxa"/>
            <w:gridSpan w:val="4"/>
            <w:noWrap w:val="0"/>
            <w:vAlign w:val="center"/>
          </w:tcPr>
          <w:p w14:paraId="0287C9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spacing w:val="0"/>
                <w:kern w:val="2"/>
                <w:sz w:val="18"/>
                <w:szCs w:val="18"/>
                <w:lang w:val="en-US" w:eastAsia="zh-CN" w:bidi="ar-SA"/>
              </w:rPr>
              <w:t>（1）</w:t>
            </w:r>
            <w:r>
              <w:rPr>
                <w:rFonts w:hint="default" w:ascii="Times New Roman" w:hAnsi="Times New Roman" w:eastAsia="宋体" w:cs="Times New Roman"/>
                <w:color w:val="auto"/>
                <w:spacing w:val="0"/>
                <w:kern w:val="2"/>
                <w:sz w:val="18"/>
                <w:szCs w:val="18"/>
                <w:lang w:val="en-US" w:eastAsia="zh-CN" w:bidi="ar-SA"/>
              </w:rPr>
              <w:t>在项目</w:t>
            </w:r>
            <w:r>
              <w:rPr>
                <w:rFonts w:hint="default" w:ascii="Times New Roman" w:hAnsi="Times New Roman" w:cs="Times New Roman"/>
                <w:color w:val="auto"/>
                <w:spacing w:val="0"/>
                <w:kern w:val="2"/>
                <w:sz w:val="18"/>
                <w:szCs w:val="18"/>
                <w:lang w:val="en-US" w:eastAsia="zh-CN" w:bidi="ar-SA"/>
              </w:rPr>
              <w:t>设有</w:t>
            </w:r>
            <w:r>
              <w:rPr>
                <w:rFonts w:hint="default" w:ascii="Times New Roman" w:hAnsi="Times New Roman" w:eastAsia="宋体" w:cs="Times New Roman"/>
                <w:color w:val="auto"/>
                <w:spacing w:val="0"/>
                <w:kern w:val="2"/>
                <w:sz w:val="18"/>
                <w:szCs w:val="18"/>
                <w:lang w:val="en-US" w:eastAsia="zh-CN" w:bidi="ar-SA"/>
              </w:rPr>
              <w:t>危险废物贮存</w:t>
            </w:r>
            <w:r>
              <w:rPr>
                <w:rFonts w:hint="default" w:ascii="Times New Roman" w:hAnsi="Times New Roman" w:cs="Times New Roman"/>
                <w:color w:val="auto"/>
                <w:spacing w:val="0"/>
                <w:kern w:val="2"/>
                <w:sz w:val="18"/>
                <w:szCs w:val="18"/>
                <w:lang w:val="en-US" w:eastAsia="zh-CN" w:bidi="ar-SA"/>
              </w:rPr>
              <w:t>点</w:t>
            </w:r>
            <w:r>
              <w:rPr>
                <w:rFonts w:hint="default" w:ascii="Times New Roman" w:hAnsi="Times New Roman" w:eastAsia="宋体" w:cs="Times New Roman"/>
                <w:color w:val="auto"/>
                <w:spacing w:val="0"/>
                <w:kern w:val="2"/>
                <w:sz w:val="18"/>
                <w:szCs w:val="18"/>
                <w:lang w:val="en-US" w:eastAsia="zh-CN" w:bidi="ar-SA"/>
              </w:rPr>
              <w:t>，面积约</w:t>
            </w:r>
            <w:r>
              <w:rPr>
                <w:rFonts w:hint="default" w:ascii="Times New Roman" w:hAnsi="Times New Roman" w:cs="Times New Roman"/>
                <w:color w:val="auto"/>
                <w:spacing w:val="0"/>
                <w:kern w:val="2"/>
                <w:sz w:val="18"/>
                <w:szCs w:val="18"/>
                <w:lang w:val="en-US" w:eastAsia="zh-CN" w:bidi="ar-SA"/>
              </w:rPr>
              <w:t>1</w:t>
            </w:r>
            <w:r>
              <w:rPr>
                <w:rFonts w:hint="default" w:ascii="Times New Roman" w:hAnsi="Times New Roman" w:eastAsia="宋体" w:cs="Times New Roman"/>
                <w:color w:val="auto"/>
                <w:spacing w:val="0"/>
                <w:kern w:val="2"/>
                <w:sz w:val="18"/>
                <w:szCs w:val="18"/>
                <w:lang w:val="en-US" w:eastAsia="zh-CN" w:bidi="ar-SA"/>
              </w:rPr>
              <w:t>m</w:t>
            </w:r>
            <w:r>
              <w:rPr>
                <w:rFonts w:hint="default" w:ascii="Times New Roman" w:hAnsi="Times New Roman" w:eastAsia="宋体" w:cs="Times New Roman"/>
                <w:color w:val="auto"/>
                <w:spacing w:val="0"/>
                <w:kern w:val="2"/>
                <w:sz w:val="18"/>
                <w:szCs w:val="18"/>
                <w:vertAlign w:val="superscript"/>
                <w:lang w:val="en-US" w:eastAsia="zh-CN" w:bidi="ar-SA"/>
              </w:rPr>
              <w:t>2</w:t>
            </w:r>
            <w:r>
              <w:rPr>
                <w:rFonts w:hint="default" w:ascii="Times New Roman" w:hAnsi="Times New Roman" w:eastAsia="宋体" w:cs="Times New Roman"/>
                <w:color w:val="auto"/>
                <w:spacing w:val="0"/>
                <w:kern w:val="2"/>
                <w:sz w:val="18"/>
                <w:szCs w:val="18"/>
                <w:lang w:val="en-US" w:eastAsia="zh-CN" w:bidi="ar-SA"/>
              </w:rPr>
              <w:t xml:space="preserve">，内设置加盖垃圾桶分类收集，交由有资质的单位进行处置； </w:t>
            </w:r>
          </w:p>
          <w:p w14:paraId="636315A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spacing w:val="0"/>
                <w:kern w:val="2"/>
                <w:sz w:val="18"/>
                <w:szCs w:val="18"/>
                <w:lang w:val="en-US" w:eastAsia="zh-CN" w:bidi="ar-SA"/>
              </w:rPr>
              <w:t>（2）</w:t>
            </w:r>
            <w:r>
              <w:rPr>
                <w:rFonts w:hint="default" w:ascii="Times New Roman" w:hAnsi="Times New Roman" w:eastAsia="宋体" w:cs="Times New Roman"/>
                <w:color w:val="auto"/>
                <w:spacing w:val="0"/>
                <w:kern w:val="2"/>
                <w:sz w:val="18"/>
                <w:szCs w:val="18"/>
                <w:lang w:val="en-US" w:eastAsia="zh-CN" w:bidi="ar-SA"/>
              </w:rPr>
              <w:t>动物尸体不在医院内暂存，产生后由宠物主人领回或直接交送有资质的无害化处理场所进行处理</w:t>
            </w:r>
            <w:r>
              <w:rPr>
                <w:rFonts w:hint="default" w:ascii="Times New Roman" w:hAnsi="Times New Roman" w:cs="Times New Roman"/>
                <w:color w:val="auto"/>
                <w:spacing w:val="0"/>
                <w:kern w:val="2"/>
                <w:sz w:val="18"/>
                <w:szCs w:val="18"/>
                <w:lang w:val="en-US" w:eastAsia="zh-CN" w:bidi="ar-SA"/>
              </w:rPr>
              <w:t>；</w:t>
            </w:r>
            <w:r>
              <w:rPr>
                <w:rFonts w:hint="default" w:ascii="Times New Roman" w:hAnsi="Times New Roman" w:eastAsia="宋体" w:cs="Times New Roman"/>
                <w:color w:val="auto"/>
                <w:spacing w:val="0"/>
                <w:kern w:val="2"/>
                <w:sz w:val="18"/>
                <w:szCs w:val="18"/>
                <w:lang w:val="en-US" w:eastAsia="zh-CN" w:bidi="ar-SA"/>
              </w:rPr>
              <w:t xml:space="preserve"> </w:t>
            </w:r>
          </w:p>
          <w:p w14:paraId="1C29DE1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spacing w:val="0"/>
                <w:kern w:val="2"/>
                <w:sz w:val="18"/>
                <w:szCs w:val="18"/>
                <w:lang w:val="en-US" w:eastAsia="zh-CN" w:bidi="ar-SA"/>
              </w:rPr>
              <w:t>（3）</w:t>
            </w:r>
            <w:r>
              <w:rPr>
                <w:rFonts w:hint="default" w:ascii="Times New Roman" w:hAnsi="Times New Roman" w:eastAsia="宋体" w:cs="Times New Roman"/>
                <w:color w:val="auto"/>
                <w:spacing w:val="0"/>
                <w:kern w:val="2"/>
                <w:sz w:val="18"/>
                <w:szCs w:val="18"/>
                <w:lang w:val="en-US" w:eastAsia="zh-CN" w:bidi="ar-SA"/>
              </w:rPr>
              <w:t xml:space="preserve">动物粪污喷洒消毒剂后紧袋收集暂存于加盖收集桶，与生活垃圾一起交由环卫部门清运； </w:t>
            </w:r>
          </w:p>
          <w:p w14:paraId="25618D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spacing w:val="0"/>
                <w:kern w:val="2"/>
                <w:sz w:val="18"/>
                <w:szCs w:val="18"/>
                <w:lang w:val="en-US" w:eastAsia="zh-CN" w:bidi="ar-SA"/>
              </w:rPr>
              <w:t>（4）</w:t>
            </w:r>
            <w:r>
              <w:rPr>
                <w:rFonts w:hint="default" w:ascii="Times New Roman" w:hAnsi="Times New Roman" w:eastAsia="宋体" w:cs="Times New Roman"/>
                <w:color w:val="auto"/>
                <w:spacing w:val="0"/>
                <w:kern w:val="2"/>
                <w:sz w:val="18"/>
                <w:szCs w:val="18"/>
                <w:lang w:val="en-US" w:eastAsia="zh-CN" w:bidi="ar-SA"/>
              </w:rPr>
              <w:t>生活垃圾、废毛袋装收集后交由环卫部门统一清运。</w:t>
            </w:r>
          </w:p>
          <w:p w14:paraId="42944E1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left"/>
              <w:textAlignment w:val="auto"/>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kern w:val="0"/>
                <w:sz w:val="18"/>
                <w:szCs w:val="18"/>
                <w:highlight w:val="none"/>
                <w:shd w:val="clear" w:color="auto" w:fill="auto"/>
                <w:lang w:val="en-US" w:eastAsia="zh-CN" w:bidi="ar"/>
              </w:rPr>
              <w:t>（5）</w:t>
            </w:r>
            <w:r>
              <w:rPr>
                <w:rFonts w:hint="default" w:ascii="Times New Roman" w:hAnsi="Times New Roman" w:eastAsia="宋体" w:cs="Times New Roman"/>
                <w:color w:val="auto"/>
                <w:kern w:val="0"/>
                <w:sz w:val="18"/>
                <w:szCs w:val="18"/>
                <w:highlight w:val="none"/>
                <w:shd w:val="clear" w:color="auto" w:fill="auto"/>
                <w:lang w:val="en-US" w:eastAsia="zh-CN" w:bidi="ar"/>
              </w:rPr>
              <w:t>废包装材料分类收集后外售物资回收公司。</w:t>
            </w:r>
          </w:p>
        </w:tc>
      </w:tr>
      <w:tr w14:paraId="0A27D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25" w:type="dxa"/>
            <w:noWrap w:val="0"/>
            <w:vAlign w:val="center"/>
          </w:tcPr>
          <w:p w14:paraId="05C32628">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土壤及地下水</w:t>
            </w:r>
          </w:p>
          <w:p w14:paraId="697F8BF9">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污染防治措施</w:t>
            </w:r>
          </w:p>
        </w:tc>
        <w:tc>
          <w:tcPr>
            <w:tcW w:w="7475" w:type="dxa"/>
            <w:gridSpan w:val="4"/>
            <w:noWrap w:val="0"/>
            <w:vAlign w:val="center"/>
          </w:tcPr>
          <w:p w14:paraId="195507A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cs="Times New Roman"/>
                <w:color w:val="auto"/>
                <w:spacing w:val="0"/>
                <w:kern w:val="2"/>
                <w:sz w:val="18"/>
                <w:szCs w:val="18"/>
                <w:lang w:val="en-US" w:eastAsia="zh-CN" w:bidi="ar-SA"/>
              </w:rPr>
              <w:t>/</w:t>
            </w:r>
          </w:p>
        </w:tc>
      </w:tr>
      <w:tr w14:paraId="4C5A2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5" w:type="dxa"/>
            <w:noWrap w:val="0"/>
            <w:vAlign w:val="center"/>
          </w:tcPr>
          <w:p w14:paraId="59F3ACD4">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生态保护措施</w:t>
            </w:r>
          </w:p>
        </w:tc>
        <w:tc>
          <w:tcPr>
            <w:tcW w:w="7475" w:type="dxa"/>
            <w:gridSpan w:val="4"/>
            <w:noWrap w:val="0"/>
            <w:vAlign w:val="center"/>
          </w:tcPr>
          <w:p w14:paraId="5554B1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22690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5" w:type="dxa"/>
            <w:noWrap w:val="0"/>
            <w:vAlign w:val="center"/>
          </w:tcPr>
          <w:p w14:paraId="382FF413">
            <w:pPr>
              <w:adjustRightInd w:val="0"/>
              <w:snapToGrid w:val="0"/>
              <w:jc w:val="center"/>
              <w:rPr>
                <w:rFonts w:hint="default" w:ascii="Times New Roman" w:hAnsi="Times New Roman" w:eastAsia="宋体" w:cs="Times New Roman"/>
                <w:color w:val="auto"/>
                <w:spacing w:val="-8"/>
                <w:sz w:val="18"/>
                <w:szCs w:val="18"/>
              </w:rPr>
            </w:pPr>
            <w:r>
              <w:rPr>
                <w:rFonts w:hint="default" w:ascii="Times New Roman" w:hAnsi="Times New Roman" w:eastAsia="宋体" w:cs="Times New Roman"/>
                <w:color w:val="auto"/>
                <w:spacing w:val="-8"/>
                <w:sz w:val="18"/>
                <w:szCs w:val="18"/>
              </w:rPr>
              <w:t>环境风险</w:t>
            </w:r>
          </w:p>
          <w:p w14:paraId="27CF6B69">
            <w:pPr>
              <w:adjustRightInd w:val="0"/>
              <w:snapToGrid w:val="0"/>
              <w:jc w:val="center"/>
              <w:rPr>
                <w:rFonts w:hint="default" w:ascii="Times New Roman" w:hAnsi="Times New Roman" w:eastAsia="宋体" w:cs="Times New Roman"/>
                <w:color w:val="auto"/>
                <w:spacing w:val="-8"/>
                <w:sz w:val="18"/>
                <w:szCs w:val="18"/>
              </w:rPr>
            </w:pPr>
            <w:r>
              <w:rPr>
                <w:rFonts w:hint="default" w:ascii="Times New Roman" w:hAnsi="Times New Roman" w:eastAsia="宋体" w:cs="Times New Roman"/>
                <w:color w:val="auto"/>
                <w:spacing w:val="-8"/>
                <w:sz w:val="18"/>
                <w:szCs w:val="18"/>
              </w:rPr>
              <w:t>防范措施</w:t>
            </w:r>
          </w:p>
        </w:tc>
        <w:tc>
          <w:tcPr>
            <w:tcW w:w="7475" w:type="dxa"/>
            <w:gridSpan w:val="4"/>
            <w:noWrap w:val="0"/>
            <w:vAlign w:val="center"/>
          </w:tcPr>
          <w:p w14:paraId="4FDF4164">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项目采取分区防渗措施，在医疗废物存放点设置防渗措施；加强药品的管控；加强动物疫情的管理，建立严格的卫生防疫制度，按计划进行清扫、消毒，按计划对宠物实施免疫程序建立免疫档案；医疗废物分类收集暂存于危险废物贮存库。</w:t>
            </w:r>
          </w:p>
        </w:tc>
      </w:tr>
      <w:tr w14:paraId="5A858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25" w:type="dxa"/>
            <w:noWrap w:val="0"/>
            <w:vAlign w:val="center"/>
          </w:tcPr>
          <w:p w14:paraId="39778A06">
            <w:pPr>
              <w:adjustRightInd w:val="0"/>
              <w:snapToGrid w:val="0"/>
              <w:jc w:val="center"/>
              <w:rPr>
                <w:rFonts w:hint="default" w:ascii="Times New Roman" w:hAnsi="Times New Roman" w:eastAsia="宋体" w:cs="Times New Roman"/>
                <w:color w:val="auto"/>
                <w:spacing w:val="-8"/>
                <w:sz w:val="18"/>
                <w:szCs w:val="18"/>
              </w:rPr>
            </w:pPr>
            <w:r>
              <w:rPr>
                <w:rFonts w:hint="default" w:ascii="Times New Roman" w:hAnsi="Times New Roman" w:eastAsia="宋体" w:cs="Times New Roman"/>
                <w:color w:val="auto"/>
                <w:spacing w:val="-8"/>
                <w:sz w:val="18"/>
                <w:szCs w:val="18"/>
              </w:rPr>
              <w:t>其他环境</w:t>
            </w:r>
          </w:p>
          <w:p w14:paraId="35C50F84">
            <w:pPr>
              <w:adjustRightInd w:val="0"/>
              <w:snapToGrid w:val="0"/>
              <w:jc w:val="center"/>
              <w:rPr>
                <w:rFonts w:hint="default" w:ascii="Times New Roman" w:hAnsi="Times New Roman" w:eastAsia="宋体" w:cs="Times New Roman"/>
                <w:color w:val="auto"/>
                <w:spacing w:val="-8"/>
                <w:sz w:val="18"/>
                <w:szCs w:val="18"/>
              </w:rPr>
            </w:pPr>
            <w:r>
              <w:rPr>
                <w:rFonts w:hint="default" w:ascii="Times New Roman" w:hAnsi="Times New Roman" w:eastAsia="宋体" w:cs="Times New Roman"/>
                <w:color w:val="auto"/>
                <w:spacing w:val="-8"/>
                <w:sz w:val="18"/>
                <w:szCs w:val="18"/>
              </w:rPr>
              <w:t>管理要求</w:t>
            </w:r>
          </w:p>
        </w:tc>
        <w:tc>
          <w:tcPr>
            <w:tcW w:w="7475" w:type="dxa"/>
            <w:gridSpan w:val="4"/>
            <w:noWrap w:val="0"/>
            <w:vAlign w:val="center"/>
          </w:tcPr>
          <w:p w14:paraId="03C26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①建立完善的环境管理机构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建立相应的环境保护规章制度和措施</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加强三废处理设施监督管理、建立好污染源档案</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制定安全管理</w:t>
            </w:r>
            <w:r>
              <w:rPr>
                <w:rFonts w:hint="default" w:ascii="Times New Roman" w:hAnsi="Times New Roman" w:eastAsia="宋体" w:cs="Times New Roman"/>
                <w:color w:val="auto"/>
                <w:sz w:val="18"/>
                <w:szCs w:val="18"/>
                <w:highlight w:val="none"/>
                <w:lang w:eastAsia="zh-CN"/>
              </w:rPr>
              <w:t>制度；</w:t>
            </w:r>
            <w:r>
              <w:rPr>
                <w:rFonts w:hint="default" w:ascii="Times New Roman" w:hAnsi="Times New Roman" w:eastAsia="宋体" w:cs="Times New Roman"/>
                <w:color w:val="auto"/>
                <w:sz w:val="18"/>
                <w:szCs w:val="18"/>
                <w:highlight w:val="none"/>
              </w:rPr>
              <w:t>岗位安全操作规程和作业安全规程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环保手续齐全</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建立环境管理制度，加强管理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定期对工作人员进行专业知识和相关政策、法规的培训。</w:t>
            </w:r>
          </w:p>
          <w:p w14:paraId="610E3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②根据《固定污染源排污许可分类管理名录》</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2019年版</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，本名录未对改建项目作规定，排污单位可不纳入排污许可管理要求。</w:t>
            </w:r>
          </w:p>
          <w:p w14:paraId="5DDE88F1">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b w:val="0"/>
                <w:bCs w:val="0"/>
                <w:color w:val="auto"/>
                <w:spacing w:val="0"/>
                <w:kern w:val="2"/>
                <w:sz w:val="18"/>
                <w:szCs w:val="18"/>
                <w:lang w:val="en-US" w:eastAsia="zh-CN" w:bidi="ar-SA"/>
              </w:rPr>
            </w:pPr>
            <w:r>
              <w:rPr>
                <w:rFonts w:hint="default" w:ascii="Times New Roman" w:hAnsi="Times New Roman" w:eastAsia="宋体" w:cs="Times New Roman"/>
                <w:color w:val="auto"/>
                <w:sz w:val="18"/>
                <w:szCs w:val="18"/>
                <w:highlight w:val="none"/>
              </w:rPr>
              <w:t>③项目应按国家《建设项目竣工环境保护验收暂行办法》（国环规环评〔2017〕4号）有关规定，组织开展项目的竣工环境保护验收工作，应通过网站或其他公众便于知晓的方式公开环保设施竣工时间、调试期限、验收报告等信息，同时报所在地生态环境局；验收公示期满5个工作日内，建设单位应将项目验收相关信息填报于全国建设项目环境影响评价管理信息平台。</w:t>
            </w:r>
          </w:p>
        </w:tc>
      </w:tr>
    </w:tbl>
    <w:p w14:paraId="344A15BE">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r>
        <w:rPr>
          <w:rFonts w:hint="default" w:ascii="Times New Roman" w:hAnsi="Times New Roman" w:eastAsia="宋体" w:cs="Times New Roman"/>
          <w:snapToGrid w:val="0"/>
          <w:color w:val="auto"/>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D1B9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7DF84DF">
            <w:pPr>
              <w:spacing w:line="400" w:lineRule="exact"/>
              <w:ind w:firstLine="420" w:firstLineChars="200"/>
              <w:rPr>
                <w:rFonts w:hint="default" w:ascii="Times New Roman" w:hAnsi="Times New Roman" w:eastAsia="宋体" w:cs="Times New Roman"/>
                <w:color w:val="auto"/>
                <w:sz w:val="24"/>
              </w:rPr>
            </w:pPr>
            <w:r>
              <w:rPr>
                <w:rFonts w:hint="default" w:eastAsia="宋体"/>
                <w:color w:val="auto"/>
                <w:szCs w:val="21"/>
                <w:lang w:val="en-US" w:eastAsia="zh-CN"/>
              </w:rPr>
              <w:t>综上所述，本项目符合国家产业政策和用地规划。在采取相应有效的污染治理措施后，能实现污染物达标排放，对周边环境影响在可接受范围内。因此，从环境保护角度分析，本项目的环境影响是可行的。</w:t>
            </w:r>
          </w:p>
        </w:tc>
      </w:tr>
    </w:tbl>
    <w:p w14:paraId="0B86395F">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F6E63B6">
      <w:pPr>
        <w:pStyle w:val="19"/>
        <w:adjustRightInd w:val="0"/>
        <w:snapToGrid w:val="0"/>
        <w:spacing w:before="0" w:beforeAutospacing="0" w:after="0" w:afterAutospacing="0" w:line="240" w:lineRule="auto"/>
        <w:outlineLvl w:val="0"/>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附表</w:t>
      </w:r>
    </w:p>
    <w:p w14:paraId="6E5C02B6">
      <w:pPr>
        <w:pStyle w:val="19"/>
        <w:adjustRightInd w:val="0"/>
        <w:snapToGrid w:val="0"/>
        <w:spacing w:before="0" w:beforeAutospacing="0" w:after="0" w:afterAutospacing="0" w:line="240" w:lineRule="auto"/>
        <w:jc w:val="center"/>
        <w:outlineLvl w:val="0"/>
        <w:rPr>
          <w:rFonts w:hint="default" w:ascii="Times New Roman" w:hAnsi="Times New Roman" w:eastAsia="宋体" w:cs="Times New Roman"/>
          <w:snapToGrid w:val="0"/>
          <w:color w:val="auto"/>
          <w:sz w:val="38"/>
          <w:szCs w:val="38"/>
          <w:lang w:val="en-US" w:eastAsia="zh-CN"/>
        </w:rPr>
      </w:pPr>
      <w:r>
        <w:rPr>
          <w:rFonts w:hint="default" w:ascii="Times New Roman" w:hAnsi="Times New Roman" w:eastAsia="宋体" w:cs="Times New Roman"/>
          <w:snapToGrid w:val="0"/>
          <w:color w:val="auto"/>
          <w:sz w:val="38"/>
          <w:szCs w:val="38"/>
        </w:rPr>
        <w:t>建设项目污染物排放量汇总表</w:t>
      </w:r>
      <w:r>
        <w:rPr>
          <w:rFonts w:hint="default" w:ascii="Times New Roman" w:hAnsi="Times New Roman" w:eastAsia="宋体" w:cs="Times New Roman"/>
          <w:snapToGrid w:val="0"/>
          <w:color w:val="auto"/>
          <w:sz w:val="38"/>
          <w:szCs w:val="38"/>
          <w:lang w:val="en-US" w:eastAsia="zh-CN"/>
        </w:rPr>
        <w:t xml:space="preserve">   单位：t/a</w:t>
      </w:r>
    </w:p>
    <w:tbl>
      <w:tblPr>
        <w:tblStyle w:val="22"/>
        <w:tblW w:w="1392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723"/>
        <w:gridCol w:w="1701"/>
        <w:gridCol w:w="1276"/>
        <w:gridCol w:w="1701"/>
        <w:gridCol w:w="1559"/>
        <w:gridCol w:w="1761"/>
        <w:gridCol w:w="1679"/>
        <w:gridCol w:w="1246"/>
      </w:tblGrid>
      <w:tr w14:paraId="5987D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282" w:type="dxa"/>
            <w:tcBorders>
              <w:tl2br w:val="single" w:color="auto" w:sz="4" w:space="0"/>
            </w:tcBorders>
            <w:noWrap w:val="0"/>
            <w:tcMar>
              <w:left w:w="28" w:type="dxa"/>
              <w:right w:w="28" w:type="dxa"/>
            </w:tcMar>
            <w:vAlign w:val="center"/>
          </w:tcPr>
          <w:p w14:paraId="0C51229F">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eastAsia" w:ascii="Times New Roman" w:hAnsi="Times New Roman" w:cs="Times New Roman"/>
                <w:b w:val="0"/>
                <w:bCs/>
                <w:snapToGrid w:val="0"/>
                <w:color w:val="auto"/>
                <w:kern w:val="21"/>
                <w:sz w:val="18"/>
                <w:szCs w:val="18"/>
                <w:lang w:val="en-US" w:eastAsia="zh-CN"/>
              </w:rPr>
              <w:t xml:space="preserve">        </w:t>
            </w:r>
            <w:r>
              <w:rPr>
                <w:rFonts w:hint="default" w:ascii="Times New Roman" w:hAnsi="Times New Roman" w:eastAsia="宋体" w:cs="Times New Roman"/>
                <w:b w:val="0"/>
                <w:bCs/>
                <w:snapToGrid w:val="0"/>
                <w:color w:val="auto"/>
                <w:kern w:val="21"/>
                <w:sz w:val="18"/>
                <w:szCs w:val="18"/>
              </w:rPr>
              <w:t>项目</w:t>
            </w:r>
          </w:p>
          <w:p w14:paraId="434012B2">
            <w:pPr>
              <w:pStyle w:val="38"/>
              <w:spacing w:beforeLines="0" w:afterLines="0" w:line="240" w:lineRule="auto"/>
              <w:jc w:val="both"/>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分类</w:t>
            </w:r>
          </w:p>
        </w:tc>
        <w:tc>
          <w:tcPr>
            <w:tcW w:w="1723" w:type="dxa"/>
            <w:noWrap w:val="0"/>
            <w:tcMar>
              <w:left w:w="28" w:type="dxa"/>
              <w:right w:w="28" w:type="dxa"/>
            </w:tcMar>
            <w:vAlign w:val="center"/>
          </w:tcPr>
          <w:p w14:paraId="5D51035C">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污染物名称</w:t>
            </w:r>
          </w:p>
        </w:tc>
        <w:tc>
          <w:tcPr>
            <w:tcW w:w="1701" w:type="dxa"/>
            <w:noWrap w:val="0"/>
            <w:tcMar>
              <w:left w:w="28" w:type="dxa"/>
              <w:right w:w="28" w:type="dxa"/>
            </w:tcMar>
            <w:vAlign w:val="center"/>
          </w:tcPr>
          <w:p w14:paraId="4204E2AE">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现有工程</w:t>
            </w:r>
          </w:p>
          <w:p w14:paraId="29C54FDA">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排放量（固体废物产生量）</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1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①</w:t>
            </w:r>
            <w:r>
              <w:rPr>
                <w:rFonts w:hint="default" w:ascii="Times New Roman" w:hAnsi="Times New Roman" w:eastAsia="宋体" w:cs="Times New Roman"/>
                <w:b w:val="0"/>
                <w:bCs/>
                <w:snapToGrid w:val="0"/>
                <w:color w:val="auto"/>
                <w:kern w:val="21"/>
                <w:sz w:val="18"/>
                <w:szCs w:val="18"/>
              </w:rPr>
              <w:fldChar w:fldCharType="end"/>
            </w:r>
          </w:p>
        </w:tc>
        <w:tc>
          <w:tcPr>
            <w:tcW w:w="1276" w:type="dxa"/>
            <w:noWrap w:val="0"/>
            <w:tcMar>
              <w:left w:w="28" w:type="dxa"/>
              <w:right w:w="28" w:type="dxa"/>
            </w:tcMar>
            <w:vAlign w:val="center"/>
          </w:tcPr>
          <w:p w14:paraId="4039740B">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现有工程</w:t>
            </w:r>
          </w:p>
          <w:p w14:paraId="5A656C92">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许可排放量</w:t>
            </w:r>
          </w:p>
          <w:p w14:paraId="06FF21B2">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2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②</w:t>
            </w:r>
            <w:r>
              <w:rPr>
                <w:rFonts w:hint="default" w:ascii="Times New Roman" w:hAnsi="Times New Roman" w:eastAsia="宋体" w:cs="Times New Roman"/>
                <w:b w:val="0"/>
                <w:bCs/>
                <w:snapToGrid w:val="0"/>
                <w:color w:val="auto"/>
                <w:kern w:val="21"/>
                <w:sz w:val="18"/>
                <w:szCs w:val="18"/>
              </w:rPr>
              <w:fldChar w:fldCharType="end"/>
            </w:r>
          </w:p>
        </w:tc>
        <w:tc>
          <w:tcPr>
            <w:tcW w:w="1701" w:type="dxa"/>
            <w:noWrap w:val="0"/>
            <w:tcMar>
              <w:left w:w="28" w:type="dxa"/>
              <w:right w:w="28" w:type="dxa"/>
            </w:tcMar>
            <w:vAlign w:val="center"/>
          </w:tcPr>
          <w:p w14:paraId="1DA4798D">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在建工程</w:t>
            </w:r>
          </w:p>
          <w:p w14:paraId="133B4214">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排放量（固体废物产生量）</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3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③</w:t>
            </w:r>
            <w:r>
              <w:rPr>
                <w:rFonts w:hint="default" w:ascii="Times New Roman" w:hAnsi="Times New Roman" w:eastAsia="宋体" w:cs="Times New Roman"/>
                <w:b w:val="0"/>
                <w:bCs/>
                <w:snapToGrid w:val="0"/>
                <w:color w:val="auto"/>
                <w:kern w:val="21"/>
                <w:sz w:val="18"/>
                <w:szCs w:val="18"/>
              </w:rPr>
              <w:fldChar w:fldCharType="end"/>
            </w:r>
          </w:p>
        </w:tc>
        <w:tc>
          <w:tcPr>
            <w:tcW w:w="1559" w:type="dxa"/>
            <w:noWrap w:val="0"/>
            <w:tcMar>
              <w:left w:w="28" w:type="dxa"/>
              <w:right w:w="28" w:type="dxa"/>
            </w:tcMar>
            <w:vAlign w:val="center"/>
          </w:tcPr>
          <w:p w14:paraId="7B749D7F">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本项目</w:t>
            </w:r>
          </w:p>
          <w:p w14:paraId="14E6B827">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排放量（固体废物产生量）</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4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④</w:t>
            </w:r>
            <w:r>
              <w:rPr>
                <w:rFonts w:hint="default" w:ascii="Times New Roman" w:hAnsi="Times New Roman" w:eastAsia="宋体" w:cs="Times New Roman"/>
                <w:b w:val="0"/>
                <w:bCs/>
                <w:snapToGrid w:val="0"/>
                <w:color w:val="auto"/>
                <w:kern w:val="21"/>
                <w:sz w:val="18"/>
                <w:szCs w:val="18"/>
              </w:rPr>
              <w:fldChar w:fldCharType="end"/>
            </w:r>
          </w:p>
        </w:tc>
        <w:tc>
          <w:tcPr>
            <w:tcW w:w="1761" w:type="dxa"/>
            <w:noWrap w:val="0"/>
            <w:tcMar>
              <w:left w:w="28" w:type="dxa"/>
              <w:right w:w="28" w:type="dxa"/>
            </w:tcMar>
            <w:vAlign w:val="center"/>
          </w:tcPr>
          <w:p w14:paraId="4B288E61">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以新带老削减量</w:t>
            </w:r>
          </w:p>
          <w:p w14:paraId="08C5DB10">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（新建项目不填）</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5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⑤</w:t>
            </w:r>
            <w:r>
              <w:rPr>
                <w:rFonts w:hint="default" w:ascii="Times New Roman" w:hAnsi="Times New Roman" w:eastAsia="宋体" w:cs="Times New Roman"/>
                <w:b w:val="0"/>
                <w:bCs/>
                <w:snapToGrid w:val="0"/>
                <w:color w:val="auto"/>
                <w:kern w:val="21"/>
                <w:sz w:val="18"/>
                <w:szCs w:val="18"/>
              </w:rPr>
              <w:fldChar w:fldCharType="end"/>
            </w:r>
          </w:p>
        </w:tc>
        <w:tc>
          <w:tcPr>
            <w:tcW w:w="1679" w:type="dxa"/>
            <w:noWrap w:val="0"/>
            <w:tcMar>
              <w:left w:w="28" w:type="dxa"/>
              <w:right w:w="28" w:type="dxa"/>
            </w:tcMar>
            <w:vAlign w:val="center"/>
          </w:tcPr>
          <w:p w14:paraId="56FDC577">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本项目建成后</w:t>
            </w:r>
          </w:p>
          <w:p w14:paraId="4191F67A">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全厂排放量（固体废物产生量）</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6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⑥</w:t>
            </w:r>
            <w:r>
              <w:rPr>
                <w:rFonts w:hint="default" w:ascii="Times New Roman" w:hAnsi="Times New Roman" w:eastAsia="宋体" w:cs="Times New Roman"/>
                <w:b w:val="0"/>
                <w:bCs/>
                <w:snapToGrid w:val="0"/>
                <w:color w:val="auto"/>
                <w:kern w:val="21"/>
                <w:sz w:val="18"/>
                <w:szCs w:val="18"/>
              </w:rPr>
              <w:fldChar w:fldCharType="end"/>
            </w:r>
          </w:p>
        </w:tc>
        <w:tc>
          <w:tcPr>
            <w:tcW w:w="1246" w:type="dxa"/>
            <w:noWrap w:val="0"/>
            <w:tcMar>
              <w:left w:w="28" w:type="dxa"/>
              <w:right w:w="28" w:type="dxa"/>
            </w:tcMar>
            <w:vAlign w:val="center"/>
          </w:tcPr>
          <w:p w14:paraId="4D591C1D">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变化量</w:t>
            </w:r>
          </w:p>
          <w:p w14:paraId="07F3E5CF">
            <w:pPr>
              <w:pStyle w:val="38"/>
              <w:spacing w:beforeLines="0" w:afterLines="0" w:line="240" w:lineRule="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7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⑦</w:t>
            </w:r>
            <w:r>
              <w:rPr>
                <w:rFonts w:hint="default" w:ascii="Times New Roman" w:hAnsi="Times New Roman" w:eastAsia="宋体" w:cs="Times New Roman"/>
                <w:b w:val="0"/>
                <w:bCs/>
                <w:snapToGrid w:val="0"/>
                <w:color w:val="auto"/>
                <w:kern w:val="21"/>
                <w:sz w:val="18"/>
                <w:szCs w:val="18"/>
              </w:rPr>
              <w:fldChar w:fldCharType="end"/>
            </w:r>
          </w:p>
        </w:tc>
      </w:tr>
      <w:tr w14:paraId="3C4AF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noWrap w:val="0"/>
            <w:vAlign w:val="center"/>
          </w:tcPr>
          <w:p w14:paraId="7A21B08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废气</w:t>
            </w:r>
          </w:p>
        </w:tc>
        <w:tc>
          <w:tcPr>
            <w:tcW w:w="1723" w:type="dxa"/>
            <w:noWrap w:val="0"/>
            <w:vAlign w:val="center"/>
          </w:tcPr>
          <w:p w14:paraId="108D462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eastAsia="zh-CN"/>
              </w:rPr>
            </w:pPr>
            <w:r>
              <w:rPr>
                <w:rFonts w:hint="eastAsia" w:ascii="Times New Roman" w:hAnsi="Times New Roman" w:cs="Times New Roman"/>
                <w:b w:val="0"/>
                <w:bCs/>
                <w:snapToGrid w:val="0"/>
                <w:color w:val="auto"/>
                <w:kern w:val="21"/>
                <w:sz w:val="18"/>
                <w:szCs w:val="18"/>
                <w:lang w:val="en-US" w:eastAsia="zh-CN"/>
              </w:rPr>
              <w:t>异味</w:t>
            </w:r>
          </w:p>
        </w:tc>
        <w:tc>
          <w:tcPr>
            <w:tcW w:w="1701" w:type="dxa"/>
            <w:noWrap w:val="0"/>
            <w:vAlign w:val="center"/>
          </w:tcPr>
          <w:p w14:paraId="54454106">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3C162091">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74A4799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noWrap w:val="0"/>
            <w:vAlign w:val="center"/>
          </w:tcPr>
          <w:p w14:paraId="089BF068">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r>
              <w:rPr>
                <w:rFonts w:hint="eastAsia" w:ascii="Times New Roman" w:hAnsi="Times New Roman" w:cs="Times New Roman"/>
                <w:snapToGrid w:val="0"/>
                <w:color w:val="auto"/>
                <w:kern w:val="21"/>
                <w:sz w:val="18"/>
                <w:szCs w:val="18"/>
                <w:lang w:val="en-US" w:eastAsia="zh-CN"/>
              </w:rPr>
              <w:t>少量</w:t>
            </w:r>
          </w:p>
        </w:tc>
        <w:tc>
          <w:tcPr>
            <w:tcW w:w="1761" w:type="dxa"/>
            <w:noWrap w:val="0"/>
            <w:vAlign w:val="center"/>
          </w:tcPr>
          <w:p w14:paraId="21FB537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679" w:type="dxa"/>
            <w:noWrap w:val="0"/>
            <w:vAlign w:val="center"/>
          </w:tcPr>
          <w:p w14:paraId="4FABB74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r>
              <w:rPr>
                <w:rFonts w:hint="eastAsia" w:ascii="Times New Roman" w:hAnsi="Times New Roman" w:cs="Times New Roman"/>
                <w:snapToGrid w:val="0"/>
                <w:color w:val="auto"/>
                <w:kern w:val="21"/>
                <w:sz w:val="18"/>
                <w:szCs w:val="18"/>
                <w:lang w:val="en-US" w:eastAsia="zh-CN"/>
              </w:rPr>
              <w:t>少量</w:t>
            </w:r>
          </w:p>
        </w:tc>
        <w:tc>
          <w:tcPr>
            <w:tcW w:w="1246" w:type="dxa"/>
            <w:noWrap w:val="0"/>
            <w:vAlign w:val="center"/>
          </w:tcPr>
          <w:p w14:paraId="39503357">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r>
              <w:rPr>
                <w:rFonts w:hint="eastAsia" w:ascii="Times New Roman" w:hAnsi="Times New Roman" w:cs="Times New Roman"/>
                <w:b w:val="0"/>
                <w:bCs/>
                <w:snapToGrid w:val="0"/>
                <w:color w:val="0000FF"/>
                <w:kern w:val="21"/>
                <w:sz w:val="18"/>
                <w:szCs w:val="18"/>
                <w:lang w:val="en-US" w:eastAsia="zh-CN"/>
              </w:rPr>
              <w:t>/</w:t>
            </w:r>
          </w:p>
        </w:tc>
      </w:tr>
      <w:tr w14:paraId="798BD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restart"/>
            <w:noWrap w:val="0"/>
            <w:vAlign w:val="center"/>
          </w:tcPr>
          <w:p w14:paraId="2F222CEA">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废水</w:t>
            </w:r>
          </w:p>
        </w:tc>
        <w:tc>
          <w:tcPr>
            <w:tcW w:w="1723" w:type="dxa"/>
            <w:shd w:val="clear" w:color="auto" w:fill="auto"/>
            <w:noWrap w:val="0"/>
            <w:vAlign w:val="center"/>
          </w:tcPr>
          <w:p w14:paraId="4CE6861E">
            <w:pPr>
              <w:pStyle w:val="35"/>
              <w:spacing w:line="310" w:lineRule="exact"/>
              <w:rPr>
                <w:rFonts w:hint="default" w:ascii="宋体" w:hAnsi="宋体" w:eastAsia="宋体" w:cs="宋体"/>
                <w:color w:val="auto"/>
                <w:kern w:val="0"/>
                <w:sz w:val="18"/>
                <w:szCs w:val="18"/>
                <w:lang w:val="en-US" w:eastAsia="zh-CN" w:bidi="ar-SA"/>
              </w:rPr>
            </w:pPr>
            <w:r>
              <w:rPr>
                <w:rFonts w:ascii="Times New Roman" w:hAnsi="Times New Roman" w:cs="Times New Roman"/>
                <w:color w:val="auto"/>
                <w:sz w:val="18"/>
                <w:szCs w:val="18"/>
              </w:rPr>
              <w:t>COD</w:t>
            </w:r>
          </w:p>
        </w:tc>
        <w:tc>
          <w:tcPr>
            <w:tcW w:w="1701" w:type="dxa"/>
            <w:noWrap w:val="0"/>
            <w:vAlign w:val="center"/>
          </w:tcPr>
          <w:p w14:paraId="0C866C99">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470F6BB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77727058">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75FC7D19">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0.021 </w:t>
            </w:r>
          </w:p>
        </w:tc>
        <w:tc>
          <w:tcPr>
            <w:tcW w:w="1761" w:type="dxa"/>
            <w:noWrap w:val="0"/>
            <w:vAlign w:val="center"/>
          </w:tcPr>
          <w:p w14:paraId="0A809B76">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142034D9">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0.021 </w:t>
            </w:r>
          </w:p>
        </w:tc>
        <w:tc>
          <w:tcPr>
            <w:tcW w:w="1246" w:type="dxa"/>
            <w:shd w:val="clear" w:color="auto" w:fill="auto"/>
            <w:noWrap w:val="0"/>
            <w:vAlign w:val="center"/>
          </w:tcPr>
          <w:p w14:paraId="0E34AC3B">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0.021 </w:t>
            </w:r>
          </w:p>
        </w:tc>
      </w:tr>
      <w:tr w14:paraId="2FB5A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27D05F25">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53B9D753">
            <w:pPr>
              <w:pStyle w:val="35"/>
              <w:spacing w:line="310" w:lineRule="exact"/>
              <w:rPr>
                <w:rFonts w:hint="default"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BOD</w:t>
            </w:r>
            <w:r>
              <w:rPr>
                <w:rFonts w:ascii="Times New Roman" w:hAnsi="Times New Roman" w:cs="Times New Roman"/>
                <w:color w:val="auto"/>
                <w:sz w:val="18"/>
                <w:szCs w:val="18"/>
                <w:vertAlign w:val="subscript"/>
              </w:rPr>
              <w:t>5</w:t>
            </w:r>
          </w:p>
        </w:tc>
        <w:tc>
          <w:tcPr>
            <w:tcW w:w="1701" w:type="dxa"/>
            <w:noWrap w:val="0"/>
            <w:vAlign w:val="center"/>
          </w:tcPr>
          <w:p w14:paraId="680CF5DB">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5F409D27">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4A88CD3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572D87B7">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c>
          <w:tcPr>
            <w:tcW w:w="1761" w:type="dxa"/>
            <w:noWrap w:val="0"/>
            <w:vAlign w:val="center"/>
          </w:tcPr>
          <w:p w14:paraId="7F02A17D">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62D3E22B">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c>
          <w:tcPr>
            <w:tcW w:w="1246" w:type="dxa"/>
            <w:shd w:val="clear" w:color="auto" w:fill="auto"/>
            <w:noWrap w:val="0"/>
            <w:vAlign w:val="center"/>
          </w:tcPr>
          <w:p w14:paraId="24523914">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r>
      <w:tr w14:paraId="239A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30BAD63A">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75A986E6">
            <w:pPr>
              <w:pStyle w:val="35"/>
              <w:spacing w:line="310" w:lineRule="exact"/>
              <w:rPr>
                <w:rFonts w:hint="default"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NH</w:t>
            </w:r>
            <w:r>
              <w:rPr>
                <w:rFonts w:ascii="Times New Roman" w:hAnsi="Times New Roman" w:cs="Times New Roman"/>
                <w:color w:val="auto"/>
                <w:sz w:val="18"/>
                <w:szCs w:val="18"/>
                <w:vertAlign w:val="subscript"/>
              </w:rPr>
              <w:t>3</w:t>
            </w:r>
            <w:r>
              <w:rPr>
                <w:rFonts w:ascii="Times New Roman" w:hAnsi="Times New Roman" w:cs="Times New Roman"/>
                <w:color w:val="auto"/>
                <w:sz w:val="18"/>
                <w:szCs w:val="18"/>
              </w:rPr>
              <w:t>-N</w:t>
            </w:r>
          </w:p>
        </w:tc>
        <w:tc>
          <w:tcPr>
            <w:tcW w:w="1701" w:type="dxa"/>
            <w:noWrap w:val="0"/>
            <w:vAlign w:val="center"/>
          </w:tcPr>
          <w:p w14:paraId="56492C9B">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260B86E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67865DA4">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1A452FB0">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0.002 </w:t>
            </w:r>
          </w:p>
        </w:tc>
        <w:tc>
          <w:tcPr>
            <w:tcW w:w="1761" w:type="dxa"/>
            <w:noWrap w:val="0"/>
            <w:vAlign w:val="center"/>
          </w:tcPr>
          <w:p w14:paraId="5429CAC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6A78EA45">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0.002 </w:t>
            </w:r>
          </w:p>
        </w:tc>
        <w:tc>
          <w:tcPr>
            <w:tcW w:w="1246" w:type="dxa"/>
            <w:shd w:val="clear" w:color="auto" w:fill="auto"/>
            <w:noWrap w:val="0"/>
            <w:vAlign w:val="center"/>
          </w:tcPr>
          <w:p w14:paraId="27A8A29C">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0.002 </w:t>
            </w:r>
          </w:p>
        </w:tc>
      </w:tr>
      <w:tr w14:paraId="51D93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3586A4EA">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311F7183">
            <w:pPr>
              <w:pStyle w:val="35"/>
              <w:spacing w:line="310" w:lineRule="exact"/>
              <w:rPr>
                <w:rFonts w:hint="default" w:ascii="宋体" w:hAnsi="宋体" w:eastAsia="宋体" w:cs="宋体"/>
                <w:color w:val="auto"/>
                <w:kern w:val="0"/>
                <w:sz w:val="18"/>
                <w:szCs w:val="18"/>
                <w:lang w:val="en-US" w:eastAsia="en-US" w:bidi="ar-SA"/>
              </w:rPr>
            </w:pPr>
            <w:r>
              <w:rPr>
                <w:rFonts w:ascii="Times New Roman" w:hAnsi="Times New Roman" w:cs="Times New Roman"/>
                <w:color w:val="auto"/>
                <w:sz w:val="18"/>
                <w:szCs w:val="18"/>
              </w:rPr>
              <w:t>SS</w:t>
            </w:r>
          </w:p>
        </w:tc>
        <w:tc>
          <w:tcPr>
            <w:tcW w:w="1701" w:type="dxa"/>
            <w:noWrap w:val="0"/>
            <w:vAlign w:val="center"/>
          </w:tcPr>
          <w:p w14:paraId="7886B6C1">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24390642">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314BDA6D">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0B6EFE40">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c>
          <w:tcPr>
            <w:tcW w:w="1761" w:type="dxa"/>
            <w:noWrap w:val="0"/>
            <w:vAlign w:val="center"/>
          </w:tcPr>
          <w:p w14:paraId="7E6C036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2E6BE3A5">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c>
          <w:tcPr>
            <w:tcW w:w="1246" w:type="dxa"/>
            <w:shd w:val="clear" w:color="auto" w:fill="auto"/>
            <w:noWrap w:val="0"/>
            <w:vAlign w:val="center"/>
          </w:tcPr>
          <w:p w14:paraId="10AE47B5">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 xml:space="preserve">0.004 </w:t>
            </w:r>
          </w:p>
        </w:tc>
      </w:tr>
      <w:tr w14:paraId="094DD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75974A8B">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460D330A">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总余氯</w:t>
            </w:r>
          </w:p>
        </w:tc>
        <w:tc>
          <w:tcPr>
            <w:tcW w:w="1701" w:type="dxa"/>
            <w:noWrap w:val="0"/>
            <w:vAlign w:val="center"/>
          </w:tcPr>
          <w:p w14:paraId="0A1D0D01">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746283C3">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0186BB53">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24779EA7">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1761" w:type="dxa"/>
            <w:noWrap w:val="0"/>
            <w:vAlign w:val="center"/>
          </w:tcPr>
          <w:p w14:paraId="0617A1A8">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47A16252">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c>
          <w:tcPr>
            <w:tcW w:w="1246" w:type="dxa"/>
            <w:shd w:val="clear" w:color="auto" w:fill="auto"/>
            <w:noWrap w:val="0"/>
            <w:vAlign w:val="center"/>
          </w:tcPr>
          <w:p w14:paraId="5E76E7B1">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w:t>
            </w:r>
          </w:p>
        </w:tc>
      </w:tr>
      <w:tr w14:paraId="4DE71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28E931DD">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0CBE4AAB">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粪大肠菌群</w:t>
            </w:r>
          </w:p>
        </w:tc>
        <w:tc>
          <w:tcPr>
            <w:tcW w:w="1701" w:type="dxa"/>
            <w:noWrap w:val="0"/>
            <w:vAlign w:val="center"/>
          </w:tcPr>
          <w:p w14:paraId="00329CB3">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73AEE2B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055D6035">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30BC79D1">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1.59</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c>
          <w:tcPr>
            <w:tcW w:w="1761" w:type="dxa"/>
            <w:noWrap w:val="0"/>
            <w:vAlign w:val="center"/>
          </w:tcPr>
          <w:p w14:paraId="36E107A0">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3AD879B6">
            <w:pPr>
              <w:spacing w:line="310" w:lineRule="exact"/>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1.59</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c>
          <w:tcPr>
            <w:tcW w:w="1246" w:type="dxa"/>
            <w:shd w:val="clear" w:color="auto" w:fill="auto"/>
            <w:noWrap w:val="0"/>
            <w:vAlign w:val="center"/>
          </w:tcPr>
          <w:p w14:paraId="2A90AA16">
            <w:pPr>
              <w:spacing w:line="310" w:lineRule="exact"/>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1.59</w:t>
            </w:r>
            <w:r>
              <w:rPr>
                <w:rFonts w:hint="default" w:ascii="Times New Roman" w:hAnsi="Times New Roman" w:eastAsia="宋体" w:cs="Times New Roman"/>
                <w:color w:val="auto"/>
                <w:sz w:val="18"/>
                <w:szCs w:val="18"/>
                <w:lang w:val="en-US" w:eastAsia="zh-CN"/>
              </w:rPr>
              <w:t>×10</w:t>
            </w:r>
            <w:r>
              <w:rPr>
                <w:rFonts w:hint="eastAsia" w:ascii="Times New Roman" w:hAnsi="Times New Roman" w:cs="Times New Roman"/>
                <w:color w:val="auto"/>
                <w:sz w:val="18"/>
                <w:szCs w:val="18"/>
                <w:vertAlign w:val="superscript"/>
                <w:lang w:val="en-US" w:eastAsia="zh-CN"/>
              </w:rPr>
              <w:t>8</w:t>
            </w:r>
            <w:r>
              <w:rPr>
                <w:rFonts w:hint="default" w:ascii="Times New Roman" w:hAnsi="Times New Roman" w:eastAsia="宋体" w:cs="Times New Roman"/>
                <w:color w:val="auto"/>
                <w:sz w:val="18"/>
                <w:szCs w:val="18"/>
                <w:lang w:val="en-US" w:eastAsia="zh-CN"/>
              </w:rPr>
              <w:t>个</w:t>
            </w:r>
          </w:p>
        </w:tc>
      </w:tr>
      <w:tr w14:paraId="041B3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656D5780">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65CD4150">
            <w:pPr>
              <w:pStyle w:val="35"/>
              <w:spacing w:line="31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LAS</w:t>
            </w:r>
          </w:p>
        </w:tc>
        <w:tc>
          <w:tcPr>
            <w:tcW w:w="1701" w:type="dxa"/>
            <w:noWrap w:val="0"/>
            <w:vAlign w:val="center"/>
          </w:tcPr>
          <w:p w14:paraId="7CF255C4">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246E5720">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011B4E6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2281BE9E">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0.0002</w:t>
            </w:r>
          </w:p>
        </w:tc>
        <w:tc>
          <w:tcPr>
            <w:tcW w:w="1761" w:type="dxa"/>
            <w:noWrap w:val="0"/>
            <w:vAlign w:val="center"/>
          </w:tcPr>
          <w:p w14:paraId="352E5552">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p>
        </w:tc>
        <w:tc>
          <w:tcPr>
            <w:tcW w:w="1679" w:type="dxa"/>
            <w:shd w:val="clear" w:color="auto" w:fill="auto"/>
            <w:noWrap w:val="0"/>
            <w:vAlign w:val="center"/>
          </w:tcPr>
          <w:p w14:paraId="177CFC27">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0.0002</w:t>
            </w:r>
          </w:p>
        </w:tc>
        <w:tc>
          <w:tcPr>
            <w:tcW w:w="1246" w:type="dxa"/>
            <w:shd w:val="clear" w:color="auto" w:fill="auto"/>
            <w:noWrap w:val="0"/>
            <w:vAlign w:val="center"/>
          </w:tcPr>
          <w:p w14:paraId="772E4385">
            <w:pPr>
              <w:pStyle w:val="35"/>
              <w:spacing w:line="310" w:lineRule="exact"/>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0.0002</w:t>
            </w:r>
          </w:p>
        </w:tc>
      </w:tr>
      <w:tr w14:paraId="0228D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restart"/>
            <w:noWrap w:val="0"/>
            <w:vAlign w:val="center"/>
          </w:tcPr>
          <w:p w14:paraId="182E5FDA">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lang w:val="en-US" w:eastAsia="zh-CN"/>
              </w:rPr>
            </w:pPr>
            <w:r>
              <w:rPr>
                <w:rFonts w:hint="default" w:ascii="Times New Roman" w:hAnsi="Times New Roman" w:eastAsia="宋体" w:cs="Times New Roman"/>
                <w:b w:val="0"/>
                <w:bCs/>
                <w:snapToGrid w:val="0"/>
                <w:color w:val="auto"/>
                <w:kern w:val="21"/>
                <w:sz w:val="18"/>
                <w:szCs w:val="18"/>
                <w:lang w:val="en-US" w:eastAsia="zh-CN"/>
              </w:rPr>
              <w:t>一般固体废物</w:t>
            </w:r>
          </w:p>
        </w:tc>
        <w:tc>
          <w:tcPr>
            <w:tcW w:w="1723" w:type="dxa"/>
            <w:shd w:val="clear" w:color="auto" w:fill="auto"/>
            <w:noWrap w:val="0"/>
            <w:vAlign w:val="center"/>
          </w:tcPr>
          <w:p w14:paraId="3BD584F3">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生活垃圾</w:t>
            </w:r>
          </w:p>
        </w:tc>
        <w:tc>
          <w:tcPr>
            <w:tcW w:w="1701" w:type="dxa"/>
            <w:noWrap w:val="0"/>
            <w:vAlign w:val="center"/>
          </w:tcPr>
          <w:p w14:paraId="6C6D8F17">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71701D9F">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25CA7D46">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28B60D67">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3.325</w:t>
            </w:r>
          </w:p>
        </w:tc>
        <w:tc>
          <w:tcPr>
            <w:tcW w:w="1761" w:type="dxa"/>
            <w:noWrap w:val="0"/>
            <w:vAlign w:val="center"/>
          </w:tcPr>
          <w:p w14:paraId="2000AFDF">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p>
        </w:tc>
        <w:tc>
          <w:tcPr>
            <w:tcW w:w="1679" w:type="dxa"/>
            <w:shd w:val="clear" w:color="auto" w:fill="auto"/>
            <w:noWrap w:val="0"/>
            <w:vAlign w:val="center"/>
          </w:tcPr>
          <w:p w14:paraId="2D3E8885">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3.325</w:t>
            </w:r>
          </w:p>
        </w:tc>
        <w:tc>
          <w:tcPr>
            <w:tcW w:w="1246" w:type="dxa"/>
            <w:shd w:val="clear" w:color="auto" w:fill="auto"/>
            <w:noWrap w:val="0"/>
            <w:vAlign w:val="center"/>
          </w:tcPr>
          <w:p w14:paraId="23EDD344">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3.325</w:t>
            </w:r>
          </w:p>
        </w:tc>
      </w:tr>
      <w:tr w14:paraId="7F969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77F52A61">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b w:val="0"/>
                <w:bCs/>
                <w:snapToGrid w:val="0"/>
                <w:color w:val="auto"/>
                <w:kern w:val="21"/>
                <w:sz w:val="18"/>
                <w:szCs w:val="18"/>
              </w:rPr>
            </w:pPr>
          </w:p>
        </w:tc>
        <w:tc>
          <w:tcPr>
            <w:tcW w:w="1723" w:type="dxa"/>
            <w:shd w:val="clear" w:color="auto" w:fill="auto"/>
            <w:noWrap w:val="0"/>
            <w:vAlign w:val="center"/>
          </w:tcPr>
          <w:p w14:paraId="771C73C1">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废毛</w:t>
            </w:r>
          </w:p>
        </w:tc>
        <w:tc>
          <w:tcPr>
            <w:tcW w:w="1701" w:type="dxa"/>
            <w:noWrap w:val="0"/>
            <w:vAlign w:val="center"/>
          </w:tcPr>
          <w:p w14:paraId="04C7D788">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4AFE2E06">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3D8761E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68440FEE">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0.175</w:t>
            </w:r>
          </w:p>
        </w:tc>
        <w:tc>
          <w:tcPr>
            <w:tcW w:w="1761" w:type="dxa"/>
            <w:noWrap w:val="0"/>
            <w:vAlign w:val="center"/>
          </w:tcPr>
          <w:p w14:paraId="0179A31E">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p>
        </w:tc>
        <w:tc>
          <w:tcPr>
            <w:tcW w:w="1679" w:type="dxa"/>
            <w:shd w:val="clear" w:color="auto" w:fill="auto"/>
            <w:noWrap w:val="0"/>
            <w:vAlign w:val="center"/>
          </w:tcPr>
          <w:p w14:paraId="3830D702">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en-US" w:bidi="ar-SA"/>
              </w:rPr>
            </w:pPr>
            <w:r>
              <w:rPr>
                <w:rFonts w:hint="default" w:ascii="Times New Roman" w:hAnsi="Times New Roman" w:cs="Times New Roman" w:eastAsiaTheme="majorEastAsia"/>
                <w:i w:val="0"/>
                <w:iCs w:val="0"/>
                <w:snapToGrid w:val="0"/>
                <w:color w:val="auto"/>
                <w:sz w:val="18"/>
                <w:szCs w:val="18"/>
                <w:lang w:val="en-US" w:eastAsia="zh-CN"/>
              </w:rPr>
              <w:t>0.175</w:t>
            </w:r>
          </w:p>
        </w:tc>
        <w:tc>
          <w:tcPr>
            <w:tcW w:w="1246" w:type="dxa"/>
            <w:shd w:val="clear" w:color="auto" w:fill="auto"/>
            <w:noWrap w:val="0"/>
            <w:vAlign w:val="center"/>
          </w:tcPr>
          <w:p w14:paraId="02D9F8CE">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en-US" w:bidi="ar-SA"/>
              </w:rPr>
            </w:pPr>
            <w:r>
              <w:rPr>
                <w:rFonts w:hint="default" w:ascii="Times New Roman" w:hAnsi="Times New Roman" w:cs="Times New Roman" w:eastAsiaTheme="majorEastAsia"/>
                <w:i w:val="0"/>
                <w:iCs w:val="0"/>
                <w:snapToGrid w:val="0"/>
                <w:color w:val="auto"/>
                <w:sz w:val="18"/>
                <w:szCs w:val="18"/>
                <w:lang w:val="en-US" w:eastAsia="zh-CN"/>
              </w:rPr>
              <w:t>0.175</w:t>
            </w:r>
          </w:p>
        </w:tc>
      </w:tr>
      <w:tr w14:paraId="3518B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76F9CF8F">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rPr>
            </w:pPr>
          </w:p>
        </w:tc>
        <w:tc>
          <w:tcPr>
            <w:tcW w:w="1723" w:type="dxa"/>
            <w:shd w:val="clear" w:color="auto" w:fill="auto"/>
            <w:noWrap w:val="0"/>
            <w:vAlign w:val="center"/>
          </w:tcPr>
          <w:p w14:paraId="49DE3E5B">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动物粪污</w:t>
            </w:r>
          </w:p>
        </w:tc>
        <w:tc>
          <w:tcPr>
            <w:tcW w:w="1701" w:type="dxa"/>
            <w:noWrap w:val="0"/>
            <w:vAlign w:val="center"/>
          </w:tcPr>
          <w:p w14:paraId="77E2CD1D">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6C28E5F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2A77464B">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59B3BA6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6.93</w:t>
            </w:r>
          </w:p>
        </w:tc>
        <w:tc>
          <w:tcPr>
            <w:tcW w:w="1761" w:type="dxa"/>
            <w:noWrap w:val="0"/>
            <w:vAlign w:val="center"/>
          </w:tcPr>
          <w:p w14:paraId="2B8A4695">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p>
        </w:tc>
        <w:tc>
          <w:tcPr>
            <w:tcW w:w="1679" w:type="dxa"/>
            <w:shd w:val="clear" w:color="auto" w:fill="auto"/>
            <w:noWrap w:val="0"/>
            <w:vAlign w:val="center"/>
          </w:tcPr>
          <w:p w14:paraId="574378E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6.93</w:t>
            </w:r>
          </w:p>
        </w:tc>
        <w:tc>
          <w:tcPr>
            <w:tcW w:w="1246" w:type="dxa"/>
            <w:shd w:val="clear" w:color="auto" w:fill="auto"/>
            <w:noWrap w:val="0"/>
            <w:vAlign w:val="center"/>
          </w:tcPr>
          <w:p w14:paraId="460049B6">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6.93</w:t>
            </w:r>
          </w:p>
        </w:tc>
      </w:tr>
      <w:tr w14:paraId="647F0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0DED2811">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rPr>
            </w:pPr>
          </w:p>
        </w:tc>
        <w:tc>
          <w:tcPr>
            <w:tcW w:w="1723" w:type="dxa"/>
            <w:shd w:val="clear" w:color="auto" w:fill="auto"/>
            <w:noWrap w:val="0"/>
            <w:vAlign w:val="center"/>
          </w:tcPr>
          <w:p w14:paraId="2EDBFF8D">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动物尸体</w:t>
            </w:r>
          </w:p>
        </w:tc>
        <w:tc>
          <w:tcPr>
            <w:tcW w:w="1701" w:type="dxa"/>
            <w:noWrap w:val="0"/>
            <w:vAlign w:val="center"/>
          </w:tcPr>
          <w:p w14:paraId="37A43A2B">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078199B3">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634A1FA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269519A8">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eastAsia" w:ascii="Times New Roman" w:hAnsi="Times New Roman" w:cs="Times New Roman" w:eastAsiaTheme="majorEastAsia"/>
                <w:i w:val="0"/>
                <w:iCs w:val="0"/>
                <w:snapToGrid w:val="0"/>
                <w:color w:val="auto"/>
                <w:sz w:val="18"/>
                <w:szCs w:val="18"/>
                <w:lang w:val="en-US" w:eastAsia="zh-CN"/>
              </w:rPr>
              <w:t>少量</w:t>
            </w:r>
          </w:p>
        </w:tc>
        <w:tc>
          <w:tcPr>
            <w:tcW w:w="1761" w:type="dxa"/>
            <w:noWrap w:val="0"/>
            <w:vAlign w:val="center"/>
          </w:tcPr>
          <w:p w14:paraId="467BFAA5">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p>
        </w:tc>
        <w:tc>
          <w:tcPr>
            <w:tcW w:w="1679" w:type="dxa"/>
            <w:shd w:val="clear" w:color="auto" w:fill="auto"/>
            <w:noWrap w:val="0"/>
            <w:vAlign w:val="center"/>
          </w:tcPr>
          <w:p w14:paraId="53D87F9A">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eastAsia" w:ascii="Times New Roman" w:hAnsi="Times New Roman" w:cs="Times New Roman" w:eastAsiaTheme="majorEastAsia"/>
                <w:i w:val="0"/>
                <w:iCs w:val="0"/>
                <w:snapToGrid w:val="0"/>
                <w:color w:val="auto"/>
                <w:sz w:val="18"/>
                <w:szCs w:val="18"/>
                <w:lang w:val="en-US" w:eastAsia="zh-CN"/>
              </w:rPr>
              <w:t>少量</w:t>
            </w:r>
          </w:p>
        </w:tc>
        <w:tc>
          <w:tcPr>
            <w:tcW w:w="1246" w:type="dxa"/>
            <w:shd w:val="clear" w:color="auto" w:fill="auto"/>
            <w:noWrap w:val="0"/>
            <w:vAlign w:val="center"/>
          </w:tcPr>
          <w:p w14:paraId="393FA5EC">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eastAsia" w:ascii="Times New Roman" w:hAnsi="Times New Roman" w:cs="Times New Roman" w:eastAsiaTheme="majorEastAsia"/>
                <w:i w:val="0"/>
                <w:iCs w:val="0"/>
                <w:snapToGrid w:val="0"/>
                <w:color w:val="auto"/>
                <w:sz w:val="18"/>
                <w:szCs w:val="18"/>
                <w:lang w:val="en-US" w:eastAsia="zh-CN"/>
              </w:rPr>
              <w:t>少量</w:t>
            </w:r>
          </w:p>
        </w:tc>
      </w:tr>
      <w:tr w14:paraId="2BA21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restart"/>
            <w:noWrap w:val="0"/>
            <w:vAlign w:val="center"/>
          </w:tcPr>
          <w:p w14:paraId="470C90D0">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rPr>
            </w:pPr>
            <w:r>
              <w:rPr>
                <w:rFonts w:hint="default" w:ascii="Times New Roman" w:hAnsi="Times New Roman" w:eastAsia="宋体" w:cs="Times New Roman"/>
                <w:b w:val="0"/>
                <w:bCs/>
                <w:snapToGrid w:val="0"/>
                <w:color w:val="auto"/>
                <w:kern w:val="21"/>
                <w:sz w:val="18"/>
                <w:szCs w:val="18"/>
              </w:rPr>
              <w:t>危险废物</w:t>
            </w:r>
          </w:p>
        </w:tc>
        <w:tc>
          <w:tcPr>
            <w:tcW w:w="1723" w:type="dxa"/>
            <w:shd w:val="clear" w:color="auto" w:fill="auto"/>
            <w:noWrap w:val="0"/>
            <w:vAlign w:val="center"/>
          </w:tcPr>
          <w:p w14:paraId="5AEAEB32">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医疗废物</w:t>
            </w:r>
          </w:p>
        </w:tc>
        <w:tc>
          <w:tcPr>
            <w:tcW w:w="1701" w:type="dxa"/>
            <w:noWrap w:val="0"/>
            <w:vAlign w:val="center"/>
          </w:tcPr>
          <w:p w14:paraId="7967FCDC">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20F1D709">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59ECBCDA">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3EFF5825">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0.7</w:t>
            </w:r>
          </w:p>
        </w:tc>
        <w:tc>
          <w:tcPr>
            <w:tcW w:w="1761" w:type="dxa"/>
            <w:noWrap w:val="0"/>
            <w:vAlign w:val="center"/>
          </w:tcPr>
          <w:p w14:paraId="0CF367F1">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p>
        </w:tc>
        <w:tc>
          <w:tcPr>
            <w:tcW w:w="1679" w:type="dxa"/>
            <w:shd w:val="clear" w:color="auto" w:fill="auto"/>
            <w:noWrap w:val="0"/>
            <w:vAlign w:val="center"/>
          </w:tcPr>
          <w:p w14:paraId="514A30EC">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0.7</w:t>
            </w:r>
          </w:p>
        </w:tc>
        <w:tc>
          <w:tcPr>
            <w:tcW w:w="1246" w:type="dxa"/>
            <w:shd w:val="clear" w:color="auto" w:fill="auto"/>
            <w:noWrap w:val="0"/>
            <w:vAlign w:val="center"/>
          </w:tcPr>
          <w:p w14:paraId="4AC3FAF6">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0.7</w:t>
            </w:r>
          </w:p>
        </w:tc>
      </w:tr>
      <w:tr w14:paraId="674C4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2" w:type="dxa"/>
            <w:vMerge w:val="continue"/>
            <w:noWrap w:val="0"/>
            <w:vAlign w:val="center"/>
          </w:tcPr>
          <w:p w14:paraId="78173C4D">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rPr>
            </w:pPr>
          </w:p>
        </w:tc>
        <w:tc>
          <w:tcPr>
            <w:tcW w:w="1723" w:type="dxa"/>
            <w:shd w:val="clear" w:color="auto" w:fill="auto"/>
            <w:noWrap w:val="0"/>
            <w:vAlign w:val="center"/>
          </w:tcPr>
          <w:p w14:paraId="4E5DCC3B">
            <w:pPr>
              <w:pStyle w:val="19"/>
              <w:keepNext w:val="0"/>
              <w:keepLines w:val="0"/>
              <w:pageBreakBefore w:val="0"/>
              <w:kinsoku/>
              <w:wordWrap/>
              <w:overflowPunct/>
              <w:topLinePunct w:val="0"/>
              <w:autoSpaceDE/>
              <w:autoSpaceDN/>
              <w:bidi w:val="0"/>
              <w:spacing w:before="0" w:beforeAutospacing="0" w:after="0" w:afterAutospacing="0"/>
              <w:jc w:val="center"/>
              <w:textAlignment w:val="auto"/>
              <w:outlineLvl w:val="0"/>
              <w:rPr>
                <w:rFonts w:hint="default"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废紫外线灯管</w:t>
            </w:r>
          </w:p>
        </w:tc>
        <w:tc>
          <w:tcPr>
            <w:tcW w:w="1701" w:type="dxa"/>
            <w:noWrap w:val="0"/>
            <w:vAlign w:val="center"/>
          </w:tcPr>
          <w:p w14:paraId="4B9A8E4D">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276" w:type="dxa"/>
            <w:noWrap w:val="0"/>
            <w:vAlign w:val="center"/>
          </w:tcPr>
          <w:p w14:paraId="74B03C4F">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701" w:type="dxa"/>
            <w:noWrap w:val="0"/>
            <w:vAlign w:val="center"/>
          </w:tcPr>
          <w:p w14:paraId="01EC987F">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auto"/>
                <w:kern w:val="21"/>
                <w:sz w:val="18"/>
                <w:szCs w:val="18"/>
                <w:lang w:val="en-US" w:eastAsia="zh-CN"/>
              </w:rPr>
            </w:pPr>
          </w:p>
        </w:tc>
        <w:tc>
          <w:tcPr>
            <w:tcW w:w="1559" w:type="dxa"/>
            <w:shd w:val="clear" w:color="auto" w:fill="auto"/>
            <w:noWrap w:val="0"/>
            <w:vAlign w:val="center"/>
          </w:tcPr>
          <w:p w14:paraId="35D84CFF">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0.001</w:t>
            </w:r>
          </w:p>
        </w:tc>
        <w:tc>
          <w:tcPr>
            <w:tcW w:w="1761" w:type="dxa"/>
            <w:noWrap w:val="0"/>
            <w:vAlign w:val="center"/>
          </w:tcPr>
          <w:p w14:paraId="2346C264">
            <w:pPr>
              <w:pStyle w:val="38"/>
              <w:keepNext w:val="0"/>
              <w:keepLines w:val="0"/>
              <w:pageBreakBefore w:val="0"/>
              <w:kinsoku/>
              <w:wordWrap/>
              <w:overflowPunct/>
              <w:topLinePunct w:val="0"/>
              <w:bidi w:val="0"/>
              <w:spacing w:beforeLines="0" w:afterLines="0" w:line="300" w:lineRule="exact"/>
              <w:textAlignment w:val="auto"/>
              <w:rPr>
                <w:rFonts w:hint="default" w:ascii="Times New Roman" w:hAnsi="Times New Roman" w:eastAsia="宋体" w:cs="Times New Roman"/>
                <w:snapToGrid w:val="0"/>
                <w:color w:val="0000FF"/>
                <w:kern w:val="21"/>
                <w:sz w:val="18"/>
                <w:szCs w:val="18"/>
                <w:lang w:val="en-US" w:eastAsia="zh-CN"/>
              </w:rPr>
            </w:pPr>
          </w:p>
        </w:tc>
        <w:tc>
          <w:tcPr>
            <w:tcW w:w="1679" w:type="dxa"/>
            <w:shd w:val="clear" w:color="auto" w:fill="auto"/>
            <w:noWrap w:val="0"/>
            <w:vAlign w:val="center"/>
          </w:tcPr>
          <w:p w14:paraId="6CED28BE">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0.001</w:t>
            </w:r>
          </w:p>
        </w:tc>
        <w:tc>
          <w:tcPr>
            <w:tcW w:w="1246" w:type="dxa"/>
            <w:shd w:val="clear" w:color="auto" w:fill="auto"/>
            <w:noWrap w:val="0"/>
            <w:vAlign w:val="center"/>
          </w:tcPr>
          <w:p w14:paraId="18ABB90C">
            <w:pPr>
              <w:pStyle w:val="19"/>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Times New Roman" w:eastAsiaTheme="majorEastAsia"/>
                <w:i w:val="0"/>
                <w:iCs w:val="0"/>
                <w:snapToGrid w:val="0"/>
                <w:color w:val="auto"/>
                <w:kern w:val="0"/>
                <w:sz w:val="18"/>
                <w:szCs w:val="18"/>
                <w:lang w:val="en-US" w:eastAsia="zh-CN" w:bidi="ar-SA"/>
              </w:rPr>
            </w:pPr>
            <w:r>
              <w:rPr>
                <w:rFonts w:hint="default" w:ascii="Times New Roman" w:hAnsi="Times New Roman" w:cs="Times New Roman" w:eastAsiaTheme="majorEastAsia"/>
                <w:i w:val="0"/>
                <w:iCs w:val="0"/>
                <w:snapToGrid w:val="0"/>
                <w:color w:val="auto"/>
                <w:sz w:val="18"/>
                <w:szCs w:val="18"/>
                <w:lang w:val="en-US" w:eastAsia="zh-CN"/>
              </w:rPr>
              <w:t>0.001</w:t>
            </w:r>
          </w:p>
        </w:tc>
      </w:tr>
    </w:tbl>
    <w:p w14:paraId="636FC901">
      <w:pPr>
        <w:pStyle w:val="38"/>
        <w:spacing w:beforeLines="0" w:afterLines="0" w:line="240" w:lineRule="auto"/>
        <w:jc w:val="left"/>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snapToGrid w:val="0"/>
          <w:color w:val="auto"/>
          <w:kern w:val="21"/>
          <w:sz w:val="18"/>
          <w:szCs w:val="18"/>
        </w:rPr>
        <w:t>注：</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6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⑥</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1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①</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3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③</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4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④</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5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⑤</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7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⑦</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6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⑥</w:t>
      </w:r>
      <w:r>
        <w:rPr>
          <w:rFonts w:hint="default" w:ascii="Times New Roman" w:hAnsi="Times New Roman" w:eastAsia="宋体" w:cs="Times New Roman"/>
          <w:b w:val="0"/>
          <w:bCs/>
          <w:snapToGrid w:val="0"/>
          <w:color w:val="auto"/>
          <w:kern w:val="21"/>
          <w:sz w:val="18"/>
          <w:szCs w:val="18"/>
        </w:rPr>
        <w:fldChar w:fldCharType="end"/>
      </w:r>
      <w:r>
        <w:rPr>
          <w:rFonts w:hint="default" w:ascii="Times New Roman" w:hAnsi="Times New Roman" w:eastAsia="宋体" w:cs="Times New Roman"/>
          <w:b w:val="0"/>
          <w:bCs/>
          <w:snapToGrid w:val="0"/>
          <w:color w:val="auto"/>
          <w:kern w:val="21"/>
          <w:sz w:val="18"/>
          <w:szCs w:val="18"/>
        </w:rPr>
        <w:t>-</w:t>
      </w:r>
      <w:r>
        <w:rPr>
          <w:rFonts w:hint="default" w:ascii="Times New Roman" w:hAnsi="Times New Roman" w:eastAsia="宋体" w:cs="Times New Roman"/>
          <w:b w:val="0"/>
          <w:bCs/>
          <w:snapToGrid w:val="0"/>
          <w:color w:val="auto"/>
          <w:kern w:val="21"/>
          <w:sz w:val="18"/>
          <w:szCs w:val="18"/>
        </w:rPr>
        <w:fldChar w:fldCharType="begin"/>
      </w:r>
      <w:r>
        <w:rPr>
          <w:rFonts w:hint="default" w:ascii="Times New Roman" w:hAnsi="Times New Roman" w:eastAsia="宋体" w:cs="Times New Roman"/>
          <w:b w:val="0"/>
          <w:bCs/>
          <w:snapToGrid w:val="0"/>
          <w:color w:val="auto"/>
          <w:kern w:val="21"/>
          <w:sz w:val="18"/>
          <w:szCs w:val="18"/>
        </w:rPr>
        <w:instrText xml:space="preserve"> = 1 \* GB3 \* MERGEFORMAT </w:instrText>
      </w:r>
      <w:r>
        <w:rPr>
          <w:rFonts w:hint="default" w:ascii="Times New Roman" w:hAnsi="Times New Roman" w:eastAsia="宋体" w:cs="Times New Roman"/>
          <w:b w:val="0"/>
          <w:bCs/>
          <w:snapToGrid w:val="0"/>
          <w:color w:val="auto"/>
          <w:kern w:val="21"/>
          <w:sz w:val="18"/>
          <w:szCs w:val="18"/>
        </w:rPr>
        <w:fldChar w:fldCharType="separate"/>
      </w:r>
      <w:r>
        <w:rPr>
          <w:rFonts w:hint="default" w:ascii="Times New Roman" w:hAnsi="Times New Roman" w:eastAsia="宋体" w:cs="Times New Roman"/>
          <w:b w:val="0"/>
          <w:bCs/>
          <w:snapToGrid w:val="0"/>
          <w:color w:val="auto"/>
          <w:kern w:val="21"/>
          <w:sz w:val="18"/>
          <w:szCs w:val="18"/>
        </w:rPr>
        <w:t>①</w:t>
      </w:r>
      <w:r>
        <w:rPr>
          <w:rFonts w:hint="default" w:ascii="Times New Roman" w:hAnsi="Times New Roman" w:eastAsia="宋体" w:cs="Times New Roman"/>
          <w:b w:val="0"/>
          <w:bCs/>
          <w:snapToGrid w:val="0"/>
          <w:color w:val="auto"/>
          <w:kern w:val="21"/>
          <w:sz w:val="18"/>
          <w:szCs w:val="18"/>
        </w:rPr>
        <w:fldChar w:fldCharType="end"/>
      </w:r>
    </w:p>
    <w:p w14:paraId="638EFDCE">
      <w:pPr>
        <w:pStyle w:val="38"/>
        <w:spacing w:before="192" w:beforeLines="80" w:after="24"/>
        <w:jc w:val="left"/>
        <w:rPr>
          <w:rFonts w:hint="default" w:ascii="Times New Roman" w:hAnsi="Times New Roman" w:eastAsia="宋体" w:cs="Times New Roman"/>
          <w:color w:val="auto"/>
        </w:rPr>
      </w:pP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utch801 Rm BT">
    <w:panose1 w:val="02020603060505020304"/>
    <w:charset w:val="00"/>
    <w:family w:val="roman"/>
    <w:pitch w:val="default"/>
    <w:sig w:usb0="00000000" w:usb1="00000000" w:usb2="00000000" w:usb3="00000000" w:csb0="00000000"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2280D">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A8798">
    <w:pPr>
      <w:pStyle w:val="1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805DDB">
                          <w:pPr>
                            <w:pStyle w:val="16"/>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vert="horz" wrap="none" lIns="0" tIns="0" rIns="0" bIns="0" anchor="t"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adubctwBAAC0AwAADgAAAAAAAAAB&#10;ACAAAAAeAQAAZHJzL2Uyb0RvYy54bWxQSwUGAAAAAAYABgBZAQAAbAUAAAAA&#10;">
              <v:fill on="f" focussize="0,0"/>
              <v:stroke on="f"/>
              <v:imagedata o:title=""/>
              <o:lock v:ext="edit" aspectratio="f"/>
              <v:textbox inset="0mm,0mm,0mm,0mm" style="mso-fit-shape-to-text:t;">
                <w:txbxContent>
                  <w:p w14:paraId="4A805DDB">
                    <w:pPr>
                      <w:pStyle w:val="16"/>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8E10">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51D369">
                          <w:pPr>
                            <w:pStyle w:val="16"/>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11</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B51D369">
                    <w:pPr>
                      <w:pStyle w:val="16"/>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11</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jYjU1MmMxZGZhZDMyYWI3ODY1YTYxMzlhMjEzM2MifQ=="/>
    <w:docVar w:name="KSO_WPS_MARK_KEY" w:val="ec58f93f-93c6-4df4-9fc9-a9f1cd867aeb"/>
  </w:docVars>
  <w:rsids>
    <w:rsidRoot w:val="00A14947"/>
    <w:rsid w:val="000060B3"/>
    <w:rsid w:val="0004364B"/>
    <w:rsid w:val="00061B1F"/>
    <w:rsid w:val="00065A1C"/>
    <w:rsid w:val="0007285A"/>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28F5"/>
    <w:rsid w:val="000E3ED2"/>
    <w:rsid w:val="0012468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6503"/>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3A2A"/>
    <w:rsid w:val="0033684D"/>
    <w:rsid w:val="00337B42"/>
    <w:rsid w:val="00341B42"/>
    <w:rsid w:val="0034348F"/>
    <w:rsid w:val="00356653"/>
    <w:rsid w:val="0035743F"/>
    <w:rsid w:val="00357BE2"/>
    <w:rsid w:val="0036170C"/>
    <w:rsid w:val="00366E0F"/>
    <w:rsid w:val="00381A72"/>
    <w:rsid w:val="00384676"/>
    <w:rsid w:val="00390857"/>
    <w:rsid w:val="003A4BF3"/>
    <w:rsid w:val="003B1445"/>
    <w:rsid w:val="003B420D"/>
    <w:rsid w:val="003C6C16"/>
    <w:rsid w:val="003D794D"/>
    <w:rsid w:val="003E3058"/>
    <w:rsid w:val="003E76A9"/>
    <w:rsid w:val="003F0809"/>
    <w:rsid w:val="003F38E4"/>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6686C"/>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4EC"/>
    <w:rsid w:val="00554A7B"/>
    <w:rsid w:val="0055572C"/>
    <w:rsid w:val="0056106A"/>
    <w:rsid w:val="005720AE"/>
    <w:rsid w:val="00594C90"/>
    <w:rsid w:val="00594D77"/>
    <w:rsid w:val="005969E4"/>
    <w:rsid w:val="005A06B7"/>
    <w:rsid w:val="005A1759"/>
    <w:rsid w:val="005A68A7"/>
    <w:rsid w:val="005D36AB"/>
    <w:rsid w:val="005F65CD"/>
    <w:rsid w:val="00602690"/>
    <w:rsid w:val="00617CC3"/>
    <w:rsid w:val="006377A6"/>
    <w:rsid w:val="00637A3D"/>
    <w:rsid w:val="006411EF"/>
    <w:rsid w:val="00665BAD"/>
    <w:rsid w:val="006748B8"/>
    <w:rsid w:val="006775C3"/>
    <w:rsid w:val="0069290A"/>
    <w:rsid w:val="0069775A"/>
    <w:rsid w:val="00697813"/>
    <w:rsid w:val="006A3EE8"/>
    <w:rsid w:val="006A72BF"/>
    <w:rsid w:val="006B03F2"/>
    <w:rsid w:val="006B37DC"/>
    <w:rsid w:val="006B4F68"/>
    <w:rsid w:val="006C0592"/>
    <w:rsid w:val="006C272E"/>
    <w:rsid w:val="006C5479"/>
    <w:rsid w:val="006D0DE6"/>
    <w:rsid w:val="006D13B5"/>
    <w:rsid w:val="006E12FF"/>
    <w:rsid w:val="006E3269"/>
    <w:rsid w:val="006E607E"/>
    <w:rsid w:val="00706C5D"/>
    <w:rsid w:val="00732922"/>
    <w:rsid w:val="0073327E"/>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1009"/>
    <w:rsid w:val="007B72B8"/>
    <w:rsid w:val="007B7A58"/>
    <w:rsid w:val="007C21B5"/>
    <w:rsid w:val="007E1C6A"/>
    <w:rsid w:val="007E4BD2"/>
    <w:rsid w:val="00801393"/>
    <w:rsid w:val="00802F88"/>
    <w:rsid w:val="0081293E"/>
    <w:rsid w:val="00815465"/>
    <w:rsid w:val="00817E9A"/>
    <w:rsid w:val="008306BD"/>
    <w:rsid w:val="00831A80"/>
    <w:rsid w:val="00833743"/>
    <w:rsid w:val="008340A4"/>
    <w:rsid w:val="00867FFD"/>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8F6EB2"/>
    <w:rsid w:val="00902727"/>
    <w:rsid w:val="0090312B"/>
    <w:rsid w:val="0091736D"/>
    <w:rsid w:val="0093037A"/>
    <w:rsid w:val="0094154D"/>
    <w:rsid w:val="0095155F"/>
    <w:rsid w:val="00954429"/>
    <w:rsid w:val="009563CE"/>
    <w:rsid w:val="00976328"/>
    <w:rsid w:val="0097680D"/>
    <w:rsid w:val="00982438"/>
    <w:rsid w:val="0098404C"/>
    <w:rsid w:val="00985283"/>
    <w:rsid w:val="00986BC8"/>
    <w:rsid w:val="00991ADF"/>
    <w:rsid w:val="00995992"/>
    <w:rsid w:val="009A03E5"/>
    <w:rsid w:val="009A0F3B"/>
    <w:rsid w:val="009A1BB4"/>
    <w:rsid w:val="009A2628"/>
    <w:rsid w:val="009A3200"/>
    <w:rsid w:val="009A4186"/>
    <w:rsid w:val="009B0897"/>
    <w:rsid w:val="009B36E9"/>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AF6B76"/>
    <w:rsid w:val="00B1295A"/>
    <w:rsid w:val="00B20A45"/>
    <w:rsid w:val="00B22C5C"/>
    <w:rsid w:val="00B24F30"/>
    <w:rsid w:val="00B31ABF"/>
    <w:rsid w:val="00B33BE3"/>
    <w:rsid w:val="00B53B5D"/>
    <w:rsid w:val="00B6055E"/>
    <w:rsid w:val="00B61E4D"/>
    <w:rsid w:val="00B6317D"/>
    <w:rsid w:val="00B76409"/>
    <w:rsid w:val="00B7723F"/>
    <w:rsid w:val="00B80534"/>
    <w:rsid w:val="00B8433C"/>
    <w:rsid w:val="00B87491"/>
    <w:rsid w:val="00BA29E9"/>
    <w:rsid w:val="00BA7142"/>
    <w:rsid w:val="00BB237C"/>
    <w:rsid w:val="00BB41A3"/>
    <w:rsid w:val="00BC32DC"/>
    <w:rsid w:val="00BC35B6"/>
    <w:rsid w:val="00BD1B51"/>
    <w:rsid w:val="00BD2397"/>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1EB4"/>
    <w:rsid w:val="00CC489B"/>
    <w:rsid w:val="00CD2BCD"/>
    <w:rsid w:val="00CD3A4C"/>
    <w:rsid w:val="00CE10E9"/>
    <w:rsid w:val="00CE2910"/>
    <w:rsid w:val="00CE5393"/>
    <w:rsid w:val="00CF2E42"/>
    <w:rsid w:val="00CF36BE"/>
    <w:rsid w:val="00CF6000"/>
    <w:rsid w:val="00D003F3"/>
    <w:rsid w:val="00D0364F"/>
    <w:rsid w:val="00D06834"/>
    <w:rsid w:val="00D308ED"/>
    <w:rsid w:val="00D36D86"/>
    <w:rsid w:val="00D428AA"/>
    <w:rsid w:val="00D50A34"/>
    <w:rsid w:val="00D53EFA"/>
    <w:rsid w:val="00D94A7C"/>
    <w:rsid w:val="00D95896"/>
    <w:rsid w:val="00DA09B5"/>
    <w:rsid w:val="00DB2983"/>
    <w:rsid w:val="00DC1257"/>
    <w:rsid w:val="00DC3DC0"/>
    <w:rsid w:val="00DC5B2B"/>
    <w:rsid w:val="00DD0D13"/>
    <w:rsid w:val="00DD318D"/>
    <w:rsid w:val="00DE2409"/>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8B4"/>
    <w:rsid w:val="00EB5C47"/>
    <w:rsid w:val="00ED0639"/>
    <w:rsid w:val="00EF4755"/>
    <w:rsid w:val="00EF7135"/>
    <w:rsid w:val="00F027DB"/>
    <w:rsid w:val="00F14A7A"/>
    <w:rsid w:val="00F22985"/>
    <w:rsid w:val="00F27737"/>
    <w:rsid w:val="00F3383E"/>
    <w:rsid w:val="00F465A7"/>
    <w:rsid w:val="00F50B7C"/>
    <w:rsid w:val="00F550E6"/>
    <w:rsid w:val="00F74345"/>
    <w:rsid w:val="00F80A0A"/>
    <w:rsid w:val="00F82B19"/>
    <w:rsid w:val="00F9212D"/>
    <w:rsid w:val="00F965DA"/>
    <w:rsid w:val="00FA00A3"/>
    <w:rsid w:val="00FA406A"/>
    <w:rsid w:val="00FB503A"/>
    <w:rsid w:val="00FB516C"/>
    <w:rsid w:val="00FD0236"/>
    <w:rsid w:val="00FD18F4"/>
    <w:rsid w:val="00FD38A4"/>
    <w:rsid w:val="00FD54DB"/>
    <w:rsid w:val="00FD619F"/>
    <w:rsid w:val="01011432"/>
    <w:rsid w:val="010158D6"/>
    <w:rsid w:val="01072F48"/>
    <w:rsid w:val="010F7FF3"/>
    <w:rsid w:val="01140650"/>
    <w:rsid w:val="012211A0"/>
    <w:rsid w:val="01240926"/>
    <w:rsid w:val="01290F7E"/>
    <w:rsid w:val="01326F3B"/>
    <w:rsid w:val="013B4944"/>
    <w:rsid w:val="014C15A7"/>
    <w:rsid w:val="0151224A"/>
    <w:rsid w:val="0151259F"/>
    <w:rsid w:val="015C7BCF"/>
    <w:rsid w:val="015C7C0B"/>
    <w:rsid w:val="015D1E09"/>
    <w:rsid w:val="01636D07"/>
    <w:rsid w:val="016C0FA1"/>
    <w:rsid w:val="016C2D4F"/>
    <w:rsid w:val="016E359E"/>
    <w:rsid w:val="01732366"/>
    <w:rsid w:val="017D31AE"/>
    <w:rsid w:val="01810306"/>
    <w:rsid w:val="01871D35"/>
    <w:rsid w:val="018F30AE"/>
    <w:rsid w:val="01A21E63"/>
    <w:rsid w:val="01B0350E"/>
    <w:rsid w:val="01BC2913"/>
    <w:rsid w:val="01BD5E87"/>
    <w:rsid w:val="01D152A8"/>
    <w:rsid w:val="01DB1C83"/>
    <w:rsid w:val="01E66FA5"/>
    <w:rsid w:val="01EC5C3E"/>
    <w:rsid w:val="01F0785B"/>
    <w:rsid w:val="01F1594A"/>
    <w:rsid w:val="01F2068A"/>
    <w:rsid w:val="01F40C1A"/>
    <w:rsid w:val="01FB2226"/>
    <w:rsid w:val="01FB40D3"/>
    <w:rsid w:val="01FC726D"/>
    <w:rsid w:val="01FD62E0"/>
    <w:rsid w:val="01FF3BE9"/>
    <w:rsid w:val="020F6575"/>
    <w:rsid w:val="02155410"/>
    <w:rsid w:val="021E6208"/>
    <w:rsid w:val="02255E44"/>
    <w:rsid w:val="02403429"/>
    <w:rsid w:val="02590402"/>
    <w:rsid w:val="025A69BF"/>
    <w:rsid w:val="0261288A"/>
    <w:rsid w:val="026223A4"/>
    <w:rsid w:val="02623900"/>
    <w:rsid w:val="026259A2"/>
    <w:rsid w:val="02697903"/>
    <w:rsid w:val="026A6B75"/>
    <w:rsid w:val="02714395"/>
    <w:rsid w:val="02762315"/>
    <w:rsid w:val="0279182B"/>
    <w:rsid w:val="028247F4"/>
    <w:rsid w:val="028C1AB1"/>
    <w:rsid w:val="028E3199"/>
    <w:rsid w:val="029E1B30"/>
    <w:rsid w:val="02AA4115"/>
    <w:rsid w:val="02AD7AC3"/>
    <w:rsid w:val="02B73998"/>
    <w:rsid w:val="02C13723"/>
    <w:rsid w:val="02C32043"/>
    <w:rsid w:val="02C848FD"/>
    <w:rsid w:val="02DA1F3A"/>
    <w:rsid w:val="02DA66D9"/>
    <w:rsid w:val="02E244CB"/>
    <w:rsid w:val="02E2770B"/>
    <w:rsid w:val="02E44199"/>
    <w:rsid w:val="02E95572"/>
    <w:rsid w:val="02EF5CDD"/>
    <w:rsid w:val="02F63BEA"/>
    <w:rsid w:val="02F6727C"/>
    <w:rsid w:val="02F924D6"/>
    <w:rsid w:val="02F96569"/>
    <w:rsid w:val="03094A24"/>
    <w:rsid w:val="030976D1"/>
    <w:rsid w:val="030B47EA"/>
    <w:rsid w:val="030D273F"/>
    <w:rsid w:val="031F3DF1"/>
    <w:rsid w:val="03215DBB"/>
    <w:rsid w:val="03232CF9"/>
    <w:rsid w:val="032B7DBE"/>
    <w:rsid w:val="033D12D7"/>
    <w:rsid w:val="034368CB"/>
    <w:rsid w:val="03480A27"/>
    <w:rsid w:val="034F0B7A"/>
    <w:rsid w:val="03610F2C"/>
    <w:rsid w:val="036B7D08"/>
    <w:rsid w:val="036C2302"/>
    <w:rsid w:val="03724869"/>
    <w:rsid w:val="03773C2D"/>
    <w:rsid w:val="037F7757"/>
    <w:rsid w:val="0397575E"/>
    <w:rsid w:val="03993BA4"/>
    <w:rsid w:val="039B7284"/>
    <w:rsid w:val="039D7B38"/>
    <w:rsid w:val="03AE3300"/>
    <w:rsid w:val="03B64756"/>
    <w:rsid w:val="03B65EE5"/>
    <w:rsid w:val="03BB1D6C"/>
    <w:rsid w:val="03C03826"/>
    <w:rsid w:val="03C33221"/>
    <w:rsid w:val="03C94CFE"/>
    <w:rsid w:val="03DF2848"/>
    <w:rsid w:val="03E56DE9"/>
    <w:rsid w:val="03EA7B21"/>
    <w:rsid w:val="03EC461B"/>
    <w:rsid w:val="03F248A9"/>
    <w:rsid w:val="03F4702C"/>
    <w:rsid w:val="03F90AE6"/>
    <w:rsid w:val="03FB72D7"/>
    <w:rsid w:val="03FE4FA5"/>
    <w:rsid w:val="03FE714C"/>
    <w:rsid w:val="040F0F2A"/>
    <w:rsid w:val="040F1D6E"/>
    <w:rsid w:val="040F3E66"/>
    <w:rsid w:val="04131BA1"/>
    <w:rsid w:val="04161698"/>
    <w:rsid w:val="04177516"/>
    <w:rsid w:val="041B0A5C"/>
    <w:rsid w:val="04206DF0"/>
    <w:rsid w:val="04253689"/>
    <w:rsid w:val="04275653"/>
    <w:rsid w:val="042F62B6"/>
    <w:rsid w:val="0438491F"/>
    <w:rsid w:val="04384A3C"/>
    <w:rsid w:val="04423EE9"/>
    <w:rsid w:val="044B43C1"/>
    <w:rsid w:val="044B7594"/>
    <w:rsid w:val="044D3001"/>
    <w:rsid w:val="0450113F"/>
    <w:rsid w:val="04610B65"/>
    <w:rsid w:val="04643A45"/>
    <w:rsid w:val="047563BF"/>
    <w:rsid w:val="04772A14"/>
    <w:rsid w:val="047D34C5"/>
    <w:rsid w:val="04854C94"/>
    <w:rsid w:val="04860FD8"/>
    <w:rsid w:val="04866D6D"/>
    <w:rsid w:val="04912ACD"/>
    <w:rsid w:val="04916EFB"/>
    <w:rsid w:val="04B54A0D"/>
    <w:rsid w:val="04C46E30"/>
    <w:rsid w:val="04D70E27"/>
    <w:rsid w:val="04D71266"/>
    <w:rsid w:val="04D94FFA"/>
    <w:rsid w:val="04DE21B6"/>
    <w:rsid w:val="04E15802"/>
    <w:rsid w:val="04E211D7"/>
    <w:rsid w:val="04E452F2"/>
    <w:rsid w:val="04E54FC0"/>
    <w:rsid w:val="04E6106A"/>
    <w:rsid w:val="04E8116A"/>
    <w:rsid w:val="04ED4BEA"/>
    <w:rsid w:val="04ED4E25"/>
    <w:rsid w:val="04F451AC"/>
    <w:rsid w:val="04F67304"/>
    <w:rsid w:val="04F70794"/>
    <w:rsid w:val="04FA68C4"/>
    <w:rsid w:val="050414F1"/>
    <w:rsid w:val="05087233"/>
    <w:rsid w:val="050A66FA"/>
    <w:rsid w:val="050D6CCC"/>
    <w:rsid w:val="0510665E"/>
    <w:rsid w:val="051313FD"/>
    <w:rsid w:val="051A6F66"/>
    <w:rsid w:val="05265B7E"/>
    <w:rsid w:val="05273F75"/>
    <w:rsid w:val="052C6B70"/>
    <w:rsid w:val="053871C3"/>
    <w:rsid w:val="0539563E"/>
    <w:rsid w:val="055C77B1"/>
    <w:rsid w:val="05610FFF"/>
    <w:rsid w:val="05663F59"/>
    <w:rsid w:val="056A0FA1"/>
    <w:rsid w:val="05783516"/>
    <w:rsid w:val="058132E0"/>
    <w:rsid w:val="05816FE5"/>
    <w:rsid w:val="058A5E9A"/>
    <w:rsid w:val="058D14E6"/>
    <w:rsid w:val="058E2AB5"/>
    <w:rsid w:val="05AB1FA9"/>
    <w:rsid w:val="05AD1B88"/>
    <w:rsid w:val="05AF76AE"/>
    <w:rsid w:val="05B537F8"/>
    <w:rsid w:val="05B60A3D"/>
    <w:rsid w:val="05B97415"/>
    <w:rsid w:val="05C348F7"/>
    <w:rsid w:val="05C416C0"/>
    <w:rsid w:val="05D2339D"/>
    <w:rsid w:val="05DD1BF7"/>
    <w:rsid w:val="05EB486B"/>
    <w:rsid w:val="05F15243"/>
    <w:rsid w:val="05F37BE0"/>
    <w:rsid w:val="05F477B7"/>
    <w:rsid w:val="05F83EAE"/>
    <w:rsid w:val="05F870E0"/>
    <w:rsid w:val="05F92040"/>
    <w:rsid w:val="05FE23E4"/>
    <w:rsid w:val="06017285"/>
    <w:rsid w:val="060519C4"/>
    <w:rsid w:val="06053772"/>
    <w:rsid w:val="0609094D"/>
    <w:rsid w:val="06163BD1"/>
    <w:rsid w:val="061B4D44"/>
    <w:rsid w:val="06220179"/>
    <w:rsid w:val="062C7E2E"/>
    <w:rsid w:val="06322DD7"/>
    <w:rsid w:val="063807AE"/>
    <w:rsid w:val="063E7D85"/>
    <w:rsid w:val="0644429B"/>
    <w:rsid w:val="0652106E"/>
    <w:rsid w:val="06526CBC"/>
    <w:rsid w:val="065C150A"/>
    <w:rsid w:val="066A6ABF"/>
    <w:rsid w:val="0673610D"/>
    <w:rsid w:val="0673692E"/>
    <w:rsid w:val="06741F22"/>
    <w:rsid w:val="067F2E1A"/>
    <w:rsid w:val="067F6F25"/>
    <w:rsid w:val="06951F88"/>
    <w:rsid w:val="06A8451B"/>
    <w:rsid w:val="06A9102C"/>
    <w:rsid w:val="06A9433A"/>
    <w:rsid w:val="06AF638B"/>
    <w:rsid w:val="06C03400"/>
    <w:rsid w:val="06C50397"/>
    <w:rsid w:val="06C62F02"/>
    <w:rsid w:val="06C822EA"/>
    <w:rsid w:val="06C947A0"/>
    <w:rsid w:val="06D02C85"/>
    <w:rsid w:val="06DB5BE0"/>
    <w:rsid w:val="06EA39DF"/>
    <w:rsid w:val="06FE6092"/>
    <w:rsid w:val="07043A2A"/>
    <w:rsid w:val="070E2DD2"/>
    <w:rsid w:val="070E7162"/>
    <w:rsid w:val="071023CF"/>
    <w:rsid w:val="07160735"/>
    <w:rsid w:val="07225457"/>
    <w:rsid w:val="07261BF2"/>
    <w:rsid w:val="07293586"/>
    <w:rsid w:val="07295285"/>
    <w:rsid w:val="072B2648"/>
    <w:rsid w:val="072E58CA"/>
    <w:rsid w:val="073A3A24"/>
    <w:rsid w:val="073E518E"/>
    <w:rsid w:val="0749768F"/>
    <w:rsid w:val="074D3623"/>
    <w:rsid w:val="07543029"/>
    <w:rsid w:val="07587438"/>
    <w:rsid w:val="07636392"/>
    <w:rsid w:val="07754928"/>
    <w:rsid w:val="07757264"/>
    <w:rsid w:val="07770C56"/>
    <w:rsid w:val="077A1F3E"/>
    <w:rsid w:val="077C4750"/>
    <w:rsid w:val="07822663"/>
    <w:rsid w:val="0782312F"/>
    <w:rsid w:val="07832BA1"/>
    <w:rsid w:val="078C31A9"/>
    <w:rsid w:val="078D0D75"/>
    <w:rsid w:val="078D7EC3"/>
    <w:rsid w:val="079511E1"/>
    <w:rsid w:val="079810EE"/>
    <w:rsid w:val="079E5C2C"/>
    <w:rsid w:val="079F3753"/>
    <w:rsid w:val="079F38F7"/>
    <w:rsid w:val="07A019A5"/>
    <w:rsid w:val="07A34FF1"/>
    <w:rsid w:val="07A75CE2"/>
    <w:rsid w:val="07AB012E"/>
    <w:rsid w:val="07AC2387"/>
    <w:rsid w:val="07B53DB5"/>
    <w:rsid w:val="07BF7A34"/>
    <w:rsid w:val="07C70675"/>
    <w:rsid w:val="07C733D5"/>
    <w:rsid w:val="07CB3204"/>
    <w:rsid w:val="07CD02C0"/>
    <w:rsid w:val="07CD4764"/>
    <w:rsid w:val="07D34EA7"/>
    <w:rsid w:val="07DA799F"/>
    <w:rsid w:val="07E91142"/>
    <w:rsid w:val="07ED1323"/>
    <w:rsid w:val="07F21008"/>
    <w:rsid w:val="07F910B5"/>
    <w:rsid w:val="07FC20BF"/>
    <w:rsid w:val="08053EFD"/>
    <w:rsid w:val="08065580"/>
    <w:rsid w:val="080D6FCC"/>
    <w:rsid w:val="081D24FD"/>
    <w:rsid w:val="08217FA4"/>
    <w:rsid w:val="082462FB"/>
    <w:rsid w:val="08273E74"/>
    <w:rsid w:val="082F37EA"/>
    <w:rsid w:val="082F5E54"/>
    <w:rsid w:val="08311986"/>
    <w:rsid w:val="08332819"/>
    <w:rsid w:val="08333DAB"/>
    <w:rsid w:val="08371BDC"/>
    <w:rsid w:val="0837351E"/>
    <w:rsid w:val="083F7729"/>
    <w:rsid w:val="08404F36"/>
    <w:rsid w:val="08416E9F"/>
    <w:rsid w:val="084338FA"/>
    <w:rsid w:val="0844430E"/>
    <w:rsid w:val="084B1779"/>
    <w:rsid w:val="084B3E67"/>
    <w:rsid w:val="084D31AF"/>
    <w:rsid w:val="08521A11"/>
    <w:rsid w:val="085E509A"/>
    <w:rsid w:val="08602EE2"/>
    <w:rsid w:val="086B3462"/>
    <w:rsid w:val="08742AAA"/>
    <w:rsid w:val="087A0447"/>
    <w:rsid w:val="088279AD"/>
    <w:rsid w:val="088766C0"/>
    <w:rsid w:val="088A4403"/>
    <w:rsid w:val="088F5575"/>
    <w:rsid w:val="08927C61"/>
    <w:rsid w:val="089D15F6"/>
    <w:rsid w:val="08A23DEE"/>
    <w:rsid w:val="08A54756"/>
    <w:rsid w:val="08A954EC"/>
    <w:rsid w:val="08AA0694"/>
    <w:rsid w:val="08AF3CFA"/>
    <w:rsid w:val="08C47176"/>
    <w:rsid w:val="08C71A11"/>
    <w:rsid w:val="08C848A1"/>
    <w:rsid w:val="08C91BEF"/>
    <w:rsid w:val="08CE42EF"/>
    <w:rsid w:val="08D4233A"/>
    <w:rsid w:val="08DC7C98"/>
    <w:rsid w:val="08E074F0"/>
    <w:rsid w:val="08E255F7"/>
    <w:rsid w:val="08E52559"/>
    <w:rsid w:val="08E92ED7"/>
    <w:rsid w:val="08EE523A"/>
    <w:rsid w:val="08F04266"/>
    <w:rsid w:val="08FA50E4"/>
    <w:rsid w:val="08FD4BD5"/>
    <w:rsid w:val="090F1B9E"/>
    <w:rsid w:val="09173B5D"/>
    <w:rsid w:val="092217DD"/>
    <w:rsid w:val="092E3EBD"/>
    <w:rsid w:val="09320D22"/>
    <w:rsid w:val="093A7294"/>
    <w:rsid w:val="093B3EDB"/>
    <w:rsid w:val="09410DAA"/>
    <w:rsid w:val="095073FA"/>
    <w:rsid w:val="09526CCE"/>
    <w:rsid w:val="09550657"/>
    <w:rsid w:val="095C18FB"/>
    <w:rsid w:val="095E69C2"/>
    <w:rsid w:val="09663E91"/>
    <w:rsid w:val="09675F44"/>
    <w:rsid w:val="0969226A"/>
    <w:rsid w:val="096C0569"/>
    <w:rsid w:val="096E162E"/>
    <w:rsid w:val="096E3CA7"/>
    <w:rsid w:val="09774987"/>
    <w:rsid w:val="09856D92"/>
    <w:rsid w:val="09945539"/>
    <w:rsid w:val="09A164BA"/>
    <w:rsid w:val="09A2259A"/>
    <w:rsid w:val="09B04F9B"/>
    <w:rsid w:val="09B71227"/>
    <w:rsid w:val="09BA3B94"/>
    <w:rsid w:val="09BA5AA9"/>
    <w:rsid w:val="09BB0D18"/>
    <w:rsid w:val="09CE1608"/>
    <w:rsid w:val="09D50FC4"/>
    <w:rsid w:val="09D8703E"/>
    <w:rsid w:val="09DB1E21"/>
    <w:rsid w:val="09E81809"/>
    <w:rsid w:val="09E86DE4"/>
    <w:rsid w:val="09ED140F"/>
    <w:rsid w:val="09F145AB"/>
    <w:rsid w:val="09F63AFE"/>
    <w:rsid w:val="09F77876"/>
    <w:rsid w:val="09FD286C"/>
    <w:rsid w:val="0A033A90"/>
    <w:rsid w:val="0A047FD7"/>
    <w:rsid w:val="0A12645E"/>
    <w:rsid w:val="0A1B7A08"/>
    <w:rsid w:val="0A2017EC"/>
    <w:rsid w:val="0A263993"/>
    <w:rsid w:val="0A2C4EEA"/>
    <w:rsid w:val="0A2D3AC2"/>
    <w:rsid w:val="0A3208AE"/>
    <w:rsid w:val="0A342878"/>
    <w:rsid w:val="0A344626"/>
    <w:rsid w:val="0A3525AE"/>
    <w:rsid w:val="0A3D1174"/>
    <w:rsid w:val="0A3D4649"/>
    <w:rsid w:val="0A457346"/>
    <w:rsid w:val="0A4A3E4A"/>
    <w:rsid w:val="0A5A4E8B"/>
    <w:rsid w:val="0A5E430A"/>
    <w:rsid w:val="0A5F42C8"/>
    <w:rsid w:val="0A6337B7"/>
    <w:rsid w:val="0A683626"/>
    <w:rsid w:val="0A7964DD"/>
    <w:rsid w:val="0A7A1B3F"/>
    <w:rsid w:val="0A8074DF"/>
    <w:rsid w:val="0A8A4C6E"/>
    <w:rsid w:val="0A9535F5"/>
    <w:rsid w:val="0A953B58"/>
    <w:rsid w:val="0A982E07"/>
    <w:rsid w:val="0A9B514A"/>
    <w:rsid w:val="0AA0017A"/>
    <w:rsid w:val="0AA11CF4"/>
    <w:rsid w:val="0AA25A34"/>
    <w:rsid w:val="0AA755DF"/>
    <w:rsid w:val="0AB819E0"/>
    <w:rsid w:val="0AB85257"/>
    <w:rsid w:val="0ACB3F6E"/>
    <w:rsid w:val="0ADB372D"/>
    <w:rsid w:val="0ADD4CBE"/>
    <w:rsid w:val="0AE1644F"/>
    <w:rsid w:val="0AE47DFA"/>
    <w:rsid w:val="0AE915C2"/>
    <w:rsid w:val="0AFF4C34"/>
    <w:rsid w:val="0B00275A"/>
    <w:rsid w:val="0B0E3066"/>
    <w:rsid w:val="0B0F304E"/>
    <w:rsid w:val="0B120D44"/>
    <w:rsid w:val="0B156206"/>
    <w:rsid w:val="0B17016E"/>
    <w:rsid w:val="0B224966"/>
    <w:rsid w:val="0B375CDB"/>
    <w:rsid w:val="0B4017DF"/>
    <w:rsid w:val="0B412003"/>
    <w:rsid w:val="0B41524D"/>
    <w:rsid w:val="0B486A8C"/>
    <w:rsid w:val="0B49499B"/>
    <w:rsid w:val="0B564557"/>
    <w:rsid w:val="0B5F56D3"/>
    <w:rsid w:val="0B6D6042"/>
    <w:rsid w:val="0B6E5C7D"/>
    <w:rsid w:val="0B7A075E"/>
    <w:rsid w:val="0B7E029C"/>
    <w:rsid w:val="0B7F086C"/>
    <w:rsid w:val="0B8769D7"/>
    <w:rsid w:val="0B8B296C"/>
    <w:rsid w:val="0B8B4D2E"/>
    <w:rsid w:val="0B901D30"/>
    <w:rsid w:val="0B9510F4"/>
    <w:rsid w:val="0B995089"/>
    <w:rsid w:val="0B9D61FB"/>
    <w:rsid w:val="0BBB6595"/>
    <w:rsid w:val="0BBE39A8"/>
    <w:rsid w:val="0BBE689D"/>
    <w:rsid w:val="0BC15432"/>
    <w:rsid w:val="0BCB2D68"/>
    <w:rsid w:val="0BD065D0"/>
    <w:rsid w:val="0BD27BF6"/>
    <w:rsid w:val="0BD35480"/>
    <w:rsid w:val="0BDE2A9B"/>
    <w:rsid w:val="0BE61950"/>
    <w:rsid w:val="0BE61C8B"/>
    <w:rsid w:val="0BE6493B"/>
    <w:rsid w:val="0BEB42AE"/>
    <w:rsid w:val="0BED2683"/>
    <w:rsid w:val="0BF901E0"/>
    <w:rsid w:val="0BF91683"/>
    <w:rsid w:val="0C0B13B7"/>
    <w:rsid w:val="0C1554B1"/>
    <w:rsid w:val="0C162456"/>
    <w:rsid w:val="0C1947F9"/>
    <w:rsid w:val="0C1F6A6E"/>
    <w:rsid w:val="0C201171"/>
    <w:rsid w:val="0C236700"/>
    <w:rsid w:val="0C275966"/>
    <w:rsid w:val="0C345EE6"/>
    <w:rsid w:val="0C351AE7"/>
    <w:rsid w:val="0C3923C8"/>
    <w:rsid w:val="0C3A009C"/>
    <w:rsid w:val="0C3B3C7D"/>
    <w:rsid w:val="0C436DA2"/>
    <w:rsid w:val="0C4656C3"/>
    <w:rsid w:val="0C4B7242"/>
    <w:rsid w:val="0C566A5A"/>
    <w:rsid w:val="0C567C43"/>
    <w:rsid w:val="0C5719E5"/>
    <w:rsid w:val="0C5A56D6"/>
    <w:rsid w:val="0C6E02C3"/>
    <w:rsid w:val="0C7067C1"/>
    <w:rsid w:val="0C757885"/>
    <w:rsid w:val="0C7C4062"/>
    <w:rsid w:val="0C811F70"/>
    <w:rsid w:val="0C851169"/>
    <w:rsid w:val="0C8573BB"/>
    <w:rsid w:val="0C8F452F"/>
    <w:rsid w:val="0C9A2298"/>
    <w:rsid w:val="0C9A56A7"/>
    <w:rsid w:val="0CAB2EAE"/>
    <w:rsid w:val="0CAC0DEC"/>
    <w:rsid w:val="0CB47CA0"/>
    <w:rsid w:val="0CBA5BAE"/>
    <w:rsid w:val="0CD12600"/>
    <w:rsid w:val="0CD92920"/>
    <w:rsid w:val="0CDB347F"/>
    <w:rsid w:val="0CDB565D"/>
    <w:rsid w:val="0CE34EFB"/>
    <w:rsid w:val="0CE51C08"/>
    <w:rsid w:val="0CF06F2A"/>
    <w:rsid w:val="0D054058"/>
    <w:rsid w:val="0D064065"/>
    <w:rsid w:val="0D1329AA"/>
    <w:rsid w:val="0D1418BD"/>
    <w:rsid w:val="0D15073F"/>
    <w:rsid w:val="0D200E92"/>
    <w:rsid w:val="0D2546FA"/>
    <w:rsid w:val="0D31309F"/>
    <w:rsid w:val="0D33523D"/>
    <w:rsid w:val="0D354DA4"/>
    <w:rsid w:val="0D3C0E71"/>
    <w:rsid w:val="0D5A0848"/>
    <w:rsid w:val="0D6156BC"/>
    <w:rsid w:val="0D621C7D"/>
    <w:rsid w:val="0D6279CD"/>
    <w:rsid w:val="0D78098D"/>
    <w:rsid w:val="0D7C6A10"/>
    <w:rsid w:val="0D7D14CF"/>
    <w:rsid w:val="0D8853B5"/>
    <w:rsid w:val="0D896A37"/>
    <w:rsid w:val="0D9205B7"/>
    <w:rsid w:val="0D957DA2"/>
    <w:rsid w:val="0D995D7A"/>
    <w:rsid w:val="0D9A50E8"/>
    <w:rsid w:val="0D9C051F"/>
    <w:rsid w:val="0DA6583B"/>
    <w:rsid w:val="0DB07BFF"/>
    <w:rsid w:val="0DB81FB0"/>
    <w:rsid w:val="0DBA12E6"/>
    <w:rsid w:val="0DBC505E"/>
    <w:rsid w:val="0DC363ED"/>
    <w:rsid w:val="0DCD4B64"/>
    <w:rsid w:val="0DDB5EC5"/>
    <w:rsid w:val="0DDF1C18"/>
    <w:rsid w:val="0DDF3C85"/>
    <w:rsid w:val="0DF63CF6"/>
    <w:rsid w:val="0DF843DB"/>
    <w:rsid w:val="0DFA5B87"/>
    <w:rsid w:val="0DFC36AD"/>
    <w:rsid w:val="0E004DA8"/>
    <w:rsid w:val="0E012A71"/>
    <w:rsid w:val="0E0407B3"/>
    <w:rsid w:val="0E107158"/>
    <w:rsid w:val="0E1171BD"/>
    <w:rsid w:val="0E19425F"/>
    <w:rsid w:val="0E1B338B"/>
    <w:rsid w:val="0E211365"/>
    <w:rsid w:val="0E252C04"/>
    <w:rsid w:val="0E316DBE"/>
    <w:rsid w:val="0E3E10C3"/>
    <w:rsid w:val="0E40791B"/>
    <w:rsid w:val="0E417312"/>
    <w:rsid w:val="0E63197E"/>
    <w:rsid w:val="0E71575C"/>
    <w:rsid w:val="0E73034D"/>
    <w:rsid w:val="0E792F4F"/>
    <w:rsid w:val="0E8266A6"/>
    <w:rsid w:val="0E921AE2"/>
    <w:rsid w:val="0E927B6D"/>
    <w:rsid w:val="0E975954"/>
    <w:rsid w:val="0EA7526D"/>
    <w:rsid w:val="0EAE754B"/>
    <w:rsid w:val="0EB6385C"/>
    <w:rsid w:val="0EBC593B"/>
    <w:rsid w:val="0EC60A2B"/>
    <w:rsid w:val="0EC7372B"/>
    <w:rsid w:val="0ED64354"/>
    <w:rsid w:val="0EE8142C"/>
    <w:rsid w:val="0EFC4F7F"/>
    <w:rsid w:val="0F052A35"/>
    <w:rsid w:val="0F104B41"/>
    <w:rsid w:val="0F13775A"/>
    <w:rsid w:val="0F224EE5"/>
    <w:rsid w:val="0F2346E9"/>
    <w:rsid w:val="0F280E8A"/>
    <w:rsid w:val="0F2A7C7D"/>
    <w:rsid w:val="0F3A26DF"/>
    <w:rsid w:val="0F3C1CFE"/>
    <w:rsid w:val="0F3F0A3F"/>
    <w:rsid w:val="0F3F7D9E"/>
    <w:rsid w:val="0F433236"/>
    <w:rsid w:val="0F444A9B"/>
    <w:rsid w:val="0F5F45FE"/>
    <w:rsid w:val="0F6078EB"/>
    <w:rsid w:val="0F683E01"/>
    <w:rsid w:val="0F711E78"/>
    <w:rsid w:val="0F7D22EF"/>
    <w:rsid w:val="0F7D25CB"/>
    <w:rsid w:val="0F7D3049"/>
    <w:rsid w:val="0F7F55AF"/>
    <w:rsid w:val="0F7F6343"/>
    <w:rsid w:val="0F9A112B"/>
    <w:rsid w:val="0F9D413C"/>
    <w:rsid w:val="0F9E742D"/>
    <w:rsid w:val="0FA51F23"/>
    <w:rsid w:val="0FAB4813"/>
    <w:rsid w:val="0FAF3BE4"/>
    <w:rsid w:val="0FB26719"/>
    <w:rsid w:val="0FBF2767"/>
    <w:rsid w:val="0FC208EA"/>
    <w:rsid w:val="0FC45090"/>
    <w:rsid w:val="0FD868F1"/>
    <w:rsid w:val="0FF53CD5"/>
    <w:rsid w:val="0FFA7BE8"/>
    <w:rsid w:val="0FFC7994"/>
    <w:rsid w:val="10031E11"/>
    <w:rsid w:val="100537EB"/>
    <w:rsid w:val="10120F66"/>
    <w:rsid w:val="10125409"/>
    <w:rsid w:val="10183569"/>
    <w:rsid w:val="10194317"/>
    <w:rsid w:val="10223A7C"/>
    <w:rsid w:val="1030084F"/>
    <w:rsid w:val="10321608"/>
    <w:rsid w:val="10466E61"/>
    <w:rsid w:val="10486DC1"/>
    <w:rsid w:val="10493E65"/>
    <w:rsid w:val="104C34B8"/>
    <w:rsid w:val="104E5D16"/>
    <w:rsid w:val="10501A8E"/>
    <w:rsid w:val="10507EB4"/>
    <w:rsid w:val="10673D79"/>
    <w:rsid w:val="106D2F64"/>
    <w:rsid w:val="107B7E05"/>
    <w:rsid w:val="108005C5"/>
    <w:rsid w:val="1088779B"/>
    <w:rsid w:val="109121B7"/>
    <w:rsid w:val="10914580"/>
    <w:rsid w:val="1092089F"/>
    <w:rsid w:val="109E4EEF"/>
    <w:rsid w:val="109F7E19"/>
    <w:rsid w:val="10AA5642"/>
    <w:rsid w:val="10B262A5"/>
    <w:rsid w:val="10B50454"/>
    <w:rsid w:val="10B63710"/>
    <w:rsid w:val="10BC637C"/>
    <w:rsid w:val="10C0060A"/>
    <w:rsid w:val="10C65783"/>
    <w:rsid w:val="10CD7582"/>
    <w:rsid w:val="10CE1396"/>
    <w:rsid w:val="10D254AD"/>
    <w:rsid w:val="10D73F5D"/>
    <w:rsid w:val="10DD65D3"/>
    <w:rsid w:val="10DF0BC6"/>
    <w:rsid w:val="10DF18EB"/>
    <w:rsid w:val="10DF3C80"/>
    <w:rsid w:val="10E64CED"/>
    <w:rsid w:val="10F10820"/>
    <w:rsid w:val="10F81694"/>
    <w:rsid w:val="11001032"/>
    <w:rsid w:val="110079DA"/>
    <w:rsid w:val="110572F4"/>
    <w:rsid w:val="110C3D38"/>
    <w:rsid w:val="110E3E23"/>
    <w:rsid w:val="1110283E"/>
    <w:rsid w:val="111C2F7A"/>
    <w:rsid w:val="112453F4"/>
    <w:rsid w:val="113E3F1E"/>
    <w:rsid w:val="11421D1E"/>
    <w:rsid w:val="114A0BD3"/>
    <w:rsid w:val="114F14E4"/>
    <w:rsid w:val="115455AE"/>
    <w:rsid w:val="11593DA3"/>
    <w:rsid w:val="115B4B8E"/>
    <w:rsid w:val="116003F7"/>
    <w:rsid w:val="11665CA1"/>
    <w:rsid w:val="117A5014"/>
    <w:rsid w:val="11813BA2"/>
    <w:rsid w:val="11834A04"/>
    <w:rsid w:val="11867876"/>
    <w:rsid w:val="118F79C1"/>
    <w:rsid w:val="11A007F3"/>
    <w:rsid w:val="11A227BD"/>
    <w:rsid w:val="11A4575D"/>
    <w:rsid w:val="11AC53F3"/>
    <w:rsid w:val="11BB1D33"/>
    <w:rsid w:val="11BE65B2"/>
    <w:rsid w:val="11C91AF8"/>
    <w:rsid w:val="11D162ED"/>
    <w:rsid w:val="11D3106F"/>
    <w:rsid w:val="11D94139"/>
    <w:rsid w:val="11DD55A3"/>
    <w:rsid w:val="11DD7458"/>
    <w:rsid w:val="11E20CC0"/>
    <w:rsid w:val="11E3294C"/>
    <w:rsid w:val="11E535B3"/>
    <w:rsid w:val="11EE6888"/>
    <w:rsid w:val="11EF6009"/>
    <w:rsid w:val="11EF64E7"/>
    <w:rsid w:val="11FB4122"/>
    <w:rsid w:val="11FC1ECD"/>
    <w:rsid w:val="12004FDB"/>
    <w:rsid w:val="12073846"/>
    <w:rsid w:val="12075EB9"/>
    <w:rsid w:val="120B7AD9"/>
    <w:rsid w:val="1218482D"/>
    <w:rsid w:val="12274A70"/>
    <w:rsid w:val="12372F05"/>
    <w:rsid w:val="123D08BB"/>
    <w:rsid w:val="12435D4E"/>
    <w:rsid w:val="12443498"/>
    <w:rsid w:val="12455238"/>
    <w:rsid w:val="125137DB"/>
    <w:rsid w:val="12521AED"/>
    <w:rsid w:val="1257236C"/>
    <w:rsid w:val="12601BA1"/>
    <w:rsid w:val="12655CC4"/>
    <w:rsid w:val="1270032C"/>
    <w:rsid w:val="127305DF"/>
    <w:rsid w:val="12764DFA"/>
    <w:rsid w:val="1279313A"/>
    <w:rsid w:val="127E53C9"/>
    <w:rsid w:val="12850115"/>
    <w:rsid w:val="12850FAA"/>
    <w:rsid w:val="12860CC6"/>
    <w:rsid w:val="128679E9"/>
    <w:rsid w:val="12875A97"/>
    <w:rsid w:val="128F4AEF"/>
    <w:rsid w:val="12900868"/>
    <w:rsid w:val="12955E7E"/>
    <w:rsid w:val="129C157B"/>
    <w:rsid w:val="12A109F5"/>
    <w:rsid w:val="12A330AD"/>
    <w:rsid w:val="12A64CA8"/>
    <w:rsid w:val="12AA7B08"/>
    <w:rsid w:val="12B52636"/>
    <w:rsid w:val="12C329EB"/>
    <w:rsid w:val="12C81DAF"/>
    <w:rsid w:val="12EE3177"/>
    <w:rsid w:val="12EE3D02"/>
    <w:rsid w:val="12EF2A25"/>
    <w:rsid w:val="12F62DC0"/>
    <w:rsid w:val="1305402E"/>
    <w:rsid w:val="130B7EEE"/>
    <w:rsid w:val="13276F0F"/>
    <w:rsid w:val="133236CD"/>
    <w:rsid w:val="133A279F"/>
    <w:rsid w:val="13403C43"/>
    <w:rsid w:val="134B54DA"/>
    <w:rsid w:val="13503FB9"/>
    <w:rsid w:val="13583732"/>
    <w:rsid w:val="1361772B"/>
    <w:rsid w:val="13675A6C"/>
    <w:rsid w:val="136936AD"/>
    <w:rsid w:val="136A6266"/>
    <w:rsid w:val="136C6BDF"/>
    <w:rsid w:val="136F3FAF"/>
    <w:rsid w:val="13710699"/>
    <w:rsid w:val="138448B2"/>
    <w:rsid w:val="13894CFF"/>
    <w:rsid w:val="13951726"/>
    <w:rsid w:val="13A02D2C"/>
    <w:rsid w:val="13A63219"/>
    <w:rsid w:val="13A75E69"/>
    <w:rsid w:val="13A91BE1"/>
    <w:rsid w:val="13B7340E"/>
    <w:rsid w:val="13B80076"/>
    <w:rsid w:val="13D50D9A"/>
    <w:rsid w:val="13DA7FEC"/>
    <w:rsid w:val="13E42A50"/>
    <w:rsid w:val="13E56991"/>
    <w:rsid w:val="13E56D69"/>
    <w:rsid w:val="13E938A5"/>
    <w:rsid w:val="13F66786"/>
    <w:rsid w:val="13FB30D9"/>
    <w:rsid w:val="13FF2685"/>
    <w:rsid w:val="13FF74A0"/>
    <w:rsid w:val="14074371"/>
    <w:rsid w:val="14131750"/>
    <w:rsid w:val="14172F0F"/>
    <w:rsid w:val="14187973"/>
    <w:rsid w:val="141E2CF7"/>
    <w:rsid w:val="142710C5"/>
    <w:rsid w:val="14396509"/>
    <w:rsid w:val="143E4B76"/>
    <w:rsid w:val="1447046A"/>
    <w:rsid w:val="144C07BE"/>
    <w:rsid w:val="14535FF1"/>
    <w:rsid w:val="145A23BC"/>
    <w:rsid w:val="146F0729"/>
    <w:rsid w:val="14741DE5"/>
    <w:rsid w:val="147A532B"/>
    <w:rsid w:val="14847F58"/>
    <w:rsid w:val="148663B0"/>
    <w:rsid w:val="14867011"/>
    <w:rsid w:val="14936549"/>
    <w:rsid w:val="14943E0F"/>
    <w:rsid w:val="149530EF"/>
    <w:rsid w:val="14972381"/>
    <w:rsid w:val="149C42DF"/>
    <w:rsid w:val="14A8633C"/>
    <w:rsid w:val="14B20F69"/>
    <w:rsid w:val="14C1100B"/>
    <w:rsid w:val="14C41C28"/>
    <w:rsid w:val="14C56525"/>
    <w:rsid w:val="14CA6F83"/>
    <w:rsid w:val="14D02DA7"/>
    <w:rsid w:val="14D863A8"/>
    <w:rsid w:val="14D964F6"/>
    <w:rsid w:val="14DD2C3C"/>
    <w:rsid w:val="14E32ED1"/>
    <w:rsid w:val="14E632B0"/>
    <w:rsid w:val="15042A47"/>
    <w:rsid w:val="15095AC8"/>
    <w:rsid w:val="150C275A"/>
    <w:rsid w:val="15146C09"/>
    <w:rsid w:val="15155DFD"/>
    <w:rsid w:val="151B4479"/>
    <w:rsid w:val="152F17EB"/>
    <w:rsid w:val="15437366"/>
    <w:rsid w:val="154F67B8"/>
    <w:rsid w:val="155142DE"/>
    <w:rsid w:val="15523D78"/>
    <w:rsid w:val="15673B02"/>
    <w:rsid w:val="157D1577"/>
    <w:rsid w:val="158D28ED"/>
    <w:rsid w:val="15A1620A"/>
    <w:rsid w:val="15A17FE4"/>
    <w:rsid w:val="15A6264A"/>
    <w:rsid w:val="15C02DDF"/>
    <w:rsid w:val="15C22E6B"/>
    <w:rsid w:val="15CE304B"/>
    <w:rsid w:val="15CE592F"/>
    <w:rsid w:val="15D05D4D"/>
    <w:rsid w:val="15D87D38"/>
    <w:rsid w:val="15D942D4"/>
    <w:rsid w:val="15DD3DC4"/>
    <w:rsid w:val="15E02488"/>
    <w:rsid w:val="15E06243"/>
    <w:rsid w:val="15E35E30"/>
    <w:rsid w:val="15E77BA1"/>
    <w:rsid w:val="15EA028F"/>
    <w:rsid w:val="15EC4C77"/>
    <w:rsid w:val="15ED707B"/>
    <w:rsid w:val="15EF58A5"/>
    <w:rsid w:val="15F64FB0"/>
    <w:rsid w:val="15F829AC"/>
    <w:rsid w:val="15F932DA"/>
    <w:rsid w:val="1603178E"/>
    <w:rsid w:val="1606331B"/>
    <w:rsid w:val="16087E1D"/>
    <w:rsid w:val="160D7033"/>
    <w:rsid w:val="16110346"/>
    <w:rsid w:val="16150A11"/>
    <w:rsid w:val="161672D6"/>
    <w:rsid w:val="16202309"/>
    <w:rsid w:val="16223ECC"/>
    <w:rsid w:val="16276B81"/>
    <w:rsid w:val="162C0787"/>
    <w:rsid w:val="162C38CF"/>
    <w:rsid w:val="16314552"/>
    <w:rsid w:val="16321ADC"/>
    <w:rsid w:val="16353938"/>
    <w:rsid w:val="163D0D06"/>
    <w:rsid w:val="163D2AB4"/>
    <w:rsid w:val="16465E0D"/>
    <w:rsid w:val="16491459"/>
    <w:rsid w:val="16532B7C"/>
    <w:rsid w:val="16563CFE"/>
    <w:rsid w:val="16573B76"/>
    <w:rsid w:val="16586018"/>
    <w:rsid w:val="165E1E54"/>
    <w:rsid w:val="165F6ECF"/>
    <w:rsid w:val="1664567A"/>
    <w:rsid w:val="1666200B"/>
    <w:rsid w:val="166B7621"/>
    <w:rsid w:val="167570BE"/>
    <w:rsid w:val="16782A7D"/>
    <w:rsid w:val="1679435B"/>
    <w:rsid w:val="167B67D1"/>
    <w:rsid w:val="169052DA"/>
    <w:rsid w:val="16911ECA"/>
    <w:rsid w:val="169C5212"/>
    <w:rsid w:val="16A56DE2"/>
    <w:rsid w:val="16C17241"/>
    <w:rsid w:val="16CC4472"/>
    <w:rsid w:val="16CD2CC7"/>
    <w:rsid w:val="16CE1985"/>
    <w:rsid w:val="16D00254"/>
    <w:rsid w:val="16D725BD"/>
    <w:rsid w:val="16D74CB7"/>
    <w:rsid w:val="16DD0041"/>
    <w:rsid w:val="16DF3B6C"/>
    <w:rsid w:val="16EE29A6"/>
    <w:rsid w:val="16F378E6"/>
    <w:rsid w:val="16FC6E43"/>
    <w:rsid w:val="16FF37CB"/>
    <w:rsid w:val="1700420E"/>
    <w:rsid w:val="17101C8C"/>
    <w:rsid w:val="171323D2"/>
    <w:rsid w:val="17141A67"/>
    <w:rsid w:val="171B1048"/>
    <w:rsid w:val="17255A22"/>
    <w:rsid w:val="1738335E"/>
    <w:rsid w:val="174B46E8"/>
    <w:rsid w:val="175B1766"/>
    <w:rsid w:val="17622036"/>
    <w:rsid w:val="17654312"/>
    <w:rsid w:val="17701D14"/>
    <w:rsid w:val="17735226"/>
    <w:rsid w:val="1779567C"/>
    <w:rsid w:val="177B094C"/>
    <w:rsid w:val="17824C23"/>
    <w:rsid w:val="17885842"/>
    <w:rsid w:val="17886BE6"/>
    <w:rsid w:val="178A578B"/>
    <w:rsid w:val="178C648E"/>
    <w:rsid w:val="17A315CA"/>
    <w:rsid w:val="17A55DA6"/>
    <w:rsid w:val="17A776A1"/>
    <w:rsid w:val="17B1375A"/>
    <w:rsid w:val="17B86896"/>
    <w:rsid w:val="17BA0860"/>
    <w:rsid w:val="17CD1C16"/>
    <w:rsid w:val="17DA4734"/>
    <w:rsid w:val="17DC3F56"/>
    <w:rsid w:val="17E23913"/>
    <w:rsid w:val="17E67519"/>
    <w:rsid w:val="17EF7DDE"/>
    <w:rsid w:val="17F23F94"/>
    <w:rsid w:val="17F717AB"/>
    <w:rsid w:val="17FC42D5"/>
    <w:rsid w:val="18024DD2"/>
    <w:rsid w:val="180424E4"/>
    <w:rsid w:val="180C0990"/>
    <w:rsid w:val="18300FBF"/>
    <w:rsid w:val="183C2926"/>
    <w:rsid w:val="183D0B4A"/>
    <w:rsid w:val="185100CE"/>
    <w:rsid w:val="18591D0D"/>
    <w:rsid w:val="185F31B6"/>
    <w:rsid w:val="1861461F"/>
    <w:rsid w:val="188A3223"/>
    <w:rsid w:val="18911017"/>
    <w:rsid w:val="18914B7E"/>
    <w:rsid w:val="189D02AC"/>
    <w:rsid w:val="189F624C"/>
    <w:rsid w:val="18B057C0"/>
    <w:rsid w:val="18B36797"/>
    <w:rsid w:val="18B95AF2"/>
    <w:rsid w:val="18BF1EA7"/>
    <w:rsid w:val="18DA672E"/>
    <w:rsid w:val="18DC5086"/>
    <w:rsid w:val="18DD4CA7"/>
    <w:rsid w:val="18DF06E4"/>
    <w:rsid w:val="18E416DE"/>
    <w:rsid w:val="18E6681B"/>
    <w:rsid w:val="18E768FD"/>
    <w:rsid w:val="18ED44F8"/>
    <w:rsid w:val="18F5313D"/>
    <w:rsid w:val="18FF4051"/>
    <w:rsid w:val="190C35FF"/>
    <w:rsid w:val="190F701E"/>
    <w:rsid w:val="1916751E"/>
    <w:rsid w:val="191952D0"/>
    <w:rsid w:val="1922346A"/>
    <w:rsid w:val="192F0DDA"/>
    <w:rsid w:val="19377C8F"/>
    <w:rsid w:val="19383B62"/>
    <w:rsid w:val="193E1025"/>
    <w:rsid w:val="194276D1"/>
    <w:rsid w:val="19462B78"/>
    <w:rsid w:val="194D73B5"/>
    <w:rsid w:val="19550115"/>
    <w:rsid w:val="195B5ABF"/>
    <w:rsid w:val="197113F3"/>
    <w:rsid w:val="19736A60"/>
    <w:rsid w:val="19803608"/>
    <w:rsid w:val="198B0CFD"/>
    <w:rsid w:val="198B41CF"/>
    <w:rsid w:val="19907063"/>
    <w:rsid w:val="1997787A"/>
    <w:rsid w:val="19996254"/>
    <w:rsid w:val="199F6C5D"/>
    <w:rsid w:val="19BF413C"/>
    <w:rsid w:val="19C27C66"/>
    <w:rsid w:val="19C42E16"/>
    <w:rsid w:val="19D813C6"/>
    <w:rsid w:val="19ED659F"/>
    <w:rsid w:val="19ED726F"/>
    <w:rsid w:val="19F3005A"/>
    <w:rsid w:val="1A04431D"/>
    <w:rsid w:val="1A1C66C0"/>
    <w:rsid w:val="1A202A12"/>
    <w:rsid w:val="1A203534"/>
    <w:rsid w:val="1A332151"/>
    <w:rsid w:val="1A38159F"/>
    <w:rsid w:val="1A390DC0"/>
    <w:rsid w:val="1A393593"/>
    <w:rsid w:val="1A3B3345"/>
    <w:rsid w:val="1A3D2A4D"/>
    <w:rsid w:val="1A42393B"/>
    <w:rsid w:val="1A473F02"/>
    <w:rsid w:val="1A477949"/>
    <w:rsid w:val="1A4C6BF6"/>
    <w:rsid w:val="1A534499"/>
    <w:rsid w:val="1A560B06"/>
    <w:rsid w:val="1A577219"/>
    <w:rsid w:val="1A5D3284"/>
    <w:rsid w:val="1A681BAB"/>
    <w:rsid w:val="1A705206"/>
    <w:rsid w:val="1A7C1F14"/>
    <w:rsid w:val="1A7E3985"/>
    <w:rsid w:val="1A7F5449"/>
    <w:rsid w:val="1A861A35"/>
    <w:rsid w:val="1A905369"/>
    <w:rsid w:val="1A93162D"/>
    <w:rsid w:val="1AA0380D"/>
    <w:rsid w:val="1AA475A6"/>
    <w:rsid w:val="1AA82C77"/>
    <w:rsid w:val="1AA92ECE"/>
    <w:rsid w:val="1AAA0BD5"/>
    <w:rsid w:val="1AAD45DE"/>
    <w:rsid w:val="1AB01AA7"/>
    <w:rsid w:val="1AB12320"/>
    <w:rsid w:val="1AB75F10"/>
    <w:rsid w:val="1ABA46D4"/>
    <w:rsid w:val="1ABC044C"/>
    <w:rsid w:val="1ABD2416"/>
    <w:rsid w:val="1ABF1CEA"/>
    <w:rsid w:val="1AD11A1D"/>
    <w:rsid w:val="1AD335A1"/>
    <w:rsid w:val="1AD95225"/>
    <w:rsid w:val="1AE708E8"/>
    <w:rsid w:val="1AE85CF5"/>
    <w:rsid w:val="1AEF3597"/>
    <w:rsid w:val="1AF3679A"/>
    <w:rsid w:val="1AF71484"/>
    <w:rsid w:val="1B040045"/>
    <w:rsid w:val="1B046F80"/>
    <w:rsid w:val="1B054E06"/>
    <w:rsid w:val="1B0C0358"/>
    <w:rsid w:val="1B154000"/>
    <w:rsid w:val="1B1A1616"/>
    <w:rsid w:val="1B1E276D"/>
    <w:rsid w:val="1B1F6253"/>
    <w:rsid w:val="1B297880"/>
    <w:rsid w:val="1B2A05BC"/>
    <w:rsid w:val="1B3267B5"/>
    <w:rsid w:val="1B32775E"/>
    <w:rsid w:val="1B3426D8"/>
    <w:rsid w:val="1B401424"/>
    <w:rsid w:val="1B40161D"/>
    <w:rsid w:val="1B4225F8"/>
    <w:rsid w:val="1B43643A"/>
    <w:rsid w:val="1B441859"/>
    <w:rsid w:val="1B46095E"/>
    <w:rsid w:val="1B4D36AA"/>
    <w:rsid w:val="1B5B7B3E"/>
    <w:rsid w:val="1B653ED4"/>
    <w:rsid w:val="1B6606B1"/>
    <w:rsid w:val="1B66770C"/>
    <w:rsid w:val="1B692D8B"/>
    <w:rsid w:val="1B6A05F6"/>
    <w:rsid w:val="1B6E2994"/>
    <w:rsid w:val="1B837F38"/>
    <w:rsid w:val="1B866036"/>
    <w:rsid w:val="1B89157A"/>
    <w:rsid w:val="1B89176D"/>
    <w:rsid w:val="1B8B42C2"/>
    <w:rsid w:val="1B8E4A3D"/>
    <w:rsid w:val="1BAB226E"/>
    <w:rsid w:val="1BAD439E"/>
    <w:rsid w:val="1BD47A17"/>
    <w:rsid w:val="1BD84838"/>
    <w:rsid w:val="1BE0016A"/>
    <w:rsid w:val="1BE97F8C"/>
    <w:rsid w:val="1BEF60E3"/>
    <w:rsid w:val="1BF12377"/>
    <w:rsid w:val="1BF43BEF"/>
    <w:rsid w:val="1BFE03CE"/>
    <w:rsid w:val="1C013526"/>
    <w:rsid w:val="1C024609"/>
    <w:rsid w:val="1C0A168B"/>
    <w:rsid w:val="1C202C5C"/>
    <w:rsid w:val="1C210946"/>
    <w:rsid w:val="1C2D7127"/>
    <w:rsid w:val="1C2F1D3D"/>
    <w:rsid w:val="1C38055F"/>
    <w:rsid w:val="1C393D1E"/>
    <w:rsid w:val="1C3D55BC"/>
    <w:rsid w:val="1C4E373E"/>
    <w:rsid w:val="1C5E7925"/>
    <w:rsid w:val="1C6D1F76"/>
    <w:rsid w:val="1C7447F6"/>
    <w:rsid w:val="1C744EE3"/>
    <w:rsid w:val="1C76287C"/>
    <w:rsid w:val="1C7B67E2"/>
    <w:rsid w:val="1C7B7E93"/>
    <w:rsid w:val="1C7D3FF2"/>
    <w:rsid w:val="1C7F0560"/>
    <w:rsid w:val="1C8566EE"/>
    <w:rsid w:val="1C856F63"/>
    <w:rsid w:val="1C8935DB"/>
    <w:rsid w:val="1C913B5A"/>
    <w:rsid w:val="1C964CCC"/>
    <w:rsid w:val="1C986CD0"/>
    <w:rsid w:val="1C9C036D"/>
    <w:rsid w:val="1C9F1441"/>
    <w:rsid w:val="1CA275F6"/>
    <w:rsid w:val="1CA7651F"/>
    <w:rsid w:val="1CA76EDA"/>
    <w:rsid w:val="1CB533A4"/>
    <w:rsid w:val="1CBA08CA"/>
    <w:rsid w:val="1CC655B2"/>
    <w:rsid w:val="1CC730D8"/>
    <w:rsid w:val="1CCF3FB4"/>
    <w:rsid w:val="1CD31A7D"/>
    <w:rsid w:val="1CD50EE5"/>
    <w:rsid w:val="1CDC77FE"/>
    <w:rsid w:val="1CE20908"/>
    <w:rsid w:val="1CE41EDC"/>
    <w:rsid w:val="1CF32404"/>
    <w:rsid w:val="1CFB0616"/>
    <w:rsid w:val="1CFD070F"/>
    <w:rsid w:val="1D1207F7"/>
    <w:rsid w:val="1D137488"/>
    <w:rsid w:val="1D1E352A"/>
    <w:rsid w:val="1D1F3284"/>
    <w:rsid w:val="1D214EDE"/>
    <w:rsid w:val="1D235EA4"/>
    <w:rsid w:val="1D2B3667"/>
    <w:rsid w:val="1D352737"/>
    <w:rsid w:val="1D3578DC"/>
    <w:rsid w:val="1D4474F8"/>
    <w:rsid w:val="1D4D0079"/>
    <w:rsid w:val="1D5F6196"/>
    <w:rsid w:val="1D6132A5"/>
    <w:rsid w:val="1D614463"/>
    <w:rsid w:val="1D650725"/>
    <w:rsid w:val="1D7B2840"/>
    <w:rsid w:val="1D864D41"/>
    <w:rsid w:val="1D872D07"/>
    <w:rsid w:val="1D893834"/>
    <w:rsid w:val="1D8A4831"/>
    <w:rsid w:val="1D8E56D5"/>
    <w:rsid w:val="1D903E12"/>
    <w:rsid w:val="1DAC5C6B"/>
    <w:rsid w:val="1DAD7040"/>
    <w:rsid w:val="1DB27C7B"/>
    <w:rsid w:val="1DB81568"/>
    <w:rsid w:val="1DB94F83"/>
    <w:rsid w:val="1DD36425"/>
    <w:rsid w:val="1DD85097"/>
    <w:rsid w:val="1DDE692B"/>
    <w:rsid w:val="1DE1641B"/>
    <w:rsid w:val="1DF83E91"/>
    <w:rsid w:val="1DFA2A1E"/>
    <w:rsid w:val="1E00340E"/>
    <w:rsid w:val="1E024F05"/>
    <w:rsid w:val="1E0778B6"/>
    <w:rsid w:val="1E114F52"/>
    <w:rsid w:val="1E130EFE"/>
    <w:rsid w:val="1E2C2D12"/>
    <w:rsid w:val="1E341FE2"/>
    <w:rsid w:val="1E360515"/>
    <w:rsid w:val="1E3A0DCB"/>
    <w:rsid w:val="1E3D18A3"/>
    <w:rsid w:val="1E4531BB"/>
    <w:rsid w:val="1E4A2212"/>
    <w:rsid w:val="1E4F5A7B"/>
    <w:rsid w:val="1E516028"/>
    <w:rsid w:val="1E562965"/>
    <w:rsid w:val="1E5F0FCE"/>
    <w:rsid w:val="1E672DC4"/>
    <w:rsid w:val="1E684FD8"/>
    <w:rsid w:val="1E6C4C29"/>
    <w:rsid w:val="1E7A43DA"/>
    <w:rsid w:val="1E7E1EBC"/>
    <w:rsid w:val="1E84437D"/>
    <w:rsid w:val="1E877B1F"/>
    <w:rsid w:val="1E877F18"/>
    <w:rsid w:val="1E8A260F"/>
    <w:rsid w:val="1E8A2924"/>
    <w:rsid w:val="1E9777B7"/>
    <w:rsid w:val="1E9A5885"/>
    <w:rsid w:val="1E9B0CC0"/>
    <w:rsid w:val="1E9D0594"/>
    <w:rsid w:val="1EA64CFD"/>
    <w:rsid w:val="1EA90C2A"/>
    <w:rsid w:val="1EAC7590"/>
    <w:rsid w:val="1EBD697F"/>
    <w:rsid w:val="1EC57AEB"/>
    <w:rsid w:val="1ED12D11"/>
    <w:rsid w:val="1ED44095"/>
    <w:rsid w:val="1EDB6F11"/>
    <w:rsid w:val="1EE12B77"/>
    <w:rsid w:val="1EEB54F0"/>
    <w:rsid w:val="1EEC5078"/>
    <w:rsid w:val="1EEF4690"/>
    <w:rsid w:val="1EF36406"/>
    <w:rsid w:val="1EF53F2C"/>
    <w:rsid w:val="1EF978A2"/>
    <w:rsid w:val="1F02489B"/>
    <w:rsid w:val="1F085529"/>
    <w:rsid w:val="1F0A2048"/>
    <w:rsid w:val="1F0E4FEE"/>
    <w:rsid w:val="1F0F449D"/>
    <w:rsid w:val="1F1619B2"/>
    <w:rsid w:val="1F170346"/>
    <w:rsid w:val="1F187EDF"/>
    <w:rsid w:val="1F2465AE"/>
    <w:rsid w:val="1F2D7B6A"/>
    <w:rsid w:val="1F330F4D"/>
    <w:rsid w:val="1F3E1D77"/>
    <w:rsid w:val="1F46583D"/>
    <w:rsid w:val="1F4849A4"/>
    <w:rsid w:val="1F571AC8"/>
    <w:rsid w:val="1F5C21FD"/>
    <w:rsid w:val="1F685654"/>
    <w:rsid w:val="1F6B7C4E"/>
    <w:rsid w:val="1F792DAF"/>
    <w:rsid w:val="1F795424"/>
    <w:rsid w:val="1F7A69D1"/>
    <w:rsid w:val="1F7E2174"/>
    <w:rsid w:val="1F8D353F"/>
    <w:rsid w:val="1F9062AF"/>
    <w:rsid w:val="1F9279CD"/>
    <w:rsid w:val="1F962B2D"/>
    <w:rsid w:val="1F9D0539"/>
    <w:rsid w:val="1F9D285E"/>
    <w:rsid w:val="1FA07D0B"/>
    <w:rsid w:val="1FA7278D"/>
    <w:rsid w:val="1FA871F0"/>
    <w:rsid w:val="1FC013F4"/>
    <w:rsid w:val="1FC4521F"/>
    <w:rsid w:val="1FD75777"/>
    <w:rsid w:val="1FE7539E"/>
    <w:rsid w:val="1FE975A9"/>
    <w:rsid w:val="1FEE40BC"/>
    <w:rsid w:val="1FF974A8"/>
    <w:rsid w:val="1FFA547F"/>
    <w:rsid w:val="20001313"/>
    <w:rsid w:val="200037BB"/>
    <w:rsid w:val="2010073A"/>
    <w:rsid w:val="20124FB2"/>
    <w:rsid w:val="20140D2A"/>
    <w:rsid w:val="201725C8"/>
    <w:rsid w:val="201B6D20"/>
    <w:rsid w:val="20234669"/>
    <w:rsid w:val="20295353"/>
    <w:rsid w:val="203776EA"/>
    <w:rsid w:val="203C5B8B"/>
    <w:rsid w:val="20401B1F"/>
    <w:rsid w:val="20457135"/>
    <w:rsid w:val="204D0FBB"/>
    <w:rsid w:val="204F6757"/>
    <w:rsid w:val="2059498F"/>
    <w:rsid w:val="20610069"/>
    <w:rsid w:val="206122BB"/>
    <w:rsid w:val="20616645"/>
    <w:rsid w:val="20671BE0"/>
    <w:rsid w:val="20684BD2"/>
    <w:rsid w:val="206C021E"/>
    <w:rsid w:val="206C71EB"/>
    <w:rsid w:val="20713A86"/>
    <w:rsid w:val="20874571"/>
    <w:rsid w:val="20887022"/>
    <w:rsid w:val="208A783B"/>
    <w:rsid w:val="208C67A6"/>
    <w:rsid w:val="20963CB8"/>
    <w:rsid w:val="20A81A1B"/>
    <w:rsid w:val="20B07FB6"/>
    <w:rsid w:val="20B45CCE"/>
    <w:rsid w:val="20B54B1F"/>
    <w:rsid w:val="20B646FB"/>
    <w:rsid w:val="20B82E30"/>
    <w:rsid w:val="20BA367F"/>
    <w:rsid w:val="20C07B2F"/>
    <w:rsid w:val="20C359E2"/>
    <w:rsid w:val="20C95997"/>
    <w:rsid w:val="20D64CDB"/>
    <w:rsid w:val="20DE6C42"/>
    <w:rsid w:val="20E36EBF"/>
    <w:rsid w:val="20E72783"/>
    <w:rsid w:val="21050366"/>
    <w:rsid w:val="21093CBF"/>
    <w:rsid w:val="210960E9"/>
    <w:rsid w:val="210E7527"/>
    <w:rsid w:val="21111C4B"/>
    <w:rsid w:val="211342B5"/>
    <w:rsid w:val="211500C0"/>
    <w:rsid w:val="21184066"/>
    <w:rsid w:val="211865F8"/>
    <w:rsid w:val="211D3C0E"/>
    <w:rsid w:val="211D4EA9"/>
    <w:rsid w:val="212705E9"/>
    <w:rsid w:val="21367194"/>
    <w:rsid w:val="21390536"/>
    <w:rsid w:val="213B4094"/>
    <w:rsid w:val="213B74B1"/>
    <w:rsid w:val="213E26BF"/>
    <w:rsid w:val="214132B4"/>
    <w:rsid w:val="21454006"/>
    <w:rsid w:val="214763E1"/>
    <w:rsid w:val="21495042"/>
    <w:rsid w:val="214B2529"/>
    <w:rsid w:val="214D2C2A"/>
    <w:rsid w:val="214E541A"/>
    <w:rsid w:val="2154271C"/>
    <w:rsid w:val="215A2310"/>
    <w:rsid w:val="2169159B"/>
    <w:rsid w:val="216A7BF4"/>
    <w:rsid w:val="216F7104"/>
    <w:rsid w:val="217F6677"/>
    <w:rsid w:val="21823A71"/>
    <w:rsid w:val="21881CE4"/>
    <w:rsid w:val="218B0FF8"/>
    <w:rsid w:val="219263AA"/>
    <w:rsid w:val="219414EF"/>
    <w:rsid w:val="219A0E61"/>
    <w:rsid w:val="219A26B1"/>
    <w:rsid w:val="219E122C"/>
    <w:rsid w:val="21A366C3"/>
    <w:rsid w:val="21A60F63"/>
    <w:rsid w:val="21A8172A"/>
    <w:rsid w:val="21AE4866"/>
    <w:rsid w:val="21BA320B"/>
    <w:rsid w:val="21BC328E"/>
    <w:rsid w:val="21C77C1C"/>
    <w:rsid w:val="21D20555"/>
    <w:rsid w:val="21D77ACB"/>
    <w:rsid w:val="21DA4645"/>
    <w:rsid w:val="21DE318A"/>
    <w:rsid w:val="21E035E5"/>
    <w:rsid w:val="21E27009"/>
    <w:rsid w:val="21E90987"/>
    <w:rsid w:val="21EB1E39"/>
    <w:rsid w:val="21EB7868"/>
    <w:rsid w:val="21EF5B80"/>
    <w:rsid w:val="21FE57EE"/>
    <w:rsid w:val="220646A2"/>
    <w:rsid w:val="220F79FB"/>
    <w:rsid w:val="22122EB9"/>
    <w:rsid w:val="22166FE2"/>
    <w:rsid w:val="221E19EC"/>
    <w:rsid w:val="22213649"/>
    <w:rsid w:val="2226386E"/>
    <w:rsid w:val="222A69B5"/>
    <w:rsid w:val="222D60D3"/>
    <w:rsid w:val="222F1E4B"/>
    <w:rsid w:val="22394A78"/>
    <w:rsid w:val="223C00C4"/>
    <w:rsid w:val="22412CD8"/>
    <w:rsid w:val="224B4782"/>
    <w:rsid w:val="225673D8"/>
    <w:rsid w:val="22576990"/>
    <w:rsid w:val="2266366D"/>
    <w:rsid w:val="226B5BDC"/>
    <w:rsid w:val="22766754"/>
    <w:rsid w:val="227E2FBE"/>
    <w:rsid w:val="227F5D8D"/>
    <w:rsid w:val="228837C6"/>
    <w:rsid w:val="228F5D58"/>
    <w:rsid w:val="22947F00"/>
    <w:rsid w:val="22987E08"/>
    <w:rsid w:val="22993C09"/>
    <w:rsid w:val="22995516"/>
    <w:rsid w:val="22B45E4A"/>
    <w:rsid w:val="22BC05F6"/>
    <w:rsid w:val="22C81958"/>
    <w:rsid w:val="22C92D38"/>
    <w:rsid w:val="22D13B98"/>
    <w:rsid w:val="22E06CA1"/>
    <w:rsid w:val="22EF758C"/>
    <w:rsid w:val="22F17100"/>
    <w:rsid w:val="22F47480"/>
    <w:rsid w:val="23005595"/>
    <w:rsid w:val="23030608"/>
    <w:rsid w:val="230E380E"/>
    <w:rsid w:val="2310199F"/>
    <w:rsid w:val="231150AD"/>
    <w:rsid w:val="231F5A1C"/>
    <w:rsid w:val="232020E2"/>
    <w:rsid w:val="23247804"/>
    <w:rsid w:val="23251A24"/>
    <w:rsid w:val="233139A1"/>
    <w:rsid w:val="23316A0E"/>
    <w:rsid w:val="23333275"/>
    <w:rsid w:val="23372ABA"/>
    <w:rsid w:val="234622E9"/>
    <w:rsid w:val="234807BB"/>
    <w:rsid w:val="234B77EF"/>
    <w:rsid w:val="235276C2"/>
    <w:rsid w:val="23571659"/>
    <w:rsid w:val="23583337"/>
    <w:rsid w:val="23586C07"/>
    <w:rsid w:val="2366014B"/>
    <w:rsid w:val="236926A3"/>
    <w:rsid w:val="236B2A0F"/>
    <w:rsid w:val="236E1993"/>
    <w:rsid w:val="23751ADF"/>
    <w:rsid w:val="23762F81"/>
    <w:rsid w:val="23783BD5"/>
    <w:rsid w:val="237C0036"/>
    <w:rsid w:val="237D467F"/>
    <w:rsid w:val="238765DB"/>
    <w:rsid w:val="238D5095"/>
    <w:rsid w:val="2393640A"/>
    <w:rsid w:val="23990716"/>
    <w:rsid w:val="239C249C"/>
    <w:rsid w:val="239F2A46"/>
    <w:rsid w:val="23BA5744"/>
    <w:rsid w:val="23BB0836"/>
    <w:rsid w:val="23BF3699"/>
    <w:rsid w:val="23C6058D"/>
    <w:rsid w:val="23C67733"/>
    <w:rsid w:val="23C67966"/>
    <w:rsid w:val="23D06D16"/>
    <w:rsid w:val="23DE1C48"/>
    <w:rsid w:val="23E03EDA"/>
    <w:rsid w:val="23F0750B"/>
    <w:rsid w:val="23F30F93"/>
    <w:rsid w:val="23F91733"/>
    <w:rsid w:val="240210CD"/>
    <w:rsid w:val="24082994"/>
    <w:rsid w:val="240A66CC"/>
    <w:rsid w:val="240D04BE"/>
    <w:rsid w:val="24197489"/>
    <w:rsid w:val="241A0B5A"/>
    <w:rsid w:val="241F49D8"/>
    <w:rsid w:val="243035A3"/>
    <w:rsid w:val="24305262"/>
    <w:rsid w:val="2436373F"/>
    <w:rsid w:val="243738F5"/>
    <w:rsid w:val="24457704"/>
    <w:rsid w:val="244905A6"/>
    <w:rsid w:val="244B0A68"/>
    <w:rsid w:val="244D325D"/>
    <w:rsid w:val="245A4A6F"/>
    <w:rsid w:val="245B34A0"/>
    <w:rsid w:val="24633790"/>
    <w:rsid w:val="246667DD"/>
    <w:rsid w:val="246833F2"/>
    <w:rsid w:val="246851A0"/>
    <w:rsid w:val="246C779E"/>
    <w:rsid w:val="246F652F"/>
    <w:rsid w:val="247663F9"/>
    <w:rsid w:val="247C5F34"/>
    <w:rsid w:val="247D7766"/>
    <w:rsid w:val="247E49C4"/>
    <w:rsid w:val="247F06C6"/>
    <w:rsid w:val="249416FA"/>
    <w:rsid w:val="24A8352F"/>
    <w:rsid w:val="24A94D22"/>
    <w:rsid w:val="24B04941"/>
    <w:rsid w:val="24B10674"/>
    <w:rsid w:val="24B76505"/>
    <w:rsid w:val="24B92351"/>
    <w:rsid w:val="24BC54EC"/>
    <w:rsid w:val="24BE3012"/>
    <w:rsid w:val="24BF09F7"/>
    <w:rsid w:val="24C9402C"/>
    <w:rsid w:val="24CA19B7"/>
    <w:rsid w:val="24CF0BF2"/>
    <w:rsid w:val="24D14AE9"/>
    <w:rsid w:val="24D942F0"/>
    <w:rsid w:val="24DB42D2"/>
    <w:rsid w:val="24E255FC"/>
    <w:rsid w:val="24E62FB7"/>
    <w:rsid w:val="24E862E1"/>
    <w:rsid w:val="24F00231"/>
    <w:rsid w:val="24F028B0"/>
    <w:rsid w:val="24F24959"/>
    <w:rsid w:val="24FD0D5F"/>
    <w:rsid w:val="25001B3E"/>
    <w:rsid w:val="25051822"/>
    <w:rsid w:val="25081889"/>
    <w:rsid w:val="250A28F7"/>
    <w:rsid w:val="250C3343"/>
    <w:rsid w:val="250D7AF6"/>
    <w:rsid w:val="25116F24"/>
    <w:rsid w:val="251915B4"/>
    <w:rsid w:val="252202D5"/>
    <w:rsid w:val="252D53FE"/>
    <w:rsid w:val="25313464"/>
    <w:rsid w:val="25331C52"/>
    <w:rsid w:val="25357778"/>
    <w:rsid w:val="25372B92"/>
    <w:rsid w:val="25401C79"/>
    <w:rsid w:val="25561711"/>
    <w:rsid w:val="25563D6F"/>
    <w:rsid w:val="255716E8"/>
    <w:rsid w:val="255C04C8"/>
    <w:rsid w:val="255F69BB"/>
    <w:rsid w:val="2560231B"/>
    <w:rsid w:val="25677D1E"/>
    <w:rsid w:val="257162D7"/>
    <w:rsid w:val="257F3212"/>
    <w:rsid w:val="25826736"/>
    <w:rsid w:val="258506D6"/>
    <w:rsid w:val="25864DD9"/>
    <w:rsid w:val="25875AFA"/>
    <w:rsid w:val="25877835"/>
    <w:rsid w:val="25911DEA"/>
    <w:rsid w:val="259326F1"/>
    <w:rsid w:val="25A42208"/>
    <w:rsid w:val="25A6248E"/>
    <w:rsid w:val="25A73452"/>
    <w:rsid w:val="25A97AD1"/>
    <w:rsid w:val="25B335DB"/>
    <w:rsid w:val="25CA1E00"/>
    <w:rsid w:val="25D0724F"/>
    <w:rsid w:val="25DD571A"/>
    <w:rsid w:val="25E03591"/>
    <w:rsid w:val="25E971BF"/>
    <w:rsid w:val="25EA63F3"/>
    <w:rsid w:val="25EC2D81"/>
    <w:rsid w:val="25FC0808"/>
    <w:rsid w:val="25FD5DBC"/>
    <w:rsid w:val="2601304C"/>
    <w:rsid w:val="26025181"/>
    <w:rsid w:val="2609527B"/>
    <w:rsid w:val="260D6097"/>
    <w:rsid w:val="26215F4F"/>
    <w:rsid w:val="263A2B6C"/>
    <w:rsid w:val="263B69FA"/>
    <w:rsid w:val="263C4B36"/>
    <w:rsid w:val="26404627"/>
    <w:rsid w:val="264826C0"/>
    <w:rsid w:val="264C4BA7"/>
    <w:rsid w:val="26532FE2"/>
    <w:rsid w:val="26540AE7"/>
    <w:rsid w:val="265754CC"/>
    <w:rsid w:val="265B47D4"/>
    <w:rsid w:val="266D06B9"/>
    <w:rsid w:val="266D2F7E"/>
    <w:rsid w:val="266E0B2A"/>
    <w:rsid w:val="266F2816"/>
    <w:rsid w:val="267047E0"/>
    <w:rsid w:val="2675485C"/>
    <w:rsid w:val="26797B39"/>
    <w:rsid w:val="267F4FC0"/>
    <w:rsid w:val="26846E94"/>
    <w:rsid w:val="2686319B"/>
    <w:rsid w:val="268B0BB7"/>
    <w:rsid w:val="269009DE"/>
    <w:rsid w:val="269F17B1"/>
    <w:rsid w:val="269F34E6"/>
    <w:rsid w:val="26A76454"/>
    <w:rsid w:val="26AE4C96"/>
    <w:rsid w:val="26B1141E"/>
    <w:rsid w:val="26B31FC7"/>
    <w:rsid w:val="26B327DC"/>
    <w:rsid w:val="26B41329"/>
    <w:rsid w:val="26BB5BFD"/>
    <w:rsid w:val="26BB6D51"/>
    <w:rsid w:val="26C012C4"/>
    <w:rsid w:val="26C2328E"/>
    <w:rsid w:val="26C60546"/>
    <w:rsid w:val="26D31163"/>
    <w:rsid w:val="26DF75F2"/>
    <w:rsid w:val="26E154C3"/>
    <w:rsid w:val="26E92E48"/>
    <w:rsid w:val="26ED5E31"/>
    <w:rsid w:val="26F34351"/>
    <w:rsid w:val="26FE2A24"/>
    <w:rsid w:val="26FF1CFF"/>
    <w:rsid w:val="27096BC8"/>
    <w:rsid w:val="270C6E8C"/>
    <w:rsid w:val="270E21F0"/>
    <w:rsid w:val="271A37C6"/>
    <w:rsid w:val="271C6350"/>
    <w:rsid w:val="2724208F"/>
    <w:rsid w:val="27277595"/>
    <w:rsid w:val="27281EA0"/>
    <w:rsid w:val="27286E69"/>
    <w:rsid w:val="272A5F01"/>
    <w:rsid w:val="27337CE7"/>
    <w:rsid w:val="273870AC"/>
    <w:rsid w:val="274579CB"/>
    <w:rsid w:val="274C2B57"/>
    <w:rsid w:val="274F0899"/>
    <w:rsid w:val="2758774E"/>
    <w:rsid w:val="275E49DE"/>
    <w:rsid w:val="276205CD"/>
    <w:rsid w:val="27646FFE"/>
    <w:rsid w:val="277057A2"/>
    <w:rsid w:val="27714BB6"/>
    <w:rsid w:val="277B6EE9"/>
    <w:rsid w:val="277F1B6C"/>
    <w:rsid w:val="277F2F2D"/>
    <w:rsid w:val="27800622"/>
    <w:rsid w:val="27806CA5"/>
    <w:rsid w:val="27952750"/>
    <w:rsid w:val="27976A24"/>
    <w:rsid w:val="27A04BA3"/>
    <w:rsid w:val="27A72484"/>
    <w:rsid w:val="27B01338"/>
    <w:rsid w:val="27B1193F"/>
    <w:rsid w:val="27BA0354"/>
    <w:rsid w:val="27BE2138"/>
    <w:rsid w:val="27C6574F"/>
    <w:rsid w:val="27D01156"/>
    <w:rsid w:val="27D56FF1"/>
    <w:rsid w:val="27E11DEE"/>
    <w:rsid w:val="27E57F20"/>
    <w:rsid w:val="27E9484A"/>
    <w:rsid w:val="280129CF"/>
    <w:rsid w:val="280233D9"/>
    <w:rsid w:val="280478D6"/>
    <w:rsid w:val="28090E99"/>
    <w:rsid w:val="280B47C0"/>
    <w:rsid w:val="280C6C83"/>
    <w:rsid w:val="281776AA"/>
    <w:rsid w:val="28326CD0"/>
    <w:rsid w:val="283C3A32"/>
    <w:rsid w:val="284101E2"/>
    <w:rsid w:val="284303FE"/>
    <w:rsid w:val="284C59E2"/>
    <w:rsid w:val="285717B4"/>
    <w:rsid w:val="28610884"/>
    <w:rsid w:val="28610A82"/>
    <w:rsid w:val="28717098"/>
    <w:rsid w:val="28720808"/>
    <w:rsid w:val="287B0E37"/>
    <w:rsid w:val="287C56BE"/>
    <w:rsid w:val="287D5077"/>
    <w:rsid w:val="288527C5"/>
    <w:rsid w:val="2886442D"/>
    <w:rsid w:val="288C6E9D"/>
    <w:rsid w:val="28924EE2"/>
    <w:rsid w:val="28935284"/>
    <w:rsid w:val="289E7362"/>
    <w:rsid w:val="28A6098D"/>
    <w:rsid w:val="28A644E9"/>
    <w:rsid w:val="28B83681"/>
    <w:rsid w:val="28BB4EF5"/>
    <w:rsid w:val="28C055AB"/>
    <w:rsid w:val="28C66939"/>
    <w:rsid w:val="28CB6C55"/>
    <w:rsid w:val="28CE5001"/>
    <w:rsid w:val="28D472A8"/>
    <w:rsid w:val="28D960C2"/>
    <w:rsid w:val="28DC4213"/>
    <w:rsid w:val="28EA087A"/>
    <w:rsid w:val="28EB2E0F"/>
    <w:rsid w:val="28EC2844"/>
    <w:rsid w:val="28F61247"/>
    <w:rsid w:val="28FC235B"/>
    <w:rsid w:val="290D629E"/>
    <w:rsid w:val="291C35CD"/>
    <w:rsid w:val="291F3237"/>
    <w:rsid w:val="29206EB8"/>
    <w:rsid w:val="29252C4F"/>
    <w:rsid w:val="292545CE"/>
    <w:rsid w:val="29274B33"/>
    <w:rsid w:val="29296E0F"/>
    <w:rsid w:val="29326B29"/>
    <w:rsid w:val="293C1C94"/>
    <w:rsid w:val="293E4DD5"/>
    <w:rsid w:val="2940049A"/>
    <w:rsid w:val="29424EDD"/>
    <w:rsid w:val="294C32E2"/>
    <w:rsid w:val="29512C4D"/>
    <w:rsid w:val="29595666"/>
    <w:rsid w:val="295E3016"/>
    <w:rsid w:val="29604F09"/>
    <w:rsid w:val="29657F00"/>
    <w:rsid w:val="296879F1"/>
    <w:rsid w:val="296A2F8F"/>
    <w:rsid w:val="296D5418"/>
    <w:rsid w:val="29874881"/>
    <w:rsid w:val="29891E41"/>
    <w:rsid w:val="298F4F7D"/>
    <w:rsid w:val="299145F2"/>
    <w:rsid w:val="29A9681D"/>
    <w:rsid w:val="29AF73CD"/>
    <w:rsid w:val="29B01516"/>
    <w:rsid w:val="29C015DB"/>
    <w:rsid w:val="29C16846"/>
    <w:rsid w:val="29C94B05"/>
    <w:rsid w:val="29CF373F"/>
    <w:rsid w:val="29D05CC2"/>
    <w:rsid w:val="29D3130E"/>
    <w:rsid w:val="29DF5F05"/>
    <w:rsid w:val="29E325E0"/>
    <w:rsid w:val="29EB448F"/>
    <w:rsid w:val="29F63549"/>
    <w:rsid w:val="29FF0355"/>
    <w:rsid w:val="29FF45FD"/>
    <w:rsid w:val="2A0B6CFA"/>
    <w:rsid w:val="2A0E13C2"/>
    <w:rsid w:val="2A133E00"/>
    <w:rsid w:val="2A1A6F3D"/>
    <w:rsid w:val="2A1D75DB"/>
    <w:rsid w:val="2A1E3DA8"/>
    <w:rsid w:val="2A20206A"/>
    <w:rsid w:val="2A21310B"/>
    <w:rsid w:val="2A3545E5"/>
    <w:rsid w:val="2A375D41"/>
    <w:rsid w:val="2A452503"/>
    <w:rsid w:val="2A4A1403"/>
    <w:rsid w:val="2A5410C2"/>
    <w:rsid w:val="2A5561C7"/>
    <w:rsid w:val="2A567824"/>
    <w:rsid w:val="2A5F2BA2"/>
    <w:rsid w:val="2A5F7045"/>
    <w:rsid w:val="2A704DAF"/>
    <w:rsid w:val="2A7C7BF7"/>
    <w:rsid w:val="2A7E3F8D"/>
    <w:rsid w:val="2A88659C"/>
    <w:rsid w:val="2A8B7E3A"/>
    <w:rsid w:val="2A924D25"/>
    <w:rsid w:val="2AB33301"/>
    <w:rsid w:val="2AC35EDE"/>
    <w:rsid w:val="2AC450FA"/>
    <w:rsid w:val="2AD24543"/>
    <w:rsid w:val="2AD27817"/>
    <w:rsid w:val="2AED1993"/>
    <w:rsid w:val="2AED7A0A"/>
    <w:rsid w:val="2AEF3F25"/>
    <w:rsid w:val="2AF14141"/>
    <w:rsid w:val="2AF75572"/>
    <w:rsid w:val="2AFA0B1C"/>
    <w:rsid w:val="2B076E3A"/>
    <w:rsid w:val="2B1971F4"/>
    <w:rsid w:val="2B1C0A93"/>
    <w:rsid w:val="2B221E6C"/>
    <w:rsid w:val="2B2303E8"/>
    <w:rsid w:val="2B25203D"/>
    <w:rsid w:val="2B253DEB"/>
    <w:rsid w:val="2B27797B"/>
    <w:rsid w:val="2B2A651C"/>
    <w:rsid w:val="2B312790"/>
    <w:rsid w:val="2B397FA6"/>
    <w:rsid w:val="2B3F52DE"/>
    <w:rsid w:val="2B473D61"/>
    <w:rsid w:val="2B6A15D7"/>
    <w:rsid w:val="2B724D12"/>
    <w:rsid w:val="2B7B3BF7"/>
    <w:rsid w:val="2B7F627A"/>
    <w:rsid w:val="2B820CF7"/>
    <w:rsid w:val="2B8B28D0"/>
    <w:rsid w:val="2B942342"/>
    <w:rsid w:val="2B9B797F"/>
    <w:rsid w:val="2B9D1BD3"/>
    <w:rsid w:val="2BA20995"/>
    <w:rsid w:val="2BA936A8"/>
    <w:rsid w:val="2BD11C89"/>
    <w:rsid w:val="2BD7360E"/>
    <w:rsid w:val="2BDB094E"/>
    <w:rsid w:val="2BDC6687"/>
    <w:rsid w:val="2BDD3CD0"/>
    <w:rsid w:val="2BE1439A"/>
    <w:rsid w:val="2BED2CF3"/>
    <w:rsid w:val="2BED485C"/>
    <w:rsid w:val="2BF266E8"/>
    <w:rsid w:val="2BFD2672"/>
    <w:rsid w:val="2C091017"/>
    <w:rsid w:val="2C0C0B07"/>
    <w:rsid w:val="2C1874AC"/>
    <w:rsid w:val="2C1A1476"/>
    <w:rsid w:val="2C1F1194"/>
    <w:rsid w:val="2C2F2F56"/>
    <w:rsid w:val="2C2F7413"/>
    <w:rsid w:val="2C315A5A"/>
    <w:rsid w:val="2C315C21"/>
    <w:rsid w:val="2C3B1B1B"/>
    <w:rsid w:val="2C484235"/>
    <w:rsid w:val="2C4A286E"/>
    <w:rsid w:val="2C4B1C25"/>
    <w:rsid w:val="2C4C35F9"/>
    <w:rsid w:val="2C4E1120"/>
    <w:rsid w:val="2C791D6E"/>
    <w:rsid w:val="2C806CE1"/>
    <w:rsid w:val="2C830781"/>
    <w:rsid w:val="2C855C0D"/>
    <w:rsid w:val="2C874E91"/>
    <w:rsid w:val="2C8A249A"/>
    <w:rsid w:val="2C8F7AA0"/>
    <w:rsid w:val="2C923581"/>
    <w:rsid w:val="2C981250"/>
    <w:rsid w:val="2C9B4E57"/>
    <w:rsid w:val="2CA3146B"/>
    <w:rsid w:val="2CA5221B"/>
    <w:rsid w:val="2CA6291B"/>
    <w:rsid w:val="2CB71DDC"/>
    <w:rsid w:val="2CBD0053"/>
    <w:rsid w:val="2CCA200A"/>
    <w:rsid w:val="2CCB6C14"/>
    <w:rsid w:val="2CD33CBD"/>
    <w:rsid w:val="2CD84677"/>
    <w:rsid w:val="2CDB22EA"/>
    <w:rsid w:val="2CE00E39"/>
    <w:rsid w:val="2CF0766E"/>
    <w:rsid w:val="2CFD26F3"/>
    <w:rsid w:val="2D0A159E"/>
    <w:rsid w:val="2D0A69E2"/>
    <w:rsid w:val="2D104627"/>
    <w:rsid w:val="2D1A6B25"/>
    <w:rsid w:val="2D200D0E"/>
    <w:rsid w:val="2D206164"/>
    <w:rsid w:val="2D2C76B3"/>
    <w:rsid w:val="2D2D637D"/>
    <w:rsid w:val="2D2F0430"/>
    <w:rsid w:val="2D35408E"/>
    <w:rsid w:val="2D3B281A"/>
    <w:rsid w:val="2D3B78F6"/>
    <w:rsid w:val="2D416164"/>
    <w:rsid w:val="2D4769F9"/>
    <w:rsid w:val="2D485B6F"/>
    <w:rsid w:val="2D4A65DC"/>
    <w:rsid w:val="2D550BCF"/>
    <w:rsid w:val="2D5664DE"/>
    <w:rsid w:val="2D5B1D46"/>
    <w:rsid w:val="2D60735C"/>
    <w:rsid w:val="2D793A9D"/>
    <w:rsid w:val="2D843402"/>
    <w:rsid w:val="2D8748E9"/>
    <w:rsid w:val="2D8906A9"/>
    <w:rsid w:val="2D8A43D9"/>
    <w:rsid w:val="2D8A6187"/>
    <w:rsid w:val="2D8C63A3"/>
    <w:rsid w:val="2D8D4EED"/>
    <w:rsid w:val="2D8F5E37"/>
    <w:rsid w:val="2D946C24"/>
    <w:rsid w:val="2D9E56F5"/>
    <w:rsid w:val="2DA72970"/>
    <w:rsid w:val="2DB4611F"/>
    <w:rsid w:val="2DBF208B"/>
    <w:rsid w:val="2DC61BAB"/>
    <w:rsid w:val="2DC647AF"/>
    <w:rsid w:val="2DC72F38"/>
    <w:rsid w:val="2DCA5F66"/>
    <w:rsid w:val="2DE14043"/>
    <w:rsid w:val="2DE232B1"/>
    <w:rsid w:val="2DF575B2"/>
    <w:rsid w:val="2E043991"/>
    <w:rsid w:val="2E05504D"/>
    <w:rsid w:val="2E0903C4"/>
    <w:rsid w:val="2E0C4DEE"/>
    <w:rsid w:val="2E1977D1"/>
    <w:rsid w:val="2E1D7932"/>
    <w:rsid w:val="2E232138"/>
    <w:rsid w:val="2E2465DC"/>
    <w:rsid w:val="2E297C91"/>
    <w:rsid w:val="2E2B796A"/>
    <w:rsid w:val="2E323421"/>
    <w:rsid w:val="2E350E75"/>
    <w:rsid w:val="2E3A7BAD"/>
    <w:rsid w:val="2E3F02E2"/>
    <w:rsid w:val="2E434F2D"/>
    <w:rsid w:val="2E467984"/>
    <w:rsid w:val="2E47051C"/>
    <w:rsid w:val="2E4E18AB"/>
    <w:rsid w:val="2E537AC2"/>
    <w:rsid w:val="2E6504AC"/>
    <w:rsid w:val="2E667F96"/>
    <w:rsid w:val="2E673AEA"/>
    <w:rsid w:val="2E676913"/>
    <w:rsid w:val="2E685538"/>
    <w:rsid w:val="2E685852"/>
    <w:rsid w:val="2E6C3ADF"/>
    <w:rsid w:val="2E756E38"/>
    <w:rsid w:val="2E7A032A"/>
    <w:rsid w:val="2E7C1194"/>
    <w:rsid w:val="2E8226AB"/>
    <w:rsid w:val="2E84600A"/>
    <w:rsid w:val="2E89696E"/>
    <w:rsid w:val="2E8B21B7"/>
    <w:rsid w:val="2E905510"/>
    <w:rsid w:val="2E9B5BAC"/>
    <w:rsid w:val="2E9B72ED"/>
    <w:rsid w:val="2E9D1EEA"/>
    <w:rsid w:val="2EAA673B"/>
    <w:rsid w:val="2EB155AD"/>
    <w:rsid w:val="2EBC6814"/>
    <w:rsid w:val="2ED46B6B"/>
    <w:rsid w:val="2ED5090E"/>
    <w:rsid w:val="2EE144CD"/>
    <w:rsid w:val="2EE23DA1"/>
    <w:rsid w:val="2EE87D3C"/>
    <w:rsid w:val="2EF27B0B"/>
    <w:rsid w:val="2EF506A0"/>
    <w:rsid w:val="2EFC1293"/>
    <w:rsid w:val="2F081A5A"/>
    <w:rsid w:val="2F094C2D"/>
    <w:rsid w:val="2F0957D2"/>
    <w:rsid w:val="2F1033BF"/>
    <w:rsid w:val="2F1877C3"/>
    <w:rsid w:val="2F195A15"/>
    <w:rsid w:val="2F1E0F22"/>
    <w:rsid w:val="2F2266D4"/>
    <w:rsid w:val="2F316D31"/>
    <w:rsid w:val="2F39519C"/>
    <w:rsid w:val="2F432A92"/>
    <w:rsid w:val="2F5A5EBF"/>
    <w:rsid w:val="2F5C7FF7"/>
    <w:rsid w:val="2F662C24"/>
    <w:rsid w:val="2F6634BE"/>
    <w:rsid w:val="2F67197A"/>
    <w:rsid w:val="2F6A001E"/>
    <w:rsid w:val="2F6D5D61"/>
    <w:rsid w:val="2F712906"/>
    <w:rsid w:val="2F804D60"/>
    <w:rsid w:val="2F836C9F"/>
    <w:rsid w:val="2F851645"/>
    <w:rsid w:val="2F8C4439"/>
    <w:rsid w:val="2F8F5CD7"/>
    <w:rsid w:val="2F976F4F"/>
    <w:rsid w:val="2F9A4761"/>
    <w:rsid w:val="2F9E23BE"/>
    <w:rsid w:val="2FA05353"/>
    <w:rsid w:val="2FAB7D1C"/>
    <w:rsid w:val="2FB7522E"/>
    <w:rsid w:val="2FBA37D4"/>
    <w:rsid w:val="2FBB2F70"/>
    <w:rsid w:val="2FBD1E7A"/>
    <w:rsid w:val="2FCF2577"/>
    <w:rsid w:val="2FD0200C"/>
    <w:rsid w:val="2FD065E6"/>
    <w:rsid w:val="2FD96870"/>
    <w:rsid w:val="2FE858FE"/>
    <w:rsid w:val="2FEE2B5B"/>
    <w:rsid w:val="2FEF6912"/>
    <w:rsid w:val="2FFB15BE"/>
    <w:rsid w:val="3005243D"/>
    <w:rsid w:val="3010717A"/>
    <w:rsid w:val="30111805"/>
    <w:rsid w:val="301138A8"/>
    <w:rsid w:val="301E3D42"/>
    <w:rsid w:val="301F59D6"/>
    <w:rsid w:val="30244393"/>
    <w:rsid w:val="30313232"/>
    <w:rsid w:val="303C57F4"/>
    <w:rsid w:val="303D3F10"/>
    <w:rsid w:val="30404B18"/>
    <w:rsid w:val="30425320"/>
    <w:rsid w:val="3047022C"/>
    <w:rsid w:val="304A079B"/>
    <w:rsid w:val="304A1F25"/>
    <w:rsid w:val="304A7B85"/>
    <w:rsid w:val="304B42F4"/>
    <w:rsid w:val="305331A8"/>
    <w:rsid w:val="30556F21"/>
    <w:rsid w:val="30580BC9"/>
    <w:rsid w:val="305E6FED"/>
    <w:rsid w:val="30667F37"/>
    <w:rsid w:val="306E1D90"/>
    <w:rsid w:val="306F6449"/>
    <w:rsid w:val="30705B08"/>
    <w:rsid w:val="30755827"/>
    <w:rsid w:val="307B44AD"/>
    <w:rsid w:val="307B625B"/>
    <w:rsid w:val="30851221"/>
    <w:rsid w:val="3085730B"/>
    <w:rsid w:val="3087754B"/>
    <w:rsid w:val="308B2942"/>
    <w:rsid w:val="309264F6"/>
    <w:rsid w:val="309A3FE2"/>
    <w:rsid w:val="30A040C7"/>
    <w:rsid w:val="30A532D8"/>
    <w:rsid w:val="30A65A08"/>
    <w:rsid w:val="30A6777C"/>
    <w:rsid w:val="30A752A2"/>
    <w:rsid w:val="30AD0B0B"/>
    <w:rsid w:val="30AE7E9B"/>
    <w:rsid w:val="30AF0FFC"/>
    <w:rsid w:val="30BF1DBA"/>
    <w:rsid w:val="30C331EE"/>
    <w:rsid w:val="30C776F3"/>
    <w:rsid w:val="30D065A7"/>
    <w:rsid w:val="30D21853"/>
    <w:rsid w:val="30D96CC6"/>
    <w:rsid w:val="30EB518F"/>
    <w:rsid w:val="30F276FC"/>
    <w:rsid w:val="30FA25AF"/>
    <w:rsid w:val="30FC4936"/>
    <w:rsid w:val="3106353C"/>
    <w:rsid w:val="310653AF"/>
    <w:rsid w:val="3106646D"/>
    <w:rsid w:val="310D77FB"/>
    <w:rsid w:val="310F0857"/>
    <w:rsid w:val="310F09C8"/>
    <w:rsid w:val="311A1F18"/>
    <w:rsid w:val="311E2ED7"/>
    <w:rsid w:val="311E5C61"/>
    <w:rsid w:val="31207F5B"/>
    <w:rsid w:val="3128316B"/>
    <w:rsid w:val="313308E4"/>
    <w:rsid w:val="313A6116"/>
    <w:rsid w:val="313C0F31"/>
    <w:rsid w:val="313E1763"/>
    <w:rsid w:val="31402FF8"/>
    <w:rsid w:val="314045E7"/>
    <w:rsid w:val="314C2805"/>
    <w:rsid w:val="314C343E"/>
    <w:rsid w:val="314F6187"/>
    <w:rsid w:val="315619EE"/>
    <w:rsid w:val="315C449C"/>
    <w:rsid w:val="31723B02"/>
    <w:rsid w:val="31816314"/>
    <w:rsid w:val="31887A70"/>
    <w:rsid w:val="318D0A48"/>
    <w:rsid w:val="318D6246"/>
    <w:rsid w:val="319A0963"/>
    <w:rsid w:val="319A4BC0"/>
    <w:rsid w:val="319B26BD"/>
    <w:rsid w:val="31A16195"/>
    <w:rsid w:val="31A57A34"/>
    <w:rsid w:val="31AA329C"/>
    <w:rsid w:val="31B82709"/>
    <w:rsid w:val="31C14142"/>
    <w:rsid w:val="31CC0B61"/>
    <w:rsid w:val="31CE2772"/>
    <w:rsid w:val="31D05482"/>
    <w:rsid w:val="31D16A7B"/>
    <w:rsid w:val="31D733F1"/>
    <w:rsid w:val="31D7495C"/>
    <w:rsid w:val="31D91F61"/>
    <w:rsid w:val="31DB5204"/>
    <w:rsid w:val="31ED4F37"/>
    <w:rsid w:val="31F167D5"/>
    <w:rsid w:val="31F6480B"/>
    <w:rsid w:val="31F81223"/>
    <w:rsid w:val="3207424B"/>
    <w:rsid w:val="320C6E35"/>
    <w:rsid w:val="32180A50"/>
    <w:rsid w:val="32193F7E"/>
    <w:rsid w:val="321B5F48"/>
    <w:rsid w:val="32230701"/>
    <w:rsid w:val="32245EE2"/>
    <w:rsid w:val="322C754B"/>
    <w:rsid w:val="32327209"/>
    <w:rsid w:val="323C7012"/>
    <w:rsid w:val="32400B34"/>
    <w:rsid w:val="324234D5"/>
    <w:rsid w:val="325870C2"/>
    <w:rsid w:val="325B54C7"/>
    <w:rsid w:val="325B6344"/>
    <w:rsid w:val="32625925"/>
    <w:rsid w:val="32655415"/>
    <w:rsid w:val="32693C07"/>
    <w:rsid w:val="326E2068"/>
    <w:rsid w:val="326F1DF0"/>
    <w:rsid w:val="32877139"/>
    <w:rsid w:val="32964B0B"/>
    <w:rsid w:val="329E4243"/>
    <w:rsid w:val="329E6876"/>
    <w:rsid w:val="329F628A"/>
    <w:rsid w:val="32A93554"/>
    <w:rsid w:val="32AC094E"/>
    <w:rsid w:val="32AC3044"/>
    <w:rsid w:val="32AE46C6"/>
    <w:rsid w:val="32B024C8"/>
    <w:rsid w:val="32B45A53"/>
    <w:rsid w:val="32CA00B4"/>
    <w:rsid w:val="32CF15C1"/>
    <w:rsid w:val="32D57EA5"/>
    <w:rsid w:val="32D81743"/>
    <w:rsid w:val="32D83E39"/>
    <w:rsid w:val="32E05C5D"/>
    <w:rsid w:val="32EC2057"/>
    <w:rsid w:val="32F80037"/>
    <w:rsid w:val="32F9594C"/>
    <w:rsid w:val="32FB3683"/>
    <w:rsid w:val="33060643"/>
    <w:rsid w:val="331A1D5C"/>
    <w:rsid w:val="331D1716"/>
    <w:rsid w:val="331D35FA"/>
    <w:rsid w:val="333015F2"/>
    <w:rsid w:val="33332E1D"/>
    <w:rsid w:val="333C0363"/>
    <w:rsid w:val="333D0859"/>
    <w:rsid w:val="333D0CF3"/>
    <w:rsid w:val="333F17C2"/>
    <w:rsid w:val="33492641"/>
    <w:rsid w:val="334B6320"/>
    <w:rsid w:val="334B63B9"/>
    <w:rsid w:val="335921D0"/>
    <w:rsid w:val="336B6A5B"/>
    <w:rsid w:val="336F654B"/>
    <w:rsid w:val="3371744F"/>
    <w:rsid w:val="33796639"/>
    <w:rsid w:val="33826D7E"/>
    <w:rsid w:val="338B4A07"/>
    <w:rsid w:val="3390201E"/>
    <w:rsid w:val="33916868"/>
    <w:rsid w:val="3392125D"/>
    <w:rsid w:val="339516FA"/>
    <w:rsid w:val="33997124"/>
    <w:rsid w:val="339E302C"/>
    <w:rsid w:val="33AD3D2D"/>
    <w:rsid w:val="33AF52A6"/>
    <w:rsid w:val="33B02D19"/>
    <w:rsid w:val="33B47609"/>
    <w:rsid w:val="33B7001B"/>
    <w:rsid w:val="33B73A4E"/>
    <w:rsid w:val="33CA3782"/>
    <w:rsid w:val="33CC574C"/>
    <w:rsid w:val="33D05619"/>
    <w:rsid w:val="33D73F43"/>
    <w:rsid w:val="33D934D4"/>
    <w:rsid w:val="33DD0209"/>
    <w:rsid w:val="33E323D5"/>
    <w:rsid w:val="33E56ED0"/>
    <w:rsid w:val="33EE1571"/>
    <w:rsid w:val="33F14D68"/>
    <w:rsid w:val="33F6401E"/>
    <w:rsid w:val="33FE2F6A"/>
    <w:rsid w:val="34044519"/>
    <w:rsid w:val="34045DE6"/>
    <w:rsid w:val="340A7BE9"/>
    <w:rsid w:val="340E07E5"/>
    <w:rsid w:val="341113B0"/>
    <w:rsid w:val="34207531"/>
    <w:rsid w:val="34235BF7"/>
    <w:rsid w:val="342B252D"/>
    <w:rsid w:val="342D6720"/>
    <w:rsid w:val="34303482"/>
    <w:rsid w:val="34382EB3"/>
    <w:rsid w:val="343926B5"/>
    <w:rsid w:val="343B41DB"/>
    <w:rsid w:val="343D03F7"/>
    <w:rsid w:val="34403A44"/>
    <w:rsid w:val="344751FE"/>
    <w:rsid w:val="34480B4A"/>
    <w:rsid w:val="34482813"/>
    <w:rsid w:val="3453586F"/>
    <w:rsid w:val="345A5CDB"/>
    <w:rsid w:val="345C291E"/>
    <w:rsid w:val="34690EBE"/>
    <w:rsid w:val="347E663E"/>
    <w:rsid w:val="34853B4C"/>
    <w:rsid w:val="3485514E"/>
    <w:rsid w:val="348802CB"/>
    <w:rsid w:val="34885085"/>
    <w:rsid w:val="348B598D"/>
    <w:rsid w:val="348F22D5"/>
    <w:rsid w:val="348F6870"/>
    <w:rsid w:val="348F76E2"/>
    <w:rsid w:val="34987531"/>
    <w:rsid w:val="349A0118"/>
    <w:rsid w:val="34A55B0D"/>
    <w:rsid w:val="34A92E72"/>
    <w:rsid w:val="34B538C5"/>
    <w:rsid w:val="34BB131C"/>
    <w:rsid w:val="34C75F13"/>
    <w:rsid w:val="34CE47DD"/>
    <w:rsid w:val="34D81ECE"/>
    <w:rsid w:val="34E04C25"/>
    <w:rsid w:val="34E42B42"/>
    <w:rsid w:val="34E50270"/>
    <w:rsid w:val="34E56F2D"/>
    <w:rsid w:val="34EA69EE"/>
    <w:rsid w:val="34F07218"/>
    <w:rsid w:val="34F12F90"/>
    <w:rsid w:val="34F40A52"/>
    <w:rsid w:val="34F62354"/>
    <w:rsid w:val="34FD1935"/>
    <w:rsid w:val="350727B3"/>
    <w:rsid w:val="351A72E4"/>
    <w:rsid w:val="351B0B66"/>
    <w:rsid w:val="35297081"/>
    <w:rsid w:val="352E5F92"/>
    <w:rsid w:val="353C08C6"/>
    <w:rsid w:val="35404AF1"/>
    <w:rsid w:val="35411630"/>
    <w:rsid w:val="35584DBD"/>
    <w:rsid w:val="35586EC5"/>
    <w:rsid w:val="355B4FE9"/>
    <w:rsid w:val="35610671"/>
    <w:rsid w:val="356424EF"/>
    <w:rsid w:val="356814A4"/>
    <w:rsid w:val="3568673A"/>
    <w:rsid w:val="3572263D"/>
    <w:rsid w:val="357C4E30"/>
    <w:rsid w:val="358160C2"/>
    <w:rsid w:val="35850C7A"/>
    <w:rsid w:val="3589578A"/>
    <w:rsid w:val="358C5FA8"/>
    <w:rsid w:val="358D0F0B"/>
    <w:rsid w:val="359A48D5"/>
    <w:rsid w:val="35A71973"/>
    <w:rsid w:val="35A754BC"/>
    <w:rsid w:val="35A90B7E"/>
    <w:rsid w:val="35AD5109"/>
    <w:rsid w:val="35B069A7"/>
    <w:rsid w:val="35B30245"/>
    <w:rsid w:val="35B67BED"/>
    <w:rsid w:val="35B71478"/>
    <w:rsid w:val="35C10BB4"/>
    <w:rsid w:val="35C15DF1"/>
    <w:rsid w:val="35C44201"/>
    <w:rsid w:val="35C6441D"/>
    <w:rsid w:val="35C80866"/>
    <w:rsid w:val="35D07049"/>
    <w:rsid w:val="35DC59EE"/>
    <w:rsid w:val="35DC6905"/>
    <w:rsid w:val="35DD3AAC"/>
    <w:rsid w:val="35EB5C31"/>
    <w:rsid w:val="35FE7C6A"/>
    <w:rsid w:val="36074A7F"/>
    <w:rsid w:val="360C57B3"/>
    <w:rsid w:val="360D22AD"/>
    <w:rsid w:val="36140CE4"/>
    <w:rsid w:val="361C6415"/>
    <w:rsid w:val="361E7704"/>
    <w:rsid w:val="3623039D"/>
    <w:rsid w:val="36245162"/>
    <w:rsid w:val="36251143"/>
    <w:rsid w:val="36274B47"/>
    <w:rsid w:val="36314C07"/>
    <w:rsid w:val="36357F3B"/>
    <w:rsid w:val="36384E4E"/>
    <w:rsid w:val="363F07F8"/>
    <w:rsid w:val="364A6F3B"/>
    <w:rsid w:val="36510BC7"/>
    <w:rsid w:val="36513AA2"/>
    <w:rsid w:val="365410C7"/>
    <w:rsid w:val="36613D32"/>
    <w:rsid w:val="36687282"/>
    <w:rsid w:val="36696099"/>
    <w:rsid w:val="36706838"/>
    <w:rsid w:val="36736147"/>
    <w:rsid w:val="368220F2"/>
    <w:rsid w:val="36923549"/>
    <w:rsid w:val="3692680B"/>
    <w:rsid w:val="36953DAE"/>
    <w:rsid w:val="36A04C6E"/>
    <w:rsid w:val="36A06A1C"/>
    <w:rsid w:val="36A1624D"/>
    <w:rsid w:val="36A3275B"/>
    <w:rsid w:val="36A4475E"/>
    <w:rsid w:val="36AA1648"/>
    <w:rsid w:val="36AC716F"/>
    <w:rsid w:val="36B201AB"/>
    <w:rsid w:val="36B75FBF"/>
    <w:rsid w:val="36B821E5"/>
    <w:rsid w:val="36B9703B"/>
    <w:rsid w:val="36BD0C45"/>
    <w:rsid w:val="36CB2CF1"/>
    <w:rsid w:val="36CC7811"/>
    <w:rsid w:val="36CC7A24"/>
    <w:rsid w:val="36D3294D"/>
    <w:rsid w:val="36E25286"/>
    <w:rsid w:val="36EB2AE7"/>
    <w:rsid w:val="36EE608B"/>
    <w:rsid w:val="36EF3CE3"/>
    <w:rsid w:val="36F7143A"/>
    <w:rsid w:val="36F77EAA"/>
    <w:rsid w:val="36FC747B"/>
    <w:rsid w:val="3709636F"/>
    <w:rsid w:val="370E607B"/>
    <w:rsid w:val="37270EEB"/>
    <w:rsid w:val="372A1F5E"/>
    <w:rsid w:val="37301B33"/>
    <w:rsid w:val="37305FF2"/>
    <w:rsid w:val="37313124"/>
    <w:rsid w:val="374669F7"/>
    <w:rsid w:val="375325B8"/>
    <w:rsid w:val="37597386"/>
    <w:rsid w:val="375B253A"/>
    <w:rsid w:val="375C2EA6"/>
    <w:rsid w:val="375C57D8"/>
    <w:rsid w:val="37621F23"/>
    <w:rsid w:val="376637C1"/>
    <w:rsid w:val="376C72BE"/>
    <w:rsid w:val="37716DD9"/>
    <w:rsid w:val="377415C5"/>
    <w:rsid w:val="37774E31"/>
    <w:rsid w:val="377A0664"/>
    <w:rsid w:val="377D0B0B"/>
    <w:rsid w:val="37824373"/>
    <w:rsid w:val="378C0D4E"/>
    <w:rsid w:val="3793032E"/>
    <w:rsid w:val="37A77DE1"/>
    <w:rsid w:val="37AC319E"/>
    <w:rsid w:val="37AD13F0"/>
    <w:rsid w:val="37B3452D"/>
    <w:rsid w:val="37DF17C6"/>
    <w:rsid w:val="37E00298"/>
    <w:rsid w:val="37E57B6D"/>
    <w:rsid w:val="37EB1F18"/>
    <w:rsid w:val="37ED43AB"/>
    <w:rsid w:val="37F33DFF"/>
    <w:rsid w:val="37FF7772"/>
    <w:rsid w:val="380B1C8B"/>
    <w:rsid w:val="38116401"/>
    <w:rsid w:val="38144B64"/>
    <w:rsid w:val="38155A7C"/>
    <w:rsid w:val="381E409C"/>
    <w:rsid w:val="381F4D0C"/>
    <w:rsid w:val="382B6EA6"/>
    <w:rsid w:val="383438BF"/>
    <w:rsid w:val="383513E6"/>
    <w:rsid w:val="3836482D"/>
    <w:rsid w:val="38451629"/>
    <w:rsid w:val="38494CA3"/>
    <w:rsid w:val="384B5F8D"/>
    <w:rsid w:val="38575800"/>
    <w:rsid w:val="385A2DE0"/>
    <w:rsid w:val="38647580"/>
    <w:rsid w:val="386C231D"/>
    <w:rsid w:val="387158A0"/>
    <w:rsid w:val="387243E8"/>
    <w:rsid w:val="3876050F"/>
    <w:rsid w:val="38776533"/>
    <w:rsid w:val="387D5266"/>
    <w:rsid w:val="387D789B"/>
    <w:rsid w:val="388A6EE8"/>
    <w:rsid w:val="38961E84"/>
    <w:rsid w:val="389B393F"/>
    <w:rsid w:val="389B61C8"/>
    <w:rsid w:val="38A73A87"/>
    <w:rsid w:val="38B302F9"/>
    <w:rsid w:val="38B34E97"/>
    <w:rsid w:val="38BB0670"/>
    <w:rsid w:val="38BD38B5"/>
    <w:rsid w:val="38C05153"/>
    <w:rsid w:val="38D24458"/>
    <w:rsid w:val="38DF490E"/>
    <w:rsid w:val="38E452EF"/>
    <w:rsid w:val="38EB256D"/>
    <w:rsid w:val="38EB7B29"/>
    <w:rsid w:val="38F117B0"/>
    <w:rsid w:val="38F12CD3"/>
    <w:rsid w:val="38F1355F"/>
    <w:rsid w:val="38F22650"/>
    <w:rsid w:val="38F4304F"/>
    <w:rsid w:val="38F94775"/>
    <w:rsid w:val="39006B4A"/>
    <w:rsid w:val="390674B2"/>
    <w:rsid w:val="390C7982"/>
    <w:rsid w:val="390D2E82"/>
    <w:rsid w:val="39113484"/>
    <w:rsid w:val="39114C9B"/>
    <w:rsid w:val="3925145A"/>
    <w:rsid w:val="39253208"/>
    <w:rsid w:val="39272ABA"/>
    <w:rsid w:val="39290BAA"/>
    <w:rsid w:val="392971ED"/>
    <w:rsid w:val="392B0D14"/>
    <w:rsid w:val="39311BAD"/>
    <w:rsid w:val="39325651"/>
    <w:rsid w:val="39337813"/>
    <w:rsid w:val="394308F3"/>
    <w:rsid w:val="394A7994"/>
    <w:rsid w:val="394D3FC3"/>
    <w:rsid w:val="39545CE6"/>
    <w:rsid w:val="395B1E00"/>
    <w:rsid w:val="396C7493"/>
    <w:rsid w:val="396D6CBA"/>
    <w:rsid w:val="39702299"/>
    <w:rsid w:val="39754190"/>
    <w:rsid w:val="397D519A"/>
    <w:rsid w:val="397F6DBC"/>
    <w:rsid w:val="39837CD5"/>
    <w:rsid w:val="398C14D9"/>
    <w:rsid w:val="39951C1D"/>
    <w:rsid w:val="39964C0C"/>
    <w:rsid w:val="39994ADC"/>
    <w:rsid w:val="399D13D2"/>
    <w:rsid w:val="39A900A2"/>
    <w:rsid w:val="39AB5E03"/>
    <w:rsid w:val="39B81C44"/>
    <w:rsid w:val="39BC1DFF"/>
    <w:rsid w:val="39C742BF"/>
    <w:rsid w:val="39C80763"/>
    <w:rsid w:val="39CB3DB0"/>
    <w:rsid w:val="39D92970"/>
    <w:rsid w:val="39DD43A3"/>
    <w:rsid w:val="39E6508D"/>
    <w:rsid w:val="39EC027C"/>
    <w:rsid w:val="3A007301"/>
    <w:rsid w:val="3A024A15"/>
    <w:rsid w:val="3A034166"/>
    <w:rsid w:val="3A064154"/>
    <w:rsid w:val="3A27015C"/>
    <w:rsid w:val="3A284D77"/>
    <w:rsid w:val="3A304EEE"/>
    <w:rsid w:val="3A396123"/>
    <w:rsid w:val="3A3A711B"/>
    <w:rsid w:val="3A433954"/>
    <w:rsid w:val="3A443B62"/>
    <w:rsid w:val="3A451DB4"/>
    <w:rsid w:val="3A4F49E1"/>
    <w:rsid w:val="3A5E252F"/>
    <w:rsid w:val="3A6212BF"/>
    <w:rsid w:val="3A647D60"/>
    <w:rsid w:val="3A6A7A6C"/>
    <w:rsid w:val="3A6B097E"/>
    <w:rsid w:val="3A6E4173"/>
    <w:rsid w:val="3A6F56AC"/>
    <w:rsid w:val="3A714A28"/>
    <w:rsid w:val="3A7461F5"/>
    <w:rsid w:val="3A7960FB"/>
    <w:rsid w:val="3A7D5BAB"/>
    <w:rsid w:val="3A865F28"/>
    <w:rsid w:val="3A872856"/>
    <w:rsid w:val="3A896A4E"/>
    <w:rsid w:val="3A8C2FEC"/>
    <w:rsid w:val="3A8D375B"/>
    <w:rsid w:val="3A940645"/>
    <w:rsid w:val="3A973EF6"/>
    <w:rsid w:val="3A9A3BD3"/>
    <w:rsid w:val="3A9B5E78"/>
    <w:rsid w:val="3AA7481D"/>
    <w:rsid w:val="3AAE277B"/>
    <w:rsid w:val="3ABE56C2"/>
    <w:rsid w:val="3AEE2E9C"/>
    <w:rsid w:val="3AF17846"/>
    <w:rsid w:val="3AFF6974"/>
    <w:rsid w:val="3B005CDB"/>
    <w:rsid w:val="3B023801"/>
    <w:rsid w:val="3B024B1C"/>
    <w:rsid w:val="3B0932AE"/>
    <w:rsid w:val="3B0A5E7F"/>
    <w:rsid w:val="3B0A6B5A"/>
    <w:rsid w:val="3B0E1700"/>
    <w:rsid w:val="3B1A26FC"/>
    <w:rsid w:val="3B2D2D5F"/>
    <w:rsid w:val="3B323BFB"/>
    <w:rsid w:val="3B345984"/>
    <w:rsid w:val="3B3763D1"/>
    <w:rsid w:val="3B3F175B"/>
    <w:rsid w:val="3B44206B"/>
    <w:rsid w:val="3B456B9B"/>
    <w:rsid w:val="3B4B3061"/>
    <w:rsid w:val="3B506C62"/>
    <w:rsid w:val="3B530501"/>
    <w:rsid w:val="3B6B584A"/>
    <w:rsid w:val="3B6B6EF6"/>
    <w:rsid w:val="3B70502D"/>
    <w:rsid w:val="3B735B61"/>
    <w:rsid w:val="3B802FC5"/>
    <w:rsid w:val="3B996735"/>
    <w:rsid w:val="3B9B4507"/>
    <w:rsid w:val="3BA40D5C"/>
    <w:rsid w:val="3BB51B6F"/>
    <w:rsid w:val="3BB52F69"/>
    <w:rsid w:val="3BBB1019"/>
    <w:rsid w:val="3BBC42F8"/>
    <w:rsid w:val="3BC82C9D"/>
    <w:rsid w:val="3BDD229D"/>
    <w:rsid w:val="3BE13D5E"/>
    <w:rsid w:val="3BE66A30"/>
    <w:rsid w:val="3BF025A7"/>
    <w:rsid w:val="3BF52EC4"/>
    <w:rsid w:val="3BFA4E20"/>
    <w:rsid w:val="3BFE66BE"/>
    <w:rsid w:val="3C011D0B"/>
    <w:rsid w:val="3C026502"/>
    <w:rsid w:val="3C027831"/>
    <w:rsid w:val="3C083348"/>
    <w:rsid w:val="3C101F4E"/>
    <w:rsid w:val="3C235333"/>
    <w:rsid w:val="3C2F6E1E"/>
    <w:rsid w:val="3C33495D"/>
    <w:rsid w:val="3C3A5E97"/>
    <w:rsid w:val="3C425B44"/>
    <w:rsid w:val="3C432323"/>
    <w:rsid w:val="3C434BCC"/>
    <w:rsid w:val="3C44609B"/>
    <w:rsid w:val="3C48774D"/>
    <w:rsid w:val="3C4B11D8"/>
    <w:rsid w:val="3C4F64BA"/>
    <w:rsid w:val="3C6923A5"/>
    <w:rsid w:val="3C6D3B52"/>
    <w:rsid w:val="3C77021F"/>
    <w:rsid w:val="3C7A0C19"/>
    <w:rsid w:val="3C806CE1"/>
    <w:rsid w:val="3C830972"/>
    <w:rsid w:val="3C8A61A4"/>
    <w:rsid w:val="3C8B7826"/>
    <w:rsid w:val="3C974C1B"/>
    <w:rsid w:val="3C990195"/>
    <w:rsid w:val="3CA37533"/>
    <w:rsid w:val="3CA478BD"/>
    <w:rsid w:val="3CB86567"/>
    <w:rsid w:val="3CBE05CE"/>
    <w:rsid w:val="3CD60FE6"/>
    <w:rsid w:val="3CDA245A"/>
    <w:rsid w:val="3CDE3DFA"/>
    <w:rsid w:val="3CE20F25"/>
    <w:rsid w:val="3CE533DA"/>
    <w:rsid w:val="3CE85EE2"/>
    <w:rsid w:val="3CE968BC"/>
    <w:rsid w:val="3CEC29BB"/>
    <w:rsid w:val="3CEE381C"/>
    <w:rsid w:val="3CF4361D"/>
    <w:rsid w:val="3D031AB2"/>
    <w:rsid w:val="3D0C3EBB"/>
    <w:rsid w:val="3D0E7876"/>
    <w:rsid w:val="3D137F1D"/>
    <w:rsid w:val="3D1D7372"/>
    <w:rsid w:val="3D1E06B7"/>
    <w:rsid w:val="3D22018A"/>
    <w:rsid w:val="3D2832C7"/>
    <w:rsid w:val="3D491BBB"/>
    <w:rsid w:val="3D4B56E0"/>
    <w:rsid w:val="3D4E5423"/>
    <w:rsid w:val="3D4F6AA6"/>
    <w:rsid w:val="3D5347E8"/>
    <w:rsid w:val="3D54438C"/>
    <w:rsid w:val="3D597924"/>
    <w:rsid w:val="3D604DFD"/>
    <w:rsid w:val="3D631AF9"/>
    <w:rsid w:val="3D671681"/>
    <w:rsid w:val="3D733273"/>
    <w:rsid w:val="3D780336"/>
    <w:rsid w:val="3D850719"/>
    <w:rsid w:val="3D9848F1"/>
    <w:rsid w:val="3D9C3AD8"/>
    <w:rsid w:val="3DA95910"/>
    <w:rsid w:val="3DB159B2"/>
    <w:rsid w:val="3DD05E38"/>
    <w:rsid w:val="3DD551FD"/>
    <w:rsid w:val="3DD82B08"/>
    <w:rsid w:val="3DE23DBE"/>
    <w:rsid w:val="3DE2791A"/>
    <w:rsid w:val="3DE33263"/>
    <w:rsid w:val="3DED69EA"/>
    <w:rsid w:val="3DF71789"/>
    <w:rsid w:val="3E045AE2"/>
    <w:rsid w:val="3E097385"/>
    <w:rsid w:val="3E0C2828"/>
    <w:rsid w:val="3E0E58E8"/>
    <w:rsid w:val="3E142DAC"/>
    <w:rsid w:val="3E164325"/>
    <w:rsid w:val="3E1750F1"/>
    <w:rsid w:val="3E1C107E"/>
    <w:rsid w:val="3E1D5959"/>
    <w:rsid w:val="3E3357EE"/>
    <w:rsid w:val="3E3F2FBE"/>
    <w:rsid w:val="3E40638D"/>
    <w:rsid w:val="3E475ED5"/>
    <w:rsid w:val="3E516064"/>
    <w:rsid w:val="3E614CE2"/>
    <w:rsid w:val="3E7A2248"/>
    <w:rsid w:val="3E7F160D"/>
    <w:rsid w:val="3E8846DB"/>
    <w:rsid w:val="3E90381A"/>
    <w:rsid w:val="3E9450B8"/>
    <w:rsid w:val="3E9F1A8D"/>
    <w:rsid w:val="3EA3354D"/>
    <w:rsid w:val="3EA573E6"/>
    <w:rsid w:val="3EAB2402"/>
    <w:rsid w:val="3EAD7F28"/>
    <w:rsid w:val="3EAE5A4E"/>
    <w:rsid w:val="3EAF254E"/>
    <w:rsid w:val="3EB23790"/>
    <w:rsid w:val="3EBC6464"/>
    <w:rsid w:val="3EC009AE"/>
    <w:rsid w:val="3ECF4342"/>
    <w:rsid w:val="3ED540DB"/>
    <w:rsid w:val="3EDA0523"/>
    <w:rsid w:val="3EE849DD"/>
    <w:rsid w:val="3EEF4CE9"/>
    <w:rsid w:val="3EFB3825"/>
    <w:rsid w:val="3F0428AC"/>
    <w:rsid w:val="3F0A5829"/>
    <w:rsid w:val="3F0E3A45"/>
    <w:rsid w:val="3F124AFD"/>
    <w:rsid w:val="3F173FB6"/>
    <w:rsid w:val="3F17658B"/>
    <w:rsid w:val="3F221A4C"/>
    <w:rsid w:val="3F2C52F0"/>
    <w:rsid w:val="3F2F1CF1"/>
    <w:rsid w:val="3F312907"/>
    <w:rsid w:val="3F340649"/>
    <w:rsid w:val="3F400D9C"/>
    <w:rsid w:val="3F42434B"/>
    <w:rsid w:val="3F5922C0"/>
    <w:rsid w:val="3F5C3E0C"/>
    <w:rsid w:val="3F65525F"/>
    <w:rsid w:val="3F666E0D"/>
    <w:rsid w:val="3F6835E9"/>
    <w:rsid w:val="3F772EB6"/>
    <w:rsid w:val="3F7B1DD4"/>
    <w:rsid w:val="3F8073EA"/>
    <w:rsid w:val="3F88629F"/>
    <w:rsid w:val="3F8A4E31"/>
    <w:rsid w:val="3F8E7D59"/>
    <w:rsid w:val="3F914B96"/>
    <w:rsid w:val="3F93711E"/>
    <w:rsid w:val="3F9410E8"/>
    <w:rsid w:val="3F9966FE"/>
    <w:rsid w:val="3FA011AF"/>
    <w:rsid w:val="3FB86B84"/>
    <w:rsid w:val="3FBE2C92"/>
    <w:rsid w:val="3FD339BE"/>
    <w:rsid w:val="3FD55988"/>
    <w:rsid w:val="3FD958AF"/>
    <w:rsid w:val="3FE0432D"/>
    <w:rsid w:val="3FE81550"/>
    <w:rsid w:val="3FEB5E51"/>
    <w:rsid w:val="3FEF6007"/>
    <w:rsid w:val="4001677D"/>
    <w:rsid w:val="400D2F72"/>
    <w:rsid w:val="401649D7"/>
    <w:rsid w:val="40204729"/>
    <w:rsid w:val="4029565D"/>
    <w:rsid w:val="40357678"/>
    <w:rsid w:val="403C77B5"/>
    <w:rsid w:val="40512B35"/>
    <w:rsid w:val="405320CB"/>
    <w:rsid w:val="40560C1F"/>
    <w:rsid w:val="405857FB"/>
    <w:rsid w:val="405C03BC"/>
    <w:rsid w:val="406A56F6"/>
    <w:rsid w:val="406B2131"/>
    <w:rsid w:val="40747CE6"/>
    <w:rsid w:val="40773A88"/>
    <w:rsid w:val="407A6407"/>
    <w:rsid w:val="407F5484"/>
    <w:rsid w:val="4082455A"/>
    <w:rsid w:val="40860A30"/>
    <w:rsid w:val="408A49C4"/>
    <w:rsid w:val="408B6047"/>
    <w:rsid w:val="408C3632"/>
    <w:rsid w:val="408D431C"/>
    <w:rsid w:val="408E5B37"/>
    <w:rsid w:val="40955117"/>
    <w:rsid w:val="409A272E"/>
    <w:rsid w:val="40A11D0E"/>
    <w:rsid w:val="40A43C4C"/>
    <w:rsid w:val="40A77710"/>
    <w:rsid w:val="40AB3AED"/>
    <w:rsid w:val="40C81C57"/>
    <w:rsid w:val="40CA3013"/>
    <w:rsid w:val="40D9396C"/>
    <w:rsid w:val="40E02836"/>
    <w:rsid w:val="40E21DBA"/>
    <w:rsid w:val="40E563E2"/>
    <w:rsid w:val="40E60245"/>
    <w:rsid w:val="40F167F2"/>
    <w:rsid w:val="40FE4A6B"/>
    <w:rsid w:val="40FF5BB5"/>
    <w:rsid w:val="4102318A"/>
    <w:rsid w:val="41087697"/>
    <w:rsid w:val="41091445"/>
    <w:rsid w:val="410D20F9"/>
    <w:rsid w:val="411244F2"/>
    <w:rsid w:val="411249BA"/>
    <w:rsid w:val="41211A3B"/>
    <w:rsid w:val="41250249"/>
    <w:rsid w:val="41260DCB"/>
    <w:rsid w:val="41275142"/>
    <w:rsid w:val="41313092"/>
    <w:rsid w:val="41361759"/>
    <w:rsid w:val="413A36FE"/>
    <w:rsid w:val="413B30A4"/>
    <w:rsid w:val="41410DFB"/>
    <w:rsid w:val="41436921"/>
    <w:rsid w:val="41482B30"/>
    <w:rsid w:val="4151103E"/>
    <w:rsid w:val="4157145A"/>
    <w:rsid w:val="41617E53"/>
    <w:rsid w:val="416F0B0F"/>
    <w:rsid w:val="417575B0"/>
    <w:rsid w:val="417672D5"/>
    <w:rsid w:val="417E3DFD"/>
    <w:rsid w:val="417E7959"/>
    <w:rsid w:val="41847C9A"/>
    <w:rsid w:val="418C651A"/>
    <w:rsid w:val="418E5740"/>
    <w:rsid w:val="418F1B67"/>
    <w:rsid w:val="41927BA9"/>
    <w:rsid w:val="419F684B"/>
    <w:rsid w:val="41A2066F"/>
    <w:rsid w:val="41A664FF"/>
    <w:rsid w:val="41A76CDF"/>
    <w:rsid w:val="41AA4BF2"/>
    <w:rsid w:val="41AC3F12"/>
    <w:rsid w:val="41B4781F"/>
    <w:rsid w:val="41B617E9"/>
    <w:rsid w:val="41BF069E"/>
    <w:rsid w:val="41BF0EBD"/>
    <w:rsid w:val="41BF32E5"/>
    <w:rsid w:val="41C07F72"/>
    <w:rsid w:val="41C37A62"/>
    <w:rsid w:val="41C82CE2"/>
    <w:rsid w:val="41CA2B9F"/>
    <w:rsid w:val="41CE268F"/>
    <w:rsid w:val="41D1374D"/>
    <w:rsid w:val="41E10DE0"/>
    <w:rsid w:val="41EA3241"/>
    <w:rsid w:val="41EC71F4"/>
    <w:rsid w:val="41FD11C6"/>
    <w:rsid w:val="4200449D"/>
    <w:rsid w:val="421A678E"/>
    <w:rsid w:val="421B33FA"/>
    <w:rsid w:val="42241BFA"/>
    <w:rsid w:val="42267725"/>
    <w:rsid w:val="42291FBB"/>
    <w:rsid w:val="422F2ED8"/>
    <w:rsid w:val="423A3BCC"/>
    <w:rsid w:val="423A41C8"/>
    <w:rsid w:val="423B3A9C"/>
    <w:rsid w:val="4246491B"/>
    <w:rsid w:val="42472441"/>
    <w:rsid w:val="424B3EC0"/>
    <w:rsid w:val="424C5D66"/>
    <w:rsid w:val="424E57D2"/>
    <w:rsid w:val="424F56D9"/>
    <w:rsid w:val="42692FC0"/>
    <w:rsid w:val="42703746"/>
    <w:rsid w:val="42750D5C"/>
    <w:rsid w:val="42777DEC"/>
    <w:rsid w:val="4280707D"/>
    <w:rsid w:val="428526D7"/>
    <w:rsid w:val="42867CC7"/>
    <w:rsid w:val="42872737"/>
    <w:rsid w:val="42894808"/>
    <w:rsid w:val="428D5136"/>
    <w:rsid w:val="42982F45"/>
    <w:rsid w:val="429A1129"/>
    <w:rsid w:val="429C028D"/>
    <w:rsid w:val="429F227D"/>
    <w:rsid w:val="42A22639"/>
    <w:rsid w:val="42A87384"/>
    <w:rsid w:val="42B23D5F"/>
    <w:rsid w:val="42B26C49"/>
    <w:rsid w:val="42C65655"/>
    <w:rsid w:val="42CC5B56"/>
    <w:rsid w:val="42CF2B62"/>
    <w:rsid w:val="42F27846"/>
    <w:rsid w:val="430D368B"/>
    <w:rsid w:val="430D5439"/>
    <w:rsid w:val="430D71E7"/>
    <w:rsid w:val="43105E5D"/>
    <w:rsid w:val="43113B92"/>
    <w:rsid w:val="431467C7"/>
    <w:rsid w:val="431C38CE"/>
    <w:rsid w:val="431E31A2"/>
    <w:rsid w:val="43245818"/>
    <w:rsid w:val="432A41C2"/>
    <w:rsid w:val="4335673E"/>
    <w:rsid w:val="433A6FE6"/>
    <w:rsid w:val="43452F17"/>
    <w:rsid w:val="43480868"/>
    <w:rsid w:val="434A3F97"/>
    <w:rsid w:val="434D2AFA"/>
    <w:rsid w:val="434D3A87"/>
    <w:rsid w:val="4350713C"/>
    <w:rsid w:val="4355293C"/>
    <w:rsid w:val="43614782"/>
    <w:rsid w:val="43617533"/>
    <w:rsid w:val="436354D7"/>
    <w:rsid w:val="43657023"/>
    <w:rsid w:val="436653E0"/>
    <w:rsid w:val="436960BA"/>
    <w:rsid w:val="4375341B"/>
    <w:rsid w:val="43770394"/>
    <w:rsid w:val="43782C30"/>
    <w:rsid w:val="437A2465"/>
    <w:rsid w:val="437F20A1"/>
    <w:rsid w:val="43830114"/>
    <w:rsid w:val="43A318F9"/>
    <w:rsid w:val="43AE4585"/>
    <w:rsid w:val="43B23685"/>
    <w:rsid w:val="43B94FF8"/>
    <w:rsid w:val="43BF3FB9"/>
    <w:rsid w:val="43C33D49"/>
    <w:rsid w:val="43C4431A"/>
    <w:rsid w:val="43C52FFD"/>
    <w:rsid w:val="43C7457A"/>
    <w:rsid w:val="43CA7067"/>
    <w:rsid w:val="43CF6B92"/>
    <w:rsid w:val="43D16A85"/>
    <w:rsid w:val="43E17353"/>
    <w:rsid w:val="43EF6B08"/>
    <w:rsid w:val="43FB1735"/>
    <w:rsid w:val="4401667D"/>
    <w:rsid w:val="44073DBB"/>
    <w:rsid w:val="440A1978"/>
    <w:rsid w:val="440B5E1C"/>
    <w:rsid w:val="440F6CC2"/>
    <w:rsid w:val="441647C1"/>
    <w:rsid w:val="44185E43"/>
    <w:rsid w:val="441C1298"/>
    <w:rsid w:val="441F66B5"/>
    <w:rsid w:val="442D0C64"/>
    <w:rsid w:val="442F0F06"/>
    <w:rsid w:val="44336BFB"/>
    <w:rsid w:val="44354C47"/>
    <w:rsid w:val="44366187"/>
    <w:rsid w:val="443C5828"/>
    <w:rsid w:val="443F653F"/>
    <w:rsid w:val="44407EC3"/>
    <w:rsid w:val="44471274"/>
    <w:rsid w:val="444A5A74"/>
    <w:rsid w:val="444C6348"/>
    <w:rsid w:val="445552E9"/>
    <w:rsid w:val="445F7B0D"/>
    <w:rsid w:val="44706E4E"/>
    <w:rsid w:val="44735770"/>
    <w:rsid w:val="44760DBC"/>
    <w:rsid w:val="447A5F85"/>
    <w:rsid w:val="447F2366"/>
    <w:rsid w:val="44872FC9"/>
    <w:rsid w:val="448876A0"/>
    <w:rsid w:val="448C6376"/>
    <w:rsid w:val="449B0822"/>
    <w:rsid w:val="44A66CC7"/>
    <w:rsid w:val="44AB453E"/>
    <w:rsid w:val="44AB7151"/>
    <w:rsid w:val="44AD6ED3"/>
    <w:rsid w:val="44B54094"/>
    <w:rsid w:val="44B951CC"/>
    <w:rsid w:val="44BF0E72"/>
    <w:rsid w:val="44C13AD7"/>
    <w:rsid w:val="44CD14E0"/>
    <w:rsid w:val="44E1283D"/>
    <w:rsid w:val="44E72281"/>
    <w:rsid w:val="44E80E1C"/>
    <w:rsid w:val="44F20B0B"/>
    <w:rsid w:val="44FB7C0E"/>
    <w:rsid w:val="44FD3107"/>
    <w:rsid w:val="450308A1"/>
    <w:rsid w:val="451001A4"/>
    <w:rsid w:val="451F3A3A"/>
    <w:rsid w:val="45244CBC"/>
    <w:rsid w:val="452E5F4C"/>
    <w:rsid w:val="4531490B"/>
    <w:rsid w:val="45372C41"/>
    <w:rsid w:val="45375AF0"/>
    <w:rsid w:val="453933F0"/>
    <w:rsid w:val="4541547F"/>
    <w:rsid w:val="454278DA"/>
    <w:rsid w:val="454315E6"/>
    <w:rsid w:val="45450D0E"/>
    <w:rsid w:val="45460437"/>
    <w:rsid w:val="454A3FF2"/>
    <w:rsid w:val="454D7D6F"/>
    <w:rsid w:val="455B21B5"/>
    <w:rsid w:val="45603F46"/>
    <w:rsid w:val="45612018"/>
    <w:rsid w:val="4573502A"/>
    <w:rsid w:val="457E6077"/>
    <w:rsid w:val="4585533A"/>
    <w:rsid w:val="458946E9"/>
    <w:rsid w:val="45907C1E"/>
    <w:rsid w:val="4597723C"/>
    <w:rsid w:val="459E2E05"/>
    <w:rsid w:val="45A2492B"/>
    <w:rsid w:val="45A47C0E"/>
    <w:rsid w:val="45AB114D"/>
    <w:rsid w:val="45B44292"/>
    <w:rsid w:val="45B63614"/>
    <w:rsid w:val="45B778DE"/>
    <w:rsid w:val="45BC5738"/>
    <w:rsid w:val="45C349B6"/>
    <w:rsid w:val="45C36283"/>
    <w:rsid w:val="45C40201"/>
    <w:rsid w:val="45D109A0"/>
    <w:rsid w:val="45DD5472"/>
    <w:rsid w:val="45DE19D9"/>
    <w:rsid w:val="45DF23A3"/>
    <w:rsid w:val="45ED1C0C"/>
    <w:rsid w:val="45EE77A4"/>
    <w:rsid w:val="45FC3821"/>
    <w:rsid w:val="46026DAB"/>
    <w:rsid w:val="460527AE"/>
    <w:rsid w:val="46057DA7"/>
    <w:rsid w:val="4613720A"/>
    <w:rsid w:val="4618380A"/>
    <w:rsid w:val="46192347"/>
    <w:rsid w:val="46192D48"/>
    <w:rsid w:val="461A6862"/>
    <w:rsid w:val="461C16C9"/>
    <w:rsid w:val="46262696"/>
    <w:rsid w:val="463A7476"/>
    <w:rsid w:val="463E3B5B"/>
    <w:rsid w:val="46460A4E"/>
    <w:rsid w:val="46472A10"/>
    <w:rsid w:val="465313B5"/>
    <w:rsid w:val="46543B0A"/>
    <w:rsid w:val="46577FD6"/>
    <w:rsid w:val="46582E6F"/>
    <w:rsid w:val="465D3F9B"/>
    <w:rsid w:val="46644817"/>
    <w:rsid w:val="466A1160"/>
    <w:rsid w:val="466D5549"/>
    <w:rsid w:val="4670101A"/>
    <w:rsid w:val="46713F31"/>
    <w:rsid w:val="46752964"/>
    <w:rsid w:val="467B3A04"/>
    <w:rsid w:val="46937FF6"/>
    <w:rsid w:val="46956023"/>
    <w:rsid w:val="469B2D5C"/>
    <w:rsid w:val="469C6414"/>
    <w:rsid w:val="469D4D26"/>
    <w:rsid w:val="46AE6F33"/>
    <w:rsid w:val="46AF6FF1"/>
    <w:rsid w:val="46B5206F"/>
    <w:rsid w:val="46BD0F24"/>
    <w:rsid w:val="46C66CEF"/>
    <w:rsid w:val="46D955A7"/>
    <w:rsid w:val="46E155B0"/>
    <w:rsid w:val="46E973FB"/>
    <w:rsid w:val="46F54291"/>
    <w:rsid w:val="46F56910"/>
    <w:rsid w:val="46F73741"/>
    <w:rsid w:val="46FD1503"/>
    <w:rsid w:val="47011635"/>
    <w:rsid w:val="47040901"/>
    <w:rsid w:val="47084895"/>
    <w:rsid w:val="47133957"/>
    <w:rsid w:val="47154B28"/>
    <w:rsid w:val="471A0124"/>
    <w:rsid w:val="471A45C8"/>
    <w:rsid w:val="471A7E55"/>
    <w:rsid w:val="471B5FBD"/>
    <w:rsid w:val="471D4903"/>
    <w:rsid w:val="471F573B"/>
    <w:rsid w:val="4723347D"/>
    <w:rsid w:val="47373E8E"/>
    <w:rsid w:val="475454E0"/>
    <w:rsid w:val="475462DB"/>
    <w:rsid w:val="476800BA"/>
    <w:rsid w:val="4770243A"/>
    <w:rsid w:val="477610AF"/>
    <w:rsid w:val="4779040E"/>
    <w:rsid w:val="477E3F96"/>
    <w:rsid w:val="477F0079"/>
    <w:rsid w:val="478A662B"/>
    <w:rsid w:val="478D70FE"/>
    <w:rsid w:val="479F062A"/>
    <w:rsid w:val="47A07E0C"/>
    <w:rsid w:val="47A619B8"/>
    <w:rsid w:val="47A70B6F"/>
    <w:rsid w:val="47B06E63"/>
    <w:rsid w:val="47B63522"/>
    <w:rsid w:val="47B85D5D"/>
    <w:rsid w:val="47C36A0E"/>
    <w:rsid w:val="47C85DD2"/>
    <w:rsid w:val="47DB78B4"/>
    <w:rsid w:val="47EA5D49"/>
    <w:rsid w:val="47F0441B"/>
    <w:rsid w:val="47F866B8"/>
    <w:rsid w:val="48002EF7"/>
    <w:rsid w:val="48003AA7"/>
    <w:rsid w:val="48194728"/>
    <w:rsid w:val="481C49B1"/>
    <w:rsid w:val="482B4BE7"/>
    <w:rsid w:val="48305144"/>
    <w:rsid w:val="48315726"/>
    <w:rsid w:val="48440B51"/>
    <w:rsid w:val="48452D6C"/>
    <w:rsid w:val="48463DDB"/>
    <w:rsid w:val="485625B0"/>
    <w:rsid w:val="485B27A2"/>
    <w:rsid w:val="485C6FFB"/>
    <w:rsid w:val="485D29BF"/>
    <w:rsid w:val="486960B0"/>
    <w:rsid w:val="4870272E"/>
    <w:rsid w:val="48710218"/>
    <w:rsid w:val="4875679A"/>
    <w:rsid w:val="48765EF0"/>
    <w:rsid w:val="48775015"/>
    <w:rsid w:val="487F6A9B"/>
    <w:rsid w:val="488D2FD9"/>
    <w:rsid w:val="488E70F6"/>
    <w:rsid w:val="489614EA"/>
    <w:rsid w:val="48A46FCC"/>
    <w:rsid w:val="48A979B2"/>
    <w:rsid w:val="48B620CF"/>
    <w:rsid w:val="48BC6A59"/>
    <w:rsid w:val="48BF73FE"/>
    <w:rsid w:val="48C35E22"/>
    <w:rsid w:val="48D42900"/>
    <w:rsid w:val="48D81883"/>
    <w:rsid w:val="48DA7B6B"/>
    <w:rsid w:val="48DB079D"/>
    <w:rsid w:val="48DD3AFF"/>
    <w:rsid w:val="48DD58AD"/>
    <w:rsid w:val="48DF38C5"/>
    <w:rsid w:val="48EC4F4F"/>
    <w:rsid w:val="48F350D1"/>
    <w:rsid w:val="48F64353"/>
    <w:rsid w:val="48FE0E6C"/>
    <w:rsid w:val="48FF0499"/>
    <w:rsid w:val="49043D99"/>
    <w:rsid w:val="490D6193"/>
    <w:rsid w:val="49177011"/>
    <w:rsid w:val="4919052F"/>
    <w:rsid w:val="492B3326"/>
    <w:rsid w:val="492C413F"/>
    <w:rsid w:val="4933371F"/>
    <w:rsid w:val="4934311A"/>
    <w:rsid w:val="49351340"/>
    <w:rsid w:val="493700A9"/>
    <w:rsid w:val="49377F6B"/>
    <w:rsid w:val="493A4AAE"/>
    <w:rsid w:val="493C3F29"/>
    <w:rsid w:val="493C4382"/>
    <w:rsid w:val="494E0559"/>
    <w:rsid w:val="494E2307"/>
    <w:rsid w:val="4950607F"/>
    <w:rsid w:val="49507E2D"/>
    <w:rsid w:val="495518E8"/>
    <w:rsid w:val="495D254A"/>
    <w:rsid w:val="496318B2"/>
    <w:rsid w:val="496A35E8"/>
    <w:rsid w:val="496C62C5"/>
    <w:rsid w:val="496F279B"/>
    <w:rsid w:val="497C6E74"/>
    <w:rsid w:val="498540AB"/>
    <w:rsid w:val="499A0DDD"/>
    <w:rsid w:val="49A975B4"/>
    <w:rsid w:val="49AA39E1"/>
    <w:rsid w:val="49B303BC"/>
    <w:rsid w:val="49B40EE0"/>
    <w:rsid w:val="49C31512"/>
    <w:rsid w:val="49D071C0"/>
    <w:rsid w:val="49D37AE3"/>
    <w:rsid w:val="49D722FD"/>
    <w:rsid w:val="49DC7715"/>
    <w:rsid w:val="49DC7913"/>
    <w:rsid w:val="49DD46EE"/>
    <w:rsid w:val="49E07A03"/>
    <w:rsid w:val="49F32D8A"/>
    <w:rsid w:val="4A023139"/>
    <w:rsid w:val="4A053A5E"/>
    <w:rsid w:val="4A096F87"/>
    <w:rsid w:val="4A1272E5"/>
    <w:rsid w:val="4A1946C3"/>
    <w:rsid w:val="4A1A7985"/>
    <w:rsid w:val="4A1B043B"/>
    <w:rsid w:val="4A1E1CDA"/>
    <w:rsid w:val="4A2D016F"/>
    <w:rsid w:val="4A3015BB"/>
    <w:rsid w:val="4A3157E5"/>
    <w:rsid w:val="4A361719"/>
    <w:rsid w:val="4A3F748D"/>
    <w:rsid w:val="4A453D28"/>
    <w:rsid w:val="4A5C6E80"/>
    <w:rsid w:val="4A645093"/>
    <w:rsid w:val="4A702EEE"/>
    <w:rsid w:val="4A7339D3"/>
    <w:rsid w:val="4A7B35D0"/>
    <w:rsid w:val="4A7B537E"/>
    <w:rsid w:val="4A7B576F"/>
    <w:rsid w:val="4A7C3B90"/>
    <w:rsid w:val="4A7F4503"/>
    <w:rsid w:val="4A866787"/>
    <w:rsid w:val="4A880345"/>
    <w:rsid w:val="4A886D6D"/>
    <w:rsid w:val="4A91758E"/>
    <w:rsid w:val="4A9220C8"/>
    <w:rsid w:val="4A92742C"/>
    <w:rsid w:val="4AA003D1"/>
    <w:rsid w:val="4AA20B5D"/>
    <w:rsid w:val="4AA448D5"/>
    <w:rsid w:val="4AAC7812"/>
    <w:rsid w:val="4AB52FAF"/>
    <w:rsid w:val="4AB56AE2"/>
    <w:rsid w:val="4AB87829"/>
    <w:rsid w:val="4ABB577A"/>
    <w:rsid w:val="4AC07235"/>
    <w:rsid w:val="4AC857F0"/>
    <w:rsid w:val="4AC85C71"/>
    <w:rsid w:val="4ACA6899"/>
    <w:rsid w:val="4ACC7258"/>
    <w:rsid w:val="4ACE5F36"/>
    <w:rsid w:val="4ADB4F09"/>
    <w:rsid w:val="4AE06858"/>
    <w:rsid w:val="4AE747C1"/>
    <w:rsid w:val="4AF403AA"/>
    <w:rsid w:val="4AF561A9"/>
    <w:rsid w:val="4AFF1B0B"/>
    <w:rsid w:val="4B0038EC"/>
    <w:rsid w:val="4B023413"/>
    <w:rsid w:val="4B054C48"/>
    <w:rsid w:val="4B0B6702"/>
    <w:rsid w:val="4B115FA2"/>
    <w:rsid w:val="4B121E1D"/>
    <w:rsid w:val="4B1D26C7"/>
    <w:rsid w:val="4B2477C4"/>
    <w:rsid w:val="4B2954D3"/>
    <w:rsid w:val="4B335DFE"/>
    <w:rsid w:val="4B3B68BB"/>
    <w:rsid w:val="4B422DFD"/>
    <w:rsid w:val="4B475260"/>
    <w:rsid w:val="4B4C343E"/>
    <w:rsid w:val="4B4E2A92"/>
    <w:rsid w:val="4B510DE4"/>
    <w:rsid w:val="4B5826AD"/>
    <w:rsid w:val="4B683BBC"/>
    <w:rsid w:val="4B780FCB"/>
    <w:rsid w:val="4B8C4D4B"/>
    <w:rsid w:val="4BA8364A"/>
    <w:rsid w:val="4BAE52DF"/>
    <w:rsid w:val="4BB01057"/>
    <w:rsid w:val="4BB1658B"/>
    <w:rsid w:val="4BB470F9"/>
    <w:rsid w:val="4BB57ADD"/>
    <w:rsid w:val="4BB62826"/>
    <w:rsid w:val="4BB723E6"/>
    <w:rsid w:val="4BB81672"/>
    <w:rsid w:val="4BC00705"/>
    <w:rsid w:val="4BC30D8B"/>
    <w:rsid w:val="4BD02FA4"/>
    <w:rsid w:val="4BD37C1D"/>
    <w:rsid w:val="4BDB2578"/>
    <w:rsid w:val="4BEB02E1"/>
    <w:rsid w:val="4BED509D"/>
    <w:rsid w:val="4BF27A7E"/>
    <w:rsid w:val="4C080527"/>
    <w:rsid w:val="4C0F4BC6"/>
    <w:rsid w:val="4C1D7F42"/>
    <w:rsid w:val="4C285091"/>
    <w:rsid w:val="4C2E650E"/>
    <w:rsid w:val="4C324124"/>
    <w:rsid w:val="4C3438B2"/>
    <w:rsid w:val="4C444FE1"/>
    <w:rsid w:val="4C46452C"/>
    <w:rsid w:val="4C4A0649"/>
    <w:rsid w:val="4C520F1C"/>
    <w:rsid w:val="4C603640"/>
    <w:rsid w:val="4C664218"/>
    <w:rsid w:val="4C7E5ECA"/>
    <w:rsid w:val="4C8229F4"/>
    <w:rsid w:val="4C83051A"/>
    <w:rsid w:val="4C86081A"/>
    <w:rsid w:val="4C876AA5"/>
    <w:rsid w:val="4C962698"/>
    <w:rsid w:val="4C985EAF"/>
    <w:rsid w:val="4C9A2561"/>
    <w:rsid w:val="4CBF59F6"/>
    <w:rsid w:val="4CC0176E"/>
    <w:rsid w:val="4CC126CD"/>
    <w:rsid w:val="4CC6687C"/>
    <w:rsid w:val="4CC7213D"/>
    <w:rsid w:val="4CD11D2F"/>
    <w:rsid w:val="4CD35BF3"/>
    <w:rsid w:val="4CD55219"/>
    <w:rsid w:val="4CD62D3F"/>
    <w:rsid w:val="4CDF7E46"/>
    <w:rsid w:val="4CE62415"/>
    <w:rsid w:val="4CEA67EB"/>
    <w:rsid w:val="4CEF5BAF"/>
    <w:rsid w:val="4CFC4217"/>
    <w:rsid w:val="4D0478AD"/>
    <w:rsid w:val="4D0A5610"/>
    <w:rsid w:val="4D0E00FB"/>
    <w:rsid w:val="4D0E4287"/>
    <w:rsid w:val="4D176606"/>
    <w:rsid w:val="4D1D3ADF"/>
    <w:rsid w:val="4D1F46E6"/>
    <w:rsid w:val="4D21569F"/>
    <w:rsid w:val="4D293E8A"/>
    <w:rsid w:val="4D410116"/>
    <w:rsid w:val="4D412A74"/>
    <w:rsid w:val="4D4940A3"/>
    <w:rsid w:val="4D494391"/>
    <w:rsid w:val="4D4D53C5"/>
    <w:rsid w:val="4D4E0B28"/>
    <w:rsid w:val="4D4F241C"/>
    <w:rsid w:val="4D570DBA"/>
    <w:rsid w:val="4D5B4FF3"/>
    <w:rsid w:val="4D5E3F19"/>
    <w:rsid w:val="4D602609"/>
    <w:rsid w:val="4D665E71"/>
    <w:rsid w:val="4D6A3FBD"/>
    <w:rsid w:val="4D6D3EB5"/>
    <w:rsid w:val="4D735EAE"/>
    <w:rsid w:val="4D737FA6"/>
    <w:rsid w:val="4D77007F"/>
    <w:rsid w:val="4D8409ED"/>
    <w:rsid w:val="4D8F6B17"/>
    <w:rsid w:val="4D9D62C7"/>
    <w:rsid w:val="4D9E72B2"/>
    <w:rsid w:val="4D9F1383"/>
    <w:rsid w:val="4DA54E7B"/>
    <w:rsid w:val="4DA77BAE"/>
    <w:rsid w:val="4DBE5CAD"/>
    <w:rsid w:val="4DC45D61"/>
    <w:rsid w:val="4DC5090D"/>
    <w:rsid w:val="4DC84563"/>
    <w:rsid w:val="4DD238EB"/>
    <w:rsid w:val="4DDE555C"/>
    <w:rsid w:val="4DEC4FB0"/>
    <w:rsid w:val="4DED6593"/>
    <w:rsid w:val="4DFC4A28"/>
    <w:rsid w:val="4E037B0B"/>
    <w:rsid w:val="4E0565DE"/>
    <w:rsid w:val="4E075D8A"/>
    <w:rsid w:val="4E0A0EF3"/>
    <w:rsid w:val="4E0D453F"/>
    <w:rsid w:val="4E143B1F"/>
    <w:rsid w:val="4E197EC1"/>
    <w:rsid w:val="4E1C4782"/>
    <w:rsid w:val="4E1E4FBE"/>
    <w:rsid w:val="4E2006D4"/>
    <w:rsid w:val="4E201F26"/>
    <w:rsid w:val="4E222E26"/>
    <w:rsid w:val="4E237505"/>
    <w:rsid w:val="4E3A10AC"/>
    <w:rsid w:val="4E3E5A0A"/>
    <w:rsid w:val="4E4A7997"/>
    <w:rsid w:val="4E5C1022"/>
    <w:rsid w:val="4E685C19"/>
    <w:rsid w:val="4E6F721C"/>
    <w:rsid w:val="4E756218"/>
    <w:rsid w:val="4E757711"/>
    <w:rsid w:val="4E775E5C"/>
    <w:rsid w:val="4E7820C0"/>
    <w:rsid w:val="4E793282"/>
    <w:rsid w:val="4E7A1A3B"/>
    <w:rsid w:val="4E835958"/>
    <w:rsid w:val="4E870795"/>
    <w:rsid w:val="4E8968D9"/>
    <w:rsid w:val="4E916F1E"/>
    <w:rsid w:val="4E9C3796"/>
    <w:rsid w:val="4EA55E0D"/>
    <w:rsid w:val="4EA74993"/>
    <w:rsid w:val="4EC00FAD"/>
    <w:rsid w:val="4EC35342"/>
    <w:rsid w:val="4ECA0682"/>
    <w:rsid w:val="4ECA741E"/>
    <w:rsid w:val="4ED84B4D"/>
    <w:rsid w:val="4EDF49D9"/>
    <w:rsid w:val="4EE17147"/>
    <w:rsid w:val="4EE72FE2"/>
    <w:rsid w:val="4EF02C2A"/>
    <w:rsid w:val="4EF91409"/>
    <w:rsid w:val="4EFB083B"/>
    <w:rsid w:val="4F0A5C37"/>
    <w:rsid w:val="4F1A1801"/>
    <w:rsid w:val="4F1F277C"/>
    <w:rsid w:val="4F2A62F1"/>
    <w:rsid w:val="4F2C5DA3"/>
    <w:rsid w:val="4F350532"/>
    <w:rsid w:val="4F3C545B"/>
    <w:rsid w:val="4F405AE9"/>
    <w:rsid w:val="4F4719BF"/>
    <w:rsid w:val="4F4E5DCE"/>
    <w:rsid w:val="4F4F0F4A"/>
    <w:rsid w:val="4F50090B"/>
    <w:rsid w:val="4F546836"/>
    <w:rsid w:val="4F56675D"/>
    <w:rsid w:val="4F691C49"/>
    <w:rsid w:val="4F6E54B1"/>
    <w:rsid w:val="4F707EBA"/>
    <w:rsid w:val="4F744B39"/>
    <w:rsid w:val="4F8B1BBF"/>
    <w:rsid w:val="4F8C631B"/>
    <w:rsid w:val="4F9843DC"/>
    <w:rsid w:val="4F9E5754"/>
    <w:rsid w:val="4FA53F31"/>
    <w:rsid w:val="4FA63D9B"/>
    <w:rsid w:val="4FA709C3"/>
    <w:rsid w:val="4FAB04B3"/>
    <w:rsid w:val="4FAF4286"/>
    <w:rsid w:val="4FB235F0"/>
    <w:rsid w:val="4FB758F2"/>
    <w:rsid w:val="4FC62A8C"/>
    <w:rsid w:val="4FC82E13"/>
    <w:rsid w:val="4FD60B6E"/>
    <w:rsid w:val="4FDE23A5"/>
    <w:rsid w:val="4FE20F0D"/>
    <w:rsid w:val="4FE324A5"/>
    <w:rsid w:val="4FE439C5"/>
    <w:rsid w:val="4FE51552"/>
    <w:rsid w:val="4FF062D3"/>
    <w:rsid w:val="4FF27E90"/>
    <w:rsid w:val="4FF826AD"/>
    <w:rsid w:val="4FF949B6"/>
    <w:rsid w:val="4FFE6835"/>
    <w:rsid w:val="50001487"/>
    <w:rsid w:val="50046A66"/>
    <w:rsid w:val="50057593"/>
    <w:rsid w:val="50063471"/>
    <w:rsid w:val="50095BEE"/>
    <w:rsid w:val="500D1209"/>
    <w:rsid w:val="5023629C"/>
    <w:rsid w:val="50280615"/>
    <w:rsid w:val="502838B2"/>
    <w:rsid w:val="502B213C"/>
    <w:rsid w:val="502C2C2F"/>
    <w:rsid w:val="50355FCF"/>
    <w:rsid w:val="50476713"/>
    <w:rsid w:val="50504C4B"/>
    <w:rsid w:val="5064373B"/>
    <w:rsid w:val="5072152F"/>
    <w:rsid w:val="507A1C34"/>
    <w:rsid w:val="507E1724"/>
    <w:rsid w:val="50852AB2"/>
    <w:rsid w:val="5086378F"/>
    <w:rsid w:val="508F3931"/>
    <w:rsid w:val="50922A67"/>
    <w:rsid w:val="509408E9"/>
    <w:rsid w:val="509C6E7C"/>
    <w:rsid w:val="50B27620"/>
    <w:rsid w:val="50B47F8A"/>
    <w:rsid w:val="50BF5962"/>
    <w:rsid w:val="50C02456"/>
    <w:rsid w:val="50C26C27"/>
    <w:rsid w:val="50C51101"/>
    <w:rsid w:val="50D6330E"/>
    <w:rsid w:val="50D94BAC"/>
    <w:rsid w:val="50DA4352"/>
    <w:rsid w:val="50EC2B32"/>
    <w:rsid w:val="50ED1318"/>
    <w:rsid w:val="50FE2865"/>
    <w:rsid w:val="51003CB3"/>
    <w:rsid w:val="510F2848"/>
    <w:rsid w:val="511D2CEB"/>
    <w:rsid w:val="51242333"/>
    <w:rsid w:val="51333CA7"/>
    <w:rsid w:val="51380BC3"/>
    <w:rsid w:val="513A06AD"/>
    <w:rsid w:val="51441B43"/>
    <w:rsid w:val="514566E6"/>
    <w:rsid w:val="51501312"/>
    <w:rsid w:val="51510226"/>
    <w:rsid w:val="5155069F"/>
    <w:rsid w:val="51597A9B"/>
    <w:rsid w:val="515C0243"/>
    <w:rsid w:val="515F763E"/>
    <w:rsid w:val="5162104E"/>
    <w:rsid w:val="517D5E7F"/>
    <w:rsid w:val="517F5754"/>
    <w:rsid w:val="51833964"/>
    <w:rsid w:val="518943F4"/>
    <w:rsid w:val="51917235"/>
    <w:rsid w:val="51986815"/>
    <w:rsid w:val="519954CA"/>
    <w:rsid w:val="51A21548"/>
    <w:rsid w:val="51A84A2C"/>
    <w:rsid w:val="51A90A23"/>
    <w:rsid w:val="51B178D7"/>
    <w:rsid w:val="51B25F45"/>
    <w:rsid w:val="51BB2504"/>
    <w:rsid w:val="51C7617F"/>
    <w:rsid w:val="51CC309A"/>
    <w:rsid w:val="51D3235E"/>
    <w:rsid w:val="51D55B14"/>
    <w:rsid w:val="51D84E64"/>
    <w:rsid w:val="51DA22E1"/>
    <w:rsid w:val="51E1510C"/>
    <w:rsid w:val="51E3440A"/>
    <w:rsid w:val="51E43809"/>
    <w:rsid w:val="51F7178E"/>
    <w:rsid w:val="52065E75"/>
    <w:rsid w:val="520B348B"/>
    <w:rsid w:val="520F42B6"/>
    <w:rsid w:val="52105B50"/>
    <w:rsid w:val="521A547C"/>
    <w:rsid w:val="521A722A"/>
    <w:rsid w:val="521D0E97"/>
    <w:rsid w:val="52393851"/>
    <w:rsid w:val="523A1FC6"/>
    <w:rsid w:val="52460C51"/>
    <w:rsid w:val="524810E8"/>
    <w:rsid w:val="525E35BB"/>
    <w:rsid w:val="526001CA"/>
    <w:rsid w:val="52632790"/>
    <w:rsid w:val="52635075"/>
    <w:rsid w:val="526521EC"/>
    <w:rsid w:val="526E78A3"/>
    <w:rsid w:val="5277467D"/>
    <w:rsid w:val="527A572D"/>
    <w:rsid w:val="527C6137"/>
    <w:rsid w:val="529F2C8A"/>
    <w:rsid w:val="52A86F2C"/>
    <w:rsid w:val="52AD50FC"/>
    <w:rsid w:val="52AF6D82"/>
    <w:rsid w:val="52B560FD"/>
    <w:rsid w:val="52B6229A"/>
    <w:rsid w:val="52CD0741"/>
    <w:rsid w:val="52D23107"/>
    <w:rsid w:val="52D65847"/>
    <w:rsid w:val="52DE64AA"/>
    <w:rsid w:val="52E36195"/>
    <w:rsid w:val="52E40381"/>
    <w:rsid w:val="52EF6909"/>
    <w:rsid w:val="52F010B8"/>
    <w:rsid w:val="52FE2187"/>
    <w:rsid w:val="52FE3F05"/>
    <w:rsid w:val="530103EA"/>
    <w:rsid w:val="530B3EA0"/>
    <w:rsid w:val="53156B83"/>
    <w:rsid w:val="53227978"/>
    <w:rsid w:val="532A0CDB"/>
    <w:rsid w:val="532D1275"/>
    <w:rsid w:val="532D4A8B"/>
    <w:rsid w:val="532F4F57"/>
    <w:rsid w:val="53407165"/>
    <w:rsid w:val="534A3B3F"/>
    <w:rsid w:val="5357783E"/>
    <w:rsid w:val="535A303F"/>
    <w:rsid w:val="53605111"/>
    <w:rsid w:val="53642E53"/>
    <w:rsid w:val="53671243"/>
    <w:rsid w:val="536746F1"/>
    <w:rsid w:val="53682217"/>
    <w:rsid w:val="536E5A80"/>
    <w:rsid w:val="53786A90"/>
    <w:rsid w:val="53795A05"/>
    <w:rsid w:val="53803A05"/>
    <w:rsid w:val="538057C2"/>
    <w:rsid w:val="53832F3F"/>
    <w:rsid w:val="5386726D"/>
    <w:rsid w:val="538E5357"/>
    <w:rsid w:val="539128D9"/>
    <w:rsid w:val="53931C74"/>
    <w:rsid w:val="539C4A9B"/>
    <w:rsid w:val="539D45B7"/>
    <w:rsid w:val="53A039CC"/>
    <w:rsid w:val="53A1505A"/>
    <w:rsid w:val="53A304DF"/>
    <w:rsid w:val="53AC25D6"/>
    <w:rsid w:val="53AE2320"/>
    <w:rsid w:val="53B042EA"/>
    <w:rsid w:val="53B2326A"/>
    <w:rsid w:val="53BB6F77"/>
    <w:rsid w:val="53C75CB2"/>
    <w:rsid w:val="53CA4C80"/>
    <w:rsid w:val="53CA7A04"/>
    <w:rsid w:val="53CB334C"/>
    <w:rsid w:val="53DA15F6"/>
    <w:rsid w:val="53E0500A"/>
    <w:rsid w:val="53E144A4"/>
    <w:rsid w:val="53E53868"/>
    <w:rsid w:val="53E70B49"/>
    <w:rsid w:val="53EE096F"/>
    <w:rsid w:val="53EE716F"/>
    <w:rsid w:val="53EE77E7"/>
    <w:rsid w:val="53F12868"/>
    <w:rsid w:val="540208BE"/>
    <w:rsid w:val="54063E08"/>
    <w:rsid w:val="5407381C"/>
    <w:rsid w:val="54077C82"/>
    <w:rsid w:val="541525BF"/>
    <w:rsid w:val="54297BF9"/>
    <w:rsid w:val="542E76C9"/>
    <w:rsid w:val="543437E8"/>
    <w:rsid w:val="54345897"/>
    <w:rsid w:val="54382594"/>
    <w:rsid w:val="543D5452"/>
    <w:rsid w:val="544908CE"/>
    <w:rsid w:val="545D78A2"/>
    <w:rsid w:val="5463213A"/>
    <w:rsid w:val="547156FF"/>
    <w:rsid w:val="547F29C4"/>
    <w:rsid w:val="549C4D1B"/>
    <w:rsid w:val="549C5063"/>
    <w:rsid w:val="54B51DE8"/>
    <w:rsid w:val="54BA798C"/>
    <w:rsid w:val="54BE47E5"/>
    <w:rsid w:val="54C03932"/>
    <w:rsid w:val="54C3004D"/>
    <w:rsid w:val="54C618EB"/>
    <w:rsid w:val="54CC0765"/>
    <w:rsid w:val="54CF07A0"/>
    <w:rsid w:val="54E2383E"/>
    <w:rsid w:val="54E3323A"/>
    <w:rsid w:val="54E65570"/>
    <w:rsid w:val="54EB1352"/>
    <w:rsid w:val="54F72AA2"/>
    <w:rsid w:val="54F73313"/>
    <w:rsid w:val="54F80955"/>
    <w:rsid w:val="54F970B9"/>
    <w:rsid w:val="55067A64"/>
    <w:rsid w:val="55085A60"/>
    <w:rsid w:val="550D12C8"/>
    <w:rsid w:val="551F6665"/>
    <w:rsid w:val="55200FFC"/>
    <w:rsid w:val="55207C15"/>
    <w:rsid w:val="55351E8B"/>
    <w:rsid w:val="554271C4"/>
    <w:rsid w:val="55480662"/>
    <w:rsid w:val="555170A7"/>
    <w:rsid w:val="5555098B"/>
    <w:rsid w:val="555B3D4B"/>
    <w:rsid w:val="5567226B"/>
    <w:rsid w:val="557D24CD"/>
    <w:rsid w:val="55805F3E"/>
    <w:rsid w:val="558603BE"/>
    <w:rsid w:val="5587536D"/>
    <w:rsid w:val="558B219B"/>
    <w:rsid w:val="559B174B"/>
    <w:rsid w:val="559E63C4"/>
    <w:rsid w:val="55A15CE9"/>
    <w:rsid w:val="55A27C63"/>
    <w:rsid w:val="55AD03B6"/>
    <w:rsid w:val="55BF3C5C"/>
    <w:rsid w:val="55C4407D"/>
    <w:rsid w:val="55CB762E"/>
    <w:rsid w:val="55CC2F32"/>
    <w:rsid w:val="55CE0CF4"/>
    <w:rsid w:val="55DB79C3"/>
    <w:rsid w:val="55E464CD"/>
    <w:rsid w:val="55E71B19"/>
    <w:rsid w:val="55F8221B"/>
    <w:rsid w:val="56000831"/>
    <w:rsid w:val="56024BA5"/>
    <w:rsid w:val="56051FA0"/>
    <w:rsid w:val="56186177"/>
    <w:rsid w:val="56220D4F"/>
    <w:rsid w:val="56226C88"/>
    <w:rsid w:val="5624337B"/>
    <w:rsid w:val="562B4DF0"/>
    <w:rsid w:val="562C1CB0"/>
    <w:rsid w:val="562D131E"/>
    <w:rsid w:val="562D7909"/>
    <w:rsid w:val="56303974"/>
    <w:rsid w:val="56375DED"/>
    <w:rsid w:val="563B08DF"/>
    <w:rsid w:val="563F3D5A"/>
    <w:rsid w:val="563F54B2"/>
    <w:rsid w:val="5641208E"/>
    <w:rsid w:val="56457F3F"/>
    <w:rsid w:val="565019E7"/>
    <w:rsid w:val="565076BF"/>
    <w:rsid w:val="565C2507"/>
    <w:rsid w:val="566235A3"/>
    <w:rsid w:val="56674A08"/>
    <w:rsid w:val="566969D2"/>
    <w:rsid w:val="56712A9B"/>
    <w:rsid w:val="56726450"/>
    <w:rsid w:val="56767078"/>
    <w:rsid w:val="56841DE8"/>
    <w:rsid w:val="56847368"/>
    <w:rsid w:val="56893E7C"/>
    <w:rsid w:val="56931235"/>
    <w:rsid w:val="56A4625C"/>
    <w:rsid w:val="56AB7892"/>
    <w:rsid w:val="56B0015D"/>
    <w:rsid w:val="56B22A9C"/>
    <w:rsid w:val="56B75990"/>
    <w:rsid w:val="56BC6B02"/>
    <w:rsid w:val="56BE2550"/>
    <w:rsid w:val="56BE6251"/>
    <w:rsid w:val="56C15ACC"/>
    <w:rsid w:val="56C80405"/>
    <w:rsid w:val="56C85EF8"/>
    <w:rsid w:val="56D025AE"/>
    <w:rsid w:val="56D231CA"/>
    <w:rsid w:val="56D57DF5"/>
    <w:rsid w:val="56D61851"/>
    <w:rsid w:val="56D73EF4"/>
    <w:rsid w:val="56D92565"/>
    <w:rsid w:val="56DD40C8"/>
    <w:rsid w:val="56ED7603"/>
    <w:rsid w:val="56F038BE"/>
    <w:rsid w:val="56F81E6E"/>
    <w:rsid w:val="5701202D"/>
    <w:rsid w:val="570309A9"/>
    <w:rsid w:val="570C0B9E"/>
    <w:rsid w:val="5714192E"/>
    <w:rsid w:val="57144265"/>
    <w:rsid w:val="5714693E"/>
    <w:rsid w:val="57300AE1"/>
    <w:rsid w:val="57324EB7"/>
    <w:rsid w:val="573828A1"/>
    <w:rsid w:val="573E1C0D"/>
    <w:rsid w:val="57435475"/>
    <w:rsid w:val="57470961"/>
    <w:rsid w:val="574865E8"/>
    <w:rsid w:val="57491551"/>
    <w:rsid w:val="575B27BF"/>
    <w:rsid w:val="576052D9"/>
    <w:rsid w:val="57607DD5"/>
    <w:rsid w:val="57627F15"/>
    <w:rsid w:val="5766153B"/>
    <w:rsid w:val="57684EDC"/>
    <w:rsid w:val="57706690"/>
    <w:rsid w:val="577E025B"/>
    <w:rsid w:val="57803FD4"/>
    <w:rsid w:val="578124A8"/>
    <w:rsid w:val="57871C18"/>
    <w:rsid w:val="578908B6"/>
    <w:rsid w:val="579221F0"/>
    <w:rsid w:val="57947A7F"/>
    <w:rsid w:val="57964AD2"/>
    <w:rsid w:val="579B2BBB"/>
    <w:rsid w:val="57B123DF"/>
    <w:rsid w:val="57B1418D"/>
    <w:rsid w:val="57B16EC9"/>
    <w:rsid w:val="57B243BD"/>
    <w:rsid w:val="57B26DB0"/>
    <w:rsid w:val="57B72A76"/>
    <w:rsid w:val="57C3426C"/>
    <w:rsid w:val="57CE1F93"/>
    <w:rsid w:val="57DE55B1"/>
    <w:rsid w:val="57E00F16"/>
    <w:rsid w:val="57E24C8E"/>
    <w:rsid w:val="57E3278C"/>
    <w:rsid w:val="57E411DB"/>
    <w:rsid w:val="57E72E4A"/>
    <w:rsid w:val="57EA390C"/>
    <w:rsid w:val="58014394"/>
    <w:rsid w:val="58024764"/>
    <w:rsid w:val="5814296E"/>
    <w:rsid w:val="58177222"/>
    <w:rsid w:val="581C1ACD"/>
    <w:rsid w:val="582726A1"/>
    <w:rsid w:val="582A3F3F"/>
    <w:rsid w:val="58474AF1"/>
    <w:rsid w:val="584B41F7"/>
    <w:rsid w:val="58516B1B"/>
    <w:rsid w:val="58550167"/>
    <w:rsid w:val="585F1FD5"/>
    <w:rsid w:val="58604D4E"/>
    <w:rsid w:val="5878114F"/>
    <w:rsid w:val="587F24DD"/>
    <w:rsid w:val="5886561A"/>
    <w:rsid w:val="588743D1"/>
    <w:rsid w:val="5887701A"/>
    <w:rsid w:val="58892DB2"/>
    <w:rsid w:val="58953AAF"/>
    <w:rsid w:val="58AB42E3"/>
    <w:rsid w:val="58B06B3A"/>
    <w:rsid w:val="58B12FA0"/>
    <w:rsid w:val="58B248C5"/>
    <w:rsid w:val="58B42243"/>
    <w:rsid w:val="58B77EC9"/>
    <w:rsid w:val="58C05B2C"/>
    <w:rsid w:val="58C148A4"/>
    <w:rsid w:val="58C60C50"/>
    <w:rsid w:val="58C63C68"/>
    <w:rsid w:val="58C779E0"/>
    <w:rsid w:val="58CB33B8"/>
    <w:rsid w:val="58CD149A"/>
    <w:rsid w:val="58CD6430"/>
    <w:rsid w:val="58CE3EC4"/>
    <w:rsid w:val="58D07FB1"/>
    <w:rsid w:val="58D36385"/>
    <w:rsid w:val="58D5034F"/>
    <w:rsid w:val="58D565A1"/>
    <w:rsid w:val="58D63B5A"/>
    <w:rsid w:val="58E40592"/>
    <w:rsid w:val="58F46A27"/>
    <w:rsid w:val="58FC6995"/>
    <w:rsid w:val="58FF0090"/>
    <w:rsid w:val="590E3308"/>
    <w:rsid w:val="591502C0"/>
    <w:rsid w:val="5917019C"/>
    <w:rsid w:val="591A6276"/>
    <w:rsid w:val="591E7D02"/>
    <w:rsid w:val="59233F27"/>
    <w:rsid w:val="59246BE1"/>
    <w:rsid w:val="59271254"/>
    <w:rsid w:val="593257A1"/>
    <w:rsid w:val="59335275"/>
    <w:rsid w:val="593820AF"/>
    <w:rsid w:val="593E4146"/>
    <w:rsid w:val="59417793"/>
    <w:rsid w:val="5944329C"/>
    <w:rsid w:val="59457962"/>
    <w:rsid w:val="59494254"/>
    <w:rsid w:val="5955077D"/>
    <w:rsid w:val="59600D84"/>
    <w:rsid w:val="59617E35"/>
    <w:rsid w:val="59674529"/>
    <w:rsid w:val="596A4F3B"/>
    <w:rsid w:val="596C0CB3"/>
    <w:rsid w:val="59766D0E"/>
    <w:rsid w:val="5988716F"/>
    <w:rsid w:val="598C3104"/>
    <w:rsid w:val="5991071A"/>
    <w:rsid w:val="59913403"/>
    <w:rsid w:val="59943D66"/>
    <w:rsid w:val="599C7C2F"/>
    <w:rsid w:val="59B144D1"/>
    <w:rsid w:val="59B51401"/>
    <w:rsid w:val="59B60181"/>
    <w:rsid w:val="59B952BF"/>
    <w:rsid w:val="59C0439F"/>
    <w:rsid w:val="59C15A6E"/>
    <w:rsid w:val="59C77C98"/>
    <w:rsid w:val="59C85138"/>
    <w:rsid w:val="59CD0A8A"/>
    <w:rsid w:val="59D62F16"/>
    <w:rsid w:val="59DD379F"/>
    <w:rsid w:val="59F557ED"/>
    <w:rsid w:val="5A082EEC"/>
    <w:rsid w:val="5A0843A5"/>
    <w:rsid w:val="5A0E1D6B"/>
    <w:rsid w:val="5A0E58C7"/>
    <w:rsid w:val="5A111F61"/>
    <w:rsid w:val="5A146C55"/>
    <w:rsid w:val="5A1E47AC"/>
    <w:rsid w:val="5A1F3552"/>
    <w:rsid w:val="5A3A4BF5"/>
    <w:rsid w:val="5A3B2434"/>
    <w:rsid w:val="5A5B4884"/>
    <w:rsid w:val="5A5D23AA"/>
    <w:rsid w:val="5A6279C1"/>
    <w:rsid w:val="5A645364"/>
    <w:rsid w:val="5A671778"/>
    <w:rsid w:val="5A6C6A91"/>
    <w:rsid w:val="5A776714"/>
    <w:rsid w:val="5A7A07C2"/>
    <w:rsid w:val="5A7F045F"/>
    <w:rsid w:val="5A81358C"/>
    <w:rsid w:val="5A851901"/>
    <w:rsid w:val="5A8B6EFA"/>
    <w:rsid w:val="5A90452E"/>
    <w:rsid w:val="5A945A6D"/>
    <w:rsid w:val="5A950AB4"/>
    <w:rsid w:val="5A9552DA"/>
    <w:rsid w:val="5A9C5213"/>
    <w:rsid w:val="5AA3335A"/>
    <w:rsid w:val="5AAD1584"/>
    <w:rsid w:val="5AB3021C"/>
    <w:rsid w:val="5AB42253"/>
    <w:rsid w:val="5AB5009D"/>
    <w:rsid w:val="5ABE2233"/>
    <w:rsid w:val="5AC97A40"/>
    <w:rsid w:val="5ACC7968"/>
    <w:rsid w:val="5ACE005D"/>
    <w:rsid w:val="5AD05272"/>
    <w:rsid w:val="5AE047D0"/>
    <w:rsid w:val="5AE40D1D"/>
    <w:rsid w:val="5AE4524A"/>
    <w:rsid w:val="5AE76118"/>
    <w:rsid w:val="5AF2343A"/>
    <w:rsid w:val="5AF56D86"/>
    <w:rsid w:val="5AFC4113"/>
    <w:rsid w:val="5AFF5A98"/>
    <w:rsid w:val="5B013AD3"/>
    <w:rsid w:val="5B035F1D"/>
    <w:rsid w:val="5B210DB5"/>
    <w:rsid w:val="5B216452"/>
    <w:rsid w:val="5B231846"/>
    <w:rsid w:val="5B2953CD"/>
    <w:rsid w:val="5B2E7BC6"/>
    <w:rsid w:val="5B2F7149"/>
    <w:rsid w:val="5B31157C"/>
    <w:rsid w:val="5B435A44"/>
    <w:rsid w:val="5B4A391E"/>
    <w:rsid w:val="5B505E97"/>
    <w:rsid w:val="5B506723"/>
    <w:rsid w:val="5B527A35"/>
    <w:rsid w:val="5B5E0F00"/>
    <w:rsid w:val="5B5F1EF6"/>
    <w:rsid w:val="5B6A7475"/>
    <w:rsid w:val="5B6D277B"/>
    <w:rsid w:val="5B6E1EEF"/>
    <w:rsid w:val="5B745BFD"/>
    <w:rsid w:val="5B81382C"/>
    <w:rsid w:val="5B81656C"/>
    <w:rsid w:val="5B841BB9"/>
    <w:rsid w:val="5B955B74"/>
    <w:rsid w:val="5B9C6F02"/>
    <w:rsid w:val="5BA652E6"/>
    <w:rsid w:val="5BB4249E"/>
    <w:rsid w:val="5BB66779"/>
    <w:rsid w:val="5BC621D1"/>
    <w:rsid w:val="5BC85EC2"/>
    <w:rsid w:val="5BD267CD"/>
    <w:rsid w:val="5BD82550"/>
    <w:rsid w:val="5BD93AAF"/>
    <w:rsid w:val="5BDF5D95"/>
    <w:rsid w:val="5BE10F4F"/>
    <w:rsid w:val="5BE8603E"/>
    <w:rsid w:val="5BF05A94"/>
    <w:rsid w:val="5BF316E9"/>
    <w:rsid w:val="5BF32581"/>
    <w:rsid w:val="5BFE7528"/>
    <w:rsid w:val="5BFF1EBC"/>
    <w:rsid w:val="5C001082"/>
    <w:rsid w:val="5C022769"/>
    <w:rsid w:val="5C0B1085"/>
    <w:rsid w:val="5C243542"/>
    <w:rsid w:val="5C2646A0"/>
    <w:rsid w:val="5C2A4A7C"/>
    <w:rsid w:val="5C337973"/>
    <w:rsid w:val="5C366DE5"/>
    <w:rsid w:val="5C380EFD"/>
    <w:rsid w:val="5C3E620B"/>
    <w:rsid w:val="5C3F4C32"/>
    <w:rsid w:val="5C515F3F"/>
    <w:rsid w:val="5C597627"/>
    <w:rsid w:val="5C602626"/>
    <w:rsid w:val="5C707C69"/>
    <w:rsid w:val="5C7252D6"/>
    <w:rsid w:val="5C78032E"/>
    <w:rsid w:val="5C786CE2"/>
    <w:rsid w:val="5C7E0AD3"/>
    <w:rsid w:val="5C7E485A"/>
    <w:rsid w:val="5C846314"/>
    <w:rsid w:val="5C86202D"/>
    <w:rsid w:val="5C9127DF"/>
    <w:rsid w:val="5C9F08E2"/>
    <w:rsid w:val="5CAF2C65"/>
    <w:rsid w:val="5CB7658D"/>
    <w:rsid w:val="5CB8571F"/>
    <w:rsid w:val="5CB9569D"/>
    <w:rsid w:val="5CBF559E"/>
    <w:rsid w:val="5CC04E72"/>
    <w:rsid w:val="5CC83A13"/>
    <w:rsid w:val="5CD3602B"/>
    <w:rsid w:val="5CD526CC"/>
    <w:rsid w:val="5CD611CD"/>
    <w:rsid w:val="5CDC1CAC"/>
    <w:rsid w:val="5CDD1714"/>
    <w:rsid w:val="5CEF1FEE"/>
    <w:rsid w:val="5CF561F1"/>
    <w:rsid w:val="5CFA7B59"/>
    <w:rsid w:val="5CFE4BC6"/>
    <w:rsid w:val="5D04012A"/>
    <w:rsid w:val="5D05652B"/>
    <w:rsid w:val="5D086F45"/>
    <w:rsid w:val="5D0F6E2D"/>
    <w:rsid w:val="5D135CE5"/>
    <w:rsid w:val="5D137698"/>
    <w:rsid w:val="5D192F00"/>
    <w:rsid w:val="5D211DB5"/>
    <w:rsid w:val="5D272F0E"/>
    <w:rsid w:val="5D283143"/>
    <w:rsid w:val="5D304024"/>
    <w:rsid w:val="5D385AAC"/>
    <w:rsid w:val="5D404F39"/>
    <w:rsid w:val="5D4D4958"/>
    <w:rsid w:val="5D4D7795"/>
    <w:rsid w:val="5D4D7E0E"/>
    <w:rsid w:val="5D4F6922"/>
    <w:rsid w:val="5D544D6E"/>
    <w:rsid w:val="5D5757D7"/>
    <w:rsid w:val="5D5A7075"/>
    <w:rsid w:val="5D5B3FA4"/>
    <w:rsid w:val="5D5C7C44"/>
    <w:rsid w:val="5D6166D5"/>
    <w:rsid w:val="5D6A5F96"/>
    <w:rsid w:val="5D7925EB"/>
    <w:rsid w:val="5D7A3273"/>
    <w:rsid w:val="5D7E5BC5"/>
    <w:rsid w:val="5D7F0889"/>
    <w:rsid w:val="5D801223"/>
    <w:rsid w:val="5D810DE2"/>
    <w:rsid w:val="5D825803"/>
    <w:rsid w:val="5D825EEF"/>
    <w:rsid w:val="5D82610C"/>
    <w:rsid w:val="5D8365CC"/>
    <w:rsid w:val="5D992B1E"/>
    <w:rsid w:val="5D9930F7"/>
    <w:rsid w:val="5D9C777F"/>
    <w:rsid w:val="5D9E282E"/>
    <w:rsid w:val="5DA25C68"/>
    <w:rsid w:val="5DB20C5F"/>
    <w:rsid w:val="5DB449D7"/>
    <w:rsid w:val="5DB52A16"/>
    <w:rsid w:val="5DBC1ADE"/>
    <w:rsid w:val="5DC82230"/>
    <w:rsid w:val="5DD07C35"/>
    <w:rsid w:val="5DDD21FF"/>
    <w:rsid w:val="5DF11787"/>
    <w:rsid w:val="5DF525E1"/>
    <w:rsid w:val="5DF71957"/>
    <w:rsid w:val="5E045CCF"/>
    <w:rsid w:val="5E054AEE"/>
    <w:rsid w:val="5E084FAF"/>
    <w:rsid w:val="5E0A46E4"/>
    <w:rsid w:val="5E14233C"/>
    <w:rsid w:val="5E176D14"/>
    <w:rsid w:val="5E1907A7"/>
    <w:rsid w:val="5E192A8C"/>
    <w:rsid w:val="5E203E1A"/>
    <w:rsid w:val="5E2467F1"/>
    <w:rsid w:val="5E2D4789"/>
    <w:rsid w:val="5E2E5EAF"/>
    <w:rsid w:val="5E314706"/>
    <w:rsid w:val="5E332CA0"/>
    <w:rsid w:val="5E3577AE"/>
    <w:rsid w:val="5E364C03"/>
    <w:rsid w:val="5E3A75F2"/>
    <w:rsid w:val="5E3B2D26"/>
    <w:rsid w:val="5E3E24F3"/>
    <w:rsid w:val="5E5166CA"/>
    <w:rsid w:val="5E53552F"/>
    <w:rsid w:val="5E5A661E"/>
    <w:rsid w:val="5E68300E"/>
    <w:rsid w:val="5E6B7C10"/>
    <w:rsid w:val="5E753226"/>
    <w:rsid w:val="5E767EDE"/>
    <w:rsid w:val="5E7A23D3"/>
    <w:rsid w:val="5E7A79CF"/>
    <w:rsid w:val="5E7B54F5"/>
    <w:rsid w:val="5E7D301B"/>
    <w:rsid w:val="5E7F3181"/>
    <w:rsid w:val="5E8C743B"/>
    <w:rsid w:val="5E950D9B"/>
    <w:rsid w:val="5E9F4D52"/>
    <w:rsid w:val="5EA467FA"/>
    <w:rsid w:val="5EAA7B88"/>
    <w:rsid w:val="5EAC3900"/>
    <w:rsid w:val="5EAF5C0D"/>
    <w:rsid w:val="5EBA10CB"/>
    <w:rsid w:val="5ED56E00"/>
    <w:rsid w:val="5ED66A05"/>
    <w:rsid w:val="5EE04CED"/>
    <w:rsid w:val="5EE276D6"/>
    <w:rsid w:val="5EF332DD"/>
    <w:rsid w:val="5EF419D5"/>
    <w:rsid w:val="5EFA4ACA"/>
    <w:rsid w:val="5F081AA9"/>
    <w:rsid w:val="5F090814"/>
    <w:rsid w:val="5F1863C2"/>
    <w:rsid w:val="5F1A2B43"/>
    <w:rsid w:val="5F245349"/>
    <w:rsid w:val="5F282976"/>
    <w:rsid w:val="5F32098F"/>
    <w:rsid w:val="5F335DCF"/>
    <w:rsid w:val="5F343FED"/>
    <w:rsid w:val="5F351B48"/>
    <w:rsid w:val="5F4104EC"/>
    <w:rsid w:val="5F481E52"/>
    <w:rsid w:val="5F547781"/>
    <w:rsid w:val="5F555D46"/>
    <w:rsid w:val="5F5B1C69"/>
    <w:rsid w:val="5F5C6376"/>
    <w:rsid w:val="5F695C89"/>
    <w:rsid w:val="5F797C86"/>
    <w:rsid w:val="5F812FDF"/>
    <w:rsid w:val="5F8B055D"/>
    <w:rsid w:val="5F8F5867"/>
    <w:rsid w:val="5FA02721"/>
    <w:rsid w:val="5FA55B60"/>
    <w:rsid w:val="5FAE5456"/>
    <w:rsid w:val="5FB1776A"/>
    <w:rsid w:val="5FB837BB"/>
    <w:rsid w:val="5FBE55C6"/>
    <w:rsid w:val="5FC25CE5"/>
    <w:rsid w:val="5FC37153"/>
    <w:rsid w:val="5FCE2FF8"/>
    <w:rsid w:val="5FD0793B"/>
    <w:rsid w:val="5FD45778"/>
    <w:rsid w:val="5FDE5D3B"/>
    <w:rsid w:val="5FE2150A"/>
    <w:rsid w:val="5FE30310"/>
    <w:rsid w:val="5FE42214"/>
    <w:rsid w:val="5FE873D0"/>
    <w:rsid w:val="5FF6774F"/>
    <w:rsid w:val="5FFB3DE8"/>
    <w:rsid w:val="5FFB4B3F"/>
    <w:rsid w:val="5FFB6866"/>
    <w:rsid w:val="5FFC6471"/>
    <w:rsid w:val="60065292"/>
    <w:rsid w:val="6008100A"/>
    <w:rsid w:val="600D6620"/>
    <w:rsid w:val="60161979"/>
    <w:rsid w:val="60200102"/>
    <w:rsid w:val="603B7D38"/>
    <w:rsid w:val="60421B4F"/>
    <w:rsid w:val="60432042"/>
    <w:rsid w:val="60463150"/>
    <w:rsid w:val="604858AA"/>
    <w:rsid w:val="604B19ED"/>
    <w:rsid w:val="605A0EC0"/>
    <w:rsid w:val="60625B06"/>
    <w:rsid w:val="60630009"/>
    <w:rsid w:val="60673F83"/>
    <w:rsid w:val="606B7E4D"/>
    <w:rsid w:val="606D4D9C"/>
    <w:rsid w:val="606F4BE5"/>
    <w:rsid w:val="60724C1A"/>
    <w:rsid w:val="6074641D"/>
    <w:rsid w:val="60752858"/>
    <w:rsid w:val="607B7A2E"/>
    <w:rsid w:val="60805044"/>
    <w:rsid w:val="608B2ACD"/>
    <w:rsid w:val="609355AC"/>
    <w:rsid w:val="60A30D33"/>
    <w:rsid w:val="60A3109B"/>
    <w:rsid w:val="60AE3960"/>
    <w:rsid w:val="60B314CB"/>
    <w:rsid w:val="60B66CB8"/>
    <w:rsid w:val="60C05A4B"/>
    <w:rsid w:val="60C3607A"/>
    <w:rsid w:val="60C7316A"/>
    <w:rsid w:val="60CC405A"/>
    <w:rsid w:val="60D41DC6"/>
    <w:rsid w:val="60D55FD5"/>
    <w:rsid w:val="60D777F7"/>
    <w:rsid w:val="60D90D70"/>
    <w:rsid w:val="60F47C06"/>
    <w:rsid w:val="60F77D31"/>
    <w:rsid w:val="60F90953"/>
    <w:rsid w:val="60FD39DD"/>
    <w:rsid w:val="6108329D"/>
    <w:rsid w:val="61102ADC"/>
    <w:rsid w:val="61137C66"/>
    <w:rsid w:val="61170069"/>
    <w:rsid w:val="611834CF"/>
    <w:rsid w:val="611B5BCB"/>
    <w:rsid w:val="611C3039"/>
    <w:rsid w:val="6122189C"/>
    <w:rsid w:val="613C540F"/>
    <w:rsid w:val="613F6527"/>
    <w:rsid w:val="614451C0"/>
    <w:rsid w:val="614573E3"/>
    <w:rsid w:val="61475B62"/>
    <w:rsid w:val="61485FA9"/>
    <w:rsid w:val="614A363A"/>
    <w:rsid w:val="615C785F"/>
    <w:rsid w:val="61646DB2"/>
    <w:rsid w:val="616825C9"/>
    <w:rsid w:val="61821EFA"/>
    <w:rsid w:val="618B189D"/>
    <w:rsid w:val="61911D64"/>
    <w:rsid w:val="6192725F"/>
    <w:rsid w:val="61962496"/>
    <w:rsid w:val="619A2136"/>
    <w:rsid w:val="619E0691"/>
    <w:rsid w:val="619E7FBB"/>
    <w:rsid w:val="619F22FA"/>
    <w:rsid w:val="61A72C76"/>
    <w:rsid w:val="61AF1DF2"/>
    <w:rsid w:val="61BA6334"/>
    <w:rsid w:val="61C3168D"/>
    <w:rsid w:val="61CB6793"/>
    <w:rsid w:val="61DF4125"/>
    <w:rsid w:val="61E15FB7"/>
    <w:rsid w:val="61E215D8"/>
    <w:rsid w:val="61E22AA6"/>
    <w:rsid w:val="61E810F3"/>
    <w:rsid w:val="61E909C7"/>
    <w:rsid w:val="61F23D20"/>
    <w:rsid w:val="61F4324D"/>
    <w:rsid w:val="62012912"/>
    <w:rsid w:val="62050071"/>
    <w:rsid w:val="620A01BD"/>
    <w:rsid w:val="62130274"/>
    <w:rsid w:val="621B3277"/>
    <w:rsid w:val="621B3775"/>
    <w:rsid w:val="6220263B"/>
    <w:rsid w:val="622D735F"/>
    <w:rsid w:val="622F287E"/>
    <w:rsid w:val="62364782"/>
    <w:rsid w:val="6242358F"/>
    <w:rsid w:val="62483940"/>
    <w:rsid w:val="62505015"/>
    <w:rsid w:val="62682234"/>
    <w:rsid w:val="62683FE2"/>
    <w:rsid w:val="626D0E8C"/>
    <w:rsid w:val="626F143E"/>
    <w:rsid w:val="62730E1A"/>
    <w:rsid w:val="627562FB"/>
    <w:rsid w:val="62764CD1"/>
    <w:rsid w:val="62780D32"/>
    <w:rsid w:val="62782477"/>
    <w:rsid w:val="627A2543"/>
    <w:rsid w:val="62862440"/>
    <w:rsid w:val="628F77C1"/>
    <w:rsid w:val="62965FDD"/>
    <w:rsid w:val="62A2415D"/>
    <w:rsid w:val="62AA4E0C"/>
    <w:rsid w:val="62BB6808"/>
    <w:rsid w:val="62BD2580"/>
    <w:rsid w:val="62C751AC"/>
    <w:rsid w:val="62CA43F4"/>
    <w:rsid w:val="62CD16A2"/>
    <w:rsid w:val="62CE6153"/>
    <w:rsid w:val="62D850E1"/>
    <w:rsid w:val="62DB0C58"/>
    <w:rsid w:val="62DD052C"/>
    <w:rsid w:val="62DE42A4"/>
    <w:rsid w:val="62E0626E"/>
    <w:rsid w:val="62EA7BC4"/>
    <w:rsid w:val="62F16356"/>
    <w:rsid w:val="62F535A5"/>
    <w:rsid w:val="62FC5DF5"/>
    <w:rsid w:val="630006BE"/>
    <w:rsid w:val="630C7063"/>
    <w:rsid w:val="632A4D2F"/>
    <w:rsid w:val="6332204E"/>
    <w:rsid w:val="63333959"/>
    <w:rsid w:val="633A772C"/>
    <w:rsid w:val="63400ABB"/>
    <w:rsid w:val="634B204D"/>
    <w:rsid w:val="634B5064"/>
    <w:rsid w:val="634D493A"/>
    <w:rsid w:val="634E7A38"/>
    <w:rsid w:val="634F7EFD"/>
    <w:rsid w:val="63533FB2"/>
    <w:rsid w:val="63575F86"/>
    <w:rsid w:val="635E2145"/>
    <w:rsid w:val="636B3D8A"/>
    <w:rsid w:val="637864A7"/>
    <w:rsid w:val="63830EBF"/>
    <w:rsid w:val="63872EA1"/>
    <w:rsid w:val="63882ECF"/>
    <w:rsid w:val="638906B4"/>
    <w:rsid w:val="638B6022"/>
    <w:rsid w:val="6394356A"/>
    <w:rsid w:val="63966C4F"/>
    <w:rsid w:val="6397692D"/>
    <w:rsid w:val="63A728E8"/>
    <w:rsid w:val="63AB1608"/>
    <w:rsid w:val="63AB2B59"/>
    <w:rsid w:val="63AD6150"/>
    <w:rsid w:val="63B15515"/>
    <w:rsid w:val="63C04299"/>
    <w:rsid w:val="63C61B2C"/>
    <w:rsid w:val="63D40BE9"/>
    <w:rsid w:val="63D731CD"/>
    <w:rsid w:val="63EC71C4"/>
    <w:rsid w:val="63F5327F"/>
    <w:rsid w:val="63FF0976"/>
    <w:rsid w:val="64102431"/>
    <w:rsid w:val="641547BC"/>
    <w:rsid w:val="64236413"/>
    <w:rsid w:val="642672F2"/>
    <w:rsid w:val="64307799"/>
    <w:rsid w:val="64352090"/>
    <w:rsid w:val="64395C36"/>
    <w:rsid w:val="644B7717"/>
    <w:rsid w:val="64547FAC"/>
    <w:rsid w:val="647D25A0"/>
    <w:rsid w:val="647F3E3F"/>
    <w:rsid w:val="64833355"/>
    <w:rsid w:val="64864A8D"/>
    <w:rsid w:val="648860D2"/>
    <w:rsid w:val="648B3FB8"/>
    <w:rsid w:val="649B244D"/>
    <w:rsid w:val="64A137DB"/>
    <w:rsid w:val="64A21A2D"/>
    <w:rsid w:val="64A24935"/>
    <w:rsid w:val="64A31F9E"/>
    <w:rsid w:val="64A5243A"/>
    <w:rsid w:val="64A86918"/>
    <w:rsid w:val="64AB4917"/>
    <w:rsid w:val="64AE2BB3"/>
    <w:rsid w:val="64BA3685"/>
    <w:rsid w:val="64C30C37"/>
    <w:rsid w:val="64C33752"/>
    <w:rsid w:val="64C34EAA"/>
    <w:rsid w:val="64C427F4"/>
    <w:rsid w:val="64C84793"/>
    <w:rsid w:val="64CD1E40"/>
    <w:rsid w:val="64D12312"/>
    <w:rsid w:val="64D616D7"/>
    <w:rsid w:val="64D87C17"/>
    <w:rsid w:val="64D94D23"/>
    <w:rsid w:val="64EF2799"/>
    <w:rsid w:val="64F52E5B"/>
    <w:rsid w:val="64F531DE"/>
    <w:rsid w:val="64F54673"/>
    <w:rsid w:val="64F7034C"/>
    <w:rsid w:val="64F92C6C"/>
    <w:rsid w:val="651025ED"/>
    <w:rsid w:val="651248C9"/>
    <w:rsid w:val="65125C97"/>
    <w:rsid w:val="65166E5E"/>
    <w:rsid w:val="651E4E2C"/>
    <w:rsid w:val="65273CE0"/>
    <w:rsid w:val="652C579B"/>
    <w:rsid w:val="65314B5F"/>
    <w:rsid w:val="6532281F"/>
    <w:rsid w:val="653366AA"/>
    <w:rsid w:val="65360343"/>
    <w:rsid w:val="65363F24"/>
    <w:rsid w:val="65373578"/>
    <w:rsid w:val="653E678C"/>
    <w:rsid w:val="6540461C"/>
    <w:rsid w:val="6557002C"/>
    <w:rsid w:val="65586590"/>
    <w:rsid w:val="655E3235"/>
    <w:rsid w:val="656211BC"/>
    <w:rsid w:val="657F58CB"/>
    <w:rsid w:val="6582360D"/>
    <w:rsid w:val="65863730"/>
    <w:rsid w:val="658B50AB"/>
    <w:rsid w:val="658E055A"/>
    <w:rsid w:val="65913850"/>
    <w:rsid w:val="65974A7A"/>
    <w:rsid w:val="65995CB3"/>
    <w:rsid w:val="659F29DB"/>
    <w:rsid w:val="65A403B9"/>
    <w:rsid w:val="65A801B0"/>
    <w:rsid w:val="65AA5109"/>
    <w:rsid w:val="65B337C6"/>
    <w:rsid w:val="65B50011"/>
    <w:rsid w:val="65B8469F"/>
    <w:rsid w:val="65BC6B1F"/>
    <w:rsid w:val="65D425B6"/>
    <w:rsid w:val="65D63E65"/>
    <w:rsid w:val="65D9200F"/>
    <w:rsid w:val="65E23E01"/>
    <w:rsid w:val="65E41BD1"/>
    <w:rsid w:val="65E92619"/>
    <w:rsid w:val="65EE12C8"/>
    <w:rsid w:val="65F1704F"/>
    <w:rsid w:val="65F825D2"/>
    <w:rsid w:val="65FA69A9"/>
    <w:rsid w:val="66014531"/>
    <w:rsid w:val="660D1128"/>
    <w:rsid w:val="661173DF"/>
    <w:rsid w:val="6615622F"/>
    <w:rsid w:val="66157FDD"/>
    <w:rsid w:val="6624731C"/>
    <w:rsid w:val="66456B14"/>
    <w:rsid w:val="66481966"/>
    <w:rsid w:val="665C5C0C"/>
    <w:rsid w:val="665E2B8B"/>
    <w:rsid w:val="665F7549"/>
    <w:rsid w:val="66650F64"/>
    <w:rsid w:val="66664497"/>
    <w:rsid w:val="667016B7"/>
    <w:rsid w:val="66733AB8"/>
    <w:rsid w:val="667B7C8F"/>
    <w:rsid w:val="667C4500"/>
    <w:rsid w:val="66860EDB"/>
    <w:rsid w:val="66991B04"/>
    <w:rsid w:val="669C4076"/>
    <w:rsid w:val="66A12CE9"/>
    <w:rsid w:val="66A15D14"/>
    <w:rsid w:val="66A441AA"/>
    <w:rsid w:val="66AA6977"/>
    <w:rsid w:val="66B05A50"/>
    <w:rsid w:val="66B94E0C"/>
    <w:rsid w:val="66BE68C6"/>
    <w:rsid w:val="66E04A8F"/>
    <w:rsid w:val="66EE205E"/>
    <w:rsid w:val="66EF4CD2"/>
    <w:rsid w:val="66F93E21"/>
    <w:rsid w:val="670D5158"/>
    <w:rsid w:val="67136C12"/>
    <w:rsid w:val="671A4ED2"/>
    <w:rsid w:val="671D183F"/>
    <w:rsid w:val="671F124A"/>
    <w:rsid w:val="672E5D64"/>
    <w:rsid w:val="672F50CE"/>
    <w:rsid w:val="67310E46"/>
    <w:rsid w:val="673124E6"/>
    <w:rsid w:val="6739647A"/>
    <w:rsid w:val="673A776E"/>
    <w:rsid w:val="673C7B87"/>
    <w:rsid w:val="673D6D3E"/>
    <w:rsid w:val="67407898"/>
    <w:rsid w:val="6743005D"/>
    <w:rsid w:val="674522B1"/>
    <w:rsid w:val="674763B5"/>
    <w:rsid w:val="6754503C"/>
    <w:rsid w:val="675B29A9"/>
    <w:rsid w:val="675E6100"/>
    <w:rsid w:val="67670EBA"/>
    <w:rsid w:val="676B42A5"/>
    <w:rsid w:val="67717471"/>
    <w:rsid w:val="677A33C6"/>
    <w:rsid w:val="67824A04"/>
    <w:rsid w:val="678F0F40"/>
    <w:rsid w:val="67A535E2"/>
    <w:rsid w:val="67A7735B"/>
    <w:rsid w:val="67C32490"/>
    <w:rsid w:val="67C47F0C"/>
    <w:rsid w:val="67D13F7B"/>
    <w:rsid w:val="67D21C22"/>
    <w:rsid w:val="67D363A2"/>
    <w:rsid w:val="67DA0714"/>
    <w:rsid w:val="67DF665A"/>
    <w:rsid w:val="67E45EB9"/>
    <w:rsid w:val="67EE0F29"/>
    <w:rsid w:val="67F26828"/>
    <w:rsid w:val="67F323F9"/>
    <w:rsid w:val="67F867D3"/>
    <w:rsid w:val="67FC1454"/>
    <w:rsid w:val="67FD341E"/>
    <w:rsid w:val="680C2702"/>
    <w:rsid w:val="680F60CC"/>
    <w:rsid w:val="68157DDB"/>
    <w:rsid w:val="68175212"/>
    <w:rsid w:val="681C14B2"/>
    <w:rsid w:val="681F0FC4"/>
    <w:rsid w:val="681F6961"/>
    <w:rsid w:val="68270D00"/>
    <w:rsid w:val="682E0B6C"/>
    <w:rsid w:val="68307574"/>
    <w:rsid w:val="6844215C"/>
    <w:rsid w:val="68491692"/>
    <w:rsid w:val="684B23DC"/>
    <w:rsid w:val="684B69CC"/>
    <w:rsid w:val="68513B88"/>
    <w:rsid w:val="685456D4"/>
    <w:rsid w:val="68573DCC"/>
    <w:rsid w:val="68610A2F"/>
    <w:rsid w:val="68662D72"/>
    <w:rsid w:val="68670295"/>
    <w:rsid w:val="68686AEA"/>
    <w:rsid w:val="686D4100"/>
    <w:rsid w:val="687221D0"/>
    <w:rsid w:val="68734351"/>
    <w:rsid w:val="68780763"/>
    <w:rsid w:val="687C2595"/>
    <w:rsid w:val="68805514"/>
    <w:rsid w:val="68886FC7"/>
    <w:rsid w:val="689A2A1B"/>
    <w:rsid w:val="689C2C37"/>
    <w:rsid w:val="68AA0DA2"/>
    <w:rsid w:val="68AE4433"/>
    <w:rsid w:val="68B303D2"/>
    <w:rsid w:val="68BC70DE"/>
    <w:rsid w:val="68CB1F73"/>
    <w:rsid w:val="68CE2525"/>
    <w:rsid w:val="68D0468F"/>
    <w:rsid w:val="68D128E1"/>
    <w:rsid w:val="68D15DD6"/>
    <w:rsid w:val="68DA686F"/>
    <w:rsid w:val="68E12A50"/>
    <w:rsid w:val="68E35BA7"/>
    <w:rsid w:val="68F25280"/>
    <w:rsid w:val="68F55EA4"/>
    <w:rsid w:val="69036813"/>
    <w:rsid w:val="69134845"/>
    <w:rsid w:val="691F1916"/>
    <w:rsid w:val="692109DB"/>
    <w:rsid w:val="69275FCC"/>
    <w:rsid w:val="69316E2F"/>
    <w:rsid w:val="693B41FE"/>
    <w:rsid w:val="69407A67"/>
    <w:rsid w:val="694330B1"/>
    <w:rsid w:val="69482477"/>
    <w:rsid w:val="694E2071"/>
    <w:rsid w:val="695B21AB"/>
    <w:rsid w:val="69605A02"/>
    <w:rsid w:val="696061C4"/>
    <w:rsid w:val="69643316"/>
    <w:rsid w:val="696848C8"/>
    <w:rsid w:val="69766163"/>
    <w:rsid w:val="697A3B33"/>
    <w:rsid w:val="697D0373"/>
    <w:rsid w:val="69823BDB"/>
    <w:rsid w:val="69842CB6"/>
    <w:rsid w:val="698536CB"/>
    <w:rsid w:val="69884D00"/>
    <w:rsid w:val="69975429"/>
    <w:rsid w:val="699F653B"/>
    <w:rsid w:val="69A17166"/>
    <w:rsid w:val="69B131BD"/>
    <w:rsid w:val="69B67D29"/>
    <w:rsid w:val="69BF098B"/>
    <w:rsid w:val="69C06FC4"/>
    <w:rsid w:val="69C1430F"/>
    <w:rsid w:val="69C307DB"/>
    <w:rsid w:val="69C35833"/>
    <w:rsid w:val="69C56585"/>
    <w:rsid w:val="69C73CE4"/>
    <w:rsid w:val="69C772C7"/>
    <w:rsid w:val="69CC30A8"/>
    <w:rsid w:val="69D44760"/>
    <w:rsid w:val="69DD324F"/>
    <w:rsid w:val="69E46644"/>
    <w:rsid w:val="69EC54F9"/>
    <w:rsid w:val="69F206B3"/>
    <w:rsid w:val="69F820EF"/>
    <w:rsid w:val="6A0171F6"/>
    <w:rsid w:val="6A0665BA"/>
    <w:rsid w:val="6A0D09E3"/>
    <w:rsid w:val="6A130FC8"/>
    <w:rsid w:val="6A142C57"/>
    <w:rsid w:val="6A1A7B2E"/>
    <w:rsid w:val="6A1F6DD5"/>
    <w:rsid w:val="6A266C5C"/>
    <w:rsid w:val="6A2E5F52"/>
    <w:rsid w:val="6A367716"/>
    <w:rsid w:val="6A4041D9"/>
    <w:rsid w:val="6A4172C4"/>
    <w:rsid w:val="6A451B01"/>
    <w:rsid w:val="6A470981"/>
    <w:rsid w:val="6A48145B"/>
    <w:rsid w:val="6A4A2640"/>
    <w:rsid w:val="6A4B221F"/>
    <w:rsid w:val="6A517376"/>
    <w:rsid w:val="6A520EC7"/>
    <w:rsid w:val="6A5D6751"/>
    <w:rsid w:val="6A5E63F6"/>
    <w:rsid w:val="6A5E6A79"/>
    <w:rsid w:val="6A647785"/>
    <w:rsid w:val="6A661DB2"/>
    <w:rsid w:val="6A6908F7"/>
    <w:rsid w:val="6A6C100F"/>
    <w:rsid w:val="6A774E57"/>
    <w:rsid w:val="6A78373A"/>
    <w:rsid w:val="6A7C02EA"/>
    <w:rsid w:val="6A7C062B"/>
    <w:rsid w:val="6A941E18"/>
    <w:rsid w:val="6A9976AA"/>
    <w:rsid w:val="6A9C0CCD"/>
    <w:rsid w:val="6A9C454D"/>
    <w:rsid w:val="6AA27434"/>
    <w:rsid w:val="6AA620F6"/>
    <w:rsid w:val="6AA67D9D"/>
    <w:rsid w:val="6AAF0A00"/>
    <w:rsid w:val="6ABD7B87"/>
    <w:rsid w:val="6AC04037"/>
    <w:rsid w:val="6AD22940"/>
    <w:rsid w:val="6AD87A50"/>
    <w:rsid w:val="6AE65374"/>
    <w:rsid w:val="6AF418AC"/>
    <w:rsid w:val="6AF537E8"/>
    <w:rsid w:val="6AF87E20"/>
    <w:rsid w:val="6AFB3812"/>
    <w:rsid w:val="6B014FD4"/>
    <w:rsid w:val="6B064398"/>
    <w:rsid w:val="6B076825"/>
    <w:rsid w:val="6B0A3E88"/>
    <w:rsid w:val="6B102C5F"/>
    <w:rsid w:val="6B120527"/>
    <w:rsid w:val="6B146AB5"/>
    <w:rsid w:val="6B1E0911"/>
    <w:rsid w:val="6B1E1180"/>
    <w:rsid w:val="6B1F1612"/>
    <w:rsid w:val="6B2132CA"/>
    <w:rsid w:val="6B244B6D"/>
    <w:rsid w:val="6B2552F2"/>
    <w:rsid w:val="6B267FC9"/>
    <w:rsid w:val="6B2C02A3"/>
    <w:rsid w:val="6B322639"/>
    <w:rsid w:val="6B347157"/>
    <w:rsid w:val="6B3717AA"/>
    <w:rsid w:val="6B427AC6"/>
    <w:rsid w:val="6B44347E"/>
    <w:rsid w:val="6B4750DC"/>
    <w:rsid w:val="6B4B624F"/>
    <w:rsid w:val="6B534390"/>
    <w:rsid w:val="6B561E68"/>
    <w:rsid w:val="6B581C2E"/>
    <w:rsid w:val="6B7E3BB8"/>
    <w:rsid w:val="6B8148C3"/>
    <w:rsid w:val="6B846E93"/>
    <w:rsid w:val="6B8E6777"/>
    <w:rsid w:val="6B8F39A2"/>
    <w:rsid w:val="6B9126CE"/>
    <w:rsid w:val="6B9145AA"/>
    <w:rsid w:val="6B927441"/>
    <w:rsid w:val="6B945E48"/>
    <w:rsid w:val="6B95409A"/>
    <w:rsid w:val="6BA75E62"/>
    <w:rsid w:val="6BA845D7"/>
    <w:rsid w:val="6BAF67DE"/>
    <w:rsid w:val="6BB22871"/>
    <w:rsid w:val="6BB24174"/>
    <w:rsid w:val="6BCA0CBA"/>
    <w:rsid w:val="6BCC55E2"/>
    <w:rsid w:val="6BCF0C2E"/>
    <w:rsid w:val="6BD3607E"/>
    <w:rsid w:val="6BE813A9"/>
    <w:rsid w:val="6BF1329A"/>
    <w:rsid w:val="6BF54B38"/>
    <w:rsid w:val="6BFA3EFD"/>
    <w:rsid w:val="6BFB265E"/>
    <w:rsid w:val="6BFD522C"/>
    <w:rsid w:val="6C0410C4"/>
    <w:rsid w:val="6C0956B9"/>
    <w:rsid w:val="6C134FBF"/>
    <w:rsid w:val="6C164AAF"/>
    <w:rsid w:val="6C1A00FB"/>
    <w:rsid w:val="6C1D31AD"/>
    <w:rsid w:val="6C1D48F5"/>
    <w:rsid w:val="6C1F5711"/>
    <w:rsid w:val="6C2F0185"/>
    <w:rsid w:val="6C36516A"/>
    <w:rsid w:val="6C470F2C"/>
    <w:rsid w:val="6C4A3A1B"/>
    <w:rsid w:val="6C500390"/>
    <w:rsid w:val="6C5E66E4"/>
    <w:rsid w:val="6C636C38"/>
    <w:rsid w:val="6C64581A"/>
    <w:rsid w:val="6C6A340F"/>
    <w:rsid w:val="6C6C46CF"/>
    <w:rsid w:val="6C79668F"/>
    <w:rsid w:val="6C7D38A7"/>
    <w:rsid w:val="6C8163CC"/>
    <w:rsid w:val="6C895281"/>
    <w:rsid w:val="6C8A36F6"/>
    <w:rsid w:val="6C8F4525"/>
    <w:rsid w:val="6C90660F"/>
    <w:rsid w:val="6C9C4FB4"/>
    <w:rsid w:val="6C9F2CF6"/>
    <w:rsid w:val="6CA35B57"/>
    <w:rsid w:val="6CA746A2"/>
    <w:rsid w:val="6CBC7404"/>
    <w:rsid w:val="6CC5087E"/>
    <w:rsid w:val="6CC56897"/>
    <w:rsid w:val="6CC728CD"/>
    <w:rsid w:val="6CD137EF"/>
    <w:rsid w:val="6CD72E43"/>
    <w:rsid w:val="6CD75B43"/>
    <w:rsid w:val="6CD96208"/>
    <w:rsid w:val="6CE60925"/>
    <w:rsid w:val="6CE70B18"/>
    <w:rsid w:val="6CEC658F"/>
    <w:rsid w:val="6CED562C"/>
    <w:rsid w:val="6CEE7524"/>
    <w:rsid w:val="6CF65B51"/>
    <w:rsid w:val="6D070FDD"/>
    <w:rsid w:val="6D072E5F"/>
    <w:rsid w:val="6D107750"/>
    <w:rsid w:val="6D147240"/>
    <w:rsid w:val="6D1E2C9E"/>
    <w:rsid w:val="6D2173BD"/>
    <w:rsid w:val="6D2233F4"/>
    <w:rsid w:val="6D24244C"/>
    <w:rsid w:val="6D2C52A2"/>
    <w:rsid w:val="6D3276C6"/>
    <w:rsid w:val="6D3377BA"/>
    <w:rsid w:val="6D3B1F6A"/>
    <w:rsid w:val="6D3B47CD"/>
    <w:rsid w:val="6D3E250F"/>
    <w:rsid w:val="6D3F32E1"/>
    <w:rsid w:val="6D4441F0"/>
    <w:rsid w:val="6D454C6D"/>
    <w:rsid w:val="6D45732E"/>
    <w:rsid w:val="6D4E3707"/>
    <w:rsid w:val="6D527FA3"/>
    <w:rsid w:val="6D547851"/>
    <w:rsid w:val="6D597451"/>
    <w:rsid w:val="6D5E4122"/>
    <w:rsid w:val="6D5E5758"/>
    <w:rsid w:val="6D605FE2"/>
    <w:rsid w:val="6D607FEE"/>
    <w:rsid w:val="6D657A9C"/>
    <w:rsid w:val="6D6A50B2"/>
    <w:rsid w:val="6D714C37"/>
    <w:rsid w:val="6D717A38"/>
    <w:rsid w:val="6D77332B"/>
    <w:rsid w:val="6D7A0423"/>
    <w:rsid w:val="6D7B2E1B"/>
    <w:rsid w:val="6D7E0B5E"/>
    <w:rsid w:val="6D8A12B0"/>
    <w:rsid w:val="6DA53142"/>
    <w:rsid w:val="6DA57E98"/>
    <w:rsid w:val="6DAC5958"/>
    <w:rsid w:val="6DAE0893"/>
    <w:rsid w:val="6DB24BA6"/>
    <w:rsid w:val="6DB24FDF"/>
    <w:rsid w:val="6DB34098"/>
    <w:rsid w:val="6DB545B6"/>
    <w:rsid w:val="6DBA59C7"/>
    <w:rsid w:val="6DBB6DE3"/>
    <w:rsid w:val="6DC31233"/>
    <w:rsid w:val="6DDB1B0C"/>
    <w:rsid w:val="6DDC502B"/>
    <w:rsid w:val="6DDD3AD6"/>
    <w:rsid w:val="6DE02FB4"/>
    <w:rsid w:val="6DEE183F"/>
    <w:rsid w:val="6DF07D45"/>
    <w:rsid w:val="6DFE08FF"/>
    <w:rsid w:val="6DFE2622"/>
    <w:rsid w:val="6E0A6EA2"/>
    <w:rsid w:val="6E1868BC"/>
    <w:rsid w:val="6E1F40EF"/>
    <w:rsid w:val="6E245261"/>
    <w:rsid w:val="6E2E7B61"/>
    <w:rsid w:val="6E3878FF"/>
    <w:rsid w:val="6E421B8B"/>
    <w:rsid w:val="6E4649A7"/>
    <w:rsid w:val="6E4F0310"/>
    <w:rsid w:val="6E514CED"/>
    <w:rsid w:val="6E5813AF"/>
    <w:rsid w:val="6E5C0E9F"/>
    <w:rsid w:val="6E697785"/>
    <w:rsid w:val="6E6C09B6"/>
    <w:rsid w:val="6E7004A6"/>
    <w:rsid w:val="6E755ABD"/>
    <w:rsid w:val="6E7855AD"/>
    <w:rsid w:val="6E820697"/>
    <w:rsid w:val="6E9319D0"/>
    <w:rsid w:val="6E951C11"/>
    <w:rsid w:val="6E954D71"/>
    <w:rsid w:val="6E9D7844"/>
    <w:rsid w:val="6EAB3BD4"/>
    <w:rsid w:val="6EB011EB"/>
    <w:rsid w:val="6EB05EBC"/>
    <w:rsid w:val="6EB1286D"/>
    <w:rsid w:val="6EB563D5"/>
    <w:rsid w:val="6EB74327"/>
    <w:rsid w:val="6EBD1AB8"/>
    <w:rsid w:val="6EC1305B"/>
    <w:rsid w:val="6EC15CFF"/>
    <w:rsid w:val="6EC420D8"/>
    <w:rsid w:val="6ECB182C"/>
    <w:rsid w:val="6ED0363B"/>
    <w:rsid w:val="6ED92677"/>
    <w:rsid w:val="6EDD785F"/>
    <w:rsid w:val="6EDE347E"/>
    <w:rsid w:val="6EDF73DA"/>
    <w:rsid w:val="6EE45DA5"/>
    <w:rsid w:val="6EE60768"/>
    <w:rsid w:val="6EE64C0C"/>
    <w:rsid w:val="6EE70955"/>
    <w:rsid w:val="6EEC5C4D"/>
    <w:rsid w:val="6EF72976"/>
    <w:rsid w:val="6EF74EAA"/>
    <w:rsid w:val="6F0155A2"/>
    <w:rsid w:val="6F215C44"/>
    <w:rsid w:val="6F22250D"/>
    <w:rsid w:val="6F225983"/>
    <w:rsid w:val="6F24039A"/>
    <w:rsid w:val="6F254DE5"/>
    <w:rsid w:val="6F2614AD"/>
    <w:rsid w:val="6F280D81"/>
    <w:rsid w:val="6F286FD3"/>
    <w:rsid w:val="6F343BCA"/>
    <w:rsid w:val="6F3666BD"/>
    <w:rsid w:val="6F3C65DA"/>
    <w:rsid w:val="6F46045A"/>
    <w:rsid w:val="6F507E47"/>
    <w:rsid w:val="6F511281"/>
    <w:rsid w:val="6F5945A5"/>
    <w:rsid w:val="6F67449E"/>
    <w:rsid w:val="6F724532"/>
    <w:rsid w:val="6F735497"/>
    <w:rsid w:val="6F751AEC"/>
    <w:rsid w:val="6F767D3E"/>
    <w:rsid w:val="6F7F34EA"/>
    <w:rsid w:val="6F8010EF"/>
    <w:rsid w:val="6F810491"/>
    <w:rsid w:val="6F8561D3"/>
    <w:rsid w:val="6F887A72"/>
    <w:rsid w:val="6F8A09F4"/>
    <w:rsid w:val="6F8A5598"/>
    <w:rsid w:val="6F8B1310"/>
    <w:rsid w:val="6F8C20EA"/>
    <w:rsid w:val="6F8E4699"/>
    <w:rsid w:val="6F927C86"/>
    <w:rsid w:val="6F9B0C10"/>
    <w:rsid w:val="6FA1300A"/>
    <w:rsid w:val="6FA50403"/>
    <w:rsid w:val="6FA523D2"/>
    <w:rsid w:val="6FB95B4E"/>
    <w:rsid w:val="6FC22F83"/>
    <w:rsid w:val="6FCF56A0"/>
    <w:rsid w:val="6FD1766A"/>
    <w:rsid w:val="6FD64C81"/>
    <w:rsid w:val="6FE50B63"/>
    <w:rsid w:val="6FF00E32"/>
    <w:rsid w:val="6FF3128F"/>
    <w:rsid w:val="6FF80128"/>
    <w:rsid w:val="6FF869A5"/>
    <w:rsid w:val="6FFC5590"/>
    <w:rsid w:val="6FFF2A18"/>
    <w:rsid w:val="700C1D7C"/>
    <w:rsid w:val="70147557"/>
    <w:rsid w:val="701E78EC"/>
    <w:rsid w:val="701F3CFD"/>
    <w:rsid w:val="70227EC6"/>
    <w:rsid w:val="702412CF"/>
    <w:rsid w:val="702526C1"/>
    <w:rsid w:val="70262B93"/>
    <w:rsid w:val="70291255"/>
    <w:rsid w:val="702B124D"/>
    <w:rsid w:val="703F45D4"/>
    <w:rsid w:val="70476FB4"/>
    <w:rsid w:val="7056191E"/>
    <w:rsid w:val="70567B70"/>
    <w:rsid w:val="70691651"/>
    <w:rsid w:val="706933FF"/>
    <w:rsid w:val="706D1DD0"/>
    <w:rsid w:val="706E2FF6"/>
    <w:rsid w:val="70717C6A"/>
    <w:rsid w:val="70856B87"/>
    <w:rsid w:val="708B2157"/>
    <w:rsid w:val="708E6899"/>
    <w:rsid w:val="70903082"/>
    <w:rsid w:val="70952446"/>
    <w:rsid w:val="70952D0D"/>
    <w:rsid w:val="70A23170"/>
    <w:rsid w:val="70AF7F0C"/>
    <w:rsid w:val="70B14DA6"/>
    <w:rsid w:val="70B2468E"/>
    <w:rsid w:val="70BB79D3"/>
    <w:rsid w:val="70BD374B"/>
    <w:rsid w:val="70CC5D80"/>
    <w:rsid w:val="70D32CBF"/>
    <w:rsid w:val="70D527EE"/>
    <w:rsid w:val="70D8620A"/>
    <w:rsid w:val="70DC44F6"/>
    <w:rsid w:val="70E138DD"/>
    <w:rsid w:val="70EE2E94"/>
    <w:rsid w:val="70EE6CD6"/>
    <w:rsid w:val="70F108CE"/>
    <w:rsid w:val="70F55A32"/>
    <w:rsid w:val="70F8010E"/>
    <w:rsid w:val="70FE623D"/>
    <w:rsid w:val="70FF2AA0"/>
    <w:rsid w:val="71007D30"/>
    <w:rsid w:val="71034AFF"/>
    <w:rsid w:val="7104661F"/>
    <w:rsid w:val="71132577"/>
    <w:rsid w:val="71133CB0"/>
    <w:rsid w:val="711B2066"/>
    <w:rsid w:val="712E63F7"/>
    <w:rsid w:val="713C7A5A"/>
    <w:rsid w:val="71560C98"/>
    <w:rsid w:val="71560EEF"/>
    <w:rsid w:val="715B5300"/>
    <w:rsid w:val="7161057A"/>
    <w:rsid w:val="71704C61"/>
    <w:rsid w:val="717464FF"/>
    <w:rsid w:val="71771B4C"/>
    <w:rsid w:val="7178348F"/>
    <w:rsid w:val="718B484C"/>
    <w:rsid w:val="71950224"/>
    <w:rsid w:val="719E17CE"/>
    <w:rsid w:val="71A768D5"/>
    <w:rsid w:val="71AD7C63"/>
    <w:rsid w:val="71B16267"/>
    <w:rsid w:val="71B21F4E"/>
    <w:rsid w:val="71C456D6"/>
    <w:rsid w:val="71D27F8A"/>
    <w:rsid w:val="71D84C2B"/>
    <w:rsid w:val="71E0253D"/>
    <w:rsid w:val="71E35433"/>
    <w:rsid w:val="71E44313"/>
    <w:rsid w:val="71EA4A14"/>
    <w:rsid w:val="71EF6780"/>
    <w:rsid w:val="71EF6E24"/>
    <w:rsid w:val="71F238C8"/>
    <w:rsid w:val="71F426C7"/>
    <w:rsid w:val="71F45C1D"/>
    <w:rsid w:val="71F66F14"/>
    <w:rsid w:val="71F94C57"/>
    <w:rsid w:val="72035AD5"/>
    <w:rsid w:val="720930EC"/>
    <w:rsid w:val="720A29C0"/>
    <w:rsid w:val="72141A90"/>
    <w:rsid w:val="7220799D"/>
    <w:rsid w:val="722115DD"/>
    <w:rsid w:val="72292A73"/>
    <w:rsid w:val="722A12B4"/>
    <w:rsid w:val="722F68CA"/>
    <w:rsid w:val="72330169"/>
    <w:rsid w:val="7234129A"/>
    <w:rsid w:val="724623EA"/>
    <w:rsid w:val="72497F6C"/>
    <w:rsid w:val="724B4950"/>
    <w:rsid w:val="725134A0"/>
    <w:rsid w:val="72553024"/>
    <w:rsid w:val="726E5ABF"/>
    <w:rsid w:val="72783DCD"/>
    <w:rsid w:val="72862DE7"/>
    <w:rsid w:val="728B7E7C"/>
    <w:rsid w:val="729115F8"/>
    <w:rsid w:val="72965815"/>
    <w:rsid w:val="729F6C3D"/>
    <w:rsid w:val="72A440CB"/>
    <w:rsid w:val="72A72905"/>
    <w:rsid w:val="72AC7F1B"/>
    <w:rsid w:val="72AE1DE1"/>
    <w:rsid w:val="72B21AB1"/>
    <w:rsid w:val="72B230D0"/>
    <w:rsid w:val="72B92F9F"/>
    <w:rsid w:val="72BF7DD9"/>
    <w:rsid w:val="72C74796"/>
    <w:rsid w:val="72C94215"/>
    <w:rsid w:val="72CB33B1"/>
    <w:rsid w:val="72D3337E"/>
    <w:rsid w:val="72D45379"/>
    <w:rsid w:val="72D548F7"/>
    <w:rsid w:val="72D80DF9"/>
    <w:rsid w:val="72DA58DB"/>
    <w:rsid w:val="72DA6836"/>
    <w:rsid w:val="72DD1E82"/>
    <w:rsid w:val="72DD7107"/>
    <w:rsid w:val="72DF209E"/>
    <w:rsid w:val="72EA3A76"/>
    <w:rsid w:val="72EB27F1"/>
    <w:rsid w:val="72EC1533"/>
    <w:rsid w:val="72F31304"/>
    <w:rsid w:val="72F34CC4"/>
    <w:rsid w:val="72F378F8"/>
    <w:rsid w:val="72FE2DB9"/>
    <w:rsid w:val="73001149"/>
    <w:rsid w:val="73025B47"/>
    <w:rsid w:val="73046F24"/>
    <w:rsid w:val="73092C77"/>
    <w:rsid w:val="730E747C"/>
    <w:rsid w:val="73122968"/>
    <w:rsid w:val="73125FD0"/>
    <w:rsid w:val="73137F9A"/>
    <w:rsid w:val="731458CA"/>
    <w:rsid w:val="7315161C"/>
    <w:rsid w:val="731735E6"/>
    <w:rsid w:val="731F143E"/>
    <w:rsid w:val="731F5D5E"/>
    <w:rsid w:val="732775A1"/>
    <w:rsid w:val="7329331A"/>
    <w:rsid w:val="732F5274"/>
    <w:rsid w:val="73347518"/>
    <w:rsid w:val="7334797A"/>
    <w:rsid w:val="73490DFC"/>
    <w:rsid w:val="734D22CB"/>
    <w:rsid w:val="734D44BC"/>
    <w:rsid w:val="734F49CE"/>
    <w:rsid w:val="7355581F"/>
    <w:rsid w:val="735600F2"/>
    <w:rsid w:val="735C549D"/>
    <w:rsid w:val="735D79A5"/>
    <w:rsid w:val="735F4EE7"/>
    <w:rsid w:val="735F7F01"/>
    <w:rsid w:val="73602EA4"/>
    <w:rsid w:val="73734595"/>
    <w:rsid w:val="737F03CE"/>
    <w:rsid w:val="73830C7C"/>
    <w:rsid w:val="73844DAE"/>
    <w:rsid w:val="738A6D26"/>
    <w:rsid w:val="738D194F"/>
    <w:rsid w:val="738E30C7"/>
    <w:rsid w:val="738E5F72"/>
    <w:rsid w:val="738F5872"/>
    <w:rsid w:val="739015EB"/>
    <w:rsid w:val="739F35DC"/>
    <w:rsid w:val="73A17354"/>
    <w:rsid w:val="73C179F6"/>
    <w:rsid w:val="73C51AD5"/>
    <w:rsid w:val="73CC2622"/>
    <w:rsid w:val="73D03795"/>
    <w:rsid w:val="73D82886"/>
    <w:rsid w:val="73DB5EE4"/>
    <w:rsid w:val="73DC2E74"/>
    <w:rsid w:val="73DE2356"/>
    <w:rsid w:val="73E649F7"/>
    <w:rsid w:val="73EC2692"/>
    <w:rsid w:val="73F04759"/>
    <w:rsid w:val="73F60282"/>
    <w:rsid w:val="73F751C6"/>
    <w:rsid w:val="73FE47A6"/>
    <w:rsid w:val="74034986"/>
    <w:rsid w:val="740A5909"/>
    <w:rsid w:val="740C6EC3"/>
    <w:rsid w:val="740D2C3B"/>
    <w:rsid w:val="74130A8B"/>
    <w:rsid w:val="741661E7"/>
    <w:rsid w:val="741B5EDE"/>
    <w:rsid w:val="741C5549"/>
    <w:rsid w:val="741C69DA"/>
    <w:rsid w:val="741E793C"/>
    <w:rsid w:val="742064CB"/>
    <w:rsid w:val="74212243"/>
    <w:rsid w:val="74302426"/>
    <w:rsid w:val="74314BFF"/>
    <w:rsid w:val="74315C04"/>
    <w:rsid w:val="74357CCF"/>
    <w:rsid w:val="7439623F"/>
    <w:rsid w:val="744A1799"/>
    <w:rsid w:val="74503DA8"/>
    <w:rsid w:val="745727B9"/>
    <w:rsid w:val="74591FEB"/>
    <w:rsid w:val="745E3944"/>
    <w:rsid w:val="74633941"/>
    <w:rsid w:val="74694A68"/>
    <w:rsid w:val="746C3C65"/>
    <w:rsid w:val="746E454A"/>
    <w:rsid w:val="74746816"/>
    <w:rsid w:val="747D1C3E"/>
    <w:rsid w:val="74827185"/>
    <w:rsid w:val="74843EF7"/>
    <w:rsid w:val="74886D07"/>
    <w:rsid w:val="748C7831"/>
    <w:rsid w:val="749018A2"/>
    <w:rsid w:val="74963157"/>
    <w:rsid w:val="749C033C"/>
    <w:rsid w:val="74A9506F"/>
    <w:rsid w:val="74AA0C93"/>
    <w:rsid w:val="74AD5F25"/>
    <w:rsid w:val="74AE053B"/>
    <w:rsid w:val="74B5418D"/>
    <w:rsid w:val="74BA691F"/>
    <w:rsid w:val="74C7525D"/>
    <w:rsid w:val="74DF6442"/>
    <w:rsid w:val="74E4399C"/>
    <w:rsid w:val="74E514C2"/>
    <w:rsid w:val="74E76064"/>
    <w:rsid w:val="74E76FE8"/>
    <w:rsid w:val="74E8399C"/>
    <w:rsid w:val="74F00593"/>
    <w:rsid w:val="74F33BDF"/>
    <w:rsid w:val="74F55BA9"/>
    <w:rsid w:val="74F71921"/>
    <w:rsid w:val="74FC028B"/>
    <w:rsid w:val="74FE35BE"/>
    <w:rsid w:val="74FF07D6"/>
    <w:rsid w:val="750758DC"/>
    <w:rsid w:val="75096F5F"/>
    <w:rsid w:val="750B72A4"/>
    <w:rsid w:val="751D30D5"/>
    <w:rsid w:val="75292E35"/>
    <w:rsid w:val="752D42CE"/>
    <w:rsid w:val="7530098F"/>
    <w:rsid w:val="75400F34"/>
    <w:rsid w:val="75491A51"/>
    <w:rsid w:val="754B57CB"/>
    <w:rsid w:val="754E0E15"/>
    <w:rsid w:val="75577A04"/>
    <w:rsid w:val="75594EF5"/>
    <w:rsid w:val="7561323F"/>
    <w:rsid w:val="75692310"/>
    <w:rsid w:val="75773520"/>
    <w:rsid w:val="757A57B6"/>
    <w:rsid w:val="757D656B"/>
    <w:rsid w:val="75862CA5"/>
    <w:rsid w:val="758807CB"/>
    <w:rsid w:val="7592088C"/>
    <w:rsid w:val="759A1677"/>
    <w:rsid w:val="759B6ED7"/>
    <w:rsid w:val="759F5B15"/>
    <w:rsid w:val="75A05BE0"/>
    <w:rsid w:val="75A52113"/>
    <w:rsid w:val="75AF3FAA"/>
    <w:rsid w:val="75B275F6"/>
    <w:rsid w:val="75BA1187"/>
    <w:rsid w:val="75BC2223"/>
    <w:rsid w:val="75CF2457"/>
    <w:rsid w:val="75D05028"/>
    <w:rsid w:val="75DB4D9F"/>
    <w:rsid w:val="75E17EDC"/>
    <w:rsid w:val="75E27B01"/>
    <w:rsid w:val="75EF25F8"/>
    <w:rsid w:val="760015EB"/>
    <w:rsid w:val="760B6D06"/>
    <w:rsid w:val="761166AA"/>
    <w:rsid w:val="761561BD"/>
    <w:rsid w:val="76164029"/>
    <w:rsid w:val="7625601A"/>
    <w:rsid w:val="763149BF"/>
    <w:rsid w:val="76320737"/>
    <w:rsid w:val="7635099D"/>
    <w:rsid w:val="763E557F"/>
    <w:rsid w:val="763E5F76"/>
    <w:rsid w:val="76425EC6"/>
    <w:rsid w:val="764515AD"/>
    <w:rsid w:val="765A2EB2"/>
    <w:rsid w:val="765A6AB2"/>
    <w:rsid w:val="765B3081"/>
    <w:rsid w:val="765D0AC2"/>
    <w:rsid w:val="765D7868"/>
    <w:rsid w:val="7663301B"/>
    <w:rsid w:val="76654669"/>
    <w:rsid w:val="766937C5"/>
    <w:rsid w:val="766F30AC"/>
    <w:rsid w:val="76746D49"/>
    <w:rsid w:val="76870A83"/>
    <w:rsid w:val="76891580"/>
    <w:rsid w:val="768C42EB"/>
    <w:rsid w:val="7690626B"/>
    <w:rsid w:val="769436CE"/>
    <w:rsid w:val="76B2430C"/>
    <w:rsid w:val="76B2549B"/>
    <w:rsid w:val="76B52AFF"/>
    <w:rsid w:val="76BD2C29"/>
    <w:rsid w:val="76C226C7"/>
    <w:rsid w:val="76C33B93"/>
    <w:rsid w:val="76C57BA5"/>
    <w:rsid w:val="76DB47B5"/>
    <w:rsid w:val="76E21061"/>
    <w:rsid w:val="76E45ED5"/>
    <w:rsid w:val="76E71522"/>
    <w:rsid w:val="76EB664B"/>
    <w:rsid w:val="76F335AF"/>
    <w:rsid w:val="76F948B0"/>
    <w:rsid w:val="76FF6781"/>
    <w:rsid w:val="7701609E"/>
    <w:rsid w:val="7709593C"/>
    <w:rsid w:val="77132317"/>
    <w:rsid w:val="771A36A5"/>
    <w:rsid w:val="772E53A2"/>
    <w:rsid w:val="773727B7"/>
    <w:rsid w:val="773D369E"/>
    <w:rsid w:val="77433A7A"/>
    <w:rsid w:val="77440B53"/>
    <w:rsid w:val="77456018"/>
    <w:rsid w:val="774723A6"/>
    <w:rsid w:val="774E334F"/>
    <w:rsid w:val="7750356B"/>
    <w:rsid w:val="775F1268"/>
    <w:rsid w:val="776B2EDC"/>
    <w:rsid w:val="777234E1"/>
    <w:rsid w:val="77762421"/>
    <w:rsid w:val="77843214"/>
    <w:rsid w:val="778A38E9"/>
    <w:rsid w:val="778B42C3"/>
    <w:rsid w:val="779D1A5F"/>
    <w:rsid w:val="779E414B"/>
    <w:rsid w:val="77A04191"/>
    <w:rsid w:val="77A255FC"/>
    <w:rsid w:val="77A35DC6"/>
    <w:rsid w:val="77A60F59"/>
    <w:rsid w:val="77B51620"/>
    <w:rsid w:val="77B56B1F"/>
    <w:rsid w:val="77BA066B"/>
    <w:rsid w:val="77C41863"/>
    <w:rsid w:val="77C620FD"/>
    <w:rsid w:val="77D25875"/>
    <w:rsid w:val="77DA2E34"/>
    <w:rsid w:val="77EF4218"/>
    <w:rsid w:val="77F23454"/>
    <w:rsid w:val="77F32708"/>
    <w:rsid w:val="77F57C6E"/>
    <w:rsid w:val="77F744D1"/>
    <w:rsid w:val="77F82256"/>
    <w:rsid w:val="77F9523C"/>
    <w:rsid w:val="77FA41B4"/>
    <w:rsid w:val="78047EB1"/>
    <w:rsid w:val="780F09F4"/>
    <w:rsid w:val="7815546F"/>
    <w:rsid w:val="78191BAF"/>
    <w:rsid w:val="781C3334"/>
    <w:rsid w:val="781D7981"/>
    <w:rsid w:val="7823030C"/>
    <w:rsid w:val="7824145C"/>
    <w:rsid w:val="782C2386"/>
    <w:rsid w:val="782D4FF8"/>
    <w:rsid w:val="783B01AC"/>
    <w:rsid w:val="783F3C6B"/>
    <w:rsid w:val="78401E6A"/>
    <w:rsid w:val="784322CA"/>
    <w:rsid w:val="784D3606"/>
    <w:rsid w:val="78511DE3"/>
    <w:rsid w:val="78520C1D"/>
    <w:rsid w:val="78540E39"/>
    <w:rsid w:val="78544995"/>
    <w:rsid w:val="785E75C1"/>
    <w:rsid w:val="7863107C"/>
    <w:rsid w:val="786A240A"/>
    <w:rsid w:val="786C5BD6"/>
    <w:rsid w:val="786C6182"/>
    <w:rsid w:val="7872306D"/>
    <w:rsid w:val="787B04D2"/>
    <w:rsid w:val="788068F0"/>
    <w:rsid w:val="78827754"/>
    <w:rsid w:val="78890DE6"/>
    <w:rsid w:val="788F00C3"/>
    <w:rsid w:val="78925885"/>
    <w:rsid w:val="789316AC"/>
    <w:rsid w:val="78992716"/>
    <w:rsid w:val="789C1508"/>
    <w:rsid w:val="789D69AF"/>
    <w:rsid w:val="78A06F2C"/>
    <w:rsid w:val="78A43B6E"/>
    <w:rsid w:val="78A90480"/>
    <w:rsid w:val="78BC614F"/>
    <w:rsid w:val="78C87131"/>
    <w:rsid w:val="78CB5193"/>
    <w:rsid w:val="78CE0BEB"/>
    <w:rsid w:val="78E3275D"/>
    <w:rsid w:val="78F61EF0"/>
    <w:rsid w:val="78F82B40"/>
    <w:rsid w:val="78FC2725"/>
    <w:rsid w:val="78FE2B52"/>
    <w:rsid w:val="7904460D"/>
    <w:rsid w:val="790B5E04"/>
    <w:rsid w:val="791957DA"/>
    <w:rsid w:val="791B0B27"/>
    <w:rsid w:val="791F20CD"/>
    <w:rsid w:val="79221F62"/>
    <w:rsid w:val="7925031F"/>
    <w:rsid w:val="79332E67"/>
    <w:rsid w:val="7939786F"/>
    <w:rsid w:val="793F71C8"/>
    <w:rsid w:val="7943071A"/>
    <w:rsid w:val="79450781"/>
    <w:rsid w:val="79490272"/>
    <w:rsid w:val="794E12A4"/>
    <w:rsid w:val="795409C4"/>
    <w:rsid w:val="79556147"/>
    <w:rsid w:val="795B1D53"/>
    <w:rsid w:val="795B4750"/>
    <w:rsid w:val="79612D3C"/>
    <w:rsid w:val="79645F30"/>
    <w:rsid w:val="79725A1A"/>
    <w:rsid w:val="79774F98"/>
    <w:rsid w:val="79777A55"/>
    <w:rsid w:val="79780B57"/>
    <w:rsid w:val="797D2A1C"/>
    <w:rsid w:val="798069F7"/>
    <w:rsid w:val="79877EB4"/>
    <w:rsid w:val="798C015E"/>
    <w:rsid w:val="79977EBF"/>
    <w:rsid w:val="79A050D4"/>
    <w:rsid w:val="79A27913"/>
    <w:rsid w:val="79A33E26"/>
    <w:rsid w:val="79C50972"/>
    <w:rsid w:val="79DD2FFC"/>
    <w:rsid w:val="79E24222"/>
    <w:rsid w:val="79EF64B4"/>
    <w:rsid w:val="79F301DD"/>
    <w:rsid w:val="79F503F9"/>
    <w:rsid w:val="7A036672"/>
    <w:rsid w:val="7A0643B5"/>
    <w:rsid w:val="7A17784B"/>
    <w:rsid w:val="7A195345"/>
    <w:rsid w:val="7A1A39BC"/>
    <w:rsid w:val="7A1C1760"/>
    <w:rsid w:val="7A1C17CC"/>
    <w:rsid w:val="7A2F3CBE"/>
    <w:rsid w:val="7A364017"/>
    <w:rsid w:val="7A367C5D"/>
    <w:rsid w:val="7A3C3B01"/>
    <w:rsid w:val="7A3F1373"/>
    <w:rsid w:val="7A4078C7"/>
    <w:rsid w:val="7A41719B"/>
    <w:rsid w:val="7A452486"/>
    <w:rsid w:val="7A486491"/>
    <w:rsid w:val="7A486C06"/>
    <w:rsid w:val="7A4A02B4"/>
    <w:rsid w:val="7A6E2159"/>
    <w:rsid w:val="7A772B89"/>
    <w:rsid w:val="7A801BF3"/>
    <w:rsid w:val="7A8265E1"/>
    <w:rsid w:val="7A85402F"/>
    <w:rsid w:val="7A96737A"/>
    <w:rsid w:val="7AAA042A"/>
    <w:rsid w:val="7AAC4F5C"/>
    <w:rsid w:val="7AB25926"/>
    <w:rsid w:val="7AC758F2"/>
    <w:rsid w:val="7ACD220D"/>
    <w:rsid w:val="7ACD7553"/>
    <w:rsid w:val="7ACD7957"/>
    <w:rsid w:val="7ACF264A"/>
    <w:rsid w:val="7ACF29F8"/>
    <w:rsid w:val="7AD07630"/>
    <w:rsid w:val="7AD25379"/>
    <w:rsid w:val="7ADA0D70"/>
    <w:rsid w:val="7ADD5F1E"/>
    <w:rsid w:val="7ADF5280"/>
    <w:rsid w:val="7AE528AE"/>
    <w:rsid w:val="7AE85868"/>
    <w:rsid w:val="7AED10D1"/>
    <w:rsid w:val="7AF221FF"/>
    <w:rsid w:val="7AFA3202"/>
    <w:rsid w:val="7AFF2BAD"/>
    <w:rsid w:val="7B0209A9"/>
    <w:rsid w:val="7B05641A"/>
    <w:rsid w:val="7B14584D"/>
    <w:rsid w:val="7B160FC2"/>
    <w:rsid w:val="7B1849A7"/>
    <w:rsid w:val="7B275012"/>
    <w:rsid w:val="7B3542CC"/>
    <w:rsid w:val="7B3804BA"/>
    <w:rsid w:val="7B3867F0"/>
    <w:rsid w:val="7B4238A3"/>
    <w:rsid w:val="7B565186"/>
    <w:rsid w:val="7B590514"/>
    <w:rsid w:val="7B5B0730"/>
    <w:rsid w:val="7B62386D"/>
    <w:rsid w:val="7B6252BB"/>
    <w:rsid w:val="7B686D42"/>
    <w:rsid w:val="7B692521"/>
    <w:rsid w:val="7B694310"/>
    <w:rsid w:val="7B810197"/>
    <w:rsid w:val="7B841746"/>
    <w:rsid w:val="7B8C2698"/>
    <w:rsid w:val="7B9A30C1"/>
    <w:rsid w:val="7B9E0DFF"/>
    <w:rsid w:val="7BAB2F3D"/>
    <w:rsid w:val="7BCC0CE6"/>
    <w:rsid w:val="7BCD518A"/>
    <w:rsid w:val="7BD227A0"/>
    <w:rsid w:val="7BD76009"/>
    <w:rsid w:val="7BD925C6"/>
    <w:rsid w:val="7BDB6FF5"/>
    <w:rsid w:val="7BE14791"/>
    <w:rsid w:val="7BE66165"/>
    <w:rsid w:val="7BE97AEA"/>
    <w:rsid w:val="7BEC31E9"/>
    <w:rsid w:val="7BEC5F31"/>
    <w:rsid w:val="7BF60005"/>
    <w:rsid w:val="7C0866BC"/>
    <w:rsid w:val="7C0B3F04"/>
    <w:rsid w:val="7C0C3FBA"/>
    <w:rsid w:val="7C0E4738"/>
    <w:rsid w:val="7C10239C"/>
    <w:rsid w:val="7C134B67"/>
    <w:rsid w:val="7C176405"/>
    <w:rsid w:val="7C1D0EC4"/>
    <w:rsid w:val="7C221DB1"/>
    <w:rsid w:val="7C336FB7"/>
    <w:rsid w:val="7C3945CD"/>
    <w:rsid w:val="7C394920"/>
    <w:rsid w:val="7C3A51AE"/>
    <w:rsid w:val="7C466CEA"/>
    <w:rsid w:val="7C4808A0"/>
    <w:rsid w:val="7C497CC1"/>
    <w:rsid w:val="7C4B1906"/>
    <w:rsid w:val="7C4D1E27"/>
    <w:rsid w:val="7C574A54"/>
    <w:rsid w:val="7C5F32C3"/>
    <w:rsid w:val="7C640DC8"/>
    <w:rsid w:val="7C661A55"/>
    <w:rsid w:val="7C68016E"/>
    <w:rsid w:val="7C69166D"/>
    <w:rsid w:val="7C6C5AC7"/>
    <w:rsid w:val="7C705B15"/>
    <w:rsid w:val="7C744EDA"/>
    <w:rsid w:val="7C7D7D58"/>
    <w:rsid w:val="7C7E46D6"/>
    <w:rsid w:val="7C8810B1"/>
    <w:rsid w:val="7C947A56"/>
    <w:rsid w:val="7C961A20"/>
    <w:rsid w:val="7C975798"/>
    <w:rsid w:val="7C991510"/>
    <w:rsid w:val="7CA95FA6"/>
    <w:rsid w:val="7CBA4FE2"/>
    <w:rsid w:val="7CBC44C1"/>
    <w:rsid w:val="7CC04CEF"/>
    <w:rsid w:val="7CC16DE3"/>
    <w:rsid w:val="7CC63000"/>
    <w:rsid w:val="7CC6544B"/>
    <w:rsid w:val="7CC72903"/>
    <w:rsid w:val="7CC876FF"/>
    <w:rsid w:val="7CC93474"/>
    <w:rsid w:val="7CCD2C16"/>
    <w:rsid w:val="7CD10CAA"/>
    <w:rsid w:val="7CD9190C"/>
    <w:rsid w:val="7CF8169A"/>
    <w:rsid w:val="7D0239FF"/>
    <w:rsid w:val="7D0B583E"/>
    <w:rsid w:val="7D0D0AA6"/>
    <w:rsid w:val="7D0F4857"/>
    <w:rsid w:val="7D17212D"/>
    <w:rsid w:val="7D1F2688"/>
    <w:rsid w:val="7D254B52"/>
    <w:rsid w:val="7D2E685E"/>
    <w:rsid w:val="7D394692"/>
    <w:rsid w:val="7D3D3A33"/>
    <w:rsid w:val="7D441820"/>
    <w:rsid w:val="7D463234"/>
    <w:rsid w:val="7D4D5E56"/>
    <w:rsid w:val="7D570C13"/>
    <w:rsid w:val="7D5771AB"/>
    <w:rsid w:val="7D5A55CF"/>
    <w:rsid w:val="7D5E40CD"/>
    <w:rsid w:val="7D62074B"/>
    <w:rsid w:val="7D651C73"/>
    <w:rsid w:val="7D6B5370"/>
    <w:rsid w:val="7D6F401F"/>
    <w:rsid w:val="7D7B6E68"/>
    <w:rsid w:val="7D845D1C"/>
    <w:rsid w:val="7D8A28E7"/>
    <w:rsid w:val="7D8B517E"/>
    <w:rsid w:val="7D926ABE"/>
    <w:rsid w:val="7D9E45FE"/>
    <w:rsid w:val="7D9F5C71"/>
    <w:rsid w:val="7DA26EE7"/>
    <w:rsid w:val="7DAF1BB6"/>
    <w:rsid w:val="7DB40B77"/>
    <w:rsid w:val="7DBA0E68"/>
    <w:rsid w:val="7DBC3708"/>
    <w:rsid w:val="7DBD4D8A"/>
    <w:rsid w:val="7DC275FA"/>
    <w:rsid w:val="7DC9372F"/>
    <w:rsid w:val="7DCC23BD"/>
    <w:rsid w:val="7DCD56F2"/>
    <w:rsid w:val="7DD02D0F"/>
    <w:rsid w:val="7DD24CD9"/>
    <w:rsid w:val="7DD52884"/>
    <w:rsid w:val="7DF013F4"/>
    <w:rsid w:val="7DF056EF"/>
    <w:rsid w:val="7DF37A0D"/>
    <w:rsid w:val="7E034BC4"/>
    <w:rsid w:val="7E17093E"/>
    <w:rsid w:val="7E2A6CD6"/>
    <w:rsid w:val="7E3420E2"/>
    <w:rsid w:val="7E432A61"/>
    <w:rsid w:val="7E462228"/>
    <w:rsid w:val="7E4D3E3E"/>
    <w:rsid w:val="7E4D7032"/>
    <w:rsid w:val="7E571277"/>
    <w:rsid w:val="7E5C45A3"/>
    <w:rsid w:val="7E726FE7"/>
    <w:rsid w:val="7E754DAE"/>
    <w:rsid w:val="7E7D1483"/>
    <w:rsid w:val="7E7F74AA"/>
    <w:rsid w:val="7E81225C"/>
    <w:rsid w:val="7E821DA9"/>
    <w:rsid w:val="7E9142D6"/>
    <w:rsid w:val="7E9C63D3"/>
    <w:rsid w:val="7E9F6BD6"/>
    <w:rsid w:val="7EAB32F8"/>
    <w:rsid w:val="7EBC1D89"/>
    <w:rsid w:val="7EC23104"/>
    <w:rsid w:val="7EC65650"/>
    <w:rsid w:val="7ECA0929"/>
    <w:rsid w:val="7EDC56E4"/>
    <w:rsid w:val="7EDF3FA4"/>
    <w:rsid w:val="7EE822DB"/>
    <w:rsid w:val="7EEC1DCB"/>
    <w:rsid w:val="7EED526C"/>
    <w:rsid w:val="7F001CE7"/>
    <w:rsid w:val="7F0A38E2"/>
    <w:rsid w:val="7F0B7D77"/>
    <w:rsid w:val="7F0D56AA"/>
    <w:rsid w:val="7F156522"/>
    <w:rsid w:val="7F1C3D32"/>
    <w:rsid w:val="7F2257ED"/>
    <w:rsid w:val="7F2B71BD"/>
    <w:rsid w:val="7F2C666B"/>
    <w:rsid w:val="7F2D7CEE"/>
    <w:rsid w:val="7F2F5AAC"/>
    <w:rsid w:val="7F332E97"/>
    <w:rsid w:val="7F3B68AE"/>
    <w:rsid w:val="7F3B6DB1"/>
    <w:rsid w:val="7F652316"/>
    <w:rsid w:val="7F706D1B"/>
    <w:rsid w:val="7F714308"/>
    <w:rsid w:val="7F78233D"/>
    <w:rsid w:val="7F782FAF"/>
    <w:rsid w:val="7F7936CB"/>
    <w:rsid w:val="7F7973D7"/>
    <w:rsid w:val="7F862F7E"/>
    <w:rsid w:val="7F8D69DE"/>
    <w:rsid w:val="7F903EE6"/>
    <w:rsid w:val="7F97631B"/>
    <w:rsid w:val="7F9939A3"/>
    <w:rsid w:val="7F9E6D8D"/>
    <w:rsid w:val="7FB12B08"/>
    <w:rsid w:val="7FC00A55"/>
    <w:rsid w:val="7FC20C07"/>
    <w:rsid w:val="7FC32674"/>
    <w:rsid w:val="7FCA3208"/>
    <w:rsid w:val="7FD07476"/>
    <w:rsid w:val="7FD22F18"/>
    <w:rsid w:val="7FD37705"/>
    <w:rsid w:val="7FD436C2"/>
    <w:rsid w:val="7FD53DE5"/>
    <w:rsid w:val="7FDA60C7"/>
    <w:rsid w:val="7FDF723A"/>
    <w:rsid w:val="7FE403E0"/>
    <w:rsid w:val="7FE47E50"/>
    <w:rsid w:val="7FEC1957"/>
    <w:rsid w:val="7FF30F37"/>
    <w:rsid w:val="7FF4427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Dutch801 Rm BT" w:hAnsi="Dutch801 Rm BT" w:eastAsia="宋体" w:cs="Dutch801 Rm BT"/>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qFormat/>
    <w:locked/>
    <w:uiPriority w:val="0"/>
    <w:pPr>
      <w:keepNext/>
      <w:jc w:val="center"/>
      <w:outlineLvl w:val="2"/>
    </w:pPr>
    <w:rPr>
      <w:rFonts w:ascii="宋体" w:hAnsi="宋体"/>
      <w:sz w:val="28"/>
      <w:szCs w:val="20"/>
    </w:rPr>
  </w:style>
  <w:style w:type="paragraph" w:styleId="5">
    <w:name w:val="heading 4"/>
    <w:basedOn w:val="1"/>
    <w:next w:val="1"/>
    <w:unhideWhenUsed/>
    <w:qFormat/>
    <w:locked/>
    <w:uiPriority w:val="0"/>
    <w:pPr>
      <w:keepNext/>
      <w:keepLines/>
      <w:spacing w:before="280" w:after="290" w:line="372" w:lineRule="auto"/>
      <w:outlineLvl w:val="3"/>
    </w:pPr>
    <w:rPr>
      <w:rFonts w:ascii="Arial" w:hAnsi="Arial" w:eastAsia="黑体"/>
      <w:b/>
      <w:sz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qFormat/>
    <w:locked/>
    <w:uiPriority w:val="0"/>
    <w:pPr>
      <w:ind w:firstLine="420"/>
    </w:pPr>
    <w:rPr>
      <w:rFonts w:ascii="Dutch801 Rm BT" w:hAnsi="Dutch801 Rm BT" w:cs="Dutch801 Rm BT"/>
      <w:sz w:val="21"/>
      <w:szCs w:val="20"/>
    </w:rPr>
  </w:style>
  <w:style w:type="paragraph" w:styleId="8">
    <w:name w:val="annotation text"/>
    <w:basedOn w:val="1"/>
    <w:link w:val="40"/>
    <w:semiHidden/>
    <w:qFormat/>
    <w:uiPriority w:val="0"/>
    <w:pPr>
      <w:jc w:val="left"/>
    </w:pPr>
    <w:rPr>
      <w:kern w:val="0"/>
      <w:sz w:val="24"/>
      <w:szCs w:val="20"/>
    </w:rPr>
  </w:style>
  <w:style w:type="paragraph" w:styleId="9">
    <w:name w:val="Body Text 3"/>
    <w:basedOn w:val="1"/>
    <w:qFormat/>
    <w:locked/>
    <w:uiPriority w:val="0"/>
    <w:pPr>
      <w:spacing w:after="120"/>
    </w:pPr>
    <w:rPr>
      <w:rFonts w:ascii="宋体" w:hAnsi="宋体"/>
      <w:sz w:val="16"/>
      <w:szCs w:val="16"/>
    </w:rPr>
  </w:style>
  <w:style w:type="paragraph" w:styleId="10">
    <w:name w:val="Body Text"/>
    <w:basedOn w:val="1"/>
    <w:link w:val="47"/>
    <w:qFormat/>
    <w:uiPriority w:val="0"/>
    <w:pPr>
      <w:widowControl/>
      <w:snapToGrid w:val="0"/>
      <w:spacing w:before="60" w:after="160" w:line="259" w:lineRule="auto"/>
      <w:ind w:right="113"/>
    </w:pPr>
    <w:rPr>
      <w:kern w:val="0"/>
      <w:sz w:val="18"/>
      <w:szCs w:val="20"/>
    </w:rPr>
  </w:style>
  <w:style w:type="paragraph" w:styleId="11">
    <w:name w:val="Body Text Indent"/>
    <w:basedOn w:val="1"/>
    <w:link w:val="46"/>
    <w:qFormat/>
    <w:uiPriority w:val="0"/>
    <w:pPr>
      <w:spacing w:after="120"/>
      <w:ind w:left="420" w:leftChars="200"/>
    </w:pPr>
    <w:rPr>
      <w:kern w:val="0"/>
      <w:sz w:val="24"/>
      <w:szCs w:val="20"/>
    </w:rPr>
  </w:style>
  <w:style w:type="paragraph" w:styleId="12">
    <w:name w:val="Plain Text"/>
    <w:basedOn w:val="1"/>
    <w:qFormat/>
    <w:locked/>
    <w:uiPriority w:val="0"/>
    <w:rPr>
      <w:rFonts w:ascii="宋体" w:hAnsi="Courier New"/>
      <w:szCs w:val="20"/>
    </w:rPr>
  </w:style>
  <w:style w:type="paragraph" w:styleId="13">
    <w:name w:val="Date"/>
    <w:basedOn w:val="1"/>
    <w:next w:val="1"/>
    <w:link w:val="43"/>
    <w:qFormat/>
    <w:uiPriority w:val="0"/>
    <w:pPr>
      <w:ind w:left="100" w:leftChars="2500"/>
    </w:pPr>
    <w:rPr>
      <w:kern w:val="0"/>
      <w:sz w:val="24"/>
      <w:szCs w:val="20"/>
    </w:rPr>
  </w:style>
  <w:style w:type="paragraph" w:styleId="14">
    <w:name w:val="Body Text Indent 2"/>
    <w:basedOn w:val="1"/>
    <w:qFormat/>
    <w:locked/>
    <w:uiPriority w:val="0"/>
    <w:pPr>
      <w:spacing w:after="120" w:line="480" w:lineRule="auto"/>
      <w:ind w:left="420" w:leftChars="200"/>
    </w:pPr>
  </w:style>
  <w:style w:type="paragraph" w:styleId="15">
    <w:name w:val="Balloon Text"/>
    <w:basedOn w:val="1"/>
    <w:link w:val="50"/>
    <w:semiHidden/>
    <w:qFormat/>
    <w:uiPriority w:val="0"/>
    <w:rPr>
      <w:kern w:val="0"/>
      <w:sz w:val="18"/>
      <w:szCs w:val="20"/>
    </w:rPr>
  </w:style>
  <w:style w:type="paragraph" w:styleId="16">
    <w:name w:val="footer"/>
    <w:basedOn w:val="1"/>
    <w:link w:val="49"/>
    <w:qFormat/>
    <w:uiPriority w:val="99"/>
    <w:pPr>
      <w:tabs>
        <w:tab w:val="center" w:pos="4153"/>
        <w:tab w:val="right" w:pos="8306"/>
      </w:tabs>
      <w:snapToGrid w:val="0"/>
      <w:jc w:val="left"/>
    </w:pPr>
    <w:rPr>
      <w:kern w:val="0"/>
      <w:sz w:val="18"/>
      <w:szCs w:val="20"/>
    </w:rPr>
  </w:style>
  <w:style w:type="paragraph" w:styleId="17">
    <w:name w:val="header"/>
    <w:basedOn w:val="1"/>
    <w:link w:val="53"/>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Body Text 2"/>
    <w:basedOn w:val="1"/>
    <w:qFormat/>
    <w:locked/>
    <w:uiPriority w:val="0"/>
    <w:pPr>
      <w:spacing w:after="120" w:line="480" w:lineRule="auto"/>
    </w:pPr>
  </w:style>
  <w:style w:type="paragraph" w:styleId="19">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8"/>
    <w:next w:val="8"/>
    <w:link w:val="44"/>
    <w:semiHidden/>
    <w:qFormat/>
    <w:uiPriority w:val="0"/>
    <w:rPr>
      <w:b/>
      <w:sz w:val="24"/>
      <w:szCs w:val="20"/>
    </w:rPr>
  </w:style>
  <w:style w:type="paragraph" w:styleId="21">
    <w:name w:val="Body Text First Indent"/>
    <w:basedOn w:val="10"/>
    <w:qFormat/>
    <w:locked/>
    <w:uiPriority w:val="0"/>
    <w:pPr>
      <w:spacing w:after="120" w:line="240" w:lineRule="auto"/>
      <w:ind w:firstLine="420" w:firstLineChars="100"/>
      <w:jc w:val="both"/>
    </w:pPr>
    <w:rPr>
      <w:rFonts w:ascii="Times New Roman" w:hAnsi="Times New Roman"/>
      <w:sz w:val="21"/>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locked/>
    <w:uiPriority w:val="0"/>
    <w:rPr>
      <w:b/>
    </w:rPr>
  </w:style>
  <w:style w:type="character" w:styleId="26">
    <w:name w:val="page number"/>
    <w:basedOn w:val="24"/>
    <w:qFormat/>
    <w:locked/>
    <w:uiPriority w:val="0"/>
  </w:style>
  <w:style w:type="character" w:styleId="27">
    <w:name w:val="Emphasis"/>
    <w:basedOn w:val="24"/>
    <w:qFormat/>
    <w:locked/>
    <w:uiPriority w:val="0"/>
    <w:rPr>
      <w:i/>
    </w:rPr>
  </w:style>
  <w:style w:type="character" w:styleId="28">
    <w:name w:val="Hyperlink"/>
    <w:basedOn w:val="24"/>
    <w:qFormat/>
    <w:locked/>
    <w:uiPriority w:val="0"/>
    <w:rPr>
      <w:color w:val="0000FF"/>
      <w:u w:val="single"/>
    </w:rPr>
  </w:style>
  <w:style w:type="character" w:styleId="29">
    <w:name w:val="annotation reference"/>
    <w:semiHidden/>
    <w:qFormat/>
    <w:uiPriority w:val="0"/>
    <w:rPr>
      <w:sz w:val="21"/>
    </w:rPr>
  </w:style>
  <w:style w:type="paragraph" w:customStyle="1" w:styleId="30">
    <w:name w:val="Body Text First Indent1"/>
    <w:basedOn w:val="10"/>
    <w:qFormat/>
    <w:uiPriority w:val="0"/>
    <w:pPr>
      <w:adjustRightInd w:val="0"/>
      <w:spacing w:line="275" w:lineRule="atLeast"/>
      <w:ind w:firstLine="420"/>
      <w:textAlignment w:val="baseline"/>
    </w:pPr>
    <w:rPr>
      <w:rFonts w:ascii="Times New Roman" w:cs="Times New Roman"/>
    </w:rPr>
  </w:style>
  <w:style w:type="paragraph" w:customStyle="1" w:styleId="31">
    <w:name w:val="样式 正文文本缩进 + 宋体 小四 居中 行距: 固定值 23 磅1"/>
    <w:basedOn w:val="1"/>
    <w:qFormat/>
    <w:uiPriority w:val="0"/>
    <w:pPr>
      <w:adjustRightInd/>
      <w:snapToGrid/>
      <w:spacing w:line="460" w:lineRule="exact"/>
      <w:ind w:left="-181" w:leftChars="-86"/>
    </w:pPr>
    <w:rPr>
      <w:rFonts w:ascii="宋体" w:hAnsi="宋体" w:eastAsia="宋体" w:cs="宋体"/>
      <w:color w:val="000000"/>
    </w:rPr>
  </w:style>
  <w:style w:type="paragraph" w:customStyle="1" w:styleId="32">
    <w:name w:val="Default"/>
    <w:basedOn w:val="33"/>
    <w:next w:val="1"/>
    <w:qFormat/>
    <w:uiPriority w:val="0"/>
    <w:pPr>
      <w:widowControl w:val="0"/>
      <w:autoSpaceDE w:val="0"/>
      <w:autoSpaceDN w:val="0"/>
      <w:adjustRightInd w:val="0"/>
    </w:pPr>
    <w:rPr>
      <w:rFonts w:ascii="幼圆" w:hAnsi="Calibri" w:eastAsia="幼圆" w:cs="Times New Roman"/>
      <w:color w:val="000000"/>
      <w:sz w:val="24"/>
      <w:szCs w:val="24"/>
      <w:lang w:val="en-US" w:eastAsia="zh-CN" w:bidi="ar-SA"/>
    </w:rPr>
  </w:style>
  <w:style w:type="paragraph" w:customStyle="1" w:styleId="33">
    <w:name w:val="纯文本1"/>
    <w:basedOn w:val="1"/>
    <w:qFormat/>
    <w:uiPriority w:val="0"/>
    <w:pPr>
      <w:textAlignment w:val="baseline"/>
    </w:pPr>
    <w:rPr>
      <w:rFonts w:ascii="宋体" w:hAnsi="Courier New"/>
      <w:sz w:val="28"/>
    </w:rPr>
  </w:style>
  <w:style w:type="paragraph" w:customStyle="1" w:styleId="3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5">
    <w:name w:val="Table Paragraph"/>
    <w:basedOn w:val="32"/>
    <w:qFormat/>
    <w:uiPriority w:val="1"/>
    <w:pPr>
      <w:jc w:val="center"/>
    </w:pPr>
    <w:rPr>
      <w:rFonts w:ascii="宋体" w:hAnsi="宋体" w:eastAsia="宋体" w:cs="宋体"/>
      <w:kern w:val="0"/>
      <w:sz w:val="22"/>
      <w:szCs w:val="22"/>
      <w:lang w:eastAsia="en-US"/>
    </w:rPr>
  </w:style>
  <w:style w:type="paragraph" w:customStyle="1" w:styleId="36">
    <w:name w:val="p0"/>
    <w:basedOn w:val="1"/>
    <w:qFormat/>
    <w:uiPriority w:val="0"/>
    <w:pPr>
      <w:widowControl/>
      <w:spacing w:line="440" w:lineRule="exact"/>
    </w:pPr>
    <w:rPr>
      <w:rFonts w:ascii="宋体" w:hAnsi="Calibri"/>
      <w:kern w:val="0"/>
      <w:szCs w:val="21"/>
    </w:rPr>
  </w:style>
  <w:style w:type="paragraph" w:customStyle="1" w:styleId="37">
    <w:name w:val="正文_10"/>
    <w:qFormat/>
    <w:uiPriority w:val="0"/>
    <w:pPr>
      <w:widowControl w:val="0"/>
      <w:jc w:val="both"/>
    </w:pPr>
    <w:rPr>
      <w:rFonts w:ascii="Dutch801 Rm BT" w:hAnsi="Dutch801 Rm BT" w:eastAsia="宋体" w:cs="Dutch801 Rm BT"/>
      <w:kern w:val="2"/>
      <w:sz w:val="21"/>
      <w:szCs w:val="22"/>
      <w:lang w:val="en-US" w:eastAsia="zh-CN" w:bidi="ar-SA"/>
    </w:rPr>
  </w:style>
  <w:style w:type="paragraph" w:customStyle="1" w:styleId="38">
    <w:name w:val="表格"/>
    <w:basedOn w:val="20"/>
    <w:next w:val="1"/>
    <w:link w:val="45"/>
    <w:qFormat/>
    <w:uiPriority w:val="0"/>
    <w:pPr>
      <w:adjustRightInd w:val="0"/>
      <w:snapToGrid w:val="0"/>
      <w:spacing w:beforeLines="10" w:afterLines="10" w:line="259" w:lineRule="auto"/>
      <w:jc w:val="center"/>
    </w:pPr>
    <w:rPr>
      <w:rFonts w:ascii="宋体"/>
      <w:kern w:val="0"/>
      <w:szCs w:val="20"/>
    </w:rPr>
  </w:style>
  <w:style w:type="paragraph" w:customStyle="1" w:styleId="39">
    <w:name w:val="样式 小四 行距: 固定值 16 磅"/>
    <w:basedOn w:val="1"/>
    <w:qFormat/>
    <w:uiPriority w:val="0"/>
    <w:pPr>
      <w:snapToGrid w:val="0"/>
      <w:spacing w:line="400" w:lineRule="exact"/>
      <w:ind w:firstLine="480" w:firstLineChars="200"/>
    </w:pPr>
    <w:rPr>
      <w:sz w:val="24"/>
      <w:szCs w:val="20"/>
    </w:rPr>
  </w:style>
  <w:style w:type="character" w:customStyle="1" w:styleId="40">
    <w:name w:val="批注文字 Char"/>
    <w:link w:val="8"/>
    <w:qFormat/>
    <w:locked/>
    <w:uiPriority w:val="0"/>
    <w:rPr>
      <w:rFonts w:ascii="Times New Roman" w:hAnsi="Times New Roman" w:eastAsia="宋体"/>
      <w:sz w:val="24"/>
    </w:rPr>
  </w:style>
  <w:style w:type="character" w:customStyle="1" w:styleId="41">
    <w:name w:val="批注文字 字符1"/>
    <w:semiHidden/>
    <w:qFormat/>
    <w:uiPriority w:val="0"/>
    <w:rPr>
      <w:rFonts w:ascii="Times New Roman" w:hAnsi="Times New Roman" w:eastAsia="宋体"/>
      <w:sz w:val="24"/>
    </w:rPr>
  </w:style>
  <w:style w:type="character" w:customStyle="1" w:styleId="42">
    <w:name w:val="普通(网站) Char"/>
    <w:link w:val="19"/>
    <w:qFormat/>
    <w:locked/>
    <w:uiPriority w:val="0"/>
    <w:rPr>
      <w:rFonts w:ascii="宋体" w:hAnsi="宋体" w:eastAsia="宋体"/>
      <w:sz w:val="24"/>
    </w:rPr>
  </w:style>
  <w:style w:type="character" w:customStyle="1" w:styleId="43">
    <w:name w:val="日期 Char"/>
    <w:link w:val="13"/>
    <w:qFormat/>
    <w:locked/>
    <w:uiPriority w:val="0"/>
    <w:rPr>
      <w:rFonts w:ascii="Times New Roman" w:hAnsi="Times New Roman" w:eastAsia="宋体"/>
      <w:sz w:val="24"/>
    </w:rPr>
  </w:style>
  <w:style w:type="character" w:customStyle="1" w:styleId="44">
    <w:name w:val="批注主题 Char"/>
    <w:link w:val="20"/>
    <w:semiHidden/>
    <w:qFormat/>
    <w:locked/>
    <w:uiPriority w:val="0"/>
    <w:rPr>
      <w:rFonts w:ascii="Times New Roman" w:hAnsi="Times New Roman" w:eastAsia="宋体"/>
      <w:b/>
      <w:kern w:val="2"/>
      <w:sz w:val="24"/>
    </w:rPr>
  </w:style>
  <w:style w:type="character" w:customStyle="1" w:styleId="45">
    <w:name w:val="表格 Char"/>
    <w:link w:val="38"/>
    <w:qFormat/>
    <w:locked/>
    <w:uiPriority w:val="0"/>
    <w:rPr>
      <w:rFonts w:ascii="宋体"/>
      <w:sz w:val="21"/>
    </w:rPr>
  </w:style>
  <w:style w:type="character" w:customStyle="1" w:styleId="46">
    <w:name w:val="正文文本缩进 Char"/>
    <w:link w:val="11"/>
    <w:semiHidden/>
    <w:qFormat/>
    <w:locked/>
    <w:uiPriority w:val="0"/>
    <w:rPr>
      <w:rFonts w:ascii="Times New Roman" w:hAnsi="Times New Roman" w:eastAsia="宋体"/>
      <w:sz w:val="24"/>
    </w:rPr>
  </w:style>
  <w:style w:type="character" w:customStyle="1" w:styleId="47">
    <w:name w:val="正文文本 Char"/>
    <w:link w:val="10"/>
    <w:qFormat/>
    <w:locked/>
    <w:uiPriority w:val="0"/>
    <w:rPr>
      <w:sz w:val="18"/>
    </w:rPr>
  </w:style>
  <w:style w:type="character" w:customStyle="1" w:styleId="48">
    <w:name w:val="正文文本 字符1"/>
    <w:semiHidden/>
    <w:qFormat/>
    <w:uiPriority w:val="0"/>
    <w:rPr>
      <w:rFonts w:ascii="Times New Roman" w:hAnsi="Times New Roman" w:eastAsia="宋体"/>
      <w:sz w:val="24"/>
    </w:rPr>
  </w:style>
  <w:style w:type="character" w:customStyle="1" w:styleId="49">
    <w:name w:val="页脚 Char"/>
    <w:link w:val="16"/>
    <w:qFormat/>
    <w:locked/>
    <w:uiPriority w:val="99"/>
    <w:rPr>
      <w:sz w:val="18"/>
    </w:rPr>
  </w:style>
  <w:style w:type="character" w:customStyle="1" w:styleId="50">
    <w:name w:val="批注框文本 Char"/>
    <w:link w:val="15"/>
    <w:semiHidden/>
    <w:qFormat/>
    <w:locked/>
    <w:uiPriority w:val="0"/>
    <w:rPr>
      <w:rFonts w:ascii="Times New Roman" w:hAnsi="Times New Roman" w:eastAsia="宋体"/>
      <w:sz w:val="18"/>
    </w:rPr>
  </w:style>
  <w:style w:type="character" w:customStyle="1" w:styleId="51">
    <w:name w:val="页脚 字符"/>
    <w:basedOn w:val="24"/>
    <w:qFormat/>
    <w:uiPriority w:val="99"/>
  </w:style>
  <w:style w:type="character" w:customStyle="1" w:styleId="52">
    <w:name w:val="日期 字符"/>
    <w:semiHidden/>
    <w:qFormat/>
    <w:uiPriority w:val="0"/>
    <w:rPr>
      <w:rFonts w:ascii="Times New Roman" w:hAnsi="Times New Roman" w:eastAsia="宋体"/>
      <w:sz w:val="24"/>
    </w:rPr>
  </w:style>
  <w:style w:type="character" w:customStyle="1" w:styleId="53">
    <w:name w:val="页眉 Char"/>
    <w:link w:val="17"/>
    <w:qFormat/>
    <w:locked/>
    <w:uiPriority w:val="0"/>
    <w:rPr>
      <w:sz w:val="18"/>
    </w:rPr>
  </w:style>
  <w:style w:type="paragraph" w:customStyle="1" w:styleId="54">
    <w:name w:val="xl31"/>
    <w:basedOn w:val="1"/>
    <w:qFormat/>
    <w:uiPriority w:val="0"/>
    <w:pPr>
      <w:widowControl/>
      <w:spacing w:before="100" w:beforeAutospacing="1" w:after="100" w:afterAutospacing="1"/>
      <w:jc w:val="center"/>
    </w:pPr>
    <w:rPr>
      <w:kern w:val="0"/>
      <w:sz w:val="24"/>
    </w:rPr>
  </w:style>
  <w:style w:type="paragraph" w:customStyle="1" w:styleId="55">
    <w:name w:val="小表格"/>
    <w:basedOn w:val="1"/>
    <w:qFormat/>
    <w:uiPriority w:val="0"/>
    <w:pPr>
      <w:spacing w:line="320" w:lineRule="exact"/>
      <w:ind w:firstLine="0" w:firstLineChars="0"/>
      <w:jc w:val="center"/>
    </w:pPr>
    <w:rPr>
      <w:sz w:val="21"/>
    </w:rPr>
  </w:style>
  <w:style w:type="paragraph" w:customStyle="1" w:styleId="56">
    <w:name w:val="样式 正文缩进正文缩进2正文缩进 Char Char正文缩进 Char Char Char Char正文缩进 Char ..."/>
    <w:basedOn w:val="7"/>
    <w:qFormat/>
    <w:uiPriority w:val="0"/>
    <w:pPr>
      <w:spacing w:line="360" w:lineRule="auto"/>
      <w:ind w:firstLine="200"/>
    </w:pPr>
    <w:rPr>
      <w:rFonts w:cs="宋体"/>
    </w:rPr>
  </w:style>
  <w:style w:type="paragraph" w:customStyle="1" w:styleId="57">
    <w:name w:val="表头"/>
    <w:basedOn w:val="10"/>
    <w:qFormat/>
    <w:uiPriority w:val="0"/>
    <w:pPr>
      <w:spacing w:before="120" w:afterLines="25"/>
      <w:jc w:val="center"/>
    </w:pPr>
    <w:rPr>
      <w:rFonts w:ascii="宋体" w:hAnsi="宋体"/>
      <w:szCs w:val="20"/>
    </w:rPr>
  </w:style>
  <w:style w:type="paragraph" w:customStyle="1" w:styleId="58">
    <w:name w:val="h正文表格文字"/>
    <w:basedOn w:val="1"/>
    <w:qFormat/>
    <w:uiPriority w:val="99"/>
    <w:pPr>
      <w:jc w:val="center"/>
    </w:pPr>
    <w:rPr>
      <w:rFonts w:ascii="Calibri" w:hAnsi="Calibri" w:eastAsia="仿宋_GB2312"/>
    </w:rPr>
  </w:style>
  <w:style w:type="paragraph" w:customStyle="1" w:styleId="59">
    <w:name w:val="表"/>
    <w:basedOn w:val="10"/>
    <w:qFormat/>
    <w:uiPriority w:val="0"/>
    <w:pPr>
      <w:snapToGrid w:val="0"/>
      <w:spacing w:line="400" w:lineRule="exact"/>
      <w:jc w:val="center"/>
    </w:pPr>
    <w:rPr>
      <w:szCs w:val="21"/>
    </w:rPr>
  </w:style>
  <w:style w:type="paragraph" w:customStyle="1" w:styleId="60">
    <w:name w:val="正文111111111"/>
    <w:basedOn w:val="1"/>
    <w:qFormat/>
    <w:uiPriority w:val="0"/>
    <w:pPr>
      <w:spacing w:line="360" w:lineRule="auto"/>
      <w:ind w:firstLine="480" w:firstLineChars="200"/>
    </w:pPr>
    <w:rPr>
      <w:sz w:val="24"/>
      <w:szCs w:val="20"/>
    </w:rPr>
  </w:style>
  <w:style w:type="paragraph" w:customStyle="1" w:styleId="61">
    <w:name w:val="内容正文"/>
    <w:qFormat/>
    <w:uiPriority w:val="0"/>
    <w:pPr>
      <w:tabs>
        <w:tab w:val="left" w:pos="2835"/>
      </w:tabs>
      <w:spacing w:line="500" w:lineRule="exact"/>
      <w:ind w:firstLine="480" w:firstLineChars="200"/>
      <w:contextualSpacing/>
      <w:jc w:val="both"/>
    </w:pPr>
    <w:rPr>
      <w:rFonts w:ascii="Times New Roman" w:hAnsi="Times New Roman" w:eastAsia="宋体" w:cs="Times New Roman"/>
      <w:kern w:val="2"/>
      <w:sz w:val="24"/>
      <w:szCs w:val="24"/>
      <w:lang w:val="en-US" w:eastAsia="zh-CN" w:bidi="ar-SA"/>
    </w:rPr>
  </w:style>
  <w:style w:type="paragraph" w:customStyle="1" w:styleId="62">
    <w:name w:val="表格体"/>
    <w:basedOn w:val="63"/>
    <w:qFormat/>
    <w:uiPriority w:val="0"/>
    <w:pPr>
      <w:jc w:val="center"/>
    </w:pPr>
    <w:rPr>
      <w:szCs w:val="22"/>
    </w:rPr>
  </w:style>
  <w:style w:type="paragraph" w:styleId="63">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表中文字"/>
    <w:basedOn w:val="65"/>
    <w:next w:val="1"/>
    <w:qFormat/>
    <w:uiPriority w:val="0"/>
    <w:pPr>
      <w:adjustRightInd w:val="0"/>
      <w:snapToGrid w:val="0"/>
      <w:spacing w:line="240" w:lineRule="atLeast"/>
      <w:jc w:val="center"/>
    </w:pPr>
    <w:rPr>
      <w:kern w:val="0"/>
    </w:rPr>
  </w:style>
  <w:style w:type="paragraph" w:customStyle="1" w:styleId="65">
    <w:name w:val="表格文字"/>
    <w:basedOn w:val="12"/>
    <w:next w:val="1"/>
    <w:qFormat/>
    <w:uiPriority w:val="0"/>
    <w:pPr>
      <w:adjustRightInd w:val="0"/>
      <w:snapToGrid w:val="0"/>
      <w:spacing w:beforeLines="10" w:line="240" w:lineRule="atLeast"/>
      <w:jc w:val="center"/>
      <w:textAlignment w:val="baseline"/>
    </w:pPr>
    <w:rPr>
      <w:snapToGrid w:val="0"/>
      <w:kern w:val="0"/>
      <w:szCs w:val="28"/>
    </w:rPr>
  </w:style>
  <w:style w:type="paragraph" w:customStyle="1" w:styleId="66">
    <w:name w:val="正文四号"/>
    <w:basedOn w:val="1"/>
    <w:qFormat/>
    <w:uiPriority w:val="0"/>
    <w:pPr>
      <w:widowControl/>
      <w:spacing w:line="360" w:lineRule="auto"/>
      <w:ind w:firstLine="200" w:firstLineChars="200"/>
      <w:jc w:val="left"/>
    </w:pPr>
    <w:rPr>
      <w:rFonts w:ascii="宋体" w:hAnsi="宋体" w:cs="宋体"/>
      <w:kern w:val="0"/>
      <w:sz w:val="28"/>
    </w:rPr>
  </w:style>
  <w:style w:type="paragraph" w:customStyle="1" w:styleId="67">
    <w:name w:val="Plain Text"/>
    <w:basedOn w:val="1"/>
    <w:qFormat/>
    <w:uiPriority w:val="0"/>
    <w:rPr>
      <w:rFonts w:ascii="宋体" w:hAnsi="Courier New"/>
      <w:sz w:val="28"/>
    </w:rPr>
  </w:style>
  <w:style w:type="paragraph" w:customStyle="1" w:styleId="68">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69">
    <w:name w:val="表格标题标题"/>
    <w:basedOn w:val="1"/>
    <w:qFormat/>
    <w:uiPriority w:val="0"/>
    <w:pPr>
      <w:adjustRightInd w:val="0"/>
      <w:snapToGrid w:val="0"/>
      <w:spacing w:line="360" w:lineRule="auto"/>
      <w:ind w:firstLine="560"/>
      <w:jc w:val="center"/>
    </w:pPr>
    <w:rPr>
      <w:kern w:val="0"/>
      <w:sz w:val="24"/>
      <w:szCs w:val="20"/>
    </w:rPr>
  </w:style>
  <w:style w:type="paragraph" w:customStyle="1" w:styleId="70">
    <w:name w:val="正文文本 21"/>
    <w:basedOn w:val="1"/>
    <w:qFormat/>
    <w:uiPriority w:val="0"/>
    <w:pPr>
      <w:adjustRightInd w:val="0"/>
      <w:ind w:firstLine="480"/>
      <w:textAlignment w:val="baseline"/>
    </w:pPr>
    <w:rPr>
      <w:rFonts w:ascii="宋体"/>
      <w:kern w:val="0"/>
      <w:sz w:val="24"/>
      <w:szCs w:val="20"/>
    </w:rPr>
  </w:style>
  <w:style w:type="paragraph" w:customStyle="1" w:styleId="71">
    <w:name w:val="正文文本 211"/>
    <w:basedOn w:val="1"/>
    <w:qFormat/>
    <w:uiPriority w:val="0"/>
    <w:pPr>
      <w:adjustRightInd w:val="0"/>
      <w:ind w:firstLine="480"/>
      <w:textAlignment w:val="baseline"/>
    </w:pPr>
    <w:rPr>
      <w:rFonts w:ascii="宋体"/>
      <w:kern w:val="0"/>
      <w:sz w:val="24"/>
      <w:szCs w:val="20"/>
    </w:rPr>
  </w:style>
  <w:style w:type="paragraph" w:customStyle="1" w:styleId="72">
    <w:name w:val="表内字1"/>
    <w:basedOn w:val="1"/>
    <w:qFormat/>
    <w:uiPriority w:val="0"/>
    <w:pPr>
      <w:adjustRightInd w:val="0"/>
      <w:snapToGrid w:val="0"/>
      <w:spacing w:line="300" w:lineRule="exact"/>
      <w:jc w:val="center"/>
    </w:pPr>
    <w:rPr>
      <w:color w:val="000000"/>
      <w:sz w:val="22"/>
      <w:szCs w:val="21"/>
    </w:rPr>
  </w:style>
  <w:style w:type="paragraph" w:customStyle="1" w:styleId="73">
    <w:name w:val="L表内容"/>
    <w:basedOn w:val="74"/>
    <w:qFormat/>
    <w:uiPriority w:val="0"/>
    <w:pPr>
      <w:spacing w:line="240" w:lineRule="atLeast"/>
      <w:ind w:firstLine="0" w:firstLineChars="0"/>
      <w:jc w:val="center"/>
    </w:pPr>
    <w:rPr>
      <w:sz w:val="21"/>
    </w:rPr>
  </w:style>
  <w:style w:type="paragraph" w:customStyle="1" w:styleId="74">
    <w:name w:val="L正文"/>
    <w:basedOn w:val="1"/>
    <w:qFormat/>
    <w:uiPriority w:val="0"/>
    <w:pPr>
      <w:adjustRightInd w:val="0"/>
      <w:snapToGrid w:val="0"/>
      <w:spacing w:line="460" w:lineRule="exact"/>
      <w:ind w:firstLine="200" w:firstLineChars="200"/>
      <w:jc w:val="left"/>
    </w:pPr>
    <w:rPr>
      <w:sz w:val="24"/>
    </w:rPr>
  </w:style>
  <w:style w:type="paragraph" w:customStyle="1" w:styleId="75">
    <w:name w:val="正文   1"/>
    <w:basedOn w:val="1"/>
    <w:qFormat/>
    <w:uiPriority w:val="0"/>
    <w:pPr>
      <w:snapToGrid w:val="0"/>
      <w:spacing w:line="460" w:lineRule="atLeast"/>
      <w:ind w:firstLine="520" w:firstLineChars="200"/>
    </w:pPr>
    <w:rPr>
      <w:bCs/>
      <w:sz w:val="26"/>
    </w:rPr>
  </w:style>
  <w:style w:type="paragraph" w:customStyle="1" w:styleId="76">
    <w:name w:val="00正文"/>
    <w:basedOn w:val="1"/>
    <w:autoRedefine/>
    <w:qFormat/>
    <w:uiPriority w:val="0"/>
    <w:pPr>
      <w:spacing w:line="360" w:lineRule="auto"/>
      <w:ind w:firstLine="480" w:firstLineChars="200"/>
      <w:contextualSpacing/>
    </w:pPr>
    <w:rPr>
      <w:rFonts w:ascii="Calibri" w:hAnsi="Calibri"/>
      <w:sz w:val="24"/>
    </w:rPr>
  </w:style>
  <w:style w:type="paragraph" w:customStyle="1" w:styleId="77">
    <w:name w:val="表内文字"/>
    <w:basedOn w:val="1"/>
    <w:qFormat/>
    <w:uiPriority w:val="0"/>
    <w:pPr>
      <w:topLinePunct/>
      <w:jc w:val="center"/>
    </w:pPr>
    <w:rPr>
      <w:rFonts w:ascii="宋体" w:hAnsi="宋体"/>
      <w:bCs/>
      <w:sz w:val="24"/>
      <w:szCs w:val="22"/>
    </w:rPr>
  </w:style>
  <w:style w:type="paragraph" w:customStyle="1" w:styleId="78">
    <w:name w:val="01正文"/>
    <w:basedOn w:val="1"/>
    <w:qFormat/>
    <w:uiPriority w:val="0"/>
    <w:pPr>
      <w:spacing w:line="360" w:lineRule="auto"/>
      <w:ind w:firstLine="200" w:firstLineChars="200"/>
    </w:pPr>
    <w:rPr>
      <w:rFonts w:ascii="Times New Roman"/>
      <w:kern w:val="2"/>
      <w:sz w:val="24"/>
      <w:szCs w:val="26"/>
    </w:rPr>
  </w:style>
  <w:style w:type="paragraph" w:customStyle="1" w:styleId="79">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10.bin"/><Relationship Id="rId27" Type="http://schemas.openxmlformats.org/officeDocument/2006/relationships/image" Target="media/image12.wmf"/><Relationship Id="rId26" Type="http://schemas.openxmlformats.org/officeDocument/2006/relationships/oleObject" Target="embeddings/oleObject9.bin"/><Relationship Id="rId25" Type="http://schemas.openxmlformats.org/officeDocument/2006/relationships/image" Target="media/image11.wmf"/><Relationship Id="rId24" Type="http://schemas.openxmlformats.org/officeDocument/2006/relationships/oleObject" Target="embeddings/oleObject8.bin"/><Relationship Id="rId23" Type="http://schemas.openxmlformats.org/officeDocument/2006/relationships/image" Target="media/image10.wmf"/><Relationship Id="rId22" Type="http://schemas.openxmlformats.org/officeDocument/2006/relationships/oleObject" Target="embeddings/oleObject7.bin"/><Relationship Id="rId21" Type="http://schemas.openxmlformats.org/officeDocument/2006/relationships/image" Target="media/image9.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w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4MzU1MTA2Mzg4IiwKCSJHcm91cElkIiA6ICI3MDQxNDA3MDYiLAoJIkltYWdlIiA6ICJpVkJPUncwS0dnb0FBQUFOU1VoRVVnQUFCUVFBQUFNMENBWUFBQUR0TkM4TUFBQUFBWE5TUjBJQXJzNGM2UUFBSUFCSlJFRlVlSnpzM1hsMDNIVzkvL0hYK3p1VFNib3Y3TkJLYlZOUzBpYVo3d3hMb2FCQXkzWlpybFFMSXZ1aTdCZFo1R0twQW5xOVhoVVF3Y3NtWWdzS2lJaHl3UXVVMVN1TExKbVpwRkNvTFZDZ1dxQ0FRS0dremN6My9mdURKTDhrVGJxUlpOTE84M0ZPVHllZnorZjcrYjZtcDRkVFh1ZTdT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1eVI4QkNJcXlSRVN4N0FBQUFBQkpSVTVFcmtKZ2dnPT0iLAoJIlRoZW1lIiA6ICIiLAoJIlR5cGUiIDogImZsb3ciLAoJIlVzZXJJZCIgOiAiNDg0NzMzNjExIiwKCSJWZXJzaW9uIiA6ICIx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60</Pages>
  <Words>15278</Words>
  <Characters>15694</Characters>
  <Lines>13</Lines>
  <Paragraphs>3</Paragraphs>
  <TotalTime>0</TotalTime>
  <ScaleCrop>false</ScaleCrop>
  <LinksUpToDate>false</LinksUpToDate>
  <CharactersWithSpaces>15815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圆规</cp:lastModifiedBy>
  <cp:lastPrinted>2020-12-29T02:43:00Z</cp:lastPrinted>
  <dcterms:modified xsi:type="dcterms:W3CDTF">2025-06-25T03:31:19Z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EB86AC30CF8241A69F8FD554D5B86C17_13</vt:lpwstr>
  </property>
  <property fmtid="{D5CDD505-2E9C-101B-9397-08002B2CF9AE}" pid="4" name="KSOTemplateDocerSaveRecord">
    <vt:lpwstr>eyJoZGlkIjoiYTVjYjU1MmMxZGZhZDMyYWI3ODY1YTYxMzlhMjEzM2MiLCJ1c2VySWQiOiIzODQxNTc2NTYifQ==</vt:lpwstr>
  </property>
</Properties>
</file>