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B4EE8">
      <w:pPr>
        <w:pStyle w:val="16"/>
        <w:jc w:val="center"/>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sz w:val="30"/>
          <w:szCs w:val="3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64"/>
        <w:gridCol w:w="1217"/>
        <w:gridCol w:w="1862"/>
        <w:gridCol w:w="2192"/>
        <w:gridCol w:w="2735"/>
      </w:tblGrid>
      <w:tr w14:paraId="77295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1" w:type="dxa"/>
            <w:gridSpan w:val="2"/>
            <w:noWrap w:val="0"/>
            <w:tcMar>
              <w:top w:w="16" w:type="dxa"/>
              <w:left w:w="16" w:type="dxa"/>
              <w:right w:w="16" w:type="dxa"/>
            </w:tcMar>
            <w:vAlign w:val="center"/>
          </w:tcPr>
          <w:p w14:paraId="09D9DFED">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建设项目名称</w:t>
            </w:r>
          </w:p>
        </w:tc>
        <w:tc>
          <w:tcPr>
            <w:tcW w:w="6789" w:type="dxa"/>
            <w:gridSpan w:val="3"/>
            <w:noWrap w:val="0"/>
            <w:vAlign w:val="center"/>
          </w:tcPr>
          <w:p w14:paraId="6F81AB2B">
            <w:pPr>
              <w:adjustRightInd w:val="0"/>
              <w:snapToGrid w:val="0"/>
              <w:spacing w:line="288"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中国石油渝中加油站更换油罐项目</w:t>
            </w:r>
          </w:p>
        </w:tc>
      </w:tr>
      <w:tr w14:paraId="32854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1" w:type="dxa"/>
            <w:gridSpan w:val="2"/>
            <w:noWrap w:val="0"/>
            <w:tcMar>
              <w:top w:w="16" w:type="dxa"/>
              <w:left w:w="16" w:type="dxa"/>
              <w:right w:w="16" w:type="dxa"/>
            </w:tcMar>
            <w:vAlign w:val="center"/>
          </w:tcPr>
          <w:p w14:paraId="5ABF1276">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项目代码</w:t>
            </w:r>
          </w:p>
        </w:tc>
        <w:tc>
          <w:tcPr>
            <w:tcW w:w="6789" w:type="dxa"/>
            <w:gridSpan w:val="3"/>
            <w:noWrap w:val="0"/>
            <w:vAlign w:val="center"/>
          </w:tcPr>
          <w:p w14:paraId="449BF55D">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2302-500107-04-02-797031</w:t>
            </w:r>
          </w:p>
        </w:tc>
      </w:tr>
      <w:tr w14:paraId="384D9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1" w:type="dxa"/>
            <w:gridSpan w:val="2"/>
            <w:noWrap w:val="0"/>
            <w:tcMar>
              <w:top w:w="16" w:type="dxa"/>
              <w:left w:w="16" w:type="dxa"/>
              <w:right w:w="16" w:type="dxa"/>
            </w:tcMar>
            <w:vAlign w:val="center"/>
          </w:tcPr>
          <w:p w14:paraId="6BFFDAD9">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建设单位联系人</w:t>
            </w:r>
          </w:p>
        </w:tc>
        <w:tc>
          <w:tcPr>
            <w:tcW w:w="1862" w:type="dxa"/>
            <w:noWrap w:val="0"/>
            <w:vAlign w:val="center"/>
          </w:tcPr>
          <w:p w14:paraId="62672E5B">
            <w:pPr>
              <w:adjustRightInd w:val="0"/>
              <w:snapToGrid w:val="0"/>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w:t>
            </w:r>
          </w:p>
        </w:tc>
        <w:tc>
          <w:tcPr>
            <w:tcW w:w="2192" w:type="dxa"/>
            <w:noWrap w:val="0"/>
            <w:vAlign w:val="center"/>
          </w:tcPr>
          <w:p w14:paraId="644E8AB8">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联系方式</w:t>
            </w:r>
          </w:p>
        </w:tc>
        <w:tc>
          <w:tcPr>
            <w:tcW w:w="2735" w:type="dxa"/>
            <w:noWrap w:val="0"/>
            <w:vAlign w:val="center"/>
          </w:tcPr>
          <w:p w14:paraId="64860B18">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15</w:t>
            </w:r>
            <w:r>
              <w:rPr>
                <w:rFonts w:hint="eastAsia" w:cs="Times New Roman"/>
                <w:color w:val="auto"/>
                <w:sz w:val="24"/>
                <w:lang w:val="en-US" w:eastAsia="zh-CN"/>
              </w:rPr>
              <w:t>*******</w:t>
            </w:r>
            <w:r>
              <w:rPr>
                <w:rFonts w:hint="default" w:ascii="Times New Roman" w:hAnsi="Times New Roman" w:eastAsia="宋体" w:cs="Times New Roman"/>
                <w:color w:val="auto"/>
                <w:sz w:val="24"/>
              </w:rPr>
              <w:t>86</w:t>
            </w:r>
          </w:p>
        </w:tc>
      </w:tr>
      <w:tr w14:paraId="7FDD6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1" w:type="dxa"/>
            <w:gridSpan w:val="2"/>
            <w:noWrap w:val="0"/>
            <w:tcMar>
              <w:top w:w="16" w:type="dxa"/>
              <w:left w:w="16" w:type="dxa"/>
              <w:right w:w="16" w:type="dxa"/>
            </w:tcMar>
            <w:vAlign w:val="center"/>
          </w:tcPr>
          <w:p w14:paraId="1F526266">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建设地点</w:t>
            </w:r>
          </w:p>
        </w:tc>
        <w:tc>
          <w:tcPr>
            <w:tcW w:w="6789" w:type="dxa"/>
            <w:gridSpan w:val="3"/>
            <w:noWrap w:val="0"/>
            <w:vAlign w:val="center"/>
          </w:tcPr>
          <w:p w14:paraId="6C659A38">
            <w:pPr>
              <w:adjustRightInd w:val="0"/>
              <w:snapToGrid w:val="0"/>
              <w:jc w:val="center"/>
              <w:rPr>
                <w:rFonts w:hint="default" w:ascii="Times New Roman" w:hAnsi="Times New Roman" w:eastAsia="宋体" w:cs="Times New Roman"/>
                <w:color w:val="auto"/>
                <w:sz w:val="24"/>
              </w:rPr>
            </w:pPr>
            <w:r>
              <w:rPr>
                <w:rFonts w:hint="eastAsia" w:ascii="Times New Roman" w:hAnsi="Times New Roman" w:cs="Times New Roman"/>
                <w:color w:val="auto"/>
                <w:sz w:val="24"/>
                <w:u w:val="single"/>
                <w:lang w:val="en-US" w:eastAsia="zh-CN"/>
              </w:rPr>
              <w:t xml:space="preserve"> </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省（自治区）</w:t>
            </w:r>
            <w:r>
              <w:rPr>
                <w:rFonts w:hint="default" w:ascii="Times New Roman" w:hAnsi="Times New Roman" w:eastAsia="宋体" w:cs="Times New Roman"/>
                <w:color w:val="auto"/>
                <w:sz w:val="24"/>
                <w:u w:val="single"/>
              </w:rPr>
              <w:t xml:space="preserve"> 重庆 </w:t>
            </w:r>
            <w:r>
              <w:rPr>
                <w:rFonts w:hint="default" w:ascii="Times New Roman" w:hAnsi="Times New Roman" w:eastAsia="宋体" w:cs="Times New Roman"/>
                <w:color w:val="auto"/>
                <w:sz w:val="24"/>
              </w:rPr>
              <w:t>市</w:t>
            </w:r>
            <w:r>
              <w:rPr>
                <w:rFonts w:hint="default" w:ascii="Times New Roman" w:hAnsi="Times New Roman" w:eastAsia="宋体" w:cs="Times New Roman"/>
                <w:color w:val="auto"/>
                <w:sz w:val="24"/>
                <w:u w:val="single"/>
              </w:rPr>
              <w:t xml:space="preserve"> 九龙坡 </w:t>
            </w:r>
            <w:r>
              <w:rPr>
                <w:rFonts w:hint="default" w:ascii="Times New Roman" w:hAnsi="Times New Roman" w:eastAsia="宋体" w:cs="Times New Roman"/>
                <w:color w:val="auto"/>
                <w:sz w:val="24"/>
              </w:rPr>
              <w:t>区</w:t>
            </w:r>
            <w:r>
              <w:rPr>
                <w:rFonts w:hint="default" w:ascii="Times New Roman" w:hAnsi="Times New Roman" w:eastAsia="宋体" w:cs="Times New Roman"/>
                <w:color w:val="auto"/>
                <w:sz w:val="24"/>
                <w:u w:val="single"/>
              </w:rPr>
              <w:t xml:space="preserve"> 谢家湾</w:t>
            </w:r>
            <w:r>
              <w:rPr>
                <w:rFonts w:hint="default" w:ascii="Times New Roman" w:hAnsi="Times New Roman" w:cs="Times New Roman"/>
                <w:color w:val="auto"/>
                <w:sz w:val="24"/>
                <w:u w:val="single"/>
                <w:lang w:eastAsia="zh-CN"/>
              </w:rPr>
              <w:t>街道</w:t>
            </w:r>
            <w:r>
              <w:rPr>
                <w:rFonts w:hint="default" w:ascii="Times New Roman" w:hAnsi="Times New Roman" w:eastAsia="宋体" w:cs="Times New Roman"/>
                <w:color w:val="auto"/>
                <w:sz w:val="24"/>
                <w:u w:val="single"/>
              </w:rPr>
              <w:t>菜袁路</w:t>
            </w:r>
          </w:p>
        </w:tc>
      </w:tr>
      <w:tr w14:paraId="10D216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1" w:type="dxa"/>
            <w:gridSpan w:val="2"/>
            <w:noWrap w:val="0"/>
            <w:tcMar>
              <w:top w:w="16" w:type="dxa"/>
              <w:left w:w="16" w:type="dxa"/>
              <w:right w:w="16" w:type="dxa"/>
            </w:tcMar>
            <w:vAlign w:val="center"/>
          </w:tcPr>
          <w:p w14:paraId="6D58C807">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地理坐标</w:t>
            </w:r>
          </w:p>
        </w:tc>
        <w:tc>
          <w:tcPr>
            <w:tcW w:w="6789" w:type="dxa"/>
            <w:gridSpan w:val="3"/>
            <w:noWrap w:val="0"/>
            <w:vAlign w:val="center"/>
          </w:tcPr>
          <w:p w14:paraId="0981BED1">
            <w:pPr>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u w:val="single"/>
              </w:rPr>
              <w:t xml:space="preserve"> 106 </w:t>
            </w:r>
            <w:r>
              <w:rPr>
                <w:rFonts w:hint="default" w:ascii="Times New Roman" w:hAnsi="Times New Roman" w:eastAsia="宋体" w:cs="Times New Roman"/>
                <w:color w:val="auto"/>
                <w:sz w:val="24"/>
              </w:rPr>
              <w:t>度</w:t>
            </w:r>
            <w:r>
              <w:rPr>
                <w:rFonts w:hint="default" w:ascii="Times New Roman" w:hAnsi="Times New Roman" w:eastAsia="宋体" w:cs="Times New Roman"/>
                <w:color w:val="auto"/>
                <w:sz w:val="24"/>
                <w:u w:val="single"/>
              </w:rPr>
              <w:t xml:space="preserve"> 30 </w:t>
            </w:r>
            <w:r>
              <w:rPr>
                <w:rFonts w:hint="default" w:ascii="Times New Roman" w:hAnsi="Times New Roman" w:eastAsia="宋体" w:cs="Times New Roman"/>
                <w:color w:val="auto"/>
                <w:sz w:val="24"/>
              </w:rPr>
              <w:t>分</w:t>
            </w:r>
            <w:r>
              <w:rPr>
                <w:rFonts w:hint="default" w:ascii="Times New Roman" w:hAnsi="Times New Roman" w:eastAsia="宋体" w:cs="Times New Roman"/>
                <w:color w:val="auto"/>
                <w:sz w:val="24"/>
                <w:u w:val="single"/>
              </w:rPr>
              <w:t xml:space="preserve"> 59.821 </w:t>
            </w:r>
            <w:r>
              <w:rPr>
                <w:rFonts w:hint="default" w:ascii="Times New Roman" w:hAnsi="Times New Roman" w:eastAsia="宋体" w:cs="Times New Roman"/>
                <w:color w:val="auto"/>
                <w:sz w:val="24"/>
              </w:rPr>
              <w:t>秒，</w:t>
            </w:r>
            <w:r>
              <w:rPr>
                <w:rFonts w:hint="default" w:ascii="Times New Roman" w:hAnsi="Times New Roman" w:eastAsia="宋体" w:cs="Times New Roman"/>
                <w:color w:val="auto"/>
                <w:sz w:val="24"/>
                <w:u w:val="single"/>
              </w:rPr>
              <w:t xml:space="preserve"> 29 </w:t>
            </w:r>
            <w:r>
              <w:rPr>
                <w:rFonts w:hint="default" w:ascii="Times New Roman" w:hAnsi="Times New Roman" w:eastAsia="宋体" w:cs="Times New Roman"/>
                <w:color w:val="auto"/>
                <w:sz w:val="24"/>
              </w:rPr>
              <w:t>度</w:t>
            </w:r>
            <w:r>
              <w:rPr>
                <w:rFonts w:hint="default" w:ascii="Times New Roman" w:hAnsi="Times New Roman" w:eastAsia="宋体" w:cs="Times New Roman"/>
                <w:color w:val="auto"/>
                <w:sz w:val="24"/>
                <w:u w:val="single"/>
              </w:rPr>
              <w:t xml:space="preserve"> 32 </w:t>
            </w:r>
            <w:r>
              <w:rPr>
                <w:rFonts w:hint="default" w:ascii="Times New Roman" w:hAnsi="Times New Roman" w:eastAsia="宋体" w:cs="Times New Roman"/>
                <w:color w:val="auto"/>
                <w:sz w:val="24"/>
              </w:rPr>
              <w:t>分</w:t>
            </w:r>
            <w:r>
              <w:rPr>
                <w:rFonts w:hint="default" w:ascii="Times New Roman" w:hAnsi="Times New Roman" w:eastAsia="宋体" w:cs="Times New Roman"/>
                <w:color w:val="auto"/>
                <w:sz w:val="24"/>
                <w:u w:val="single"/>
              </w:rPr>
              <w:t xml:space="preserve"> 8.128 </w:t>
            </w:r>
            <w:r>
              <w:rPr>
                <w:rFonts w:hint="default" w:ascii="Times New Roman" w:hAnsi="Times New Roman" w:eastAsia="宋体" w:cs="Times New Roman"/>
                <w:color w:val="auto"/>
                <w:sz w:val="24"/>
              </w:rPr>
              <w:t>秒）</w:t>
            </w:r>
          </w:p>
        </w:tc>
      </w:tr>
      <w:tr w14:paraId="2789F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081" w:type="dxa"/>
            <w:gridSpan w:val="2"/>
            <w:noWrap w:val="0"/>
            <w:tcMar>
              <w:top w:w="16" w:type="dxa"/>
              <w:left w:w="16" w:type="dxa"/>
              <w:right w:w="16" w:type="dxa"/>
            </w:tcMar>
            <w:vAlign w:val="center"/>
          </w:tcPr>
          <w:p w14:paraId="3433EFFF">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国民经济</w:t>
            </w:r>
          </w:p>
          <w:p w14:paraId="05B5D1BE">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行业类别</w:t>
            </w:r>
          </w:p>
        </w:tc>
        <w:tc>
          <w:tcPr>
            <w:tcW w:w="1862" w:type="dxa"/>
            <w:noWrap w:val="0"/>
            <w:vAlign w:val="center"/>
          </w:tcPr>
          <w:p w14:paraId="74614E4E">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F5265 机动车燃油零售</w:t>
            </w:r>
          </w:p>
        </w:tc>
        <w:tc>
          <w:tcPr>
            <w:tcW w:w="2192" w:type="dxa"/>
            <w:noWrap w:val="0"/>
            <w:vAlign w:val="center"/>
          </w:tcPr>
          <w:p w14:paraId="7F7B74A3">
            <w:pPr>
              <w:adjustRightInd w:val="0"/>
              <w:snapToGrid w:val="0"/>
              <w:jc w:val="center"/>
              <w:rPr>
                <w:rFonts w:hint="default" w:ascii="Times New Roman" w:hAnsi="Times New Roman" w:eastAsia="宋体" w:cs="Times New Roman"/>
                <w:color w:val="auto"/>
                <w:sz w:val="24"/>
              </w:rPr>
            </w:pPr>
            <w:bookmarkStart w:id="0" w:name="_Hlk49843745"/>
            <w:r>
              <w:rPr>
                <w:rFonts w:hint="default" w:ascii="Times New Roman" w:hAnsi="Times New Roman" w:eastAsia="宋体" w:cs="Times New Roman"/>
                <w:color w:val="auto"/>
                <w:sz w:val="24"/>
              </w:rPr>
              <w:t>建设项目</w:t>
            </w:r>
          </w:p>
          <w:p w14:paraId="40093042">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行业类别</w:t>
            </w:r>
            <w:bookmarkEnd w:id="0"/>
          </w:p>
        </w:tc>
        <w:tc>
          <w:tcPr>
            <w:tcW w:w="2735" w:type="dxa"/>
            <w:noWrap w:val="0"/>
            <w:vAlign w:val="center"/>
          </w:tcPr>
          <w:p w14:paraId="00F31939">
            <w:pPr>
              <w:adjustRightInd w:val="0"/>
              <w:snapToGrid w:val="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“五十、社会事业与服务业”中“119 加油、加气站”中“城市建成区新建、扩建加油站”</w:t>
            </w:r>
          </w:p>
        </w:tc>
      </w:tr>
      <w:tr w14:paraId="1AAE5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081" w:type="dxa"/>
            <w:gridSpan w:val="2"/>
            <w:noWrap w:val="0"/>
            <w:tcMar>
              <w:top w:w="16" w:type="dxa"/>
              <w:left w:w="16" w:type="dxa"/>
              <w:right w:w="16" w:type="dxa"/>
            </w:tcMar>
            <w:vAlign w:val="center"/>
          </w:tcPr>
          <w:p w14:paraId="5D32F62A">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建设性质</w:t>
            </w:r>
          </w:p>
        </w:tc>
        <w:tc>
          <w:tcPr>
            <w:tcW w:w="1862" w:type="dxa"/>
            <w:noWrap w:val="0"/>
            <w:vAlign w:val="center"/>
          </w:tcPr>
          <w:p w14:paraId="4552DC74">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新建（迁建）</w:t>
            </w:r>
          </w:p>
          <w:p w14:paraId="4C757D16">
            <w:pPr>
              <w:keepNext w:val="0"/>
              <w:keepLines w:val="0"/>
              <w:pageBreakBefore w:val="0"/>
              <w:widowControl w:val="0"/>
              <w:kinsoku/>
              <w:wordWrap/>
              <w:overflowPunct/>
              <w:topLinePunct w:val="0"/>
              <w:bidi w:val="0"/>
              <w:spacing w:line="240" w:lineRule="auto"/>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sym w:font="Wingdings 2" w:char="0052"/>
            </w:r>
            <w:r>
              <w:rPr>
                <w:rFonts w:hint="default" w:ascii="Times New Roman" w:hAnsi="Times New Roman" w:cs="Times New Roman"/>
                <w:color w:val="auto"/>
                <w:sz w:val="24"/>
                <w:szCs w:val="24"/>
                <w:highlight w:val="none"/>
              </w:rPr>
              <w:t>改建</w:t>
            </w:r>
          </w:p>
          <w:p w14:paraId="77B61D31">
            <w:pPr>
              <w:keepNext w:val="0"/>
              <w:keepLines w:val="0"/>
              <w:pageBreakBefore w:val="0"/>
              <w:widowControl w:val="0"/>
              <w:kinsoku/>
              <w:wordWrap/>
              <w:overflowPunct/>
              <w:topLinePunct w:val="0"/>
              <w:bidi w:val="0"/>
              <w:spacing w:line="240" w:lineRule="auto"/>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sym w:font="Wingdings 2" w:char="0052"/>
            </w:r>
            <w:r>
              <w:rPr>
                <w:rFonts w:hint="default" w:ascii="Times New Roman" w:hAnsi="Times New Roman" w:cs="Times New Roman"/>
                <w:color w:val="auto"/>
                <w:sz w:val="24"/>
                <w:szCs w:val="24"/>
                <w:highlight w:val="none"/>
              </w:rPr>
              <w:t>扩建</w:t>
            </w:r>
          </w:p>
          <w:p w14:paraId="0E855A57">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技术改造</w:t>
            </w:r>
          </w:p>
        </w:tc>
        <w:tc>
          <w:tcPr>
            <w:tcW w:w="2192" w:type="dxa"/>
            <w:noWrap w:val="0"/>
            <w:vAlign w:val="center"/>
          </w:tcPr>
          <w:p w14:paraId="4CC88E1D">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建设项目</w:t>
            </w:r>
          </w:p>
          <w:p w14:paraId="65F15493">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申报情形</w:t>
            </w:r>
          </w:p>
        </w:tc>
        <w:tc>
          <w:tcPr>
            <w:tcW w:w="2735" w:type="dxa"/>
            <w:noWrap w:val="0"/>
            <w:vAlign w:val="center"/>
          </w:tcPr>
          <w:p w14:paraId="0CCD5297">
            <w:pPr>
              <w:jc w:val="left"/>
              <w:rPr>
                <w:rFonts w:hint="default" w:ascii="Times New Roman" w:hAnsi="Times New Roman" w:eastAsia="宋体" w:cs="Times New Roman"/>
                <w:color w:val="auto"/>
                <w:sz w:val="24"/>
              </w:rPr>
            </w:pPr>
            <w:r>
              <w:rPr>
                <w:rFonts w:hint="default" w:ascii="Times New Roman" w:hAnsi="Times New Roman" w:cs="Times New Roman"/>
                <w:color w:val="auto"/>
                <w:sz w:val="24"/>
                <w:szCs w:val="24"/>
                <w:highlight w:val="none"/>
              </w:rPr>
              <w:sym w:font="Wingdings 2" w:char="0052"/>
            </w:r>
            <w:r>
              <w:rPr>
                <w:rFonts w:hint="default" w:ascii="Times New Roman" w:hAnsi="Times New Roman" w:eastAsia="宋体" w:cs="Times New Roman"/>
                <w:color w:val="auto"/>
                <w:sz w:val="24"/>
              </w:rPr>
              <w:t xml:space="preserve">首次申报项目             </w:t>
            </w:r>
          </w:p>
          <w:p w14:paraId="1DA4CE57">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不予批准后再次申报项目</w:t>
            </w:r>
          </w:p>
          <w:p w14:paraId="340EAD61">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 xml:space="preserve">超五年重新审核项目     </w:t>
            </w:r>
          </w:p>
          <w:p w14:paraId="1C909097">
            <w:pPr>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重大变动重新报批项目</w:t>
            </w:r>
          </w:p>
        </w:tc>
      </w:tr>
      <w:tr w14:paraId="6D213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081" w:type="dxa"/>
            <w:gridSpan w:val="2"/>
            <w:noWrap w:val="0"/>
            <w:tcMar>
              <w:top w:w="16" w:type="dxa"/>
              <w:left w:w="16" w:type="dxa"/>
              <w:right w:w="16" w:type="dxa"/>
            </w:tcMar>
            <w:vAlign w:val="center"/>
          </w:tcPr>
          <w:p w14:paraId="22874111">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w:t>
            </w:r>
          </w:p>
          <w:p w14:paraId="05937FB9">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备案）部门（选填）</w:t>
            </w:r>
          </w:p>
        </w:tc>
        <w:tc>
          <w:tcPr>
            <w:tcW w:w="1862" w:type="dxa"/>
            <w:noWrap w:val="0"/>
            <w:vAlign w:val="center"/>
          </w:tcPr>
          <w:p w14:paraId="4D17C1B7">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重庆市九龙坡区发展和改革委员会</w:t>
            </w:r>
          </w:p>
        </w:tc>
        <w:tc>
          <w:tcPr>
            <w:tcW w:w="2192" w:type="dxa"/>
            <w:noWrap w:val="0"/>
            <w:vAlign w:val="center"/>
          </w:tcPr>
          <w:p w14:paraId="6970F429">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项目审批（核准/</w:t>
            </w:r>
          </w:p>
          <w:p w14:paraId="57873E47">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备案）文号（选填）</w:t>
            </w:r>
          </w:p>
        </w:tc>
        <w:tc>
          <w:tcPr>
            <w:tcW w:w="2735" w:type="dxa"/>
            <w:noWrap w:val="0"/>
            <w:vAlign w:val="center"/>
          </w:tcPr>
          <w:p w14:paraId="5809AB76">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2302-500107-04-02-797031</w:t>
            </w:r>
          </w:p>
        </w:tc>
      </w:tr>
      <w:tr w14:paraId="3E4E4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1" w:type="dxa"/>
            <w:gridSpan w:val="2"/>
            <w:noWrap w:val="0"/>
            <w:tcMar>
              <w:top w:w="16" w:type="dxa"/>
              <w:left w:w="16" w:type="dxa"/>
              <w:right w:w="16" w:type="dxa"/>
            </w:tcMar>
            <w:vAlign w:val="center"/>
          </w:tcPr>
          <w:p w14:paraId="1BF53FC2">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总投资（万元）</w:t>
            </w:r>
          </w:p>
        </w:tc>
        <w:tc>
          <w:tcPr>
            <w:tcW w:w="1862" w:type="dxa"/>
            <w:noWrap w:val="0"/>
            <w:vAlign w:val="center"/>
          </w:tcPr>
          <w:p w14:paraId="7750D58B">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50</w:t>
            </w:r>
          </w:p>
        </w:tc>
        <w:tc>
          <w:tcPr>
            <w:tcW w:w="2192" w:type="dxa"/>
            <w:noWrap w:val="0"/>
            <w:tcMar>
              <w:top w:w="16" w:type="dxa"/>
              <w:left w:w="16" w:type="dxa"/>
              <w:right w:w="16" w:type="dxa"/>
            </w:tcMar>
            <w:vAlign w:val="center"/>
          </w:tcPr>
          <w:p w14:paraId="45FF3FA1">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环保投资（万元）</w:t>
            </w:r>
          </w:p>
        </w:tc>
        <w:tc>
          <w:tcPr>
            <w:tcW w:w="2735" w:type="dxa"/>
            <w:noWrap w:val="0"/>
            <w:vAlign w:val="center"/>
          </w:tcPr>
          <w:p w14:paraId="2553FF4A">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4.45</w:t>
            </w:r>
          </w:p>
        </w:tc>
      </w:tr>
      <w:tr w14:paraId="40D20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1" w:type="dxa"/>
            <w:gridSpan w:val="2"/>
            <w:noWrap w:val="0"/>
            <w:tcMar>
              <w:top w:w="16" w:type="dxa"/>
              <w:left w:w="16" w:type="dxa"/>
              <w:right w:w="16" w:type="dxa"/>
            </w:tcMar>
            <w:vAlign w:val="center"/>
          </w:tcPr>
          <w:p w14:paraId="328D5DE7">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环保投资占比（%）</w:t>
            </w:r>
          </w:p>
        </w:tc>
        <w:tc>
          <w:tcPr>
            <w:tcW w:w="1862" w:type="dxa"/>
            <w:noWrap w:val="0"/>
            <w:vAlign w:val="center"/>
          </w:tcPr>
          <w:p w14:paraId="510E7EB1">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8.9</w:t>
            </w:r>
          </w:p>
        </w:tc>
        <w:tc>
          <w:tcPr>
            <w:tcW w:w="2192" w:type="dxa"/>
            <w:noWrap w:val="0"/>
            <w:tcMar>
              <w:top w:w="16" w:type="dxa"/>
              <w:left w:w="16" w:type="dxa"/>
              <w:right w:w="16" w:type="dxa"/>
            </w:tcMar>
            <w:vAlign w:val="center"/>
          </w:tcPr>
          <w:p w14:paraId="3F8F4A76">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施工工期</w:t>
            </w:r>
          </w:p>
        </w:tc>
        <w:tc>
          <w:tcPr>
            <w:tcW w:w="2735" w:type="dxa"/>
            <w:noWrap w:val="0"/>
            <w:vAlign w:val="center"/>
          </w:tcPr>
          <w:p w14:paraId="617F14BF">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2个月</w:t>
            </w:r>
          </w:p>
        </w:tc>
      </w:tr>
      <w:tr w14:paraId="549E5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81" w:type="dxa"/>
            <w:gridSpan w:val="2"/>
            <w:noWrap w:val="0"/>
            <w:tcMar>
              <w:top w:w="16" w:type="dxa"/>
              <w:left w:w="16" w:type="dxa"/>
              <w:right w:w="16" w:type="dxa"/>
            </w:tcMar>
            <w:vAlign w:val="center"/>
          </w:tcPr>
          <w:p w14:paraId="5D1CE34D">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是否开工建设</w:t>
            </w:r>
          </w:p>
        </w:tc>
        <w:tc>
          <w:tcPr>
            <w:tcW w:w="1862" w:type="dxa"/>
            <w:noWrap w:val="0"/>
            <w:vAlign w:val="center"/>
          </w:tcPr>
          <w:p w14:paraId="689B6DCB">
            <w:pPr>
              <w:adjustRightInd w:val="0"/>
              <w:snapToGrid w:val="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52"/>
            </w:r>
            <w:r>
              <w:rPr>
                <w:rFonts w:hint="default" w:ascii="Times New Roman" w:hAnsi="Times New Roman" w:eastAsia="宋体" w:cs="Times New Roman"/>
                <w:color w:val="auto"/>
                <w:sz w:val="24"/>
              </w:rPr>
              <w:t>否</w:t>
            </w:r>
          </w:p>
          <w:p w14:paraId="13A9EBFA">
            <w:pPr>
              <w:adjustRightInd w:val="0"/>
              <w:snapToGrid w:val="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sym w:font="Wingdings 2" w:char="00A3"/>
            </w:r>
            <w:r>
              <w:rPr>
                <w:rFonts w:hint="default" w:ascii="Times New Roman" w:hAnsi="Times New Roman" w:eastAsia="宋体" w:cs="Times New Roman"/>
                <w:color w:val="auto"/>
                <w:sz w:val="24"/>
              </w:rPr>
              <w:t>是</w:t>
            </w:r>
          </w:p>
        </w:tc>
        <w:tc>
          <w:tcPr>
            <w:tcW w:w="2192" w:type="dxa"/>
            <w:noWrap w:val="0"/>
            <w:tcMar>
              <w:top w:w="16" w:type="dxa"/>
              <w:left w:w="16" w:type="dxa"/>
              <w:right w:w="16" w:type="dxa"/>
            </w:tcMar>
            <w:vAlign w:val="center"/>
          </w:tcPr>
          <w:p w14:paraId="7E06F5D4">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pacing w:val="-6"/>
                <w:sz w:val="24"/>
              </w:rPr>
              <w:t>用地面积（m</w:t>
            </w:r>
            <w:r>
              <w:rPr>
                <w:rFonts w:hint="default" w:ascii="Times New Roman" w:hAnsi="Times New Roman" w:eastAsia="宋体" w:cs="Times New Roman"/>
                <w:color w:val="auto"/>
                <w:spacing w:val="-6"/>
                <w:sz w:val="24"/>
                <w:vertAlign w:val="superscript"/>
              </w:rPr>
              <w:t>2</w:t>
            </w:r>
            <w:r>
              <w:rPr>
                <w:rFonts w:hint="default" w:ascii="Times New Roman" w:hAnsi="Times New Roman" w:eastAsia="宋体" w:cs="Times New Roman"/>
                <w:color w:val="auto"/>
                <w:spacing w:val="-6"/>
                <w:sz w:val="24"/>
              </w:rPr>
              <w:t>）</w:t>
            </w:r>
          </w:p>
        </w:tc>
        <w:tc>
          <w:tcPr>
            <w:tcW w:w="2735" w:type="dxa"/>
            <w:noWrap w:val="0"/>
            <w:vAlign w:val="center"/>
          </w:tcPr>
          <w:p w14:paraId="257AF4F2">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0</w:t>
            </w:r>
          </w:p>
        </w:tc>
      </w:tr>
      <w:tr w14:paraId="77D1E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81" w:type="dxa"/>
            <w:gridSpan w:val="2"/>
            <w:noWrap w:val="0"/>
            <w:vAlign w:val="center"/>
          </w:tcPr>
          <w:p w14:paraId="1C60804C">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专项评价设置情况</w:t>
            </w:r>
          </w:p>
        </w:tc>
        <w:tc>
          <w:tcPr>
            <w:tcW w:w="6789" w:type="dxa"/>
            <w:gridSpan w:val="3"/>
            <w:noWrap w:val="0"/>
            <w:vAlign w:val="center"/>
          </w:tcPr>
          <w:p w14:paraId="4B6A771A">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专项评价设置原则表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3078"/>
              <w:gridCol w:w="2369"/>
            </w:tblGrid>
            <w:tr w14:paraId="34F5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1AB025BA">
                  <w:pPr>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eastAsia="zh-CN"/>
                    </w:rPr>
                    <w:t>专项</w:t>
                  </w:r>
                  <w:r>
                    <w:rPr>
                      <w:rFonts w:hint="default" w:ascii="Times New Roman" w:hAnsi="Times New Roman" w:eastAsia="宋体" w:cs="Times New Roman"/>
                      <w:color w:val="auto"/>
                      <w:sz w:val="18"/>
                      <w:szCs w:val="18"/>
                    </w:rPr>
                    <w:t>评价的类别</w:t>
                  </w:r>
                </w:p>
              </w:tc>
              <w:tc>
                <w:tcPr>
                  <w:tcW w:w="3078" w:type="dxa"/>
                  <w:noWrap w:val="0"/>
                  <w:vAlign w:val="center"/>
                </w:tcPr>
                <w:p w14:paraId="3DEC1A27">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设置原则</w:t>
                  </w:r>
                </w:p>
              </w:tc>
              <w:tc>
                <w:tcPr>
                  <w:tcW w:w="2369" w:type="dxa"/>
                  <w:noWrap w:val="0"/>
                  <w:vAlign w:val="center"/>
                </w:tcPr>
                <w:p w14:paraId="2EE5939E">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本项目</w:t>
                  </w:r>
                </w:p>
              </w:tc>
            </w:tr>
            <w:tr w14:paraId="47A9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068C5B99">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大气</w:t>
                  </w:r>
                </w:p>
              </w:tc>
              <w:tc>
                <w:tcPr>
                  <w:tcW w:w="3078" w:type="dxa"/>
                  <w:noWrap w:val="0"/>
                  <w:vAlign w:val="center"/>
                </w:tcPr>
                <w:p w14:paraId="6E343E55">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排放废气含有毒有害污染物</w:t>
                  </w:r>
                  <w:r>
                    <w:rPr>
                      <w:rFonts w:hint="default" w:ascii="Times New Roman" w:hAnsi="Times New Roman" w:eastAsia="宋体" w:cs="Times New Roman"/>
                      <w:color w:val="auto"/>
                      <w:sz w:val="18"/>
                      <w:szCs w:val="18"/>
                      <w:vertAlign w:val="superscript"/>
                    </w:rPr>
                    <w:t>1</w:t>
                  </w:r>
                  <w:r>
                    <w:rPr>
                      <w:rFonts w:hint="default" w:ascii="Times New Roman" w:hAnsi="Times New Roman" w:eastAsia="宋体" w:cs="Times New Roman"/>
                      <w:color w:val="auto"/>
                      <w:sz w:val="18"/>
                      <w:szCs w:val="18"/>
                    </w:rPr>
                    <w:t>、二噁英、苯并[a]芘、氰化物、氯气且厂界外500米范围内有环境空气保护目标</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的建设项目</w:t>
                  </w:r>
                </w:p>
              </w:tc>
              <w:tc>
                <w:tcPr>
                  <w:tcW w:w="2369" w:type="dxa"/>
                  <w:noWrap w:val="0"/>
                  <w:vAlign w:val="center"/>
                </w:tcPr>
                <w:p w14:paraId="615228E6">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本项目运营期废气污染物因子主要为非甲烷总烃等，不属于有毒有害污染物，故无需开展大气专项评价</w:t>
                  </w:r>
                </w:p>
              </w:tc>
            </w:tr>
            <w:tr w14:paraId="5B2D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244F1DA5">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地表水</w:t>
                  </w:r>
                </w:p>
              </w:tc>
              <w:tc>
                <w:tcPr>
                  <w:tcW w:w="3078" w:type="dxa"/>
                  <w:noWrap w:val="0"/>
                  <w:vAlign w:val="center"/>
                </w:tcPr>
                <w:p w14:paraId="12024FDD">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新增工业废水直排建设项目（槽罐车外送污水处理厂的除外）；新增废水直排的污水集中处理厂</w:t>
                  </w:r>
                </w:p>
              </w:tc>
              <w:tc>
                <w:tcPr>
                  <w:tcW w:w="2369" w:type="dxa"/>
                  <w:noWrap w:val="0"/>
                  <w:vAlign w:val="center"/>
                </w:tcPr>
                <w:p w14:paraId="163C0FA6">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本项目废水预处理后排入市政管网，进入</w:t>
                  </w:r>
                  <w:r>
                    <w:rPr>
                      <w:rFonts w:hint="default" w:ascii="Times New Roman" w:hAnsi="Times New Roman" w:cs="Times New Roman"/>
                      <w:color w:val="auto"/>
                      <w:sz w:val="18"/>
                      <w:szCs w:val="18"/>
                      <w:lang w:eastAsia="zh-CN"/>
                    </w:rPr>
                    <w:t>城市</w:t>
                  </w:r>
                  <w:r>
                    <w:rPr>
                      <w:rFonts w:hint="default" w:ascii="Times New Roman" w:hAnsi="Times New Roman" w:eastAsia="宋体" w:cs="Times New Roman"/>
                      <w:color w:val="auto"/>
                      <w:sz w:val="18"/>
                      <w:szCs w:val="18"/>
                    </w:rPr>
                    <w:t>污水处理厂处理，故无需开展地表水专项评价</w:t>
                  </w:r>
                </w:p>
              </w:tc>
            </w:tr>
            <w:tr w14:paraId="63B1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06BA9D50">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环境风险</w:t>
                  </w:r>
                </w:p>
              </w:tc>
              <w:tc>
                <w:tcPr>
                  <w:tcW w:w="3078" w:type="dxa"/>
                  <w:noWrap w:val="0"/>
                  <w:vAlign w:val="center"/>
                </w:tcPr>
                <w:p w14:paraId="264BD3F6">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有毒有害和易燃易爆危险物质存储量超过临界量</w:t>
                  </w:r>
                  <w:r>
                    <w:rPr>
                      <w:rFonts w:hint="default" w:ascii="Times New Roman" w:hAnsi="Times New Roman" w:eastAsia="宋体" w:cs="Times New Roman"/>
                      <w:color w:val="auto"/>
                      <w:sz w:val="18"/>
                      <w:szCs w:val="18"/>
                      <w:vertAlign w:val="superscript"/>
                    </w:rPr>
                    <w:t>3</w:t>
                  </w:r>
                  <w:r>
                    <w:rPr>
                      <w:rFonts w:hint="default" w:ascii="Times New Roman" w:hAnsi="Times New Roman" w:eastAsia="宋体" w:cs="Times New Roman"/>
                      <w:color w:val="auto"/>
                      <w:sz w:val="18"/>
                      <w:szCs w:val="18"/>
                    </w:rPr>
                    <w:t>的建设项目</w:t>
                  </w:r>
                </w:p>
              </w:tc>
              <w:tc>
                <w:tcPr>
                  <w:tcW w:w="2369" w:type="dxa"/>
                  <w:noWrap w:val="0"/>
                  <w:vAlign w:val="center"/>
                </w:tcPr>
                <w:p w14:paraId="4CE75201">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本项目涉及危险物质储存量未超过临界量，故无需设置环境风险专项评价</w:t>
                  </w:r>
                </w:p>
              </w:tc>
            </w:tr>
            <w:tr w14:paraId="45B4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506E41CB">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生态</w:t>
                  </w:r>
                </w:p>
              </w:tc>
              <w:tc>
                <w:tcPr>
                  <w:tcW w:w="3078" w:type="dxa"/>
                  <w:noWrap w:val="0"/>
                  <w:vAlign w:val="center"/>
                </w:tcPr>
                <w:p w14:paraId="24720412">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取水口下游500米范围内有重要水生生物的自然产卵场、索饵场、越冬场和洄游通道的新增河道取水的污染类建设项目</w:t>
                  </w:r>
                </w:p>
              </w:tc>
              <w:tc>
                <w:tcPr>
                  <w:tcW w:w="2369" w:type="dxa"/>
                  <w:noWrap w:val="0"/>
                  <w:vAlign w:val="center"/>
                </w:tcPr>
                <w:p w14:paraId="7B07108A">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本项目在现有加油站内进行改造，不新增占地，不涉及取水，故无需开展生态专项评价</w:t>
                  </w:r>
                </w:p>
              </w:tc>
            </w:tr>
            <w:tr w14:paraId="0EAD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noWrap w:val="0"/>
                  <w:vAlign w:val="center"/>
                </w:tcPr>
                <w:p w14:paraId="7C411940">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海洋</w:t>
                  </w:r>
                </w:p>
              </w:tc>
              <w:tc>
                <w:tcPr>
                  <w:tcW w:w="3078" w:type="dxa"/>
                  <w:noWrap w:val="0"/>
                  <w:vAlign w:val="center"/>
                </w:tcPr>
                <w:p w14:paraId="4E8E5078">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直接向海排放污染物的海洋工程建设项目</w:t>
                  </w:r>
                </w:p>
              </w:tc>
              <w:tc>
                <w:tcPr>
                  <w:tcW w:w="2369" w:type="dxa"/>
                  <w:noWrap w:val="0"/>
                  <w:vAlign w:val="center"/>
                </w:tcPr>
                <w:p w14:paraId="24215CFE">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本项目不属于海洋工程建设项目，故无需开展海洋专项评价</w:t>
                  </w:r>
                </w:p>
              </w:tc>
            </w:tr>
          </w:tbl>
          <w:p w14:paraId="38F7B730">
            <w:pPr>
              <w:widowControl/>
              <w:jc w:val="left"/>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注：1、废气中有毒有害污染物指纳入《有毒有害大气污染物名录》的污染物（不包括无排放标准的污染物）。</w:t>
            </w:r>
          </w:p>
          <w:p w14:paraId="4C46C74B">
            <w:pPr>
              <w:widowControl/>
              <w:ind w:firstLine="360" w:firstLineChars="200"/>
              <w:jc w:val="left"/>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2、环境空气保护目标指自然保护区、风景名胜区、居住区、文化区和农村地区中人群较集中的区域。</w:t>
            </w:r>
          </w:p>
          <w:p w14:paraId="34FD82E4">
            <w:pPr>
              <w:autoSpaceDE w:val="0"/>
              <w:autoSpaceDN w:val="0"/>
              <w:adjustRightInd w:val="0"/>
              <w:snapToGrid w:val="0"/>
              <w:ind w:firstLine="360" w:firstLineChars="20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18"/>
                <w:szCs w:val="18"/>
                <w:lang w:bidi="ar"/>
              </w:rPr>
              <w:t>3、临界量及其计算方法可参考《建设项目环境风险评价技术导则》（HJ 169-2018）附录B、附录C。</w:t>
            </w:r>
          </w:p>
        </w:tc>
      </w:tr>
      <w:tr w14:paraId="7C9B5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81" w:type="dxa"/>
            <w:gridSpan w:val="2"/>
            <w:noWrap w:val="0"/>
            <w:vAlign w:val="center"/>
          </w:tcPr>
          <w:p w14:paraId="627D0D03">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规划情况</w:t>
            </w:r>
          </w:p>
        </w:tc>
        <w:tc>
          <w:tcPr>
            <w:tcW w:w="6789" w:type="dxa"/>
            <w:gridSpan w:val="3"/>
            <w:noWrap w:val="0"/>
            <w:vAlign w:val="center"/>
          </w:tcPr>
          <w:p w14:paraId="4483EB42">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无</w:t>
            </w:r>
          </w:p>
        </w:tc>
      </w:tr>
      <w:tr w14:paraId="2B2DB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081" w:type="dxa"/>
            <w:gridSpan w:val="2"/>
            <w:noWrap w:val="0"/>
            <w:vAlign w:val="center"/>
          </w:tcPr>
          <w:p w14:paraId="47293971">
            <w:pPr>
              <w:adjustRightInd w:val="0"/>
              <w:snapToGrid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规划环境影响</w:t>
            </w:r>
          </w:p>
          <w:p w14:paraId="5EB001B6">
            <w:pPr>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评价情况</w:t>
            </w:r>
          </w:p>
        </w:tc>
        <w:tc>
          <w:tcPr>
            <w:tcW w:w="6789" w:type="dxa"/>
            <w:gridSpan w:val="3"/>
            <w:noWrap w:val="0"/>
            <w:vAlign w:val="center"/>
          </w:tcPr>
          <w:p w14:paraId="58779B71">
            <w:pPr>
              <w:autoSpaceDE w:val="0"/>
              <w:autoSpaceDN w:val="0"/>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无</w:t>
            </w:r>
          </w:p>
        </w:tc>
      </w:tr>
      <w:tr w14:paraId="35574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81" w:type="dxa"/>
            <w:gridSpan w:val="2"/>
            <w:noWrap w:val="0"/>
            <w:vAlign w:val="center"/>
          </w:tcPr>
          <w:p w14:paraId="653DD4B8">
            <w:pPr>
              <w:autoSpaceDE w:val="0"/>
              <w:autoSpaceDN w:val="0"/>
              <w:adjustRightInd w:val="0"/>
              <w:snapToGrid w:val="0"/>
              <w:jc w:val="center"/>
              <w:rPr>
                <w:rFonts w:hint="default" w:ascii="Times New Roman" w:hAnsi="Times New Roman" w:eastAsia="宋体" w:cs="Times New Roman"/>
                <w:color w:val="auto"/>
                <w:kern w:val="0"/>
                <w:sz w:val="26"/>
                <w:szCs w:val="26"/>
              </w:rPr>
            </w:pPr>
            <w:r>
              <w:rPr>
                <w:rFonts w:hint="default" w:ascii="Times New Roman" w:hAnsi="Times New Roman" w:eastAsia="宋体" w:cs="Times New Roman"/>
                <w:color w:val="auto"/>
                <w:kern w:val="0"/>
                <w:sz w:val="26"/>
                <w:szCs w:val="26"/>
              </w:rPr>
              <w:t>规划及规划环境</w:t>
            </w:r>
          </w:p>
          <w:p w14:paraId="69F5FF69">
            <w:pPr>
              <w:autoSpaceDE w:val="0"/>
              <w:autoSpaceDN w:val="0"/>
              <w:adjustRightInd w:val="0"/>
              <w:snapToGrid w:val="0"/>
              <w:jc w:val="center"/>
              <w:rPr>
                <w:rFonts w:hint="default" w:ascii="Times New Roman" w:hAnsi="Times New Roman" w:eastAsia="宋体" w:cs="Times New Roman"/>
                <w:color w:val="auto"/>
                <w:kern w:val="0"/>
                <w:sz w:val="26"/>
                <w:szCs w:val="26"/>
              </w:rPr>
            </w:pPr>
            <w:r>
              <w:rPr>
                <w:rFonts w:hint="default" w:ascii="Times New Roman" w:hAnsi="Times New Roman" w:eastAsia="宋体" w:cs="Times New Roman"/>
                <w:color w:val="auto"/>
                <w:kern w:val="0"/>
                <w:sz w:val="26"/>
                <w:szCs w:val="26"/>
              </w:rPr>
              <w:t>影响评价符合性分析</w:t>
            </w:r>
          </w:p>
        </w:tc>
        <w:tc>
          <w:tcPr>
            <w:tcW w:w="6789" w:type="dxa"/>
            <w:gridSpan w:val="3"/>
            <w:noWrap w:val="0"/>
            <w:vAlign w:val="center"/>
          </w:tcPr>
          <w:p w14:paraId="72593CEB">
            <w:pPr>
              <w:autoSpaceDE w:val="0"/>
              <w:autoSpaceDN w:val="0"/>
              <w:adjustRightInd w:val="0"/>
              <w:snapToGrid w:val="0"/>
              <w:spacing w:line="460" w:lineRule="exact"/>
              <w:jc w:val="center"/>
              <w:rPr>
                <w:rFonts w:hint="default" w:ascii="Times New Roman" w:hAnsi="Times New Roman" w:eastAsia="宋体" w:cs="Times New Roman"/>
                <w:color w:val="auto"/>
                <w:kern w:val="0"/>
                <w:sz w:val="26"/>
                <w:szCs w:val="26"/>
              </w:rPr>
            </w:pPr>
            <w:r>
              <w:rPr>
                <w:rFonts w:hint="default" w:ascii="Times New Roman" w:hAnsi="Times New Roman" w:eastAsia="宋体" w:cs="Times New Roman"/>
                <w:color w:val="auto"/>
                <w:kern w:val="0"/>
                <w:sz w:val="26"/>
                <w:szCs w:val="26"/>
              </w:rPr>
              <w:t>无</w:t>
            </w:r>
          </w:p>
        </w:tc>
      </w:tr>
      <w:tr w14:paraId="08396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5" w:hRule="atLeast"/>
          <w:jc w:val="center"/>
        </w:trPr>
        <w:tc>
          <w:tcPr>
            <w:tcW w:w="864" w:type="dxa"/>
            <w:noWrap w:val="0"/>
            <w:vAlign w:val="center"/>
          </w:tcPr>
          <w:p w14:paraId="643B6B2A">
            <w:pPr>
              <w:autoSpaceDE w:val="0"/>
              <w:autoSpaceDN w:val="0"/>
              <w:adjustRightInd w:val="0"/>
              <w:snapToGrid w:val="0"/>
              <w:spacing w:line="360" w:lineRule="auto"/>
              <w:jc w:val="center"/>
              <w:rPr>
                <w:rFonts w:hint="default" w:ascii="Times New Roman" w:hAnsi="Times New Roman" w:eastAsia="宋体" w:cs="Times New Roman"/>
                <w:color w:val="auto"/>
                <w:kern w:val="0"/>
                <w:sz w:val="26"/>
                <w:szCs w:val="26"/>
                <w:highlight w:val="yellow"/>
              </w:rPr>
            </w:pPr>
            <w:r>
              <w:rPr>
                <w:rFonts w:hint="default" w:ascii="Times New Roman" w:hAnsi="Times New Roman" w:eastAsia="宋体" w:cs="Times New Roman"/>
                <w:color w:val="auto"/>
                <w:kern w:val="0"/>
                <w:sz w:val="24"/>
                <w:szCs w:val="26"/>
              </w:rPr>
              <w:t>其他符合性分析</w:t>
            </w:r>
          </w:p>
        </w:tc>
        <w:tc>
          <w:tcPr>
            <w:tcW w:w="8006" w:type="dxa"/>
            <w:gridSpan w:val="4"/>
            <w:noWrap w:val="0"/>
            <w:vAlign w:val="top"/>
          </w:tcPr>
          <w:p w14:paraId="09F5E091">
            <w:pPr>
              <w:autoSpaceDE w:val="0"/>
              <w:autoSpaceDN w:val="0"/>
              <w:adjustRightInd w:val="0"/>
              <w:snapToGrid w:val="0"/>
              <w:spacing w:line="360" w:lineRule="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1.1与“三线一单”符合性分析</w:t>
            </w:r>
          </w:p>
          <w:p w14:paraId="7A5A01A3">
            <w:pPr>
              <w:pStyle w:val="15"/>
              <w:spacing w:line="360" w:lineRule="auto"/>
              <w:ind w:left="0" w:leftChars="0" w:firstLine="480" w:firstLineChars="200"/>
              <w:rPr>
                <w:rFonts w:hint="default" w:ascii="Times New Roman" w:hAnsi="Times New Roman" w:cs="Times New Roman"/>
                <w:b/>
                <w:color w:val="auto"/>
                <w:sz w:val="24"/>
                <w:lang w:eastAsia="zh-CN"/>
              </w:rPr>
            </w:pPr>
            <w:r>
              <w:rPr>
                <w:rFonts w:hint="default" w:ascii="Times New Roman" w:hAnsi="Times New Roman" w:eastAsia="宋体" w:cs="Times New Roman"/>
                <w:color w:val="auto"/>
                <w:sz w:val="24"/>
              </w:rPr>
              <w:t>本项目不涉及重庆市生态保护红线，与生态保护红线的位置关系见</w:t>
            </w:r>
            <w:r>
              <w:rPr>
                <w:rFonts w:hint="default" w:ascii="Times New Roman" w:hAnsi="Times New Roman" w:eastAsia="宋体" w:cs="Times New Roman"/>
                <w:b/>
                <w:color w:val="auto"/>
                <w:sz w:val="24"/>
              </w:rPr>
              <w:t>附图6</w:t>
            </w:r>
            <w:r>
              <w:rPr>
                <w:rFonts w:hint="default" w:ascii="Times New Roman" w:hAnsi="Times New Roman" w:cs="Times New Roman"/>
                <w:b/>
                <w:color w:val="auto"/>
                <w:sz w:val="24"/>
                <w:lang w:eastAsia="zh-CN"/>
              </w:rPr>
              <w:t>。</w:t>
            </w:r>
          </w:p>
          <w:p w14:paraId="2C78129E">
            <w:pPr>
              <w:pStyle w:val="15"/>
              <w:spacing w:line="360" w:lineRule="auto"/>
              <w:ind w:left="0" w:leftChars="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根据重庆市“三线一单”智检系统查询结果，本项目位于“九龙坡区重点管控单元－</w:t>
            </w:r>
            <w:r>
              <w:rPr>
                <w:rFonts w:hint="default" w:ascii="Times New Roman" w:hAnsi="Times New Roman" w:eastAsia="宋体" w:cs="Times New Roman"/>
                <w:color w:val="auto"/>
                <w:sz w:val="24"/>
                <w:lang w:val="en-US" w:eastAsia="zh-CN"/>
              </w:rPr>
              <w:t>九龙东城片区</w:t>
            </w:r>
            <w:r>
              <w:rPr>
                <w:rFonts w:hint="default" w:ascii="Times New Roman" w:hAnsi="Times New Roman" w:eastAsia="宋体" w:cs="Times New Roman"/>
                <w:color w:val="auto"/>
                <w:sz w:val="24"/>
              </w:rPr>
              <w:t>”，环境管控单元编码ZH5001072000</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，为重点管控单元。</w:t>
            </w:r>
          </w:p>
          <w:p w14:paraId="24B5CD97">
            <w:pPr>
              <w:pStyle w:val="15"/>
              <w:spacing w:line="360" w:lineRule="auto"/>
              <w:ind w:left="0" w:leftChars="0"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lang w:eastAsia="zh-CN"/>
              </w:rPr>
              <w:t>本项目</w:t>
            </w:r>
            <w:r>
              <w:rPr>
                <w:rFonts w:hint="default" w:ascii="Times New Roman" w:hAnsi="Times New Roman" w:eastAsia="宋体" w:cs="Times New Roman"/>
                <w:color w:val="auto"/>
                <w:sz w:val="24"/>
              </w:rPr>
              <w:t>与环境管控单元的位置关系见</w:t>
            </w:r>
            <w:r>
              <w:rPr>
                <w:rFonts w:hint="default" w:ascii="Times New Roman" w:hAnsi="Times New Roman" w:eastAsia="宋体" w:cs="Times New Roman"/>
                <w:b/>
                <w:color w:val="auto"/>
                <w:sz w:val="24"/>
              </w:rPr>
              <w:t>附图7</w:t>
            </w:r>
            <w:r>
              <w:rPr>
                <w:rFonts w:hint="default" w:ascii="Times New Roman" w:hAnsi="Times New Roman" w:eastAsia="宋体" w:cs="Times New Roman"/>
                <w:color w:val="auto"/>
                <w:sz w:val="24"/>
              </w:rPr>
              <w:t>，三线一单检测分析报告</w:t>
            </w:r>
            <w:r>
              <w:rPr>
                <w:rFonts w:hint="default" w:ascii="Times New Roman" w:hAnsi="Times New Roman" w:eastAsia="宋体" w:cs="Times New Roman"/>
                <w:color w:val="auto"/>
                <w:sz w:val="24"/>
                <w:lang w:val="en-GB"/>
              </w:rPr>
              <w:t>详见</w:t>
            </w:r>
            <w:r>
              <w:rPr>
                <w:rFonts w:hint="default" w:ascii="Times New Roman" w:hAnsi="Times New Roman" w:eastAsia="宋体" w:cs="Times New Roman"/>
                <w:b/>
                <w:color w:val="auto"/>
                <w:sz w:val="24"/>
                <w:lang w:val="en-GB"/>
              </w:rPr>
              <w:t>附件</w:t>
            </w:r>
            <w:r>
              <w:rPr>
                <w:rFonts w:hint="default" w:ascii="Times New Roman" w:hAnsi="Times New Roman" w:eastAsia="宋体" w:cs="Times New Roman"/>
                <w:b/>
                <w:color w:val="auto"/>
                <w:sz w:val="24"/>
              </w:rPr>
              <w:t>8</w:t>
            </w:r>
            <w:r>
              <w:rPr>
                <w:rFonts w:hint="default" w:ascii="Times New Roman" w:hAnsi="Times New Roman" w:eastAsia="宋体" w:cs="Times New Roman"/>
                <w:color w:val="auto"/>
                <w:sz w:val="24"/>
              </w:rPr>
              <w:t>。</w:t>
            </w:r>
          </w:p>
          <w:p w14:paraId="19CAEE91">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本项目与“三线一单”管控要求的符合性分析见表1.1-1。</w:t>
            </w:r>
          </w:p>
          <w:p w14:paraId="4AD366FA">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rPr>
            </w:pPr>
          </w:p>
          <w:p w14:paraId="69F9E61D">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rPr>
            </w:pPr>
          </w:p>
          <w:p w14:paraId="75A7B610">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rPr>
            </w:pPr>
          </w:p>
          <w:p w14:paraId="7B9E254D">
            <w:pPr>
              <w:autoSpaceDE w:val="0"/>
              <w:autoSpaceDN w:val="0"/>
              <w:adjustRightInd w:val="0"/>
              <w:snapToGrid w:val="0"/>
              <w:spacing w:line="360" w:lineRule="auto"/>
              <w:rPr>
                <w:rFonts w:hint="default" w:ascii="Times New Roman" w:hAnsi="Times New Roman" w:eastAsia="宋体" w:cs="Times New Roman"/>
                <w:color w:val="auto"/>
                <w:sz w:val="24"/>
              </w:rPr>
            </w:pPr>
          </w:p>
        </w:tc>
      </w:tr>
    </w:tbl>
    <w:p w14:paraId="231F556C">
      <w:pPr>
        <w:spacing w:line="360" w:lineRule="auto"/>
        <w:outlineLvl w:val="0"/>
        <w:rPr>
          <w:rFonts w:hint="default" w:ascii="Times New Roman" w:hAnsi="Times New Roman" w:eastAsia="宋体" w:cs="Times New Roman"/>
          <w:color w:val="auto"/>
          <w:sz w:val="30"/>
          <w:highlight w:val="yellow"/>
        </w:rPr>
        <w:sectPr>
          <w:footerReference r:id="rId3" w:type="default"/>
          <w:pgSz w:w="11906" w:h="16838"/>
          <w:pgMar w:top="1701" w:right="1531" w:bottom="1701" w:left="1531" w:header="851" w:footer="1077" w:gutter="0"/>
          <w:pgNumType w:fmt="decimal" w:start="1"/>
          <w:cols w:space="720" w:num="1"/>
          <w:docGrid w:linePitch="312" w:charSpace="0"/>
        </w:sectPr>
      </w:pPr>
    </w:p>
    <w:tbl>
      <w:tblPr>
        <w:tblStyle w:val="19"/>
        <w:tblW w:w="14176"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3324"/>
      </w:tblGrid>
      <w:tr w14:paraId="1233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211465C9">
            <w:pPr>
              <w:pStyle w:val="71"/>
              <w:spacing w:line="240" w:lineRule="auto"/>
              <w:ind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color w:val="auto"/>
                <w:kern w:val="0"/>
                <w:szCs w:val="26"/>
              </w:rPr>
              <w:t>其他符合性分析</w:t>
            </w:r>
          </w:p>
        </w:tc>
        <w:tc>
          <w:tcPr>
            <w:tcW w:w="13324" w:type="dxa"/>
            <w:noWrap w:val="0"/>
            <w:vAlign w:val="center"/>
          </w:tcPr>
          <w:p w14:paraId="60D014F5">
            <w:pPr>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表1.1-1    本项目与“三线一单”管控要求符合性分析</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747"/>
              <w:gridCol w:w="5753"/>
              <w:gridCol w:w="2834"/>
              <w:gridCol w:w="1211"/>
            </w:tblGrid>
            <w:tr w14:paraId="2455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58" w:type="pct"/>
                  <w:gridSpan w:val="2"/>
                  <w:noWrap w:val="0"/>
                  <w:vAlign w:val="center"/>
                </w:tcPr>
                <w:p w14:paraId="7903B2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环境管控单元编码</w:t>
                  </w:r>
                </w:p>
              </w:tc>
              <w:tc>
                <w:tcPr>
                  <w:tcW w:w="2196" w:type="pct"/>
                  <w:noWrap w:val="0"/>
                  <w:vAlign w:val="center"/>
                </w:tcPr>
                <w:p w14:paraId="7FFD0A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环境管控单元名称</w:t>
                  </w:r>
                </w:p>
              </w:tc>
              <w:tc>
                <w:tcPr>
                  <w:tcW w:w="1544" w:type="pct"/>
                  <w:gridSpan w:val="2"/>
                  <w:noWrap w:val="0"/>
                  <w:vAlign w:val="center"/>
                </w:tcPr>
                <w:p w14:paraId="12243A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环境管控单元类型</w:t>
                  </w:r>
                </w:p>
              </w:tc>
            </w:tr>
            <w:tr w14:paraId="1FE6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58" w:type="pct"/>
                  <w:gridSpan w:val="2"/>
                  <w:noWrap w:val="0"/>
                  <w:vAlign w:val="center"/>
                </w:tcPr>
                <w:p w14:paraId="3A2876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cs="Times New Roman"/>
                      <w:color w:val="auto"/>
                      <w:sz w:val="21"/>
                      <w:szCs w:val="21"/>
                      <w:highlight w:val="none"/>
                      <w:lang w:val="en-US" w:eastAsia="zh-CN"/>
                    </w:rPr>
                    <w:t>ZH50010720001</w:t>
                  </w:r>
                </w:p>
              </w:tc>
              <w:tc>
                <w:tcPr>
                  <w:tcW w:w="2196" w:type="pct"/>
                  <w:noWrap w:val="0"/>
                  <w:vAlign w:val="center"/>
                </w:tcPr>
                <w:p w14:paraId="484AC5E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rPr>
                  </w:pPr>
                  <w:r>
                    <w:rPr>
                      <w:rFonts w:hint="default" w:ascii="Times New Roman" w:hAnsi="Times New Roman" w:cs="Times New Roman"/>
                      <w:color w:val="auto"/>
                      <w:sz w:val="21"/>
                      <w:szCs w:val="21"/>
                      <w:highlight w:val="none"/>
                      <w:lang w:val="en-US" w:eastAsia="zh-CN"/>
                    </w:rPr>
                    <w:t>九龙坡区重点管控单元</w:t>
                  </w: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九龙东城片区</w:t>
                  </w:r>
                </w:p>
              </w:tc>
              <w:tc>
                <w:tcPr>
                  <w:tcW w:w="1544" w:type="pct"/>
                  <w:gridSpan w:val="2"/>
                  <w:noWrap w:val="0"/>
                  <w:vAlign w:val="center"/>
                </w:tcPr>
                <w:p w14:paraId="637017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cs="Times New Roman"/>
                      <w:color w:val="auto"/>
                      <w:sz w:val="21"/>
                      <w:szCs w:val="21"/>
                      <w:highlight w:val="none"/>
                      <w:lang w:val="en-US" w:eastAsia="zh-CN"/>
                    </w:rPr>
                    <w:t>重点管控单元</w:t>
                  </w:r>
                </w:p>
              </w:tc>
            </w:tr>
            <w:tr w14:paraId="2123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noWrap w:val="0"/>
                  <w:vAlign w:val="center"/>
                </w:tcPr>
                <w:p w14:paraId="0B888A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管控要求层级</w:t>
                  </w:r>
                </w:p>
              </w:tc>
              <w:tc>
                <w:tcPr>
                  <w:tcW w:w="667" w:type="pct"/>
                  <w:noWrap w:val="0"/>
                  <w:vAlign w:val="center"/>
                </w:tcPr>
                <w:p w14:paraId="37E1D1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管控类型</w:t>
                  </w:r>
                </w:p>
              </w:tc>
              <w:tc>
                <w:tcPr>
                  <w:tcW w:w="2196" w:type="pct"/>
                  <w:noWrap w:val="0"/>
                  <w:vAlign w:val="center"/>
                </w:tcPr>
                <w:p w14:paraId="4E1F6E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管控要求</w:t>
                  </w:r>
                </w:p>
              </w:tc>
              <w:tc>
                <w:tcPr>
                  <w:tcW w:w="1082" w:type="pct"/>
                  <w:noWrap w:val="0"/>
                  <w:vAlign w:val="center"/>
                </w:tcPr>
                <w:p w14:paraId="4D6AD5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建设项目相关情况</w:t>
                  </w:r>
                </w:p>
              </w:tc>
              <w:tc>
                <w:tcPr>
                  <w:tcW w:w="462" w:type="pct"/>
                  <w:noWrap w:val="0"/>
                  <w:vAlign w:val="center"/>
                </w:tcPr>
                <w:p w14:paraId="30D4BF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符合性分析结论</w:t>
                  </w:r>
                </w:p>
              </w:tc>
            </w:tr>
            <w:tr w14:paraId="6BD6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restart"/>
                  <w:noWrap w:val="0"/>
                  <w:vAlign w:val="center"/>
                </w:tcPr>
                <w:p w14:paraId="5C1E6E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全市总体管控要求</w:t>
                  </w:r>
                </w:p>
              </w:tc>
              <w:tc>
                <w:tcPr>
                  <w:tcW w:w="667" w:type="pct"/>
                  <w:vMerge w:val="restart"/>
                  <w:noWrap w:val="0"/>
                  <w:vAlign w:val="center"/>
                </w:tcPr>
                <w:p w14:paraId="5DEE7EBA">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空间布局</w:t>
                  </w:r>
                </w:p>
                <w:p w14:paraId="13BE78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约束</w:t>
                  </w:r>
                </w:p>
              </w:tc>
              <w:tc>
                <w:tcPr>
                  <w:tcW w:w="2196" w:type="pct"/>
                  <w:noWrap w:val="0"/>
                  <w:vAlign w:val="center"/>
                </w:tcPr>
                <w:p w14:paraId="601DA0D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第一条 深入贯彻习近平生态文明思想，筑牢长江上游重要生态屏障，推动优势区域重点发展、生态功能区重点保护、</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HYPERLINK "http://guihuayun.com/baike/%E5%9F%8E%E4%B9%A1%E8%9E%8D%E5%90%88%E5%8F%91%E5%B1%95" \t "http://www.gui-hua.com/post/_blank"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城乡融合发展</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，优化重点区域、流域、产业的空间布局。</w:t>
                  </w:r>
                </w:p>
              </w:tc>
              <w:tc>
                <w:tcPr>
                  <w:tcW w:w="1082" w:type="pct"/>
                  <w:noWrap w:val="0"/>
                  <w:vAlign w:val="center"/>
                </w:tcPr>
                <w:p w14:paraId="1DEE7A99">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rPr>
                    <w:t>符合产业政策相关要求，不属于禁止准入项目</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不新增占地，选址合理</w:t>
                  </w:r>
                  <w:r>
                    <w:rPr>
                      <w:rFonts w:hint="default" w:ascii="Times New Roman" w:hAnsi="Times New Roman" w:eastAsia="宋体" w:cs="Times New Roman"/>
                      <w:color w:val="auto"/>
                      <w:sz w:val="21"/>
                      <w:szCs w:val="21"/>
                      <w:highlight w:val="none"/>
                    </w:rPr>
                    <w:t>。</w:t>
                  </w:r>
                </w:p>
              </w:tc>
              <w:tc>
                <w:tcPr>
                  <w:tcW w:w="462" w:type="pct"/>
                  <w:noWrap w:val="0"/>
                  <w:vAlign w:val="center"/>
                </w:tcPr>
                <w:p w14:paraId="220C39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eastAsia="zh-CN"/>
                    </w:rPr>
                    <w:t>符合</w:t>
                  </w:r>
                </w:p>
              </w:tc>
            </w:tr>
            <w:tr w14:paraId="22E6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103805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67554D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1785005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第二条 禁止在长江干支流、重要湖泊岸线一公里范围内新建、扩建化工园</w:t>
                  </w:r>
                  <w:r>
                    <w:rPr>
                      <w:rFonts w:hint="default" w:ascii="Times New Roman" w:hAnsi="Times New Roman" w:eastAsia="宋体" w:cs="Times New Roman"/>
                      <w:color w:val="auto"/>
                      <w:spacing w:val="-2"/>
                      <w:sz w:val="21"/>
                      <w:szCs w:val="21"/>
                      <w:highlight w:val="none"/>
                    </w:rPr>
                    <w:t>区和化工项目。禁止在长江干流岸线三公里范围内和重要支流岸线一公里范</w:t>
                  </w:r>
                  <w:r>
                    <w:rPr>
                      <w:rFonts w:hint="default" w:ascii="Times New Roman" w:hAnsi="Times New Roman" w:eastAsia="宋体" w:cs="Times New Roman"/>
                      <w:color w:val="auto"/>
                      <w:sz w:val="21"/>
                      <w:szCs w:val="21"/>
                      <w:highlight w:val="none"/>
                    </w:rPr>
                    <w:t>围内新建、改建、扩建尾矿库、冶炼渣库、磷石膏库，以提升安全、生态环境保护水平为目的的改建除外。</w:t>
                  </w:r>
                  <w:r>
                    <w:rPr>
                      <w:rFonts w:hint="default" w:ascii="Times New Roman" w:hAnsi="Times New Roman" w:eastAsia="宋体" w:cs="Times New Roman"/>
                      <w:color w:val="auto"/>
                      <w:sz w:val="21"/>
                      <w:szCs w:val="21"/>
                      <w:highlight w:val="none"/>
                      <w:lang w:eastAsia="zh-CN"/>
                    </w:rPr>
                    <w:t>禁止在长江、嘉陵江、乌江岸线一公里范围内布局新建重化工、纸浆制造、印染等存在环境风险的项目。</w:t>
                  </w:r>
                </w:p>
              </w:tc>
              <w:tc>
                <w:tcPr>
                  <w:tcW w:w="1082" w:type="pct"/>
                  <w:noWrap w:val="0"/>
                  <w:vAlign w:val="center"/>
                </w:tcPr>
                <w:p w14:paraId="1DB88DB3">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本项目不属于上述项目。</w:t>
                  </w:r>
                </w:p>
              </w:tc>
              <w:tc>
                <w:tcPr>
                  <w:tcW w:w="462" w:type="pct"/>
                  <w:noWrap w:val="0"/>
                  <w:vAlign w:val="center"/>
                </w:tcPr>
                <w:p w14:paraId="0DA1E6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36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57058A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2D5DCA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11AFC5B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第三条 禁止在合规园区外新建、扩建钢铁、石化、化工、焦化、建材、有色、制浆造纸等高污染项目（高污染项目严格按照《环境保护综合名录》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高污染</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产品名录执行）。禁止新建、扩建不符合国家石化、现代煤化工等产业布局规划的项目。新建、改建、扩建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两高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项目须符合生态环境保护法律法规和相关法定规划，满足重点污染物排放总量控制、碳排放达峰目标、</w:t>
                  </w:r>
                  <w:r>
                    <w:rPr>
                      <w:rFonts w:hint="default" w:ascii="Times New Roman" w:hAnsi="Times New Roman" w:eastAsia="宋体" w:cs="Times New Roman"/>
                      <w:color w:val="auto"/>
                      <w:spacing w:val="-2"/>
                      <w:sz w:val="21"/>
                      <w:szCs w:val="21"/>
                      <w:highlight w:val="none"/>
                    </w:rPr>
                    <w:t>生态环境准入清单、相关规划环评和相应行业建设项目环境准入条件、环评</w:t>
                  </w:r>
                  <w:r>
                    <w:rPr>
                      <w:rFonts w:hint="default" w:ascii="Times New Roman" w:hAnsi="Times New Roman" w:eastAsia="宋体" w:cs="Times New Roman"/>
                      <w:color w:val="auto"/>
                      <w:sz w:val="21"/>
                      <w:szCs w:val="21"/>
                      <w:highlight w:val="none"/>
                    </w:rPr>
                    <w:t>文件审批原则要求。</w:t>
                  </w:r>
                </w:p>
              </w:tc>
              <w:tc>
                <w:tcPr>
                  <w:tcW w:w="1082" w:type="pct"/>
                  <w:noWrap w:val="0"/>
                  <w:vAlign w:val="center"/>
                </w:tcPr>
                <w:p w14:paraId="60C2608D">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本项目不属于上述项目。</w:t>
                  </w:r>
                </w:p>
              </w:tc>
              <w:tc>
                <w:tcPr>
                  <w:tcW w:w="462" w:type="pct"/>
                  <w:noWrap w:val="0"/>
                  <w:vAlign w:val="center"/>
                </w:tcPr>
                <w:p w14:paraId="3BAC4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6C2C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048A97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231919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105CDF1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w:t>
                  </w:r>
                  <w:r>
                    <w:rPr>
                      <w:rFonts w:hint="default" w:ascii="Times New Roman" w:hAnsi="Times New Roman" w:eastAsia="宋体" w:cs="Times New Roman"/>
                      <w:color w:val="auto"/>
                      <w:sz w:val="21"/>
                      <w:szCs w:val="21"/>
                      <w:highlight w:val="none"/>
                      <w:lang w:eastAsia="zh-CN"/>
                    </w:rPr>
                    <w:t>四</w:t>
                  </w:r>
                  <w:r>
                    <w:rPr>
                      <w:rFonts w:hint="default" w:ascii="Times New Roman" w:hAnsi="Times New Roman" w:eastAsia="宋体" w:cs="Times New Roman"/>
                      <w:color w:val="auto"/>
                      <w:sz w:val="21"/>
                      <w:szCs w:val="21"/>
                      <w:highlight w:val="none"/>
                    </w:rPr>
                    <w:t>条 严把项目准入关口，对不符合要求的高耗能、高排放、低水平项目坚</w:t>
                  </w:r>
                  <w:r>
                    <w:rPr>
                      <w:rFonts w:hint="default" w:ascii="Times New Roman" w:hAnsi="Times New Roman" w:eastAsia="宋体" w:cs="Times New Roman"/>
                      <w:color w:val="auto"/>
                      <w:spacing w:val="-2"/>
                      <w:sz w:val="21"/>
                      <w:szCs w:val="21"/>
                      <w:highlight w:val="none"/>
                    </w:rPr>
                    <w:t>决不予准入。除在安全或者产业布局等方面有特殊要求的项目外，新建有污染物排放的工业项目应当进入工业集聚区。新建化工项目应当进入全市统一布局的化工产业集聚区。鼓励现有工业项目、化工项目分别搬入工业集聚</w:t>
                  </w:r>
                  <w:r>
                    <w:rPr>
                      <w:rFonts w:hint="default" w:ascii="Times New Roman" w:hAnsi="Times New Roman" w:eastAsia="宋体" w:cs="Times New Roman"/>
                      <w:color w:val="auto"/>
                      <w:sz w:val="21"/>
                      <w:szCs w:val="21"/>
                      <w:highlight w:val="none"/>
                    </w:rPr>
                    <w:t>区、化工产业集聚区。</w:t>
                  </w:r>
                </w:p>
              </w:tc>
              <w:tc>
                <w:tcPr>
                  <w:tcW w:w="1082" w:type="pct"/>
                  <w:noWrap w:val="0"/>
                  <w:vAlign w:val="center"/>
                </w:tcPr>
                <w:p w14:paraId="2CB36896">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cs="Times New Roman"/>
                      <w:color w:val="auto"/>
                      <w:sz w:val="21"/>
                      <w:szCs w:val="21"/>
                      <w:highlight w:val="none"/>
                      <w:lang w:val="en-US" w:eastAsia="zh-CN"/>
                    </w:rPr>
                    <w:t>为加油站，</w:t>
                  </w:r>
                  <w:r>
                    <w:rPr>
                      <w:rFonts w:hint="default" w:ascii="Times New Roman" w:hAnsi="Times New Roman" w:eastAsia="宋体" w:cs="Times New Roman"/>
                      <w:color w:val="auto"/>
                      <w:sz w:val="21"/>
                      <w:szCs w:val="21"/>
                      <w:highlight w:val="none"/>
                      <w:lang w:val="en-US" w:eastAsia="zh-CN"/>
                    </w:rPr>
                    <w:t>不属于</w:t>
                  </w:r>
                  <w:r>
                    <w:rPr>
                      <w:rFonts w:hint="default" w:ascii="Times New Roman" w:hAnsi="Times New Roman" w:eastAsia="宋体" w:cs="Times New Roman"/>
                      <w:color w:val="auto"/>
                      <w:sz w:val="21"/>
                      <w:szCs w:val="21"/>
                      <w:highlight w:val="none"/>
                    </w:rPr>
                    <w:t>高耗能、高排放、低水平</w:t>
                  </w:r>
                  <w:r>
                    <w:rPr>
                      <w:rFonts w:hint="default" w:ascii="Times New Roman" w:hAnsi="Times New Roman" w:eastAsia="宋体" w:cs="Times New Roman"/>
                      <w:color w:val="auto"/>
                      <w:sz w:val="21"/>
                      <w:szCs w:val="21"/>
                      <w:highlight w:val="none"/>
                      <w:lang w:eastAsia="zh-CN"/>
                    </w:rPr>
                    <w:t>项目</w:t>
                  </w:r>
                  <w:r>
                    <w:rPr>
                      <w:rFonts w:hint="default" w:ascii="Times New Roman" w:hAnsi="Times New Roman" w:eastAsia="宋体" w:cs="Times New Roman"/>
                      <w:color w:val="auto"/>
                      <w:sz w:val="21"/>
                      <w:szCs w:val="21"/>
                      <w:highlight w:val="none"/>
                      <w:lang w:val="en-US" w:eastAsia="zh-CN"/>
                    </w:rPr>
                    <w:t>，不属于化工</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p>
              </w:tc>
              <w:tc>
                <w:tcPr>
                  <w:tcW w:w="462" w:type="pct"/>
                  <w:noWrap w:val="0"/>
                  <w:vAlign w:val="center"/>
                </w:tcPr>
                <w:p w14:paraId="584406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05EA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02F76D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72AAD8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04761BC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第五条 新建、扩建有色金属冶炼、电镀、铅蓄电池等企业应布设在依法合规设立并经过规划环评的产业园区。</w:t>
                  </w:r>
                </w:p>
              </w:tc>
              <w:tc>
                <w:tcPr>
                  <w:tcW w:w="1082" w:type="pct"/>
                  <w:noWrap w:val="0"/>
                  <w:vAlign w:val="center"/>
                </w:tcPr>
                <w:p w14:paraId="6BF4ABA2">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本项目不属于上述项目。</w:t>
                  </w:r>
                </w:p>
              </w:tc>
              <w:tc>
                <w:tcPr>
                  <w:tcW w:w="462" w:type="pct"/>
                  <w:noWrap w:val="0"/>
                  <w:vAlign w:val="center"/>
                </w:tcPr>
                <w:p w14:paraId="2E16C0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24C4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65388A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18FF70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1D348F3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第六条 涉及环境防护距离的工业企业或项目应通过选址或调整布局原则</w:t>
                  </w:r>
                  <w:r>
                    <w:rPr>
                      <w:rFonts w:hint="default" w:ascii="Times New Roman" w:hAnsi="Times New Roman" w:eastAsia="宋体" w:cs="Times New Roman"/>
                      <w:color w:val="auto"/>
                      <w:spacing w:val="-2"/>
                      <w:sz w:val="21"/>
                      <w:szCs w:val="21"/>
                      <w:highlight w:val="none"/>
                    </w:rPr>
                    <w:t>上将环境防护距离控制在园区边界或用地红线内，提前合理规划项目地块布</w:t>
                  </w:r>
                  <w:r>
                    <w:rPr>
                      <w:rFonts w:hint="default" w:ascii="Times New Roman" w:hAnsi="Times New Roman" w:eastAsia="宋体" w:cs="Times New Roman"/>
                      <w:color w:val="auto"/>
                      <w:sz w:val="21"/>
                      <w:szCs w:val="21"/>
                      <w:highlight w:val="none"/>
                    </w:rPr>
                    <w:t>置、预防环境风险。</w:t>
                  </w:r>
                </w:p>
              </w:tc>
              <w:tc>
                <w:tcPr>
                  <w:tcW w:w="1082" w:type="pct"/>
                  <w:noWrap w:val="0"/>
                  <w:vAlign w:val="center"/>
                </w:tcPr>
                <w:p w14:paraId="7ECCBF2D">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highlight w:val="none"/>
                    </w:rPr>
                    <w:t>环境防护距离</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不</w:t>
                  </w:r>
                  <w:r>
                    <w:rPr>
                      <w:rFonts w:hint="default" w:ascii="Times New Roman" w:hAnsi="Times New Roman" w:eastAsia="宋体" w:cs="Times New Roman"/>
                      <w:color w:val="auto"/>
                      <w:sz w:val="21"/>
                      <w:szCs w:val="21"/>
                      <w:highlight w:val="none"/>
                      <w:lang w:val="en-US" w:eastAsia="zh-CN"/>
                    </w:rPr>
                    <w:t>涉及</w:t>
                  </w:r>
                  <w:r>
                    <w:rPr>
                      <w:rFonts w:hint="default" w:ascii="Times New Roman" w:hAnsi="Times New Roman" w:cs="Times New Roman"/>
                      <w:color w:val="auto"/>
                      <w:sz w:val="21"/>
                      <w:szCs w:val="21"/>
                      <w:highlight w:val="none"/>
                      <w:lang w:val="en-US" w:eastAsia="zh-CN"/>
                    </w:rPr>
                    <w:t>新增占地</w:t>
                  </w:r>
                  <w:r>
                    <w:rPr>
                      <w:rFonts w:hint="default" w:ascii="Times New Roman" w:hAnsi="Times New Roman" w:eastAsia="宋体" w:cs="Times New Roman"/>
                      <w:color w:val="auto"/>
                      <w:sz w:val="21"/>
                      <w:szCs w:val="21"/>
                      <w:highlight w:val="none"/>
                      <w:lang w:val="en-US" w:eastAsia="zh-CN"/>
                    </w:rPr>
                    <w:t>。</w:t>
                  </w:r>
                </w:p>
              </w:tc>
              <w:tc>
                <w:tcPr>
                  <w:tcW w:w="462" w:type="pct"/>
                  <w:noWrap w:val="0"/>
                  <w:vAlign w:val="center"/>
                </w:tcPr>
                <w:p w14:paraId="1A14CB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3CB6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3EDC4F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4E4BFB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565FBE6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pacing w:val="-2"/>
                      <w:sz w:val="21"/>
                      <w:szCs w:val="21"/>
                      <w:highlight w:val="none"/>
                    </w:rPr>
                    <w:t>第七条 有效规范空间开发秩序，合理控制空间开发强度，切实将各类开发活动限制在资源环境承载能力之内，为构建高效协调可持续的国土空间开发</w:t>
                  </w:r>
                  <w:r>
                    <w:rPr>
                      <w:rFonts w:hint="default" w:ascii="Times New Roman" w:hAnsi="Times New Roman" w:eastAsia="宋体" w:cs="Times New Roman"/>
                      <w:color w:val="auto"/>
                      <w:sz w:val="21"/>
                      <w:szCs w:val="21"/>
                      <w:highlight w:val="none"/>
                    </w:rPr>
                    <w:t>格局奠定坚实基础。</w:t>
                  </w:r>
                </w:p>
              </w:tc>
              <w:tc>
                <w:tcPr>
                  <w:tcW w:w="1082" w:type="pct"/>
                  <w:noWrap w:val="0"/>
                  <w:vAlign w:val="center"/>
                </w:tcPr>
                <w:p w14:paraId="44B12990">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cs="Times New Roman"/>
                      <w:color w:val="auto"/>
                      <w:sz w:val="21"/>
                      <w:szCs w:val="21"/>
                      <w:highlight w:val="none"/>
                      <w:lang w:val="en-US" w:eastAsia="zh-CN"/>
                    </w:rPr>
                    <w:t>不</w:t>
                  </w:r>
                  <w:r>
                    <w:rPr>
                      <w:rFonts w:hint="default" w:ascii="Times New Roman" w:hAnsi="Times New Roman" w:eastAsia="宋体" w:cs="Times New Roman"/>
                      <w:color w:val="auto"/>
                      <w:sz w:val="21"/>
                      <w:szCs w:val="21"/>
                      <w:highlight w:val="none"/>
                      <w:lang w:val="en-US" w:eastAsia="zh-CN"/>
                    </w:rPr>
                    <w:t>涉及</w:t>
                  </w:r>
                  <w:r>
                    <w:rPr>
                      <w:rFonts w:hint="default" w:ascii="Times New Roman" w:hAnsi="Times New Roman" w:cs="Times New Roman"/>
                      <w:color w:val="auto"/>
                      <w:sz w:val="21"/>
                      <w:szCs w:val="21"/>
                      <w:highlight w:val="none"/>
                      <w:lang w:val="en-US" w:eastAsia="zh-CN"/>
                    </w:rPr>
                    <w:t>新增占地，</w:t>
                  </w:r>
                  <w:r>
                    <w:rPr>
                      <w:rFonts w:hint="default" w:ascii="Times New Roman" w:hAnsi="Times New Roman" w:eastAsia="宋体" w:cs="Times New Roman"/>
                      <w:color w:val="auto"/>
                      <w:sz w:val="21"/>
                      <w:szCs w:val="21"/>
                      <w:highlight w:val="none"/>
                      <w:lang w:val="en-US" w:eastAsia="zh-CN"/>
                    </w:rPr>
                    <w:t>不会超过</w:t>
                  </w:r>
                  <w:r>
                    <w:rPr>
                      <w:rFonts w:hint="default" w:ascii="Times New Roman" w:hAnsi="Times New Roman" w:eastAsia="宋体" w:cs="Times New Roman"/>
                      <w:color w:val="auto"/>
                      <w:spacing w:val="-2"/>
                      <w:sz w:val="21"/>
                      <w:szCs w:val="21"/>
                      <w:highlight w:val="none"/>
                    </w:rPr>
                    <w:t>资源环境承载能力</w:t>
                  </w:r>
                  <w:r>
                    <w:rPr>
                      <w:rFonts w:hint="default" w:ascii="Times New Roman" w:hAnsi="Times New Roman" w:eastAsia="宋体" w:cs="Times New Roman"/>
                      <w:color w:val="auto"/>
                      <w:spacing w:val="-2"/>
                      <w:sz w:val="21"/>
                      <w:szCs w:val="21"/>
                      <w:highlight w:val="none"/>
                      <w:lang w:eastAsia="zh-CN"/>
                    </w:rPr>
                    <w:t>。</w:t>
                  </w:r>
                </w:p>
              </w:tc>
              <w:tc>
                <w:tcPr>
                  <w:tcW w:w="462" w:type="pct"/>
                  <w:noWrap w:val="0"/>
                  <w:vAlign w:val="center"/>
                </w:tcPr>
                <w:p w14:paraId="602A6C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4A31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02609E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restart"/>
                  <w:noWrap w:val="0"/>
                  <w:vAlign w:val="center"/>
                </w:tcPr>
                <w:p w14:paraId="7E9AE8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污染物排放管控</w:t>
                  </w:r>
                </w:p>
              </w:tc>
              <w:tc>
                <w:tcPr>
                  <w:tcW w:w="2196" w:type="pct"/>
                  <w:noWrap w:val="0"/>
                  <w:vAlign w:val="center"/>
                </w:tcPr>
                <w:p w14:paraId="2A89170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第八条 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两高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行业建设项目应满足超低排放要求。加强水泥和平板玻璃行业差别化管理，新改扩建项目严格落实相关产业政策要求，满足能效标杆水平、环保绩效A级指标要求。</w:t>
                  </w:r>
                </w:p>
              </w:tc>
              <w:tc>
                <w:tcPr>
                  <w:tcW w:w="1082" w:type="pct"/>
                  <w:noWrap w:val="0"/>
                  <w:vAlign w:val="center"/>
                </w:tcPr>
                <w:p w14:paraId="32AF5402">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本项目不属于上述项目。</w:t>
                  </w:r>
                </w:p>
              </w:tc>
              <w:tc>
                <w:tcPr>
                  <w:tcW w:w="462" w:type="pct"/>
                  <w:noWrap w:val="0"/>
                  <w:vAlign w:val="center"/>
                </w:tcPr>
                <w:p w14:paraId="0B85D2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563E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66A72F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22009A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38A542E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第九条 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tc>
              <w:tc>
                <w:tcPr>
                  <w:tcW w:w="1082" w:type="pct"/>
                  <w:noWrap w:val="0"/>
                  <w:vAlign w:val="center"/>
                </w:tcPr>
                <w:p w14:paraId="361352A9">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eastAsia" w:ascii="Times New Roman" w:hAnsi="Times New Roman" w:cs="Times New Roman"/>
                      <w:bCs/>
                      <w:color w:val="auto"/>
                      <w:szCs w:val="21"/>
                      <w:lang w:eastAsia="zh-CN"/>
                    </w:rPr>
                    <w:t>本项目位于九龙坡区，区域环境空气质量属于达标区</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加油站安装了一次、二次和三次油气回收处理装置减少挥发性有机物的排放，满足相关标准要求。</w:t>
                  </w:r>
                </w:p>
              </w:tc>
              <w:tc>
                <w:tcPr>
                  <w:tcW w:w="462" w:type="pct"/>
                  <w:noWrap w:val="0"/>
                  <w:vAlign w:val="center"/>
                </w:tcPr>
                <w:p w14:paraId="646E9D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077B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062EB5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1DCB84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6CB4C2A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第十条 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1082" w:type="pct"/>
                  <w:noWrap w:val="0"/>
                  <w:vAlign w:val="center"/>
                </w:tcPr>
                <w:p w14:paraId="3C136D9A">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rPr>
                    <w:t>本项目</w:t>
                  </w:r>
                  <w:r>
                    <w:rPr>
                      <w:rFonts w:hint="default" w:ascii="Times New Roman" w:hAnsi="Times New Roman" w:cs="Times New Roman"/>
                      <w:color w:val="auto"/>
                      <w:kern w:val="2"/>
                      <w:sz w:val="21"/>
                      <w:szCs w:val="21"/>
                      <w:highlight w:val="none"/>
                      <w:lang w:val="en-US" w:eastAsia="zh-CN"/>
                    </w:rPr>
                    <w:t>为加油站，</w:t>
                  </w:r>
                  <w:r>
                    <w:rPr>
                      <w:rFonts w:hint="default" w:ascii="Times New Roman" w:hAnsi="Times New Roman" w:cs="Times New Roman"/>
                      <w:color w:val="auto"/>
                      <w:sz w:val="21"/>
                      <w:szCs w:val="21"/>
                      <w:highlight w:val="none"/>
                      <w:lang w:val="en-US" w:eastAsia="zh-CN"/>
                    </w:rPr>
                    <w:t>安装了一次、二次和三次油气回收处理装置减少挥发性有机物的排放，满足相关标准要求。</w:t>
                  </w:r>
                </w:p>
              </w:tc>
              <w:tc>
                <w:tcPr>
                  <w:tcW w:w="462" w:type="pct"/>
                  <w:noWrap w:val="0"/>
                  <w:vAlign w:val="center"/>
                </w:tcPr>
                <w:p w14:paraId="635FF8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5E3C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36FC7F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6D6F86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152B74A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第十一条 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1082" w:type="pct"/>
                  <w:noWrap w:val="0"/>
                  <w:vAlign w:val="center"/>
                </w:tcPr>
                <w:p w14:paraId="3EFBFA90">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rPr>
                    <w:t>本项目</w:t>
                  </w:r>
                  <w:r>
                    <w:rPr>
                      <w:rFonts w:hint="default" w:ascii="Times New Roman" w:hAnsi="Times New Roman" w:cs="Times New Roman"/>
                      <w:color w:val="auto"/>
                      <w:kern w:val="2"/>
                      <w:sz w:val="21"/>
                      <w:szCs w:val="21"/>
                      <w:highlight w:val="none"/>
                      <w:lang w:val="en-US" w:eastAsia="zh-CN"/>
                    </w:rPr>
                    <w:t>污水预处理达到</w:t>
                  </w:r>
                  <w:r>
                    <w:rPr>
                      <w:rFonts w:hint="default" w:ascii="Times New Roman" w:hAnsi="Times New Roman" w:cs="Times New Roman"/>
                      <w:color w:val="auto"/>
                      <w:sz w:val="21"/>
                      <w:szCs w:val="21"/>
                      <w:highlight w:val="none"/>
                    </w:rPr>
                    <w:t>《污水综合排放标准》（GB8978-1996）三级标准</w:t>
                  </w:r>
                  <w:r>
                    <w:rPr>
                      <w:rFonts w:hint="default" w:ascii="Times New Roman" w:hAnsi="Times New Roman" w:cs="Times New Roman"/>
                      <w:color w:val="auto"/>
                      <w:kern w:val="2"/>
                      <w:sz w:val="21"/>
                      <w:szCs w:val="21"/>
                      <w:highlight w:val="none"/>
                      <w:lang w:val="en-US" w:eastAsia="zh-CN"/>
                    </w:rPr>
                    <w:t>后排入市政污水管网</w:t>
                  </w:r>
                  <w:r>
                    <w:rPr>
                      <w:rFonts w:hint="default" w:ascii="Times New Roman" w:hAnsi="Times New Roman" w:eastAsia="宋体" w:cs="Times New Roman"/>
                      <w:b w:val="0"/>
                      <w:bCs w:val="0"/>
                      <w:color w:val="auto"/>
                      <w:kern w:val="2"/>
                      <w:sz w:val="21"/>
                      <w:szCs w:val="21"/>
                      <w:highlight w:val="none"/>
                      <w:lang w:val="en-US" w:eastAsia="zh-CN" w:bidi="ar-SA"/>
                    </w:rPr>
                    <w:t>。</w:t>
                  </w:r>
                </w:p>
              </w:tc>
              <w:tc>
                <w:tcPr>
                  <w:tcW w:w="462" w:type="pct"/>
                  <w:noWrap w:val="0"/>
                  <w:vAlign w:val="center"/>
                </w:tcPr>
                <w:p w14:paraId="551532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3C11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3B2296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6B705C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027394A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pacing w:val="-2"/>
                      <w:sz w:val="21"/>
                      <w:szCs w:val="21"/>
                      <w:highlight w:val="none"/>
                    </w:rPr>
                    <w:t>第十二条 推进乡镇生活污水处理设施达标改造。新建城市生活污水处理厂</w:t>
                  </w:r>
                  <w:r>
                    <w:rPr>
                      <w:rFonts w:hint="default" w:ascii="Times New Roman" w:hAnsi="Times New Roman" w:eastAsia="宋体" w:cs="Times New Roman"/>
                      <w:color w:val="auto"/>
                      <w:spacing w:val="-4"/>
                      <w:sz w:val="21"/>
                      <w:szCs w:val="21"/>
                      <w:highlight w:val="none"/>
                    </w:rPr>
                    <w:t>全部按照一级A标及以上排放标准设计、施工、验收，建制乡镇生活污水处</w:t>
                  </w:r>
                  <w:r>
                    <w:rPr>
                      <w:rFonts w:hint="default" w:ascii="Times New Roman" w:hAnsi="Times New Roman" w:eastAsia="宋体" w:cs="Times New Roman"/>
                      <w:color w:val="auto"/>
                      <w:spacing w:val="-3"/>
                      <w:sz w:val="21"/>
                      <w:szCs w:val="21"/>
                      <w:highlight w:val="none"/>
                    </w:rPr>
                    <w:t>理设施出水水质不得低于一级B标排放标准；对现有</w:t>
                  </w:r>
                  <w:r>
                    <w:rPr>
                      <w:rFonts w:hint="default" w:ascii="Times New Roman" w:hAnsi="Times New Roman" w:eastAsia="宋体" w:cs="Times New Roman"/>
                      <w:color w:val="auto"/>
                      <w:spacing w:val="-3"/>
                      <w:sz w:val="21"/>
                      <w:szCs w:val="21"/>
                      <w:highlight w:val="none"/>
                      <w:lang w:eastAsia="zh-CN"/>
                    </w:rPr>
                    <w:t>截流</w:t>
                  </w:r>
                  <w:r>
                    <w:rPr>
                      <w:rFonts w:hint="default" w:ascii="Times New Roman" w:hAnsi="Times New Roman" w:eastAsia="宋体" w:cs="Times New Roman"/>
                      <w:color w:val="auto"/>
                      <w:spacing w:val="-3"/>
                      <w:sz w:val="21"/>
                      <w:szCs w:val="21"/>
                      <w:highlight w:val="none"/>
                    </w:rPr>
                    <w:t>制排水管网实施雨污</w:t>
                  </w:r>
                  <w:r>
                    <w:rPr>
                      <w:rFonts w:hint="default" w:ascii="Times New Roman" w:hAnsi="Times New Roman" w:eastAsia="宋体" w:cs="Times New Roman"/>
                      <w:color w:val="auto"/>
                      <w:spacing w:val="-5"/>
                      <w:sz w:val="21"/>
                      <w:szCs w:val="21"/>
                      <w:highlight w:val="none"/>
                    </w:rPr>
                    <w:t>分流改造，针对无法彻底雨污分流的老城区，尊重现实合理保留截留区</w:t>
                  </w:r>
                  <w:r>
                    <w:rPr>
                      <w:rFonts w:hint="default" w:ascii="Times New Roman" w:hAnsi="Times New Roman" w:eastAsia="宋体" w:cs="Times New Roman"/>
                      <w:color w:val="auto"/>
                      <w:spacing w:val="-6"/>
                      <w:sz w:val="21"/>
                      <w:szCs w:val="21"/>
                      <w:highlight w:val="none"/>
                    </w:rPr>
                    <w:t>域，</w:t>
                  </w:r>
                  <w:r>
                    <w:rPr>
                      <w:rFonts w:hint="default" w:ascii="Times New Roman" w:hAnsi="Times New Roman" w:eastAsia="宋体" w:cs="Times New Roman"/>
                      <w:color w:val="auto"/>
                      <w:spacing w:val="-6"/>
                      <w:sz w:val="21"/>
                      <w:szCs w:val="21"/>
                      <w:highlight w:val="none"/>
                      <w:lang w:eastAsia="zh-CN"/>
                    </w:rPr>
                    <w:t>合理</w:t>
                  </w:r>
                  <w:r>
                    <w:rPr>
                      <w:rFonts w:hint="default" w:ascii="Times New Roman" w:hAnsi="Times New Roman" w:eastAsia="宋体" w:cs="Times New Roman"/>
                      <w:color w:val="auto"/>
                      <w:spacing w:val="-6"/>
                      <w:sz w:val="21"/>
                      <w:szCs w:val="21"/>
                      <w:highlight w:val="none"/>
                    </w:rPr>
                    <w:t>提高截留倍数；对新建的排水管网，全部按照雨污分流模式实施建设</w:t>
                  </w:r>
                  <w:r>
                    <w:rPr>
                      <w:rFonts w:hint="default" w:ascii="Times New Roman" w:hAnsi="Times New Roman" w:eastAsia="宋体" w:cs="Times New Roman"/>
                      <w:color w:val="auto"/>
                      <w:spacing w:val="-4"/>
                      <w:sz w:val="21"/>
                      <w:szCs w:val="21"/>
                      <w:highlight w:val="none"/>
                    </w:rPr>
                    <w:t>。</w:t>
                  </w:r>
                </w:p>
              </w:tc>
              <w:tc>
                <w:tcPr>
                  <w:tcW w:w="1082" w:type="pct"/>
                  <w:noWrap w:val="0"/>
                  <w:vAlign w:val="center"/>
                </w:tcPr>
                <w:p w14:paraId="7BB36970">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rPr>
                    <w:t>本项目不涉及。</w:t>
                  </w:r>
                </w:p>
              </w:tc>
              <w:tc>
                <w:tcPr>
                  <w:tcW w:w="462" w:type="pct"/>
                  <w:noWrap w:val="0"/>
                  <w:vAlign w:val="center"/>
                </w:tcPr>
                <w:p w14:paraId="1C4962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1032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03C065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5D1A2D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0B34B1C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第十三条 新、改、扩建重点行业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重点重金属污染物排放执行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等量替代</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原则。</w:t>
                  </w:r>
                </w:p>
              </w:tc>
              <w:tc>
                <w:tcPr>
                  <w:tcW w:w="1082" w:type="pct"/>
                  <w:noWrap w:val="0"/>
                  <w:vAlign w:val="center"/>
                </w:tcPr>
                <w:p w14:paraId="2F779356">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本项目不属于上述项目。</w:t>
                  </w:r>
                </w:p>
              </w:tc>
              <w:tc>
                <w:tcPr>
                  <w:tcW w:w="462" w:type="pct"/>
                  <w:noWrap w:val="0"/>
                  <w:vAlign w:val="center"/>
                </w:tcPr>
                <w:p w14:paraId="410041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5DE48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193E37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36F658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633E029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第十四条 固体废物污染环境防治坚持减量化、资源化和无害化的原则。产生工业固体废物的单位应当建立健全工业固体废物产生、收集、贮存、运输、利用、处置全过程的污染环境防治责任制度，建立工业固体废物管理台账。</w:t>
                  </w:r>
                </w:p>
              </w:tc>
              <w:tc>
                <w:tcPr>
                  <w:tcW w:w="1082" w:type="pct"/>
                  <w:noWrap w:val="0"/>
                  <w:vAlign w:val="center"/>
                </w:tcPr>
                <w:p w14:paraId="6C6A093D">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加油站产生的危险废物</w:t>
                  </w:r>
                  <w:r>
                    <w:rPr>
                      <w:rFonts w:hint="default" w:ascii="Times New Roman" w:hAnsi="Times New Roman" w:cs="Times New Roman"/>
                      <w:color w:val="auto"/>
                      <w:kern w:val="0"/>
                      <w:sz w:val="21"/>
                      <w:szCs w:val="21"/>
                      <w:highlight w:val="none"/>
                      <w:lang w:eastAsia="zh-CN"/>
                    </w:rPr>
                    <w:t>贮存</w:t>
                  </w:r>
                  <w:r>
                    <w:rPr>
                      <w:rFonts w:hint="default" w:ascii="Times New Roman" w:hAnsi="Times New Roman" w:cs="Times New Roman"/>
                      <w:color w:val="auto"/>
                      <w:kern w:val="0"/>
                      <w:sz w:val="21"/>
                      <w:szCs w:val="21"/>
                      <w:highlight w:val="none"/>
                    </w:rPr>
                    <w:t>满足《危险废物贮存污染控制标准》（GB18597-2023）要求</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lang w:val="en-US" w:eastAsia="zh-CN"/>
                    </w:rPr>
                    <w:t>定期委托有资质单位运输、处置</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2"/>
                      <w:sz w:val="21"/>
                      <w:szCs w:val="21"/>
                      <w:highlight w:val="none"/>
                      <w:lang w:val="en-US" w:eastAsia="zh-CN"/>
                    </w:rPr>
                    <w:t>加油站</w:t>
                  </w:r>
                  <w:r>
                    <w:rPr>
                      <w:rFonts w:hint="default" w:ascii="Times New Roman" w:hAnsi="Times New Roman" w:eastAsia="宋体" w:cs="Times New Roman"/>
                      <w:color w:val="auto"/>
                      <w:kern w:val="2"/>
                      <w:sz w:val="21"/>
                      <w:szCs w:val="21"/>
                      <w:highlight w:val="none"/>
                      <w:lang w:val="en-US" w:eastAsia="zh-CN"/>
                    </w:rPr>
                    <w:t>已按要求建立</w:t>
                  </w:r>
                  <w:r>
                    <w:rPr>
                      <w:rFonts w:hint="default" w:ascii="Times New Roman" w:hAnsi="Times New Roman" w:eastAsia="宋体" w:cs="Times New Roman"/>
                      <w:color w:val="auto"/>
                      <w:sz w:val="21"/>
                      <w:szCs w:val="21"/>
                      <w:highlight w:val="none"/>
                    </w:rPr>
                    <w:t>固体废物管理</w:t>
                  </w:r>
                  <w:r>
                    <w:rPr>
                      <w:rFonts w:hint="default" w:ascii="Times New Roman" w:hAnsi="Times New Roman" w:eastAsia="宋体" w:cs="Times New Roman"/>
                      <w:color w:val="auto"/>
                      <w:sz w:val="21"/>
                      <w:szCs w:val="21"/>
                      <w:highlight w:val="none"/>
                      <w:lang w:val="en-US" w:eastAsia="zh-CN"/>
                    </w:rPr>
                    <w:t>制度</w:t>
                  </w:r>
                  <w:r>
                    <w:rPr>
                      <w:rFonts w:hint="default" w:ascii="Times New Roman" w:hAnsi="Times New Roman" w:eastAsia="宋体" w:cs="Times New Roman"/>
                      <w:color w:val="auto"/>
                      <w:sz w:val="21"/>
                      <w:szCs w:val="21"/>
                      <w:highlight w:val="none"/>
                    </w:rPr>
                    <w:t>台账。</w:t>
                  </w:r>
                </w:p>
              </w:tc>
              <w:tc>
                <w:tcPr>
                  <w:tcW w:w="462" w:type="pct"/>
                  <w:noWrap w:val="0"/>
                  <w:vAlign w:val="center"/>
                </w:tcPr>
                <w:p w14:paraId="6F2750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2050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7216D7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6D97E8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14E4A99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第十五条 建设分类投放、分类收集、分类运输、分类处理的生活垃圾处理系统。合理布局生活垃圾分类收集站点，完善分类运输系统，加快补齐分类收集转运设施能力短板。强化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无废城市</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制度、技术、市场、监管、全民行动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五大体系</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建设，推进城市固体废物精细化管理。</w:t>
                  </w:r>
                </w:p>
              </w:tc>
              <w:tc>
                <w:tcPr>
                  <w:tcW w:w="1082" w:type="pct"/>
                  <w:noWrap w:val="0"/>
                  <w:vAlign w:val="center"/>
                </w:tcPr>
                <w:p w14:paraId="226A74BC">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加油站</w:t>
                  </w:r>
                  <w:r>
                    <w:rPr>
                      <w:rFonts w:hint="default" w:ascii="Times New Roman" w:hAnsi="Times New Roman" w:cs="Times New Roman"/>
                      <w:color w:val="auto"/>
                      <w:kern w:val="0"/>
                      <w:sz w:val="21"/>
                      <w:szCs w:val="21"/>
                      <w:highlight w:val="none"/>
                    </w:rPr>
                    <w:t>生化池污泥定期清掏，定期交由环卫部门处置；生活垃圾经站区生活垃圾桶</w:t>
                  </w:r>
                  <w:r>
                    <w:rPr>
                      <w:rFonts w:hint="default" w:ascii="Times New Roman" w:hAnsi="Times New Roman" w:cs="Times New Roman"/>
                      <w:color w:val="auto"/>
                      <w:kern w:val="0"/>
                      <w:sz w:val="21"/>
                      <w:szCs w:val="21"/>
                      <w:highlight w:val="none"/>
                      <w:lang w:val="en-US" w:eastAsia="zh-CN"/>
                    </w:rPr>
                    <w:t>分类</w:t>
                  </w:r>
                  <w:r>
                    <w:rPr>
                      <w:rFonts w:hint="default" w:ascii="Times New Roman" w:hAnsi="Times New Roman" w:cs="Times New Roman"/>
                      <w:color w:val="auto"/>
                      <w:kern w:val="0"/>
                      <w:sz w:val="21"/>
                      <w:szCs w:val="21"/>
                      <w:highlight w:val="none"/>
                    </w:rPr>
                    <w:t>收集后，由环卫部门统一清运处置</w:t>
                  </w:r>
                  <w:r>
                    <w:rPr>
                      <w:rFonts w:hint="default" w:ascii="Times New Roman" w:hAnsi="Times New Roman" w:eastAsia="宋体" w:cs="Times New Roman"/>
                      <w:color w:val="auto"/>
                      <w:sz w:val="21"/>
                      <w:szCs w:val="21"/>
                      <w:highlight w:val="none"/>
                      <w:lang w:val="en-US" w:eastAsia="zh-CN"/>
                    </w:rPr>
                    <w:t>。</w:t>
                  </w:r>
                </w:p>
              </w:tc>
              <w:tc>
                <w:tcPr>
                  <w:tcW w:w="462" w:type="pct"/>
                  <w:noWrap w:val="0"/>
                  <w:vAlign w:val="center"/>
                </w:tcPr>
                <w:p w14:paraId="3E10B3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01F5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05E6BB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restart"/>
                  <w:noWrap w:val="0"/>
                  <w:vAlign w:val="center"/>
                </w:tcPr>
                <w:p w14:paraId="2B3EFF4D">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w:t>
                  </w:r>
                </w:p>
                <w:p w14:paraId="7FE18B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防控</w:t>
                  </w:r>
                </w:p>
              </w:tc>
              <w:tc>
                <w:tcPr>
                  <w:tcW w:w="2196" w:type="pct"/>
                  <w:noWrap w:val="0"/>
                  <w:vAlign w:val="center"/>
                </w:tcPr>
                <w:p w14:paraId="678B4BA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第十六条 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c>
                <w:tcPr>
                  <w:tcW w:w="1082" w:type="pct"/>
                  <w:noWrap w:val="0"/>
                  <w:vAlign w:val="center"/>
                </w:tcPr>
                <w:p w14:paraId="235B1153">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cs="Times New Roman"/>
                      <w:color w:val="auto"/>
                      <w:sz w:val="21"/>
                      <w:szCs w:val="21"/>
                      <w:highlight w:val="none"/>
                      <w:lang w:val="en-US" w:eastAsia="zh-CN"/>
                    </w:rPr>
                    <w:t>加油站定期修订</w:t>
                  </w:r>
                  <w:r>
                    <w:rPr>
                      <w:rFonts w:hint="default" w:ascii="Times New Roman" w:hAnsi="Times New Roman" w:cs="Times New Roman"/>
                      <w:color w:val="auto"/>
                      <w:sz w:val="21"/>
                      <w:szCs w:val="21"/>
                      <w:highlight w:val="none"/>
                      <w:lang w:eastAsia="zh-CN"/>
                    </w:rPr>
                    <w:t>突发环境事件应急预案和风险评估报告，</w:t>
                  </w:r>
                  <w:r>
                    <w:rPr>
                      <w:rFonts w:hint="default" w:ascii="Times New Roman" w:hAnsi="Times New Roman" w:cs="Times New Roman"/>
                      <w:color w:val="auto"/>
                      <w:sz w:val="21"/>
                      <w:szCs w:val="21"/>
                      <w:highlight w:val="none"/>
                      <w:lang w:val="en-US" w:eastAsia="zh-CN"/>
                    </w:rPr>
                    <w:t>并</w:t>
                  </w:r>
                  <w:r>
                    <w:rPr>
                      <w:rFonts w:hint="default" w:ascii="Times New Roman" w:hAnsi="Times New Roman" w:cs="Times New Roman"/>
                      <w:color w:val="auto"/>
                      <w:sz w:val="21"/>
                      <w:szCs w:val="21"/>
                      <w:highlight w:val="none"/>
                      <w:lang w:eastAsia="zh-CN"/>
                    </w:rPr>
                    <w:t>在九龙坡区</w:t>
                  </w:r>
                  <w:r>
                    <w:rPr>
                      <w:rFonts w:hint="default" w:ascii="Times New Roman" w:hAnsi="Times New Roman" w:cs="Times New Roman"/>
                      <w:color w:val="auto"/>
                      <w:sz w:val="21"/>
                      <w:szCs w:val="21"/>
                      <w:highlight w:val="none"/>
                      <w:lang w:val="en-US" w:eastAsia="zh-CN"/>
                    </w:rPr>
                    <w:t>生态环境</w:t>
                  </w:r>
                  <w:r>
                    <w:rPr>
                      <w:rFonts w:hint="default" w:ascii="Times New Roman" w:hAnsi="Times New Roman" w:cs="Times New Roman"/>
                      <w:color w:val="auto"/>
                      <w:sz w:val="21"/>
                      <w:szCs w:val="21"/>
                      <w:highlight w:val="none"/>
                      <w:lang w:eastAsia="zh-CN"/>
                    </w:rPr>
                    <w:t>局进行备案</w:t>
                  </w:r>
                  <w:r>
                    <w:rPr>
                      <w:rFonts w:hint="default" w:ascii="Times New Roman" w:hAnsi="Times New Roman" w:eastAsia="宋体" w:cs="Times New Roman"/>
                      <w:color w:val="auto"/>
                      <w:sz w:val="21"/>
                      <w:szCs w:val="21"/>
                      <w:highlight w:val="none"/>
                    </w:rPr>
                    <w:t>。</w:t>
                  </w:r>
                </w:p>
              </w:tc>
              <w:tc>
                <w:tcPr>
                  <w:tcW w:w="462" w:type="pct"/>
                  <w:noWrap w:val="0"/>
                  <w:vAlign w:val="center"/>
                </w:tcPr>
                <w:p w14:paraId="2AADCA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396F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4B2A4C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3E9F88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092AB8F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第十七条 强化化工园区涉水突发环境事件四级环境风险防范体系建设。持续推进重点化工园区（化工集中区）建设有毒有害气体监测预警体系和水质生物毒性预警体系。</w:t>
                  </w:r>
                </w:p>
              </w:tc>
              <w:tc>
                <w:tcPr>
                  <w:tcW w:w="1082" w:type="pct"/>
                  <w:noWrap w:val="0"/>
                  <w:vAlign w:val="center"/>
                </w:tcPr>
                <w:p w14:paraId="376DFCA4">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rPr>
                    <w:t>本项目不涉及。</w:t>
                  </w:r>
                </w:p>
              </w:tc>
              <w:tc>
                <w:tcPr>
                  <w:tcW w:w="462" w:type="pct"/>
                  <w:noWrap w:val="0"/>
                  <w:vAlign w:val="center"/>
                </w:tcPr>
                <w:p w14:paraId="7A9108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10E5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239860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restart"/>
                  <w:noWrap w:val="0"/>
                  <w:vAlign w:val="center"/>
                </w:tcPr>
                <w:p w14:paraId="221F3F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资源开发利用效率</w:t>
                  </w:r>
                </w:p>
              </w:tc>
              <w:tc>
                <w:tcPr>
                  <w:tcW w:w="2196" w:type="pct"/>
                  <w:noWrap w:val="0"/>
                  <w:vAlign w:val="center"/>
                </w:tcPr>
                <w:p w14:paraId="006115C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第十八条 实施能源领域碳达峰碳中和行动，科学有序推动能源生产消费方式绿色低碳变革。实施可再生能源替代，减少化石能源消费。加强产业布局和能耗</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双控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政策衔接，促进重点用能领域用能结构优化和能效提升。</w:t>
                  </w:r>
                </w:p>
              </w:tc>
              <w:tc>
                <w:tcPr>
                  <w:tcW w:w="1082" w:type="pct"/>
                  <w:noWrap w:val="0"/>
                  <w:vAlign w:val="center"/>
                </w:tcPr>
                <w:p w14:paraId="0A3DD37A">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rPr>
                    <w:t>本项目不涉及。</w:t>
                  </w:r>
                </w:p>
              </w:tc>
              <w:tc>
                <w:tcPr>
                  <w:tcW w:w="462" w:type="pct"/>
                  <w:noWrap w:val="0"/>
                  <w:vAlign w:val="center"/>
                </w:tcPr>
                <w:p w14:paraId="036277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14FB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2CC015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68DD91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38ED7A1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第十九条 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1082" w:type="pct"/>
                  <w:noWrap w:val="0"/>
                  <w:vAlign w:val="center"/>
                </w:tcPr>
                <w:p w14:paraId="48755B47">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rPr>
                    <w:t>本项目不涉及。</w:t>
                  </w:r>
                </w:p>
              </w:tc>
              <w:tc>
                <w:tcPr>
                  <w:tcW w:w="462" w:type="pct"/>
                  <w:noWrap w:val="0"/>
                  <w:vAlign w:val="center"/>
                </w:tcPr>
                <w:p w14:paraId="1C27C0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3E61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261E34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47448C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4CF0375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第二十条 新建、扩建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两高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项目应采用先进适用的工艺技术和装备，单位产品物耗、能耗、水耗等达到清洁生产先进水平。</w:t>
                  </w:r>
                </w:p>
              </w:tc>
              <w:tc>
                <w:tcPr>
                  <w:tcW w:w="1082" w:type="pct"/>
                  <w:noWrap w:val="0"/>
                  <w:vAlign w:val="center"/>
                </w:tcPr>
                <w:p w14:paraId="0496A9F7">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rPr>
                    <w:t>本项目不属于“两高”项目。</w:t>
                  </w:r>
                </w:p>
              </w:tc>
              <w:tc>
                <w:tcPr>
                  <w:tcW w:w="462" w:type="pct"/>
                  <w:noWrap w:val="0"/>
                  <w:vAlign w:val="center"/>
                </w:tcPr>
                <w:p w14:paraId="782F2B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58F5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1A0768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4D0DB1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32B8347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第二十一条 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c>
                <w:tcPr>
                  <w:tcW w:w="1082" w:type="pct"/>
                  <w:noWrap w:val="0"/>
                  <w:vAlign w:val="center"/>
                </w:tcPr>
                <w:p w14:paraId="44BE1727">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本项目不属于高耗水行业。</w:t>
                  </w:r>
                </w:p>
              </w:tc>
              <w:tc>
                <w:tcPr>
                  <w:tcW w:w="462" w:type="pct"/>
                  <w:noWrap w:val="0"/>
                  <w:vAlign w:val="center"/>
                </w:tcPr>
                <w:p w14:paraId="75A196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497C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50CBE8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4A7DE8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2196" w:type="pct"/>
                  <w:noWrap w:val="0"/>
                  <w:vAlign w:val="center"/>
                </w:tcPr>
                <w:p w14:paraId="4335A0A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第二十二条  加快推进节水配套设施建设，加强再生水、雨水等非常规水多元、梯级和安全利用，逐年提高非常规水利用比例。结合现有污水处理设施提标升级扩能改造，系统规划城镇污水再生利用设施。</w:t>
                  </w:r>
                </w:p>
              </w:tc>
              <w:tc>
                <w:tcPr>
                  <w:tcW w:w="1082" w:type="pct"/>
                  <w:noWrap w:val="0"/>
                  <w:vAlign w:val="center"/>
                </w:tcPr>
                <w:p w14:paraId="29F2812B">
                  <w:pPr>
                    <w:keepNext w:val="0"/>
                    <w:keepLines w:val="0"/>
                    <w:pageBreakBefore w:val="0"/>
                    <w:widowControl/>
                    <w:kinsoku/>
                    <w:wordWrap/>
                    <w:overflowPunct/>
                    <w:topLinePunct w:val="0"/>
                    <w:autoSpaceDE/>
                    <w:autoSpaceDN/>
                    <w:bidi w:val="0"/>
                    <w:spacing w:line="24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kern w:val="2"/>
                      <w:sz w:val="21"/>
                      <w:szCs w:val="21"/>
                      <w:highlight w:val="none"/>
                      <w:lang w:val="en-US" w:eastAsia="zh-CN"/>
                    </w:rPr>
                    <w:t>本项目不涉及。</w:t>
                  </w:r>
                </w:p>
              </w:tc>
              <w:tc>
                <w:tcPr>
                  <w:tcW w:w="462" w:type="pct"/>
                  <w:noWrap w:val="0"/>
                  <w:vAlign w:val="center"/>
                </w:tcPr>
                <w:p w14:paraId="6B82C4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1D2D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restart"/>
                  <w:noWrap w:val="0"/>
                  <w:vAlign w:val="center"/>
                </w:tcPr>
                <w:p w14:paraId="139533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九龙坡区</w:t>
                  </w:r>
                  <w:r>
                    <w:rPr>
                      <w:rFonts w:hint="default" w:ascii="Times New Roman" w:hAnsi="Times New Roman" w:eastAsia="宋体" w:cs="Times New Roman"/>
                      <w:color w:val="auto"/>
                      <w:sz w:val="21"/>
                      <w:szCs w:val="21"/>
                      <w:highlight w:val="none"/>
                    </w:rPr>
                    <w:t>总体</w:t>
                  </w:r>
                </w:p>
                <w:p w14:paraId="64249A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管控要求</w:t>
                  </w:r>
                </w:p>
              </w:tc>
              <w:tc>
                <w:tcPr>
                  <w:tcW w:w="667" w:type="pct"/>
                  <w:vMerge w:val="restart"/>
                  <w:noWrap w:val="0"/>
                  <w:vAlign w:val="center"/>
                </w:tcPr>
                <w:p w14:paraId="3147E0AA">
                  <w:pPr>
                    <w:pStyle w:val="99"/>
                    <w:widowControl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en-US" w:bidi="ar-SA"/>
                    </w:rPr>
                    <w:t>空间布局约束</w:t>
                  </w:r>
                </w:p>
              </w:tc>
              <w:tc>
                <w:tcPr>
                  <w:tcW w:w="2196" w:type="pct"/>
                  <w:noWrap w:val="0"/>
                  <w:vAlign w:val="center"/>
                </w:tcPr>
                <w:p w14:paraId="6CE0E83B">
                  <w:pPr>
                    <w:pStyle w:val="99"/>
                    <w:widowControl w:val="0"/>
                    <w:snapToGrid w:val="0"/>
                    <w:spacing w:line="320" w:lineRule="exact"/>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第一条  执行重点管控单元市级总体要求第一条、第二条、第三条、第四条、第五条和第七条。</w:t>
                  </w:r>
                </w:p>
              </w:tc>
              <w:tc>
                <w:tcPr>
                  <w:tcW w:w="1082" w:type="pct"/>
                  <w:noWrap w:val="0"/>
                  <w:vAlign w:val="center"/>
                </w:tcPr>
                <w:p w14:paraId="750568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本项目符合</w:t>
                  </w:r>
                  <w:r>
                    <w:rPr>
                      <w:rFonts w:hint="default" w:ascii="Times New Roman" w:hAnsi="Times New Roman" w:eastAsia="宋体" w:cs="Times New Roman"/>
                      <w:color w:val="auto"/>
                      <w:kern w:val="2"/>
                      <w:sz w:val="21"/>
                      <w:szCs w:val="21"/>
                      <w:highlight w:val="none"/>
                      <w:lang w:val="en-US" w:eastAsia="zh-CN" w:bidi="ar-SA"/>
                    </w:rPr>
                    <w:t>重点管控单元市级总体要求第一条、第二条、第三条、第四条、第五条和第七条</w:t>
                  </w:r>
                  <w:r>
                    <w:rPr>
                      <w:rFonts w:hint="default" w:ascii="Times New Roman" w:hAnsi="Times New Roman" w:eastAsia="宋体" w:cs="Times New Roman"/>
                      <w:color w:val="auto"/>
                      <w:sz w:val="21"/>
                      <w:szCs w:val="21"/>
                      <w:highlight w:val="none"/>
                      <w:lang w:eastAsia="zh-CN"/>
                    </w:rPr>
                    <w:t>。</w:t>
                  </w:r>
                </w:p>
              </w:tc>
              <w:tc>
                <w:tcPr>
                  <w:tcW w:w="462" w:type="pct"/>
                  <w:noWrap w:val="0"/>
                  <w:vAlign w:val="center"/>
                </w:tcPr>
                <w:p w14:paraId="526CCD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04BB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488E06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76865378">
                  <w:pPr>
                    <w:pStyle w:val="99"/>
                    <w:widowControl w:val="0"/>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p>
              </w:tc>
              <w:tc>
                <w:tcPr>
                  <w:tcW w:w="2196" w:type="pct"/>
                  <w:noWrap w:val="0"/>
                  <w:vAlign w:val="center"/>
                </w:tcPr>
                <w:p w14:paraId="22A4092F">
                  <w:pPr>
                    <w:pStyle w:val="99"/>
                    <w:widowControl w:val="0"/>
                    <w:snapToGrid w:val="0"/>
                    <w:spacing w:line="320" w:lineRule="exact"/>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第二条  以完善优势产业链发展</w:t>
                  </w:r>
                  <w:r>
                    <w:rPr>
                      <w:rFonts w:hint="eastAsia" w:ascii="Times New Roman" w:hAnsi="Times New Roman" w:eastAsia="宋体" w:cs="Times New Roman"/>
                      <w:color w:val="auto"/>
                      <w:kern w:val="2"/>
                      <w:sz w:val="21"/>
                      <w:szCs w:val="21"/>
                      <w:highlight w:val="none"/>
                      <w:lang w:val="en-US" w:eastAsia="zh-CN" w:bidi="ar-SA"/>
                    </w:rPr>
                    <w:t>为</w:t>
                  </w:r>
                  <w:r>
                    <w:rPr>
                      <w:rFonts w:hint="default" w:ascii="Times New Roman" w:hAnsi="Times New Roman" w:eastAsia="宋体" w:cs="Times New Roman"/>
                      <w:color w:val="auto"/>
                      <w:kern w:val="2"/>
                      <w:sz w:val="21"/>
                      <w:szCs w:val="21"/>
                      <w:highlight w:val="none"/>
                      <w:lang w:val="en-US" w:eastAsia="zh-CN" w:bidi="ar-SA"/>
                    </w:rPr>
                    <w:t>方向，科学合理优化工业用地空间布局，推进产城融合高质量发展。</w:t>
                  </w:r>
                </w:p>
                <w:p w14:paraId="4089E599">
                  <w:pPr>
                    <w:pStyle w:val="99"/>
                    <w:widowControl w:val="0"/>
                    <w:snapToGrid w:val="0"/>
                    <w:spacing w:line="320" w:lineRule="exact"/>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有序推动九龙新城园区东部片区（原九龙工业园区）“东三街”和九龙街道工业用地转型升级，重点发展制造服务业；推动九龙西城新能源、装备制造、新材料等产业往下游延伸。九龙新城园区西部片区（原西彭工业园区）内紧邻居住用地、中小学用地等的工业用地后续应严格控制高噪声、异味明显的项目入驻，并根据实际情况设置一定防护距离。</w:t>
                  </w:r>
                </w:p>
              </w:tc>
              <w:tc>
                <w:tcPr>
                  <w:tcW w:w="1082" w:type="pct"/>
                  <w:noWrap w:val="0"/>
                  <w:vAlign w:val="center"/>
                </w:tcPr>
                <w:p w14:paraId="01B9DE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eastAsia="zh-CN"/>
                    </w:rPr>
                    <w:t>本项目为加油站改扩建项目，</w:t>
                  </w:r>
                  <w:r>
                    <w:rPr>
                      <w:rFonts w:hint="default" w:ascii="Times New Roman" w:hAnsi="Times New Roman" w:eastAsia="宋体" w:cs="Times New Roman"/>
                      <w:color w:val="auto"/>
                      <w:sz w:val="21"/>
                      <w:szCs w:val="21"/>
                      <w:highlight w:val="none"/>
                      <w:lang w:val="en-US" w:eastAsia="zh-CN"/>
                    </w:rPr>
                    <w:t>不新增占地</w:t>
                  </w:r>
                </w:p>
              </w:tc>
              <w:tc>
                <w:tcPr>
                  <w:tcW w:w="462" w:type="pct"/>
                  <w:noWrap w:val="0"/>
                  <w:vAlign w:val="center"/>
                </w:tcPr>
                <w:p w14:paraId="5E1C49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533B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7A5F23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restart"/>
                  <w:noWrap w:val="0"/>
                  <w:vAlign w:val="center"/>
                </w:tcPr>
                <w:p w14:paraId="048C3B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en-US" w:bidi="ar-SA"/>
                    </w:rPr>
                    <w:t>污染物排放控制</w:t>
                  </w:r>
                </w:p>
              </w:tc>
              <w:tc>
                <w:tcPr>
                  <w:tcW w:w="2196" w:type="pct"/>
                  <w:noWrap w:val="0"/>
                  <w:vAlign w:val="center"/>
                </w:tcPr>
                <w:p w14:paraId="7BC4529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第三条  执行重点管控单元市级总体要求第八条、第九条、第十一条、第十二条、第十四条和第十五条。</w:t>
                  </w:r>
                </w:p>
              </w:tc>
              <w:tc>
                <w:tcPr>
                  <w:tcW w:w="1082" w:type="pct"/>
                  <w:noWrap w:val="0"/>
                  <w:vAlign w:val="center"/>
                </w:tcPr>
                <w:p w14:paraId="66D7FF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本项目符合</w:t>
                  </w:r>
                  <w:r>
                    <w:rPr>
                      <w:rFonts w:hint="default" w:ascii="Times New Roman" w:hAnsi="Times New Roman" w:eastAsia="宋体" w:cs="Times New Roman"/>
                      <w:color w:val="auto"/>
                      <w:kern w:val="2"/>
                      <w:sz w:val="21"/>
                      <w:szCs w:val="21"/>
                      <w:highlight w:val="none"/>
                      <w:lang w:val="en-US" w:eastAsia="zh-CN" w:bidi="ar-SA"/>
                    </w:rPr>
                    <w:t>重点管控单元市级总体要求第八条、第九条、第十一条、第十二条、第十四条和第十五条。</w:t>
                  </w:r>
                </w:p>
              </w:tc>
              <w:tc>
                <w:tcPr>
                  <w:tcW w:w="462" w:type="pct"/>
                  <w:noWrap w:val="0"/>
                  <w:vAlign w:val="center"/>
                </w:tcPr>
                <w:p w14:paraId="4B907B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6A9E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1ED1FD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1F9A09D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2196" w:type="pct"/>
                  <w:noWrap w:val="0"/>
                  <w:vAlign w:val="top"/>
                </w:tcPr>
                <w:p w14:paraId="15BF268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第四条  以重点行业为抓手，深化挥发性有机物治理，减缓工居混杂矛盾。</w:t>
                  </w:r>
                </w:p>
                <w:p w14:paraId="585F756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以工业涂装、汽车维修、油品储运销等行业为重点，推动重点行业持续提升低（无）VOCs含量、低反应活性的原辅材料替代比例，推进重点监管企业VOCs综合整治。加强投诉较为集中的重点区域废气排放企业监督检查，加强重点排污企业污染治理设施和在线监控建设和运维。</w:t>
                  </w:r>
                </w:p>
              </w:tc>
              <w:tc>
                <w:tcPr>
                  <w:tcW w:w="1082" w:type="pct"/>
                  <w:noWrap w:val="0"/>
                  <w:vAlign w:val="center"/>
                </w:tcPr>
                <w:p w14:paraId="1749DC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eastAsia="zh-CN"/>
                    </w:rPr>
                    <w:t>本项目为加油站改扩建项目，</w:t>
                  </w:r>
                  <w:r>
                    <w:rPr>
                      <w:rFonts w:hint="default" w:ascii="Times New Roman" w:hAnsi="Times New Roman" w:eastAsia="宋体" w:cs="Times New Roman"/>
                      <w:color w:val="auto"/>
                      <w:sz w:val="21"/>
                      <w:szCs w:val="21"/>
                      <w:highlight w:val="none"/>
                      <w:lang w:val="en-US" w:eastAsia="zh-CN"/>
                    </w:rPr>
                    <w:t>加油站为减少挥发性有机物排放，</w:t>
                  </w:r>
                  <w:r>
                    <w:rPr>
                      <w:rFonts w:hint="default" w:ascii="Times New Roman" w:hAnsi="Times New Roman" w:cs="Times New Roman"/>
                      <w:color w:val="auto"/>
                      <w:sz w:val="21"/>
                      <w:szCs w:val="21"/>
                      <w:highlight w:val="none"/>
                      <w:lang w:val="en-US" w:eastAsia="zh-CN"/>
                    </w:rPr>
                    <w:t>安装一次、二次和三次油气回收处理装置，满足相关标准要求。</w:t>
                  </w:r>
                </w:p>
              </w:tc>
              <w:tc>
                <w:tcPr>
                  <w:tcW w:w="462" w:type="pct"/>
                  <w:noWrap w:val="0"/>
                  <w:vAlign w:val="center"/>
                </w:tcPr>
                <w:p w14:paraId="0C8F75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4C04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1853BC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0A5D378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2196" w:type="pct"/>
                  <w:noWrap w:val="0"/>
                  <w:vAlign w:val="top"/>
                </w:tcPr>
                <w:p w14:paraId="07DC8FA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第五条  以餐饮油烟为重点，强化生活污染防治。</w:t>
                  </w:r>
                </w:p>
                <w:p w14:paraId="47E8162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加大居民生活油烟排放治理，推动具备条件的餐饮单位安装餐饮油烟在线监控设施，加强对重点区域无油烟净化设施露天摊位的管理。</w:t>
                  </w:r>
                </w:p>
              </w:tc>
              <w:tc>
                <w:tcPr>
                  <w:tcW w:w="1082" w:type="pct"/>
                  <w:noWrap w:val="0"/>
                  <w:vAlign w:val="center"/>
                </w:tcPr>
                <w:p w14:paraId="6CC094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本项目不涉及</w:t>
                  </w:r>
                </w:p>
              </w:tc>
              <w:tc>
                <w:tcPr>
                  <w:tcW w:w="462" w:type="pct"/>
                  <w:noWrap w:val="0"/>
                  <w:vAlign w:val="center"/>
                </w:tcPr>
                <w:p w14:paraId="399EB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2073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20846F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33DDA98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2196" w:type="pct"/>
                  <w:noWrap w:val="0"/>
                  <w:vAlign w:val="top"/>
                </w:tcPr>
                <w:p w14:paraId="42AC589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第六条  以交通和扬尘污染治理为关键，提升环境空气质量。</w:t>
                  </w:r>
                </w:p>
                <w:p w14:paraId="54AC0F3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加快淘汰国三及以下排放标准柴油车、汽油车，以运输企业和用车大户为重点，建立车辆档案并制定淘汰计划；严格落实中心城区高排放车辆限行措施；大力推广新能源车；加快发展城市轨道交通、智能交通和慢行交通，加快建设滨江步道，鼓励绿色出行；以九龙半岛、西部片区等区域为重点，加强施工扬尘监管，逐步推进建筑面积2万平方米以上的工地安装在线监控系统。</w:t>
                  </w:r>
                </w:p>
              </w:tc>
              <w:tc>
                <w:tcPr>
                  <w:tcW w:w="1082" w:type="pct"/>
                  <w:noWrap w:val="0"/>
                  <w:vAlign w:val="center"/>
                </w:tcPr>
                <w:p w14:paraId="1F0485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本项目不涉及</w:t>
                  </w:r>
                </w:p>
              </w:tc>
              <w:tc>
                <w:tcPr>
                  <w:tcW w:w="462" w:type="pct"/>
                  <w:noWrap w:val="0"/>
                  <w:vAlign w:val="center"/>
                </w:tcPr>
                <w:p w14:paraId="1921AC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54A6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727F99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4AE79A8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2196" w:type="pct"/>
                  <w:noWrap w:val="0"/>
                  <w:vAlign w:val="top"/>
                </w:tcPr>
                <w:p w14:paraId="339F0C3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第七条  以“三河六溪”污染综合治理为核心，改善次级河流水质。</w:t>
                  </w:r>
                </w:p>
                <w:p w14:paraId="33A44AE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持续推进“三河六溪”污染综合治理。实施跳磴河水质提升攻坚行动，整治突出水环境问题，完成重点流域雨污分流整治、河道清淤疏浚等措施；推进桃花溪流域雨污分流整治；实施大溪河流域整治，强化流域跨界协同治理机制；深化六条滨河污染治理，因地制宜开展水体内源污染治理和生态修复，增强河湖水体自净功能。</w:t>
                  </w:r>
                </w:p>
              </w:tc>
              <w:tc>
                <w:tcPr>
                  <w:tcW w:w="1082" w:type="pct"/>
                  <w:noWrap w:val="0"/>
                  <w:vAlign w:val="center"/>
                </w:tcPr>
                <w:p w14:paraId="77BB4E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本项目不涉及</w:t>
                  </w:r>
                </w:p>
              </w:tc>
              <w:tc>
                <w:tcPr>
                  <w:tcW w:w="462" w:type="pct"/>
                  <w:noWrap w:val="0"/>
                  <w:vAlign w:val="center"/>
                </w:tcPr>
                <w:p w14:paraId="2B6713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0F6F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1DC959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51D27D1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2196" w:type="pct"/>
                  <w:noWrap w:val="0"/>
                  <w:vAlign w:val="top"/>
                </w:tcPr>
                <w:p w14:paraId="3ACE3C9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第八条  以农业种植和水产养殖为重点，强化面源污染防治。</w:t>
                  </w:r>
                </w:p>
                <w:p w14:paraId="27DB3EE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严格控制化肥农药使用量，推进化肥农药减量增效；加强九龙西城西彭镇高标准农田管护运营；以九龙西城水产养殖污染防治为重点，全面推进池塘水产养殖综合治理，提高养殖尾水治理设施覆盖率。</w:t>
                  </w:r>
                </w:p>
              </w:tc>
              <w:tc>
                <w:tcPr>
                  <w:tcW w:w="1082" w:type="pct"/>
                  <w:noWrap w:val="0"/>
                  <w:vAlign w:val="center"/>
                </w:tcPr>
                <w:p w14:paraId="35D718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本项目不涉及</w:t>
                  </w:r>
                </w:p>
              </w:tc>
              <w:tc>
                <w:tcPr>
                  <w:tcW w:w="462" w:type="pct"/>
                  <w:noWrap w:val="0"/>
                  <w:vAlign w:val="center"/>
                </w:tcPr>
                <w:p w14:paraId="3022FA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074A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2827AF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restart"/>
                  <w:noWrap w:val="0"/>
                  <w:vAlign w:val="center"/>
                </w:tcPr>
                <w:p w14:paraId="675750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en-US" w:bidi="ar-SA"/>
                    </w:rPr>
                    <w:t>环境风险防控</w:t>
                  </w:r>
                </w:p>
              </w:tc>
              <w:tc>
                <w:tcPr>
                  <w:tcW w:w="2196" w:type="pct"/>
                  <w:noWrap w:val="0"/>
                  <w:vAlign w:val="top"/>
                </w:tcPr>
                <w:p w14:paraId="39A3706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第九条  执行重点管控单元市级总体要求第十六条。</w:t>
                  </w:r>
                </w:p>
              </w:tc>
              <w:tc>
                <w:tcPr>
                  <w:tcW w:w="1082" w:type="pct"/>
                  <w:noWrap w:val="0"/>
                  <w:vAlign w:val="center"/>
                </w:tcPr>
                <w:p w14:paraId="6341FC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本项目符合</w:t>
                  </w:r>
                  <w:r>
                    <w:rPr>
                      <w:rFonts w:hint="default" w:ascii="Times New Roman" w:hAnsi="Times New Roman" w:eastAsia="宋体" w:cs="Times New Roman"/>
                      <w:color w:val="auto"/>
                      <w:kern w:val="2"/>
                      <w:sz w:val="21"/>
                      <w:szCs w:val="21"/>
                      <w:highlight w:val="none"/>
                      <w:lang w:val="en-US" w:eastAsia="zh-CN" w:bidi="ar-SA"/>
                    </w:rPr>
                    <w:t>重点管控单元市级总体要求第十六条。</w:t>
                  </w:r>
                </w:p>
              </w:tc>
              <w:tc>
                <w:tcPr>
                  <w:tcW w:w="462" w:type="pct"/>
                  <w:noWrap w:val="0"/>
                  <w:vAlign w:val="center"/>
                </w:tcPr>
                <w:p w14:paraId="025938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577B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2E3F43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40545B5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2196" w:type="pct"/>
                  <w:noWrap w:val="0"/>
                  <w:vAlign w:val="top"/>
                </w:tcPr>
                <w:p w14:paraId="5306DF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第十条  以保障饮用水源安全为目标，完善区域环境风险措施。</w:t>
                  </w:r>
                </w:p>
                <w:p w14:paraId="165901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长江沿江1公里范围内化工企业及危化品仓库环境风险监管，进一步完善九龙新城园区西部片区（原西彭工业园区）铜罐驿组团流域级环境风险防范措施；九龙新城园区西部片区（原西彭工业园区）应与下游饮用水水源取水口运营单位建立水源地突发环境事件应急联动机制。</w:t>
                  </w:r>
                </w:p>
              </w:tc>
              <w:tc>
                <w:tcPr>
                  <w:tcW w:w="1082" w:type="pct"/>
                  <w:noWrap w:val="0"/>
                  <w:vAlign w:val="center"/>
                </w:tcPr>
                <w:p w14:paraId="552813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本项目为加油站改扩建项目，采用单层钢制卧式油罐+防渗罐池形式，加油站编制了突发环境事件应急预案和突发环境事件风险评估报告，现有工程投运至今，定期开展应急演练并形成影音、文字等台账记录备查</w:t>
                  </w:r>
                </w:p>
              </w:tc>
              <w:tc>
                <w:tcPr>
                  <w:tcW w:w="462" w:type="pct"/>
                  <w:noWrap w:val="0"/>
                  <w:vAlign w:val="center"/>
                </w:tcPr>
                <w:p w14:paraId="1B04CF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7DCA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728DD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4CB76F8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2196" w:type="pct"/>
                  <w:noWrap w:val="0"/>
                  <w:vAlign w:val="top"/>
                </w:tcPr>
                <w:p w14:paraId="0FDA4CD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第十一条  以保障“一住两公”重点建设用地安全为目标，持续推进污染土壤治理，守牢土地安全利用底线。</w:t>
                  </w:r>
                </w:p>
                <w:p w14:paraId="36E9F91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根据土壤污染状况合理确定土地用途，推进工业企业腾退地块土壤污染状况调查评估及治理修复。未依法完成土壤污染状况调查和风险评估的地块，不得开工建设与风险管控和修复无关的项目。</w:t>
                  </w:r>
                </w:p>
              </w:tc>
              <w:tc>
                <w:tcPr>
                  <w:tcW w:w="1082" w:type="pct"/>
                  <w:noWrap w:val="0"/>
                  <w:vAlign w:val="center"/>
                </w:tcPr>
                <w:p w14:paraId="05A483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本项目不涉及</w:t>
                  </w:r>
                </w:p>
              </w:tc>
              <w:tc>
                <w:tcPr>
                  <w:tcW w:w="462" w:type="pct"/>
                  <w:noWrap w:val="0"/>
                  <w:vAlign w:val="center"/>
                </w:tcPr>
                <w:p w14:paraId="2501B0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61BA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2F1AC8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restart"/>
                  <w:noWrap w:val="0"/>
                  <w:vAlign w:val="center"/>
                </w:tcPr>
                <w:p w14:paraId="6B9AAB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en-US" w:bidi="ar-SA"/>
                    </w:rPr>
                    <w:t>资源利用效率</w:t>
                  </w:r>
                </w:p>
              </w:tc>
              <w:tc>
                <w:tcPr>
                  <w:tcW w:w="2196" w:type="pct"/>
                  <w:noWrap w:val="0"/>
                  <w:vAlign w:val="top"/>
                </w:tcPr>
                <w:p w14:paraId="37B6809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第十二条  执行重点管控单元市级总体要求第十八条、第十九条、第二十条、第二十一条。</w:t>
                  </w:r>
                </w:p>
              </w:tc>
              <w:tc>
                <w:tcPr>
                  <w:tcW w:w="1082" w:type="pct"/>
                  <w:noWrap w:val="0"/>
                  <w:vAlign w:val="center"/>
                </w:tcPr>
                <w:p w14:paraId="3AA04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本项目符合</w:t>
                  </w:r>
                  <w:r>
                    <w:rPr>
                      <w:rFonts w:hint="default" w:ascii="Times New Roman" w:hAnsi="Times New Roman" w:eastAsia="宋体" w:cs="Times New Roman"/>
                      <w:color w:val="auto"/>
                      <w:kern w:val="2"/>
                      <w:sz w:val="21"/>
                      <w:szCs w:val="21"/>
                      <w:highlight w:val="none"/>
                      <w:lang w:val="en-US" w:eastAsia="zh-CN" w:bidi="ar-SA"/>
                    </w:rPr>
                    <w:t>重点管控单元市级总体要求第十八条、第十九条、第二十条、第二十一条。</w:t>
                  </w:r>
                </w:p>
              </w:tc>
              <w:tc>
                <w:tcPr>
                  <w:tcW w:w="462" w:type="pct"/>
                  <w:noWrap w:val="0"/>
                  <w:vAlign w:val="center"/>
                </w:tcPr>
                <w:p w14:paraId="3BB8B2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4C89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3C09BA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642A940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2196" w:type="pct"/>
                  <w:noWrap w:val="0"/>
                  <w:vAlign w:val="top"/>
                </w:tcPr>
                <w:p w14:paraId="6F42621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第十三条  以促进产业绿色低碳循环发展为导向，推动减污降碳协同共治。</w:t>
                  </w:r>
                </w:p>
                <w:p w14:paraId="3F763A4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结合九龙新城园区西部片区（原西彭工业园区）近零碳园区建设，深化有色金属冶炼及压延加工业、化学原料及化学制品制造业和汽车制造业等行业减污降碳。</w:t>
                  </w:r>
                </w:p>
              </w:tc>
              <w:tc>
                <w:tcPr>
                  <w:tcW w:w="1082" w:type="pct"/>
                  <w:noWrap w:val="0"/>
                  <w:vAlign w:val="center"/>
                </w:tcPr>
                <w:p w14:paraId="548C7B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lang w:val="en-US"/>
                    </w:rPr>
                  </w:pPr>
                  <w:r>
                    <w:rPr>
                      <w:rFonts w:hint="default" w:ascii="Times New Roman" w:hAnsi="Times New Roman" w:eastAsia="宋体" w:cs="Times New Roman"/>
                      <w:bCs/>
                      <w:color w:val="auto"/>
                      <w:sz w:val="21"/>
                      <w:szCs w:val="21"/>
                      <w:highlight w:val="none"/>
                      <w:lang w:val="en-US" w:eastAsia="zh-CN"/>
                    </w:rPr>
                    <w:t>本项目不属于此类行业</w:t>
                  </w:r>
                </w:p>
              </w:tc>
              <w:tc>
                <w:tcPr>
                  <w:tcW w:w="462" w:type="pct"/>
                  <w:noWrap w:val="0"/>
                  <w:vAlign w:val="center"/>
                </w:tcPr>
                <w:p w14:paraId="47E404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6C9D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3DC05E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p>
              </w:tc>
              <w:tc>
                <w:tcPr>
                  <w:tcW w:w="667" w:type="pct"/>
                  <w:vMerge w:val="continue"/>
                  <w:noWrap w:val="0"/>
                  <w:vAlign w:val="center"/>
                </w:tcPr>
                <w:p w14:paraId="3A03DD1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p>
              </w:tc>
              <w:tc>
                <w:tcPr>
                  <w:tcW w:w="2196" w:type="pct"/>
                  <w:noWrap w:val="0"/>
                  <w:vAlign w:val="top"/>
                </w:tcPr>
                <w:p w14:paraId="43A1E5D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第十四条  提升工业、城镇生活、农业节水能力，推进再生水循环利用，提高水资源利用效率。</w:t>
                  </w:r>
                </w:p>
                <w:p w14:paraId="7C50DD3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加强工业节水改造，限制高耗水行业发展，加强重点监控用水单位监管。加强城镇节水，开展公共建筑节水改造、城镇供水管网漏损治理工程。加强农业节水，推进九龙西城西彭镇5000亩农业节水设施建设。深入挖掘非常规水资源开发利用潜力，推进再生水、雨水等非常规水资源的开发利用。</w:t>
                  </w:r>
                </w:p>
              </w:tc>
              <w:tc>
                <w:tcPr>
                  <w:tcW w:w="1082" w:type="pct"/>
                  <w:noWrap w:val="0"/>
                  <w:vAlign w:val="center"/>
                </w:tcPr>
                <w:p w14:paraId="1DD3D1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本项目不涉及</w:t>
                  </w:r>
                </w:p>
              </w:tc>
              <w:tc>
                <w:tcPr>
                  <w:tcW w:w="462" w:type="pct"/>
                  <w:noWrap w:val="0"/>
                  <w:vAlign w:val="center"/>
                </w:tcPr>
                <w:p w14:paraId="71D828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eastAsia="zh-CN"/>
                    </w:rPr>
                    <w:t>符合</w:t>
                  </w:r>
                </w:p>
              </w:tc>
            </w:tr>
            <w:tr w14:paraId="3439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91" w:type="pct"/>
                  <w:vMerge w:val="restart"/>
                  <w:noWrap w:val="0"/>
                  <w:vAlign w:val="center"/>
                </w:tcPr>
                <w:p w14:paraId="2692AC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单元管控要求</w:t>
                  </w:r>
                </w:p>
              </w:tc>
              <w:tc>
                <w:tcPr>
                  <w:tcW w:w="667" w:type="pct"/>
                  <w:noWrap w:val="0"/>
                  <w:vAlign w:val="center"/>
                </w:tcPr>
                <w:p w14:paraId="3034D2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空间布局约束</w:t>
                  </w:r>
                </w:p>
              </w:tc>
              <w:tc>
                <w:tcPr>
                  <w:tcW w:w="2196" w:type="pct"/>
                  <w:noWrap w:val="0"/>
                  <w:vAlign w:val="center"/>
                </w:tcPr>
                <w:p w14:paraId="0B22958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 xml:space="preserve">1.有序推动九龙工业园区“东三街”和九龙街道工业用地转型升级，重点发展制造服务业； </w:t>
                  </w:r>
                </w:p>
                <w:p w14:paraId="5EC755D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2.九龙工业园区B区为智能制造工业区，未来周边规划布局为居住区，应优化工业区内部布局，将污染较大的企业远离居住区一侧布设。</w:t>
                  </w:r>
                </w:p>
              </w:tc>
              <w:tc>
                <w:tcPr>
                  <w:tcW w:w="1082" w:type="pct"/>
                  <w:noWrap w:val="0"/>
                  <w:vAlign w:val="center"/>
                </w:tcPr>
                <w:p w14:paraId="0D579E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本项目为加油站改扩建项目，不属于制造业</w:t>
                  </w:r>
                </w:p>
              </w:tc>
              <w:tc>
                <w:tcPr>
                  <w:tcW w:w="462" w:type="pct"/>
                  <w:noWrap w:val="0"/>
                  <w:vAlign w:val="center"/>
                </w:tcPr>
                <w:p w14:paraId="2365BC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符合</w:t>
                  </w:r>
                </w:p>
              </w:tc>
            </w:tr>
            <w:tr w14:paraId="7BDA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3BA4DE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p>
              </w:tc>
              <w:tc>
                <w:tcPr>
                  <w:tcW w:w="667" w:type="pct"/>
                  <w:noWrap w:val="0"/>
                  <w:vAlign w:val="center"/>
                </w:tcPr>
                <w:p w14:paraId="742F79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污染物排放管控</w:t>
                  </w:r>
                </w:p>
              </w:tc>
              <w:tc>
                <w:tcPr>
                  <w:tcW w:w="2196" w:type="pct"/>
                  <w:noWrap w:val="0"/>
                  <w:vAlign w:val="center"/>
                </w:tcPr>
                <w:p w14:paraId="03063E7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1.九龙工业园区B区内新建、改建、扩建涉VOCs排放的项目，要加强源头控制，使 </w:t>
                  </w:r>
                </w:p>
                <w:p w14:paraId="48C0E2C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用低（无）VOCs含量的原辅料，加强废气收集，安装高效治理设施； </w:t>
                  </w:r>
                </w:p>
                <w:p w14:paraId="211F595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2.</w:t>
                  </w:r>
                  <w:r>
                    <w:rPr>
                      <w:rFonts w:hint="default" w:ascii="Times New Roman" w:hAnsi="Times New Roman" w:eastAsia="宋体" w:cs="Times New Roman"/>
                      <w:color w:val="auto"/>
                      <w:sz w:val="21"/>
                      <w:szCs w:val="21"/>
                      <w:highlight w:val="none"/>
                      <w:lang w:val="en-US" w:eastAsia="zh-CN"/>
                    </w:rPr>
                    <w:t>有序推动九龙工业园区“东三街”和九龙街道范围内现状工业制造类企业开展搬迁工作，搬迁前企业应深化污染治理，在减污、风险可控的前提下可进行改造升级。</w:t>
                  </w:r>
                </w:p>
                <w:p w14:paraId="27106E8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3.推进桃花溪流域、跳蹬河流域雨污分流整治；推进扬声桥污水处理厂提标改造，出水水质达到准Ⅳ类标准； </w:t>
                  </w:r>
                </w:p>
                <w:p w14:paraId="0F03C79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加大居民生活油烟排放治理，以歇台子为重点区域，推进周边居民安装油烟净化器。推动具备条件的餐饮单位（具有独立烟道且已安装油烟净化器）安装餐饮油烟在线监控设施，将露天烧烤纳入网格化管理，加强对科园四路、奥体运动街等夜市和重点区域无油烟净化设施露天摊位的管理。</w:t>
                  </w:r>
                </w:p>
                <w:p w14:paraId="69EA2EC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 xml:space="preserve">5.加快淘汰国三及以下排放标准柴油车、汽油车，以运输企业和用车大户为重点，建立车辆档案并制定淘汰计划。以石桥铺等货运物流市场为重点，持续加强货运车辆限行路段的闯禁执法管理，严格落实中心城区高排放车辆限行措施。大力推广新能源车，推广公交车、出租车、网约车等公共领域用车纯电动化，机关单位示范带动新能源车使用，推进充电站等新能源汽车充换电及加氢配套基础设施建设。加快发展城市轨道 </w:t>
                  </w:r>
                </w:p>
                <w:p w14:paraId="5B62692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交通、智能交通和慢行交通，加快建设滨江步道，鼓励绿色出行；</w:t>
                  </w:r>
                </w:p>
                <w:p w14:paraId="2F2ECB0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6.以九龙半岛为重点，加强施工扬尘监管，逐步推进建筑面积2万平方米以上的工地安装在线监控系统。</w:t>
                  </w:r>
                </w:p>
              </w:tc>
              <w:tc>
                <w:tcPr>
                  <w:tcW w:w="1082" w:type="pct"/>
                  <w:noWrap w:val="0"/>
                  <w:vAlign w:val="center"/>
                </w:tcPr>
                <w:p w14:paraId="619DBB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本项目属于加油站改扩建项目，现有工程已安装油气回收装置，产生的挥发性有机物经油气回收系统处理后达标排放</w:t>
                  </w:r>
                </w:p>
              </w:tc>
              <w:tc>
                <w:tcPr>
                  <w:tcW w:w="462" w:type="pct"/>
                  <w:noWrap w:val="0"/>
                  <w:vAlign w:val="center"/>
                </w:tcPr>
                <w:p w14:paraId="49CABF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符合</w:t>
                  </w:r>
                </w:p>
              </w:tc>
            </w:tr>
            <w:tr w14:paraId="63BC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6954E3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p>
              </w:tc>
              <w:tc>
                <w:tcPr>
                  <w:tcW w:w="667" w:type="pct"/>
                  <w:noWrap w:val="0"/>
                  <w:vAlign w:val="center"/>
                </w:tcPr>
                <w:p w14:paraId="4233BC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环境风险防控</w:t>
                  </w:r>
                </w:p>
              </w:tc>
              <w:tc>
                <w:tcPr>
                  <w:tcW w:w="2196" w:type="pct"/>
                  <w:noWrap w:val="0"/>
                  <w:vAlign w:val="center"/>
                </w:tcPr>
                <w:p w14:paraId="5392915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1.九龙工业园区禁止新建、扩建排放重金属（铬、镉、汞、砷、铅等五类重金属）、剧毒物质和持久性有机污染物的工业项目；</w:t>
                  </w:r>
                </w:p>
                <w:p w14:paraId="4AF5E217">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2.未达到土壤污染风险评估报告确定的风险管控、修复目标的地块，禁止开工建设任何与风险管控、修复无关的项目。</w:t>
                  </w:r>
                </w:p>
              </w:tc>
              <w:tc>
                <w:tcPr>
                  <w:tcW w:w="1082" w:type="pct"/>
                  <w:noWrap w:val="0"/>
                  <w:vAlign w:val="center"/>
                </w:tcPr>
                <w:p w14:paraId="7C2400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本项目为加油站改扩建项目，不属于化工项目，不属于禁止的项目类别</w:t>
                  </w:r>
                </w:p>
              </w:tc>
              <w:tc>
                <w:tcPr>
                  <w:tcW w:w="462" w:type="pct"/>
                  <w:noWrap w:val="0"/>
                  <w:vAlign w:val="center"/>
                </w:tcPr>
                <w:p w14:paraId="313E6E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符合</w:t>
                  </w:r>
                </w:p>
              </w:tc>
            </w:tr>
            <w:tr w14:paraId="6361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1" w:type="pct"/>
                  <w:vMerge w:val="continue"/>
                  <w:noWrap w:val="0"/>
                  <w:vAlign w:val="center"/>
                </w:tcPr>
                <w:p w14:paraId="693416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p>
              </w:tc>
              <w:tc>
                <w:tcPr>
                  <w:tcW w:w="667" w:type="pct"/>
                  <w:noWrap w:val="0"/>
                  <w:vAlign w:val="center"/>
                </w:tcPr>
                <w:p w14:paraId="2DA6EE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资源开发利用效率</w:t>
                  </w:r>
                </w:p>
              </w:tc>
              <w:tc>
                <w:tcPr>
                  <w:tcW w:w="2196" w:type="pct"/>
                  <w:noWrap w:val="0"/>
                  <w:vAlign w:val="center"/>
                </w:tcPr>
                <w:p w14:paraId="35A057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1.</w:t>
                  </w:r>
                  <w:r>
                    <w:rPr>
                      <w:rFonts w:hint="default" w:ascii="Times New Roman" w:hAnsi="Times New Roman" w:eastAsia="宋体" w:cs="Times New Roman"/>
                      <w:color w:val="auto"/>
                      <w:sz w:val="21"/>
                      <w:szCs w:val="21"/>
                      <w:highlight w:val="none"/>
                      <w:lang w:val="en-US" w:eastAsia="zh-CN"/>
                    </w:rPr>
                    <w:t>新建和改、扩建的工业项目清洁生产水平应达到国内先进水平；</w:t>
                  </w:r>
                </w:p>
                <w:p w14:paraId="4D94206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2.加强工业节水改造，限制高耗水行业发展，加强重点监控用水单位监管。</w:t>
                  </w:r>
                </w:p>
                <w:p w14:paraId="549D71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3.推进桃花溪流域中水回用工程建设，加快扬声桥污水处理厂尾水再生利用设施和管网建设。</w:t>
                  </w:r>
                </w:p>
                <w:p w14:paraId="3581DB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4.加强城镇 节水，开展公共建筑节水改造、城镇供水管网漏损治理工程。</w:t>
                  </w:r>
                </w:p>
              </w:tc>
              <w:tc>
                <w:tcPr>
                  <w:tcW w:w="1082" w:type="pct"/>
                  <w:noWrap w:val="0"/>
                  <w:vAlign w:val="center"/>
                </w:tcPr>
                <w:p w14:paraId="4150C3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本项目为加油站改扩建项目，</w:t>
                  </w:r>
                  <w:r>
                    <w:rPr>
                      <w:rFonts w:hint="default" w:ascii="Times New Roman" w:hAnsi="Times New Roman" w:eastAsia="宋体" w:cs="Times New Roman"/>
                      <w:b w:val="0"/>
                      <w:bCs w:val="0"/>
                      <w:color w:val="auto"/>
                      <w:sz w:val="21"/>
                      <w:szCs w:val="21"/>
                      <w:highlight w:val="none"/>
                      <w:lang w:eastAsia="zh-CN"/>
                    </w:rPr>
                    <w:t>采取了节水、节电、节能措施，</w:t>
                  </w:r>
                  <w:r>
                    <w:rPr>
                      <w:rFonts w:hint="default" w:ascii="Times New Roman" w:hAnsi="Times New Roman" w:eastAsia="宋体" w:cs="Times New Roman"/>
                      <w:color w:val="auto"/>
                      <w:sz w:val="21"/>
                      <w:szCs w:val="21"/>
                      <w:highlight w:val="none"/>
                      <w:lang w:val="en-US" w:eastAsia="zh-CN"/>
                    </w:rPr>
                    <w:t>水资源消耗、能耗均较小</w:t>
                  </w:r>
                </w:p>
              </w:tc>
              <w:tc>
                <w:tcPr>
                  <w:tcW w:w="462" w:type="pct"/>
                  <w:noWrap w:val="0"/>
                  <w:vAlign w:val="center"/>
                </w:tcPr>
                <w:p w14:paraId="251E10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符合</w:t>
                  </w:r>
                </w:p>
              </w:tc>
            </w:tr>
          </w:tbl>
          <w:p w14:paraId="6E01F5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napToGrid w:val="0"/>
                <w:color w:val="auto"/>
                <w:kern w:val="44"/>
                <w:sz w:val="24"/>
                <w:lang w:val="en-US" w:eastAsia="zh-CN" w:bidi="ar"/>
              </w:rPr>
            </w:pPr>
          </w:p>
          <w:p w14:paraId="24B638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napToGrid w:val="0"/>
                <w:color w:val="auto"/>
                <w:kern w:val="44"/>
                <w:sz w:val="24"/>
                <w:lang w:bidi="ar"/>
              </w:rPr>
            </w:pPr>
            <w:r>
              <w:rPr>
                <w:rFonts w:hint="default" w:ascii="Times New Roman" w:hAnsi="Times New Roman" w:eastAsia="宋体" w:cs="Times New Roman"/>
                <w:bCs/>
                <w:snapToGrid w:val="0"/>
                <w:color w:val="auto"/>
                <w:kern w:val="44"/>
                <w:sz w:val="24"/>
                <w:lang w:val="en-US" w:eastAsia="zh-CN" w:bidi="ar"/>
              </w:rPr>
              <w:t>由上表分析可知，本</w:t>
            </w:r>
            <w:r>
              <w:rPr>
                <w:rFonts w:hint="default" w:ascii="Times New Roman" w:hAnsi="Times New Roman" w:eastAsia="宋体" w:cs="Times New Roman"/>
                <w:bCs/>
                <w:snapToGrid w:val="0"/>
                <w:color w:val="auto"/>
                <w:kern w:val="44"/>
                <w:sz w:val="24"/>
                <w:lang w:bidi="ar"/>
              </w:rPr>
              <w:t>项目建设符合《重庆市生态环境局关于印发</w:t>
            </w:r>
            <w:r>
              <w:rPr>
                <w:rFonts w:hint="eastAsia" w:cs="Times New Roman"/>
                <w:bCs/>
                <w:snapToGrid w:val="0"/>
                <w:color w:val="auto"/>
                <w:kern w:val="44"/>
                <w:sz w:val="24"/>
                <w:lang w:eastAsia="zh-CN" w:bidi="ar"/>
              </w:rPr>
              <w:t>〈</w:t>
            </w:r>
            <w:r>
              <w:rPr>
                <w:rFonts w:hint="default" w:ascii="Times New Roman" w:hAnsi="Times New Roman" w:eastAsia="宋体" w:cs="Times New Roman"/>
                <w:bCs/>
                <w:snapToGrid w:val="0"/>
                <w:color w:val="auto"/>
                <w:kern w:val="44"/>
                <w:sz w:val="24"/>
                <w:lang w:bidi="ar"/>
              </w:rPr>
              <w:t>重庆市“三线一单”生态环境分区管控调整方案（2023年）</w:t>
            </w:r>
            <w:r>
              <w:rPr>
                <w:rFonts w:hint="eastAsia" w:cs="Times New Roman"/>
                <w:bCs/>
                <w:snapToGrid w:val="0"/>
                <w:color w:val="auto"/>
                <w:kern w:val="44"/>
                <w:sz w:val="24"/>
                <w:lang w:eastAsia="zh-CN" w:bidi="ar"/>
              </w:rPr>
              <w:t>〉的通知》</w:t>
            </w:r>
            <w:r>
              <w:rPr>
                <w:rFonts w:hint="default" w:ascii="Times New Roman" w:hAnsi="Times New Roman" w:eastAsia="宋体" w:cs="Times New Roman"/>
                <w:bCs/>
                <w:snapToGrid w:val="0"/>
                <w:color w:val="auto"/>
                <w:kern w:val="44"/>
                <w:sz w:val="24"/>
                <w:lang w:bidi="ar"/>
              </w:rPr>
              <w:t>（渝环规〔2024〕2号）以及《重庆市九龙坡区人民政府办公室关于印发</w:t>
            </w:r>
            <w:r>
              <w:rPr>
                <w:rFonts w:hint="eastAsia" w:cs="Times New Roman"/>
                <w:bCs/>
                <w:snapToGrid w:val="0"/>
                <w:color w:val="auto"/>
                <w:kern w:val="44"/>
                <w:sz w:val="24"/>
                <w:lang w:eastAsia="zh-CN" w:bidi="ar"/>
              </w:rPr>
              <w:t>〈</w:t>
            </w:r>
            <w:r>
              <w:rPr>
                <w:rFonts w:hint="default" w:ascii="Times New Roman" w:hAnsi="Times New Roman" w:eastAsia="宋体" w:cs="Times New Roman"/>
                <w:bCs/>
                <w:snapToGrid w:val="0"/>
                <w:color w:val="auto"/>
                <w:kern w:val="44"/>
                <w:sz w:val="24"/>
                <w:lang w:bidi="ar"/>
              </w:rPr>
              <w:t>重庆市九龙坡区“三线一单”生态环境分区管控调整方案（2023年）</w:t>
            </w:r>
            <w:r>
              <w:rPr>
                <w:rFonts w:hint="eastAsia" w:cs="Times New Roman"/>
                <w:bCs/>
                <w:snapToGrid w:val="0"/>
                <w:color w:val="auto"/>
                <w:kern w:val="44"/>
                <w:sz w:val="24"/>
                <w:lang w:eastAsia="zh-CN" w:bidi="ar"/>
              </w:rPr>
              <w:t>〉的通知》</w:t>
            </w:r>
            <w:r>
              <w:rPr>
                <w:rFonts w:hint="default" w:ascii="Times New Roman" w:hAnsi="Times New Roman" w:eastAsia="宋体" w:cs="Times New Roman"/>
                <w:bCs/>
                <w:snapToGrid w:val="0"/>
                <w:color w:val="auto"/>
                <w:kern w:val="44"/>
                <w:sz w:val="24"/>
                <w:lang w:bidi="ar"/>
              </w:rPr>
              <w:t>（九龙坡府办发〔2024〕51号）相关管控要求。</w:t>
            </w:r>
          </w:p>
          <w:p w14:paraId="2D5459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napToGrid w:val="0"/>
                <w:color w:val="auto"/>
                <w:kern w:val="44"/>
                <w:sz w:val="24"/>
                <w:lang w:bidi="ar"/>
              </w:rPr>
            </w:pPr>
          </w:p>
          <w:p w14:paraId="18009B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napToGrid w:val="0"/>
                <w:color w:val="auto"/>
                <w:kern w:val="44"/>
                <w:sz w:val="24"/>
                <w:lang w:bidi="ar"/>
              </w:rPr>
            </w:pPr>
          </w:p>
          <w:p w14:paraId="77E1B9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napToGrid w:val="0"/>
                <w:color w:val="auto"/>
                <w:kern w:val="44"/>
                <w:sz w:val="24"/>
                <w:lang w:bidi="ar"/>
              </w:rPr>
            </w:pPr>
          </w:p>
          <w:p w14:paraId="1F4DD8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napToGrid w:val="0"/>
                <w:color w:val="auto"/>
                <w:kern w:val="44"/>
                <w:sz w:val="24"/>
                <w:lang w:bidi="ar"/>
              </w:rPr>
            </w:pPr>
          </w:p>
        </w:tc>
      </w:tr>
    </w:tbl>
    <w:p w14:paraId="077F483B">
      <w:pPr>
        <w:pStyle w:val="71"/>
        <w:ind w:firstLine="480"/>
        <w:jc w:val="center"/>
        <w:rPr>
          <w:rFonts w:hint="default" w:ascii="Times New Roman" w:hAnsi="Times New Roman" w:eastAsia="宋体" w:cs="Times New Roman"/>
          <w:color w:val="auto"/>
          <w:highlight w:val="yellow"/>
        </w:rPr>
        <w:sectPr>
          <w:pgSz w:w="16838" w:h="11906" w:orient="landscape"/>
          <w:pgMar w:top="1531" w:right="1701" w:bottom="1531" w:left="1701" w:header="851" w:footer="850" w:gutter="0"/>
          <w:pgNumType w:fmt="decimal"/>
          <w:cols w:space="720" w:num="1"/>
          <w:docGrid w:linePitch="312" w:charSpace="0"/>
        </w:sectPr>
      </w:pP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006"/>
      </w:tblGrid>
      <w:tr w14:paraId="2D709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9" w:hRule="atLeast"/>
          <w:jc w:val="center"/>
        </w:trPr>
        <w:tc>
          <w:tcPr>
            <w:tcW w:w="864" w:type="dxa"/>
            <w:noWrap w:val="0"/>
            <w:vAlign w:val="center"/>
          </w:tcPr>
          <w:p w14:paraId="1CA060A1">
            <w:pPr>
              <w:autoSpaceDE w:val="0"/>
              <w:autoSpaceDN w:val="0"/>
              <w:adjustRightInd w:val="0"/>
              <w:snapToGrid w:val="0"/>
              <w:spacing w:line="360" w:lineRule="auto"/>
              <w:jc w:val="center"/>
              <w:rPr>
                <w:rFonts w:hint="default" w:ascii="Times New Roman" w:hAnsi="Times New Roman" w:eastAsia="宋体" w:cs="Times New Roman"/>
                <w:color w:val="auto"/>
                <w:kern w:val="0"/>
                <w:sz w:val="26"/>
                <w:szCs w:val="26"/>
                <w:highlight w:val="yellow"/>
              </w:rPr>
            </w:pPr>
            <w:r>
              <w:rPr>
                <w:rFonts w:hint="default" w:ascii="Times New Roman" w:hAnsi="Times New Roman" w:eastAsia="宋体" w:cs="Times New Roman"/>
                <w:color w:val="auto"/>
                <w:kern w:val="0"/>
                <w:sz w:val="24"/>
                <w:szCs w:val="26"/>
              </w:rPr>
              <w:t>其他符合性分析</w:t>
            </w:r>
          </w:p>
        </w:tc>
        <w:tc>
          <w:tcPr>
            <w:tcW w:w="8006" w:type="dxa"/>
            <w:noWrap w:val="0"/>
            <w:vAlign w:val="top"/>
          </w:tcPr>
          <w:p w14:paraId="58882FFF">
            <w:pPr>
              <w:autoSpaceDE w:val="0"/>
              <w:autoSpaceDN w:val="0"/>
              <w:adjustRightInd w:val="0"/>
              <w:snapToGrid w:val="0"/>
              <w:spacing w:line="360" w:lineRule="auto"/>
              <w:rPr>
                <w:rFonts w:hint="default" w:ascii="Times New Roman" w:hAnsi="Times New Roman" w:eastAsia="宋体" w:cs="Times New Roman"/>
                <w:b/>
                <w:bCs/>
                <w:color w:val="auto"/>
                <w:kern w:val="0"/>
                <w:sz w:val="28"/>
              </w:rPr>
            </w:pPr>
            <w:r>
              <w:rPr>
                <w:rFonts w:hint="default" w:ascii="Times New Roman" w:hAnsi="Times New Roman" w:eastAsia="宋体" w:cs="Times New Roman"/>
                <w:b/>
                <w:bCs/>
                <w:color w:val="auto"/>
                <w:kern w:val="0"/>
                <w:sz w:val="28"/>
              </w:rPr>
              <w:t>1.2产业政策符合性分析</w:t>
            </w:r>
          </w:p>
          <w:p w14:paraId="3CDBB548">
            <w:pPr>
              <w:autoSpaceDE w:val="0"/>
              <w:autoSpaceDN w:val="0"/>
              <w:adjustRightInd w:val="0"/>
              <w:snapToGrid w:val="0"/>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1.2.1与《产业结构调整指导目录（20</w:t>
            </w:r>
            <w:r>
              <w:rPr>
                <w:rFonts w:hint="default" w:ascii="Times New Roman" w:hAnsi="Times New Roman" w:eastAsia="宋体" w:cs="Times New Roman"/>
                <w:b/>
                <w:color w:val="auto"/>
                <w:sz w:val="24"/>
                <w:lang w:val="en-US" w:eastAsia="zh-CN"/>
              </w:rPr>
              <w:t>24</w:t>
            </w:r>
            <w:r>
              <w:rPr>
                <w:rFonts w:hint="default" w:ascii="Times New Roman" w:hAnsi="Times New Roman" w:eastAsia="宋体" w:cs="Times New Roman"/>
                <w:b/>
                <w:color w:val="auto"/>
                <w:sz w:val="24"/>
              </w:rPr>
              <w:t xml:space="preserve"> 年本）》符合性分析</w:t>
            </w:r>
          </w:p>
          <w:p w14:paraId="6AE65749">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项目为加油站油罐更换项目，主要销售汽油和柴油，属于F5265机动车燃料零售项目，对照《产业结构调整指导目录（20</w:t>
            </w:r>
            <w:r>
              <w:rPr>
                <w:rFonts w:hint="default" w:ascii="Times New Roman" w:hAnsi="Times New Roman" w:eastAsia="宋体" w:cs="Times New Roman"/>
                <w:color w:val="auto"/>
                <w:sz w:val="24"/>
                <w:lang w:val="en-US" w:eastAsia="zh-CN"/>
              </w:rPr>
              <w:t>24</w:t>
            </w:r>
            <w:r>
              <w:rPr>
                <w:rFonts w:hint="default" w:ascii="Times New Roman" w:hAnsi="Times New Roman" w:eastAsia="宋体" w:cs="Times New Roman"/>
                <w:color w:val="auto"/>
                <w:sz w:val="24"/>
              </w:rPr>
              <w:t>年本）》，项目不属于鼓励类、限制类和淘汰类项目，视为允许类建设项目，符合国家产业政策要求。</w:t>
            </w:r>
          </w:p>
          <w:p w14:paraId="48386088">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同时，重庆市九龙坡区发展和改革委员会已对本项目进行了备案，投资备案证号为</w:t>
            </w:r>
            <w:r>
              <w:rPr>
                <w:rFonts w:hint="default" w:ascii="Times New Roman" w:hAnsi="Times New Roman" w:eastAsia="宋体" w:cs="Times New Roman"/>
                <w:color w:val="auto"/>
                <w:sz w:val="24"/>
                <w:highlight w:val="none"/>
              </w:rPr>
              <w:t>2302-500107-04-02-797031，</w:t>
            </w:r>
            <w:r>
              <w:rPr>
                <w:rFonts w:hint="default" w:ascii="Times New Roman" w:hAnsi="Times New Roman" w:eastAsia="宋体" w:cs="Times New Roman"/>
                <w:color w:val="auto"/>
                <w:sz w:val="24"/>
              </w:rPr>
              <w:t>同意本项目建设。</w:t>
            </w:r>
          </w:p>
          <w:p w14:paraId="143391A4">
            <w:pPr>
              <w:autoSpaceDE w:val="0"/>
              <w:autoSpaceDN w:val="0"/>
              <w:adjustRightInd w:val="0"/>
              <w:spacing w:line="360" w:lineRule="auto"/>
              <w:jc w:val="left"/>
              <w:rPr>
                <w:rFonts w:hint="default" w:ascii="Times New Roman" w:hAnsi="Times New Roman" w:eastAsia="宋体" w:cs="Times New Roman"/>
                <w:b/>
                <w:color w:val="auto"/>
                <w:kern w:val="0"/>
                <w:sz w:val="24"/>
              </w:rPr>
            </w:pPr>
            <w:r>
              <w:rPr>
                <w:rFonts w:hint="default" w:ascii="Times New Roman" w:hAnsi="Times New Roman" w:eastAsia="宋体" w:cs="Times New Roman"/>
                <w:b/>
                <w:bCs/>
                <w:color w:val="auto"/>
                <w:sz w:val="24"/>
              </w:rPr>
              <w:t>1.2.2</w:t>
            </w:r>
            <w:r>
              <w:rPr>
                <w:rFonts w:hint="default" w:ascii="Times New Roman" w:hAnsi="Times New Roman" w:eastAsia="宋体" w:cs="Times New Roman"/>
                <w:b/>
                <w:color w:val="auto"/>
                <w:kern w:val="0"/>
                <w:sz w:val="24"/>
              </w:rPr>
              <w:t>与《重庆市发展和改革委员会关于印发重庆市产业投资准入工作手册的通知》（渝发改投</w:t>
            </w:r>
            <w:r>
              <w:rPr>
                <w:rFonts w:hint="default" w:ascii="Times New Roman" w:hAnsi="Times New Roman" w:cs="Times New Roman"/>
                <w:b/>
                <w:color w:val="auto"/>
                <w:kern w:val="0"/>
                <w:sz w:val="24"/>
                <w:lang w:eastAsia="zh-CN"/>
              </w:rPr>
              <w:t>〔2022〕1436号</w:t>
            </w:r>
            <w:r>
              <w:rPr>
                <w:rFonts w:hint="default" w:ascii="Times New Roman" w:hAnsi="Times New Roman" w:eastAsia="宋体" w:cs="Times New Roman"/>
                <w:b/>
                <w:color w:val="auto"/>
                <w:kern w:val="0"/>
                <w:sz w:val="24"/>
              </w:rPr>
              <w:t>）符合性分析</w:t>
            </w:r>
          </w:p>
          <w:p w14:paraId="69669E92">
            <w:pPr>
              <w:autoSpaceDE w:val="0"/>
              <w:autoSpaceDN w:val="0"/>
              <w:adjustRightInd w:val="0"/>
              <w:spacing w:line="360" w:lineRule="auto"/>
              <w:ind w:firstLine="480" w:firstLineChars="200"/>
              <w:rPr>
                <w:rFonts w:hint="default" w:ascii="Times New Roman" w:hAnsi="Times New Roman" w:eastAsia="宋体" w:cs="Times New Roman"/>
                <w:bCs/>
                <w:color w:val="auto"/>
                <w:kern w:val="0"/>
                <w:sz w:val="24"/>
              </w:rPr>
            </w:pPr>
            <w:r>
              <w:rPr>
                <w:rFonts w:hint="default" w:ascii="Times New Roman" w:hAnsi="Times New Roman" w:eastAsia="宋体" w:cs="Times New Roman"/>
                <w:bCs/>
                <w:color w:val="auto"/>
                <w:kern w:val="0"/>
                <w:sz w:val="24"/>
              </w:rPr>
              <w:t>本项目为加油站油罐更换项目，选址位于重庆市九龙坡区谢家湾菜袁路，不属于《重庆市发展和改革委员会关于印发重庆市产业投资准入工作手册的通知》（渝发改投</w:t>
            </w:r>
            <w:r>
              <w:rPr>
                <w:rFonts w:hint="default" w:ascii="Times New Roman" w:hAnsi="Times New Roman" w:cs="Times New Roman"/>
                <w:bCs/>
                <w:color w:val="auto"/>
                <w:kern w:val="0"/>
                <w:sz w:val="24"/>
                <w:lang w:eastAsia="zh-CN"/>
              </w:rPr>
              <w:t>〔2022〕1436号</w:t>
            </w:r>
            <w:r>
              <w:rPr>
                <w:rFonts w:hint="default" w:ascii="Times New Roman" w:hAnsi="Times New Roman" w:eastAsia="宋体" w:cs="Times New Roman"/>
                <w:bCs/>
                <w:color w:val="auto"/>
                <w:kern w:val="0"/>
                <w:sz w:val="24"/>
              </w:rPr>
              <w:t>）的不予准入和限制准入类，符合文件规定。</w:t>
            </w:r>
          </w:p>
          <w:p w14:paraId="6A717888">
            <w:pPr>
              <w:autoSpaceDE w:val="0"/>
              <w:autoSpaceDN w:val="0"/>
              <w:adjustRightInd w:val="0"/>
              <w:spacing w:line="360" w:lineRule="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1.2.</w:t>
            </w:r>
            <w:r>
              <w:rPr>
                <w:rFonts w:hint="default" w:ascii="Times New Roman" w:hAnsi="Times New Roman" w:eastAsia="宋体" w:cs="Times New Roman"/>
                <w:b/>
                <w:bCs/>
                <w:color w:val="auto"/>
                <w:kern w:val="0"/>
                <w:sz w:val="24"/>
                <w:lang w:val="en-US" w:eastAsia="zh-CN"/>
              </w:rPr>
              <w:t>3</w:t>
            </w:r>
            <w:r>
              <w:rPr>
                <w:rFonts w:hint="default" w:ascii="Times New Roman" w:hAnsi="Times New Roman" w:eastAsia="宋体" w:cs="Times New Roman"/>
                <w:b/>
                <w:bCs/>
                <w:color w:val="auto"/>
                <w:kern w:val="0"/>
                <w:sz w:val="24"/>
              </w:rPr>
              <w:t>与《四川省、重庆市长江经济带发展负面清单实施细则（试行，2022年版）》的符合性分析</w:t>
            </w:r>
          </w:p>
          <w:p w14:paraId="38EC3316">
            <w:pPr>
              <w:autoSpaceDE w:val="0"/>
              <w:autoSpaceDN w:val="0"/>
              <w:adjustRightInd w:val="0"/>
              <w:spacing w:line="360" w:lineRule="auto"/>
              <w:ind w:firstLine="522"/>
              <w:rPr>
                <w:rFonts w:hint="default" w:ascii="Times New Roman" w:hAnsi="Times New Roman" w:eastAsia="宋体" w:cs="Times New Roman"/>
                <w:bCs/>
                <w:color w:val="auto"/>
                <w:kern w:val="0"/>
                <w:sz w:val="24"/>
              </w:rPr>
            </w:pPr>
            <w:r>
              <w:rPr>
                <w:rFonts w:hint="default" w:ascii="Times New Roman" w:hAnsi="Times New Roman" w:eastAsia="宋体" w:cs="Times New Roman"/>
                <w:bCs/>
                <w:color w:val="auto"/>
                <w:kern w:val="0"/>
                <w:sz w:val="24"/>
              </w:rPr>
              <w:t>本项目为加油站建设项目，选址位于重庆市九龙坡区谢家湾菜袁路，不在自然保护区核心区、缓冲区的岸线和河段范围内，不在风景名胜区核心景区的岸线和河段范围内，不在饮用水源一级保护区的岸线和河段范围内，不在水产种质资源保护区的岸线和河段范围内，符合《四川省、重庆市长江经济带发展负面清单实施细则（试行，2022版）》中的相关要求。</w:t>
            </w:r>
          </w:p>
          <w:p w14:paraId="486D035B">
            <w:pPr>
              <w:autoSpaceDE w:val="0"/>
              <w:autoSpaceDN w:val="0"/>
              <w:adjustRightInd w:val="0"/>
              <w:spacing w:line="360" w:lineRule="auto"/>
              <w:rPr>
                <w:rFonts w:hint="default" w:ascii="Times New Roman" w:hAnsi="Times New Roman" w:eastAsia="宋体" w:cs="Times New Roman"/>
                <w:b/>
                <w:bCs/>
                <w:color w:val="auto"/>
                <w:kern w:val="0"/>
                <w:sz w:val="28"/>
              </w:rPr>
            </w:pPr>
            <w:r>
              <w:rPr>
                <w:rFonts w:hint="default" w:ascii="Times New Roman" w:hAnsi="Times New Roman" w:eastAsia="宋体" w:cs="Times New Roman"/>
                <w:b/>
                <w:bCs/>
                <w:color w:val="auto"/>
                <w:kern w:val="0"/>
                <w:sz w:val="28"/>
              </w:rPr>
              <w:t>1.3环保政策符合性分析</w:t>
            </w:r>
          </w:p>
          <w:p w14:paraId="542DA60B">
            <w:pPr>
              <w:autoSpaceDE w:val="0"/>
              <w:autoSpaceDN w:val="0"/>
              <w:adjustRightInd w:val="0"/>
              <w:spacing w:line="360" w:lineRule="auto"/>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1.3.1与《挥发性有机物污染防治技术政策》（公告2013年第31号）的符合性分析</w:t>
            </w:r>
          </w:p>
          <w:p w14:paraId="1310FD05">
            <w:pPr>
              <w:adjustRightInd w:val="0"/>
              <w:snapToGrid w:val="0"/>
              <w:spacing w:line="360" w:lineRule="auto"/>
              <w:ind w:firstLine="480" w:firstLineChars="200"/>
              <w:rPr>
                <w:rFonts w:hint="default" w:ascii="Times New Roman" w:hAnsi="Times New Roman" w:eastAsia="宋体" w:cs="Times New Roman"/>
                <w:color w:val="auto"/>
                <w:spacing w:val="-2"/>
                <w:kern w:val="0"/>
                <w:sz w:val="24"/>
              </w:rPr>
            </w:pPr>
            <w:r>
              <w:rPr>
                <w:rFonts w:hint="default" w:ascii="Times New Roman" w:hAnsi="Times New Roman" w:eastAsia="宋体" w:cs="Times New Roman"/>
                <w:color w:val="auto"/>
                <w:sz w:val="24"/>
              </w:rPr>
              <w:t>根据《挥发性有机物（VOCs）污染防治技术政策》“</w:t>
            </w:r>
            <w:r>
              <w:rPr>
                <w:rFonts w:hint="default" w:ascii="Times New Roman" w:hAnsi="Times New Roman" w:eastAsia="宋体" w:cs="Times New Roman"/>
                <w:color w:val="auto"/>
                <w:spacing w:val="-2"/>
                <w:kern w:val="0"/>
                <w:sz w:val="24"/>
              </w:rPr>
              <w:t>（八）在油类（燃油、溶剂等）的储存、运输和销售过程中的VOCs污染防治技术措施包括：1.储油库、加油站和油罐车宜配备相应的油气收集系统，储油库、加油站宜配备相应的油气回收系统；2.油类（燃油、溶剂等）储罐宜采用高效密封的内（外）浮顶罐，当采用固定顶罐时，通过密闭排气系统将含VOCs气体输送至回收设备；3.油类（燃油、溶剂等）运载工具（汽车油罐车、铁路油槽车、油轮等）在装载过程中排放的VOCs密闭收集输送至回收设备，也可返回储罐或送入气体管网</w:t>
            </w:r>
            <w:r>
              <w:rPr>
                <w:rFonts w:hint="default" w:ascii="Times New Roman" w:hAnsi="Times New Roman" w:eastAsia="宋体" w:cs="Times New Roman"/>
                <w:color w:val="auto"/>
              </w:rPr>
              <w:t>……</w:t>
            </w:r>
            <w:r>
              <w:rPr>
                <w:rFonts w:hint="default" w:ascii="Times New Roman" w:hAnsi="Times New Roman" w:eastAsia="宋体" w:cs="Times New Roman"/>
                <w:color w:val="auto"/>
                <w:spacing w:val="-2"/>
                <w:kern w:val="0"/>
                <w:sz w:val="24"/>
              </w:rPr>
              <w:t>”</w:t>
            </w:r>
          </w:p>
          <w:p w14:paraId="2D051C44">
            <w:pPr>
              <w:widowControl/>
              <w:spacing w:line="360" w:lineRule="auto"/>
              <w:ind w:firstLine="472" w:firstLineChars="200"/>
              <w:jc w:val="left"/>
              <w:rPr>
                <w:rFonts w:hint="default" w:ascii="Times New Roman" w:hAnsi="Times New Roman" w:cs="Times New Roman"/>
                <w:color w:val="auto"/>
                <w:spacing w:val="-2"/>
                <w:kern w:val="0"/>
                <w:sz w:val="24"/>
                <w:highlight w:val="none"/>
              </w:rPr>
            </w:pPr>
            <w:r>
              <w:rPr>
                <w:rFonts w:hint="default" w:ascii="Times New Roman" w:hAnsi="Times New Roman" w:eastAsia="宋体" w:cs="Times New Roman"/>
                <w:color w:val="auto"/>
                <w:spacing w:val="-2"/>
                <w:kern w:val="0"/>
                <w:sz w:val="24"/>
              </w:rPr>
              <w:t>本项目</w:t>
            </w:r>
            <w:r>
              <w:rPr>
                <w:rFonts w:hint="default" w:ascii="Times New Roman" w:hAnsi="Times New Roman" w:cs="Times New Roman"/>
                <w:color w:val="auto"/>
                <w:spacing w:val="-2"/>
                <w:kern w:val="0"/>
                <w:sz w:val="24"/>
                <w:lang w:eastAsia="zh-CN"/>
              </w:rPr>
              <w:t>安装</w:t>
            </w:r>
            <w:r>
              <w:rPr>
                <w:rFonts w:hint="default" w:ascii="Times New Roman" w:hAnsi="Times New Roman" w:eastAsia="宋体" w:cs="Times New Roman"/>
                <w:color w:val="auto"/>
                <w:spacing w:val="-2"/>
                <w:kern w:val="0"/>
                <w:sz w:val="24"/>
              </w:rPr>
              <w:t>有一次卸油油气回收系统</w:t>
            </w:r>
            <w:r>
              <w:rPr>
                <w:rFonts w:hint="default" w:ascii="Times New Roman" w:hAnsi="Times New Roman" w:eastAsia="宋体" w:cs="Times New Roman"/>
                <w:color w:val="auto"/>
                <w:spacing w:val="-2"/>
                <w:kern w:val="0"/>
                <w:sz w:val="24"/>
                <w:lang w:eastAsia="zh-CN"/>
              </w:rPr>
              <w:t>、</w:t>
            </w:r>
            <w:r>
              <w:rPr>
                <w:rFonts w:hint="default" w:ascii="Times New Roman" w:hAnsi="Times New Roman" w:eastAsia="宋体" w:cs="Times New Roman"/>
                <w:color w:val="auto"/>
                <w:spacing w:val="-2"/>
                <w:kern w:val="0"/>
                <w:sz w:val="24"/>
              </w:rPr>
              <w:t>二次加油油气回收系统</w:t>
            </w:r>
            <w:r>
              <w:rPr>
                <w:rFonts w:hint="default" w:ascii="Times New Roman" w:hAnsi="Times New Roman" w:cs="Times New Roman"/>
                <w:color w:val="auto"/>
                <w:spacing w:val="-2"/>
                <w:kern w:val="0"/>
                <w:sz w:val="24"/>
                <w:lang w:eastAsia="zh-CN"/>
              </w:rPr>
              <w:t>和</w:t>
            </w:r>
            <w:r>
              <w:rPr>
                <w:rFonts w:hint="default" w:ascii="Times New Roman" w:hAnsi="Times New Roman" w:eastAsia="宋体" w:cs="Times New Roman"/>
                <w:color w:val="auto"/>
                <w:spacing w:val="-2"/>
                <w:kern w:val="0"/>
                <w:sz w:val="24"/>
              </w:rPr>
              <w:t>三次油气回收</w:t>
            </w:r>
            <w:r>
              <w:rPr>
                <w:rFonts w:hint="default" w:ascii="Times New Roman" w:hAnsi="Times New Roman" w:eastAsia="宋体" w:cs="Times New Roman"/>
                <w:color w:val="auto"/>
                <w:spacing w:val="-2"/>
                <w:kern w:val="0"/>
                <w:sz w:val="24"/>
                <w:lang w:val="en-US" w:eastAsia="zh-CN"/>
              </w:rPr>
              <w:t>处理</w:t>
            </w:r>
            <w:r>
              <w:rPr>
                <w:rFonts w:hint="default" w:ascii="Times New Roman" w:hAnsi="Times New Roman" w:eastAsia="宋体" w:cs="Times New Roman"/>
                <w:color w:val="auto"/>
                <w:spacing w:val="-2"/>
                <w:kern w:val="0"/>
                <w:sz w:val="24"/>
              </w:rPr>
              <w:t>系统，</w:t>
            </w:r>
            <w:r>
              <w:rPr>
                <w:rFonts w:hint="default" w:ascii="Times New Roman" w:hAnsi="Times New Roman" w:cs="Times New Roman"/>
                <w:color w:val="auto"/>
                <w:spacing w:val="-2"/>
                <w:kern w:val="0"/>
                <w:sz w:val="24"/>
                <w:highlight w:val="none"/>
              </w:rPr>
              <w:t>油罐运输车对装车、卸车油气（VOCs）进行回收利用，</w:t>
            </w:r>
            <w:r>
              <w:rPr>
                <w:rFonts w:hint="default" w:ascii="Times New Roman" w:hAnsi="Times New Roman" w:cs="Times New Roman"/>
                <w:color w:val="auto"/>
                <w:spacing w:val="-2"/>
                <w:kern w:val="0"/>
                <w:sz w:val="24"/>
                <w:highlight w:val="none"/>
                <w:lang w:val="en-US" w:eastAsia="zh-CN"/>
              </w:rPr>
              <w:t>二次和三次油气回收处理系统对加油油气和储罐小呼吸产生的油气进行回收处理，</w:t>
            </w:r>
            <w:r>
              <w:rPr>
                <w:rFonts w:hint="default" w:ascii="Times New Roman" w:hAnsi="Times New Roman" w:cs="Times New Roman"/>
                <w:color w:val="auto"/>
                <w:spacing w:val="-2"/>
                <w:kern w:val="0"/>
                <w:sz w:val="24"/>
                <w:highlight w:val="none"/>
              </w:rPr>
              <w:t>符合相关环保要求。</w:t>
            </w:r>
          </w:p>
          <w:p w14:paraId="77089E52">
            <w:pPr>
              <w:snapToGrid w:val="0"/>
              <w:spacing w:line="360" w:lineRule="auto"/>
              <w:rPr>
                <w:rFonts w:hint="default" w:ascii="Times New Roman" w:hAnsi="Times New Roman" w:eastAsia="宋体" w:cs="Times New Roman"/>
                <w:b/>
                <w:bCs/>
                <w:snapToGrid w:val="0"/>
                <w:color w:val="auto"/>
                <w:kern w:val="0"/>
                <w:sz w:val="24"/>
              </w:rPr>
            </w:pPr>
            <w:r>
              <w:rPr>
                <w:rFonts w:hint="default" w:ascii="Times New Roman" w:hAnsi="Times New Roman" w:eastAsia="宋体" w:cs="Times New Roman"/>
                <w:b/>
                <w:bCs/>
                <w:snapToGrid w:val="0"/>
                <w:color w:val="auto"/>
                <w:kern w:val="0"/>
                <w:sz w:val="24"/>
              </w:rPr>
              <w:t>1.3.</w:t>
            </w:r>
            <w:r>
              <w:rPr>
                <w:rFonts w:hint="default" w:ascii="Times New Roman" w:hAnsi="Times New Roman" w:eastAsia="宋体" w:cs="Times New Roman"/>
                <w:b/>
                <w:bCs/>
                <w:snapToGrid w:val="0"/>
                <w:color w:val="auto"/>
                <w:kern w:val="0"/>
                <w:sz w:val="24"/>
                <w:lang w:val="en-US" w:eastAsia="zh-CN"/>
              </w:rPr>
              <w:t>2</w:t>
            </w:r>
            <w:r>
              <w:rPr>
                <w:rFonts w:hint="default" w:ascii="Times New Roman" w:hAnsi="Times New Roman" w:eastAsia="宋体" w:cs="Times New Roman"/>
                <w:b/>
                <w:bCs/>
                <w:snapToGrid w:val="0"/>
                <w:color w:val="auto"/>
                <w:kern w:val="0"/>
                <w:sz w:val="24"/>
              </w:rPr>
              <w:t>与《重点行业挥发性有机物综合治理方案》</w:t>
            </w:r>
            <w:r>
              <w:rPr>
                <w:rFonts w:hint="default" w:ascii="Times New Roman" w:hAnsi="Times New Roman" w:eastAsia="宋体" w:cs="Times New Roman"/>
                <w:b/>
                <w:bCs/>
                <w:color w:val="auto"/>
                <w:kern w:val="0"/>
                <w:sz w:val="26"/>
                <w:szCs w:val="26"/>
              </w:rPr>
              <w:t>（环大气</w:t>
            </w:r>
            <w:r>
              <w:rPr>
                <w:rFonts w:hint="default" w:ascii="Times New Roman" w:hAnsi="Times New Roman" w:cs="Times New Roman"/>
                <w:b/>
                <w:bCs/>
                <w:color w:val="auto"/>
                <w:kern w:val="0"/>
                <w:sz w:val="26"/>
                <w:szCs w:val="26"/>
                <w:lang w:eastAsia="zh-CN"/>
              </w:rPr>
              <w:t>〔2019〕53号</w:t>
            </w:r>
            <w:r>
              <w:rPr>
                <w:rFonts w:hint="default" w:ascii="Times New Roman" w:hAnsi="Times New Roman" w:eastAsia="宋体" w:cs="Times New Roman"/>
                <w:b/>
                <w:bCs/>
                <w:color w:val="auto"/>
                <w:kern w:val="0"/>
                <w:sz w:val="26"/>
                <w:szCs w:val="26"/>
              </w:rPr>
              <w:t>）</w:t>
            </w:r>
            <w:r>
              <w:rPr>
                <w:rFonts w:hint="default" w:ascii="Times New Roman" w:hAnsi="Times New Roman" w:eastAsia="宋体" w:cs="Times New Roman"/>
                <w:b/>
                <w:bCs/>
                <w:snapToGrid w:val="0"/>
                <w:color w:val="auto"/>
                <w:kern w:val="0"/>
                <w:sz w:val="24"/>
              </w:rPr>
              <w:t>符合性分析</w:t>
            </w:r>
          </w:p>
          <w:p w14:paraId="267E80BE">
            <w:pPr>
              <w:snapToGrid w:val="0"/>
              <w:spacing w:line="360" w:lineRule="auto"/>
              <w:ind w:firstLine="480" w:firstLineChars="200"/>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rPr>
              <w:t>根据《重点行业挥发性有机物综合治理方案》（环大气〔2019〕53号）对加油站提出相关的要求“（五）油品储运销VOCs综合治理。加大汽油（含乙醇汽油）、石脑油、煤油（含航空煤油）以及原油等VOCs排放控制，重点推进加油站、油罐车、储油库油气回收治理。……深化加油站油气回收工作。O</w:t>
            </w:r>
            <w:r>
              <w:rPr>
                <w:rFonts w:hint="default" w:ascii="Times New Roman" w:hAnsi="Times New Roman" w:eastAsia="宋体" w:cs="Times New Roman"/>
                <w:snapToGrid w:val="0"/>
                <w:color w:val="auto"/>
                <w:kern w:val="0"/>
                <w:sz w:val="24"/>
                <w:vertAlign w:val="subscript"/>
              </w:rPr>
              <w:t>3</w:t>
            </w:r>
            <w:r>
              <w:rPr>
                <w:rFonts w:hint="default" w:ascii="Times New Roman" w:hAnsi="Times New Roman" w:eastAsia="宋体" w:cs="Times New Roman"/>
                <w:snapToGrid w:val="0"/>
                <w:color w:val="auto"/>
                <w:kern w:val="0"/>
                <w:sz w:val="24"/>
              </w:rPr>
              <w:t>污染较重的地区，行政区域内大力推进加油站储油、加油油气回收治理工作，重点区域2019年年底前基本完成。埋地油罐全面采用电子液位仪进行汽油密闭测量。规范油气回收设施运行，自行或聘请第三方加强加油枪气液比、系统密闭性及管线液阻等检查，提高检测频次，重点区域原则上每半年开展一次，确保油气回收系统正常运行。”</w:t>
            </w:r>
          </w:p>
          <w:p w14:paraId="50223DE4">
            <w:pPr>
              <w:autoSpaceDE w:val="0"/>
              <w:autoSpaceDN w:val="0"/>
              <w:adjustRightInd w:val="0"/>
              <w:spacing w:line="360" w:lineRule="auto"/>
              <w:ind w:firstLine="522"/>
              <w:rPr>
                <w:rFonts w:hint="default" w:ascii="Times New Roman" w:hAnsi="Times New Roman" w:eastAsia="宋体" w:cs="Times New Roman"/>
                <w:bCs/>
                <w:color w:val="auto"/>
                <w:kern w:val="0"/>
                <w:sz w:val="24"/>
              </w:rPr>
            </w:pPr>
            <w:r>
              <w:rPr>
                <w:rFonts w:hint="default" w:ascii="Times New Roman" w:hAnsi="Times New Roman" w:eastAsia="宋体" w:cs="Times New Roman"/>
                <w:snapToGrid w:val="0"/>
                <w:color w:val="auto"/>
                <w:kern w:val="0"/>
                <w:sz w:val="24"/>
              </w:rPr>
              <w:t>本项目位于重庆市九龙坡区，项目埋地油罐全部采用电子液位仪密闭测量，设置</w:t>
            </w:r>
            <w:r>
              <w:rPr>
                <w:rFonts w:hint="default" w:ascii="Times New Roman" w:hAnsi="Times New Roman" w:eastAsia="宋体" w:cs="Times New Roman"/>
                <w:snapToGrid w:val="0"/>
                <w:color w:val="auto"/>
                <w:kern w:val="0"/>
                <w:sz w:val="24"/>
                <w:lang w:val="en-US" w:eastAsia="zh-CN"/>
              </w:rPr>
              <w:t>一次、二次、三次</w:t>
            </w:r>
            <w:r>
              <w:rPr>
                <w:rFonts w:hint="default" w:ascii="Times New Roman" w:hAnsi="Times New Roman" w:eastAsia="宋体" w:cs="Times New Roman"/>
                <w:snapToGrid w:val="0"/>
                <w:color w:val="auto"/>
                <w:kern w:val="0"/>
                <w:sz w:val="24"/>
              </w:rPr>
              <w:t>油气回收系统，业主定期对油枪气液比、系统密闭性及管线液阻等进行检查，并委托第三方有监测资质的单位每年开展一次现场监测，因此，符合《重点行业挥发性有机物综合治理方案》要求。</w:t>
            </w:r>
          </w:p>
          <w:p w14:paraId="2E5A245E">
            <w:pPr>
              <w:snapToGrid w:val="0"/>
              <w:spacing w:line="360" w:lineRule="auto"/>
              <w:rPr>
                <w:rFonts w:hint="default" w:ascii="Times New Roman" w:hAnsi="Times New Roman" w:eastAsia="宋体" w:cs="Times New Roman"/>
                <w:b/>
                <w:bCs/>
                <w:snapToGrid w:val="0"/>
                <w:color w:val="auto"/>
                <w:kern w:val="0"/>
                <w:sz w:val="24"/>
              </w:rPr>
            </w:pPr>
            <w:r>
              <w:rPr>
                <w:rFonts w:hint="default" w:ascii="Times New Roman" w:hAnsi="Times New Roman" w:eastAsia="宋体" w:cs="Times New Roman"/>
                <w:b/>
                <w:bCs/>
                <w:snapToGrid w:val="0"/>
                <w:color w:val="auto"/>
                <w:kern w:val="0"/>
                <w:sz w:val="24"/>
              </w:rPr>
              <w:t>1.3.</w:t>
            </w:r>
            <w:r>
              <w:rPr>
                <w:rFonts w:hint="default" w:ascii="Times New Roman" w:hAnsi="Times New Roman" w:eastAsia="宋体" w:cs="Times New Roman"/>
                <w:b/>
                <w:bCs/>
                <w:snapToGrid w:val="0"/>
                <w:color w:val="auto"/>
                <w:kern w:val="0"/>
                <w:sz w:val="24"/>
                <w:lang w:val="en-US" w:eastAsia="zh-CN"/>
              </w:rPr>
              <w:t>3</w:t>
            </w:r>
            <w:r>
              <w:rPr>
                <w:rFonts w:hint="default" w:ascii="Times New Roman" w:hAnsi="Times New Roman" w:eastAsia="宋体" w:cs="Times New Roman"/>
                <w:b/>
                <w:bCs/>
                <w:snapToGrid w:val="0"/>
                <w:color w:val="auto"/>
                <w:kern w:val="0"/>
                <w:sz w:val="24"/>
              </w:rPr>
              <w:t>与《油品储运销挥发性有机物治理实用手册》符合性分析</w:t>
            </w:r>
          </w:p>
          <w:p w14:paraId="2F0B2376">
            <w:pPr>
              <w:snapToGrid w:val="0"/>
              <w:spacing w:line="360" w:lineRule="auto"/>
              <w:ind w:firstLine="480" w:firstLineChars="200"/>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根据《油品储运销挥发性有机物治理实用手册》，手册对加油站加油、卸油、汽油密封储存、检查维护、油气回收系统检测、在线监控系统、台账记录、非正常工况等作出了详细的规定。</w:t>
            </w:r>
          </w:p>
          <w:p w14:paraId="738B893A">
            <w:pPr>
              <w:autoSpaceDE w:val="0"/>
              <w:autoSpaceDN w:val="0"/>
              <w:adjustRightInd w:val="0"/>
              <w:spacing w:line="360" w:lineRule="auto"/>
              <w:ind w:firstLine="522"/>
              <w:rPr>
                <w:rFonts w:hint="default" w:ascii="Times New Roman" w:hAnsi="Times New Roman" w:eastAsia="宋体" w:cs="Times New Roman"/>
                <w:bCs/>
                <w:color w:val="auto"/>
                <w:kern w:val="0"/>
                <w:sz w:val="24"/>
                <w:highlight w:val="none"/>
              </w:rPr>
            </w:pPr>
            <w:r>
              <w:rPr>
                <w:rFonts w:hint="default" w:ascii="Times New Roman" w:hAnsi="Times New Roman" w:cs="Times New Roman"/>
                <w:snapToGrid w:val="0"/>
                <w:color w:val="auto"/>
                <w:kern w:val="0"/>
                <w:sz w:val="24"/>
                <w:highlight w:val="none"/>
                <w:lang w:val="en-US" w:eastAsia="zh-CN"/>
              </w:rPr>
              <w:t>加油站</w:t>
            </w:r>
            <w:r>
              <w:rPr>
                <w:rFonts w:hint="default" w:ascii="Times New Roman" w:hAnsi="Times New Roman" w:cs="Times New Roman"/>
                <w:snapToGrid w:val="0"/>
                <w:color w:val="auto"/>
                <w:kern w:val="0"/>
                <w:sz w:val="24"/>
                <w:highlight w:val="none"/>
              </w:rPr>
              <w:t>已</w:t>
            </w:r>
            <w:r>
              <w:rPr>
                <w:rFonts w:hint="default" w:ascii="Times New Roman" w:hAnsi="Times New Roman" w:cs="Times New Roman"/>
                <w:snapToGrid w:val="0"/>
                <w:color w:val="auto"/>
                <w:kern w:val="0"/>
                <w:sz w:val="24"/>
                <w:highlight w:val="none"/>
                <w:lang w:eastAsia="zh-CN"/>
              </w:rPr>
              <w:t>安装</w:t>
            </w:r>
            <w:r>
              <w:rPr>
                <w:rFonts w:hint="default" w:ascii="Times New Roman" w:hAnsi="Times New Roman" w:cs="Times New Roman"/>
                <w:snapToGrid w:val="0"/>
                <w:color w:val="auto"/>
                <w:kern w:val="0"/>
                <w:sz w:val="24"/>
                <w:highlight w:val="none"/>
              </w:rPr>
              <w:t>一次、二次</w:t>
            </w:r>
            <w:r>
              <w:rPr>
                <w:rFonts w:hint="default" w:ascii="Times New Roman" w:hAnsi="Times New Roman" w:cs="Times New Roman"/>
                <w:snapToGrid w:val="0"/>
                <w:color w:val="auto"/>
                <w:kern w:val="0"/>
                <w:sz w:val="24"/>
                <w:highlight w:val="none"/>
                <w:lang w:val="en-US" w:eastAsia="zh-CN"/>
              </w:rPr>
              <w:t>和三次</w:t>
            </w:r>
            <w:r>
              <w:rPr>
                <w:rFonts w:hint="default" w:ascii="Times New Roman" w:hAnsi="Times New Roman" w:cs="Times New Roman"/>
                <w:snapToGrid w:val="0"/>
                <w:color w:val="auto"/>
                <w:kern w:val="0"/>
                <w:sz w:val="24"/>
                <w:highlight w:val="none"/>
              </w:rPr>
              <w:t>油气回收</w:t>
            </w:r>
            <w:r>
              <w:rPr>
                <w:rFonts w:hint="default" w:ascii="Times New Roman" w:hAnsi="Times New Roman" w:cs="Times New Roman"/>
                <w:snapToGrid w:val="0"/>
                <w:color w:val="auto"/>
                <w:kern w:val="0"/>
                <w:sz w:val="24"/>
                <w:highlight w:val="none"/>
                <w:lang w:eastAsia="zh-CN"/>
              </w:rPr>
              <w:t>处理</w:t>
            </w:r>
            <w:r>
              <w:rPr>
                <w:rFonts w:hint="default" w:ascii="Times New Roman" w:hAnsi="Times New Roman" w:cs="Times New Roman"/>
                <w:snapToGrid w:val="0"/>
                <w:color w:val="auto"/>
                <w:kern w:val="0"/>
                <w:sz w:val="24"/>
                <w:highlight w:val="none"/>
              </w:rPr>
              <w:t>装置，并配套使用油气回收型加油枪；加油枪设感应装置，汽车油箱油面达到自动停止加油高度时则自动停止加油；油罐安装具有测漏功能的液位计。</w:t>
            </w:r>
            <w:r>
              <w:rPr>
                <w:rFonts w:hint="default" w:ascii="Times New Roman" w:hAnsi="Times New Roman" w:cs="Times New Roman"/>
                <w:snapToGrid w:val="0"/>
                <w:color w:val="auto"/>
                <w:kern w:val="0"/>
                <w:sz w:val="24"/>
                <w:highlight w:val="none"/>
                <w:lang w:eastAsia="zh-CN"/>
              </w:rPr>
              <w:t>本加油站</w:t>
            </w:r>
            <w:r>
              <w:rPr>
                <w:rFonts w:hint="default" w:ascii="Times New Roman" w:hAnsi="Times New Roman" w:cs="Times New Roman"/>
                <w:snapToGrid w:val="0"/>
                <w:color w:val="auto"/>
                <w:kern w:val="0"/>
                <w:sz w:val="24"/>
                <w:highlight w:val="none"/>
              </w:rPr>
              <w:t>按照相关要求进行台账记录和维护管理</w:t>
            </w:r>
            <w:r>
              <w:rPr>
                <w:rFonts w:hint="default" w:ascii="Times New Roman" w:hAnsi="Times New Roman" w:cs="Times New Roman"/>
                <w:snapToGrid w:val="0"/>
                <w:color w:val="auto"/>
                <w:kern w:val="0"/>
                <w:sz w:val="24"/>
                <w:highlight w:val="none"/>
                <w:lang w:eastAsia="zh-CN"/>
              </w:rPr>
              <w:t>，并每年委托有监测资质的单位对油气回收系统进行监测，符合《</w:t>
            </w:r>
            <w:r>
              <w:rPr>
                <w:rFonts w:hint="default" w:ascii="Times New Roman" w:hAnsi="Times New Roman" w:cs="Times New Roman"/>
                <w:snapToGrid w:val="0"/>
                <w:color w:val="auto"/>
                <w:kern w:val="0"/>
                <w:sz w:val="24"/>
                <w:highlight w:val="none"/>
              </w:rPr>
              <w:t>油品储运销挥发性有机物治理实用手册</w:t>
            </w:r>
            <w:r>
              <w:rPr>
                <w:rFonts w:hint="default" w:ascii="Times New Roman" w:hAnsi="Times New Roman" w:cs="Times New Roman"/>
                <w:snapToGrid w:val="0"/>
                <w:color w:val="auto"/>
                <w:kern w:val="0"/>
                <w:sz w:val="24"/>
                <w:highlight w:val="none"/>
                <w:lang w:eastAsia="zh-CN"/>
              </w:rPr>
              <w:t>》中的相关要求</w:t>
            </w:r>
            <w:r>
              <w:rPr>
                <w:rFonts w:hint="eastAsia" w:cs="Times New Roman"/>
                <w:snapToGrid w:val="0"/>
                <w:color w:val="auto"/>
                <w:kern w:val="0"/>
                <w:sz w:val="24"/>
                <w:highlight w:val="none"/>
                <w:lang w:eastAsia="zh-CN"/>
              </w:rPr>
              <w:t>。</w:t>
            </w:r>
          </w:p>
          <w:p w14:paraId="060E4EE6">
            <w:pPr>
              <w:snapToGrid w:val="0"/>
              <w:spacing w:line="360" w:lineRule="auto"/>
              <w:rPr>
                <w:rFonts w:hint="default" w:ascii="Times New Roman" w:hAnsi="Times New Roman" w:eastAsia="宋体" w:cs="Times New Roman"/>
                <w:b/>
                <w:bCs/>
                <w:snapToGrid w:val="0"/>
                <w:color w:val="auto"/>
                <w:kern w:val="0"/>
                <w:sz w:val="24"/>
              </w:rPr>
            </w:pPr>
            <w:r>
              <w:rPr>
                <w:rFonts w:hint="default" w:ascii="Times New Roman" w:hAnsi="Times New Roman" w:eastAsia="宋体" w:cs="Times New Roman"/>
                <w:b/>
                <w:bCs/>
                <w:snapToGrid w:val="0"/>
                <w:color w:val="auto"/>
                <w:kern w:val="0"/>
                <w:sz w:val="24"/>
              </w:rPr>
              <w:t>1.3.</w:t>
            </w:r>
            <w:r>
              <w:rPr>
                <w:rFonts w:hint="default" w:ascii="Times New Roman" w:hAnsi="Times New Roman" w:eastAsia="宋体" w:cs="Times New Roman"/>
                <w:b/>
                <w:bCs/>
                <w:snapToGrid w:val="0"/>
                <w:color w:val="auto"/>
                <w:kern w:val="0"/>
                <w:sz w:val="24"/>
                <w:lang w:val="en-US" w:eastAsia="zh-CN"/>
              </w:rPr>
              <w:t>4</w:t>
            </w:r>
            <w:r>
              <w:rPr>
                <w:rFonts w:hint="default" w:ascii="Times New Roman" w:hAnsi="Times New Roman" w:eastAsia="宋体" w:cs="Times New Roman"/>
                <w:b/>
                <w:bCs/>
                <w:snapToGrid w:val="0"/>
                <w:color w:val="auto"/>
                <w:kern w:val="0"/>
                <w:sz w:val="24"/>
              </w:rPr>
              <w:t>与《加油站大气污染物排放标准》（GB20952-2020）的符合性分析</w:t>
            </w:r>
          </w:p>
          <w:p w14:paraId="10604351">
            <w:pPr>
              <w:snapToGrid w:val="0"/>
              <w:spacing w:line="360" w:lineRule="auto"/>
              <w:ind w:firstLine="480" w:firstLineChars="200"/>
              <w:jc w:val="left"/>
              <w:rPr>
                <w:rFonts w:hint="default" w:ascii="Times New Roman" w:hAnsi="Times New Roman" w:eastAsia="宋体" w:cs="Times New Roman"/>
                <w:b/>
                <w:bCs/>
                <w:snapToGrid w:val="0"/>
                <w:color w:val="auto"/>
                <w:kern w:val="0"/>
                <w:sz w:val="24"/>
              </w:rPr>
            </w:pPr>
            <w:r>
              <w:rPr>
                <w:rFonts w:hint="default" w:ascii="Times New Roman" w:hAnsi="Times New Roman" w:eastAsia="宋体" w:cs="Times New Roman"/>
                <w:snapToGrid w:val="0"/>
                <w:color w:val="auto"/>
                <w:kern w:val="0"/>
                <w:sz w:val="24"/>
              </w:rPr>
              <w:t>本项目与《加油站大气污染物排放标准》（GB20952-2020）中相关要求的符合性分析见表1.3-1。</w:t>
            </w:r>
          </w:p>
          <w:p w14:paraId="0CE70C82">
            <w:pPr>
              <w:snapToGrid w:val="0"/>
              <w:jc w:val="center"/>
              <w:rPr>
                <w:rFonts w:hint="default" w:ascii="Times New Roman" w:hAnsi="Times New Roman" w:eastAsia="宋体" w:cs="Times New Roman"/>
                <w:b/>
                <w:bCs/>
                <w:snapToGrid w:val="0"/>
                <w:color w:val="auto"/>
                <w:kern w:val="0"/>
                <w:sz w:val="24"/>
              </w:rPr>
            </w:pPr>
            <w:r>
              <w:rPr>
                <w:rFonts w:hint="default" w:ascii="Times New Roman" w:hAnsi="Times New Roman" w:eastAsia="宋体" w:cs="Times New Roman"/>
                <w:b/>
                <w:bCs/>
                <w:snapToGrid w:val="0"/>
                <w:color w:val="auto"/>
                <w:kern w:val="0"/>
                <w:sz w:val="24"/>
              </w:rPr>
              <w:t>表1.3-1    与加油站大气污染物排放标准符合性分析表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655"/>
              <w:gridCol w:w="2756"/>
              <w:gridCol w:w="739"/>
            </w:tblGrid>
            <w:tr w14:paraId="5BD5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05" w:type="pct"/>
                  <w:noWrap w:val="0"/>
                  <w:vAlign w:val="center"/>
                </w:tcPr>
                <w:p w14:paraId="063D849C">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序号</w:t>
                  </w:r>
                </w:p>
              </w:tc>
              <w:tc>
                <w:tcPr>
                  <w:tcW w:w="2349" w:type="pct"/>
                  <w:noWrap w:val="0"/>
                  <w:vAlign w:val="center"/>
                </w:tcPr>
                <w:p w14:paraId="149FECFB">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相关要求</w:t>
                  </w:r>
                </w:p>
              </w:tc>
              <w:tc>
                <w:tcPr>
                  <w:tcW w:w="1771" w:type="pct"/>
                  <w:noWrap w:val="0"/>
                  <w:vAlign w:val="center"/>
                </w:tcPr>
                <w:p w14:paraId="11F74A7C">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项目情况</w:t>
                  </w:r>
                </w:p>
              </w:tc>
              <w:tc>
                <w:tcPr>
                  <w:tcW w:w="476" w:type="pct"/>
                  <w:noWrap w:val="0"/>
                  <w:vAlign w:val="center"/>
                </w:tcPr>
                <w:p w14:paraId="019EFC40">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符合性</w:t>
                  </w:r>
                </w:p>
              </w:tc>
            </w:tr>
            <w:tr w14:paraId="7C0E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5" w:type="pct"/>
                  <w:noWrap w:val="0"/>
                  <w:vAlign w:val="center"/>
                </w:tcPr>
                <w:p w14:paraId="57FF4B08">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基本要求</w:t>
                  </w:r>
                </w:p>
              </w:tc>
              <w:tc>
                <w:tcPr>
                  <w:tcW w:w="2349" w:type="pct"/>
                  <w:noWrap w:val="0"/>
                  <w:vAlign w:val="center"/>
                </w:tcPr>
                <w:p w14:paraId="04CA98D6">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（1）加油站卸油、储油和加油时排放的油气，应采用以密闭收集为基础的油气回收方法进行控制。</w:t>
                  </w:r>
                </w:p>
                <w:p w14:paraId="014EC85A">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（2）加油站应建立油气回收施工图纸、油气回收系统测试校核、系统参数设置等技术档案，制定加油站油气回收系统管理、操作规程，定期进行检查、维护、维修并记录留档。</w:t>
                  </w:r>
                </w:p>
                <w:p w14:paraId="3146CCEA">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（3）加油站应按照环境监测管理规定和技术规范的要求，设计、建设、维护采样口或采样测试平台。</w:t>
                  </w:r>
                </w:p>
                <w:p w14:paraId="5406BF8B">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（4）油气回收系统、油气处理装置、在线监测系统应采用标准化连接。</w:t>
                  </w:r>
                </w:p>
                <w:p w14:paraId="01774657">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（5）在进行包括加油油气排放控制在内的油气回收设计和施工时，应将在线监测系统、油气处理装置等设备管线预先埋设。</w:t>
                  </w:r>
                </w:p>
              </w:tc>
              <w:tc>
                <w:tcPr>
                  <w:tcW w:w="1771" w:type="pct"/>
                  <w:noWrap w:val="0"/>
                  <w:vAlign w:val="center"/>
                </w:tcPr>
                <w:p w14:paraId="67ABBFBD">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（1）本项目设有卸油、加油</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lang w:val="en-US" w:eastAsia="zh-CN"/>
                    </w:rPr>
                    <w:t>储油</w:t>
                  </w:r>
                  <w:r>
                    <w:rPr>
                      <w:rFonts w:hint="default" w:ascii="Times New Roman" w:hAnsi="Times New Roman" w:eastAsia="宋体" w:cs="Times New Roman"/>
                      <w:color w:val="auto"/>
                      <w:kern w:val="0"/>
                      <w:szCs w:val="21"/>
                    </w:rPr>
                    <w:t>油气回收系统，均为密闭式。</w:t>
                  </w:r>
                </w:p>
                <w:p w14:paraId="4AE5610C">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（2）本项目建立有油气回收施工图纸、油气回收系统测试校核、系统参数设置等技术档案，定期进行检查、维护、维修并记录留档。</w:t>
                  </w:r>
                </w:p>
                <w:p w14:paraId="37FFF0A7">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（3）本项目按照要求设废水采样口。</w:t>
                  </w:r>
                </w:p>
                <w:p w14:paraId="163BFB1F">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（4）本项目设有油气回收在线监测系统，</w:t>
                  </w:r>
                  <w:r>
                    <w:rPr>
                      <w:rFonts w:hint="default" w:ascii="Times New Roman" w:hAnsi="Times New Roman" w:cs="Times New Roman"/>
                      <w:color w:val="auto"/>
                      <w:kern w:val="0"/>
                      <w:szCs w:val="21"/>
                      <w:lang w:eastAsia="zh-CN"/>
                    </w:rPr>
                    <w:t>并</w:t>
                  </w:r>
                  <w:r>
                    <w:rPr>
                      <w:rFonts w:hint="default" w:ascii="Times New Roman" w:hAnsi="Times New Roman" w:eastAsia="宋体" w:cs="Times New Roman"/>
                      <w:color w:val="auto"/>
                      <w:kern w:val="0"/>
                      <w:szCs w:val="21"/>
                    </w:rPr>
                    <w:t>根据标准进行设计施工。</w:t>
                  </w:r>
                </w:p>
              </w:tc>
              <w:tc>
                <w:tcPr>
                  <w:tcW w:w="476" w:type="pct"/>
                  <w:noWrap w:val="0"/>
                  <w:vAlign w:val="center"/>
                </w:tcPr>
                <w:p w14:paraId="29512474">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r w14:paraId="7AA2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5" w:type="pct"/>
                  <w:noWrap w:val="0"/>
                  <w:vAlign w:val="center"/>
                </w:tcPr>
                <w:p w14:paraId="7E4E0EE9">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卸油油气排放控制</w:t>
                  </w:r>
                </w:p>
              </w:tc>
              <w:tc>
                <w:tcPr>
                  <w:tcW w:w="2349" w:type="pct"/>
                  <w:noWrap w:val="0"/>
                  <w:vAlign w:val="center"/>
                </w:tcPr>
                <w:p w14:paraId="4245C75D">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（1）应采用浸没式卸油方式，卸油管出油口距罐底高度应小于200mm。</w:t>
                  </w:r>
                </w:p>
                <w:p w14:paraId="15AD2C5E">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（2）卸油和油气回收接口应安装公称直径为100mm的截流阀（或密封式快速接头）和帽盖，现有加油站已采取卸油油气排放控制措施但接口尺寸不符的可采用变径连接。</w:t>
                  </w:r>
                </w:p>
                <w:p w14:paraId="5A132F1B">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（3）连接软管应采用公称直径为100mm的密封式快速接头与卸油车连接。</w:t>
                  </w:r>
                </w:p>
                <w:p w14:paraId="251D0669">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（4）所有油气管线排放口应按GB0156的要求设置压力/真空阀，如设有阀门，阀门应保持常开状态；未安装压力/真空阀的汽油排放管应保持常闭状态。</w:t>
                  </w:r>
                </w:p>
                <w:p w14:paraId="4C4A4160">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（5）连接排气管的地下管线应坡向油罐，坡度不应小于1%，管线公称直径不小于50mm。</w:t>
                  </w:r>
                </w:p>
                <w:p w14:paraId="2B03633E">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（6）卸油时应保证卸油油气回收系统密闭。卸油前卸油软管和油气回收软管应与油品运输汽车罐车和埋地油罐紧密连接，然后开启油气回收管路阀门，再开启卸油管路阀门进行卸油作业。</w:t>
                  </w:r>
                </w:p>
                <w:p w14:paraId="2C1C0201">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（7）卸油后应先关闭与卸油软管及油气回收软管相关的阀门，再断开卸油软管和油气回收软管。</w:t>
                  </w:r>
                </w:p>
              </w:tc>
              <w:tc>
                <w:tcPr>
                  <w:tcW w:w="1771" w:type="pct"/>
                  <w:noWrap w:val="0"/>
                  <w:vAlign w:val="center"/>
                </w:tcPr>
                <w:p w14:paraId="7D27F3E4">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（1）本项目卸油方式为浸没式，采用油罐车经连通软管与油罐卸油孔连通的密闭卸油方式。</w:t>
                  </w:r>
                </w:p>
                <w:p w14:paraId="1D000BD2">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（2）卸油和油气回收接口安装了截流阀和帽盖。</w:t>
                  </w:r>
                </w:p>
                <w:p w14:paraId="3907BE6D">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（3）卸油软管、油气回收连通软管采用导静电耐油软管。</w:t>
                  </w:r>
                </w:p>
                <w:p w14:paraId="2292CB6E">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（4）所有油气管线排放口均</w:t>
                  </w:r>
                  <w:r>
                    <w:rPr>
                      <w:rFonts w:hint="default" w:ascii="Times New Roman" w:hAnsi="Times New Roman" w:cs="Times New Roman"/>
                      <w:color w:val="auto"/>
                      <w:kern w:val="0"/>
                      <w:sz w:val="21"/>
                      <w:szCs w:val="21"/>
                      <w:highlight w:val="none"/>
                    </w:rPr>
                    <w:t>按GB</w:t>
                  </w:r>
                  <w:r>
                    <w:rPr>
                      <w:rFonts w:hint="eastAsia" w:ascii="Times New Roman" w:hAnsi="Times New Roman" w:cs="Times New Roman"/>
                      <w:color w:val="auto"/>
                      <w:kern w:val="0"/>
                      <w:sz w:val="21"/>
                      <w:szCs w:val="21"/>
                      <w:highlight w:val="none"/>
                      <w:lang w:val="en-US" w:eastAsia="zh-CN"/>
                    </w:rPr>
                    <w:t>5</w:t>
                  </w:r>
                  <w:r>
                    <w:rPr>
                      <w:rFonts w:hint="default" w:ascii="Times New Roman" w:hAnsi="Times New Roman" w:cs="Times New Roman"/>
                      <w:color w:val="auto"/>
                      <w:kern w:val="0"/>
                      <w:sz w:val="21"/>
                      <w:szCs w:val="21"/>
                      <w:highlight w:val="none"/>
                    </w:rPr>
                    <w:t>0156</w:t>
                  </w:r>
                  <w:r>
                    <w:rPr>
                      <w:rFonts w:hint="eastAsia" w:ascii="Times New Roman" w:hAnsi="Times New Roman" w:cs="Times New Roman"/>
                      <w:color w:val="auto"/>
                      <w:kern w:val="0"/>
                      <w:sz w:val="21"/>
                      <w:szCs w:val="21"/>
                      <w:highlight w:val="none"/>
                      <w:lang w:val="en-US" w:eastAsia="zh-CN"/>
                    </w:rPr>
                    <w:t>-2021要求</w:t>
                  </w:r>
                  <w:r>
                    <w:rPr>
                      <w:rFonts w:hint="default" w:ascii="Times New Roman" w:hAnsi="Times New Roman" w:eastAsia="宋体" w:cs="Times New Roman"/>
                      <w:color w:val="auto"/>
                      <w:kern w:val="0"/>
                      <w:szCs w:val="21"/>
                    </w:rPr>
                    <w:t>设置压力阀，保持常开状态。</w:t>
                  </w:r>
                </w:p>
                <w:p w14:paraId="08954599">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（5）与油罐相通的通气管横管，卸油油气回收管，均按不小于1%坡度坡向油罐；加油油气回收管均按不小于1%坡度坡向92#汽油罐。</w:t>
                  </w:r>
                </w:p>
                <w:p w14:paraId="0F38E4A3">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（6）卸油油气回收系统按照相关要求操作。</w:t>
                  </w:r>
                </w:p>
              </w:tc>
              <w:tc>
                <w:tcPr>
                  <w:tcW w:w="476" w:type="pct"/>
                  <w:noWrap w:val="0"/>
                  <w:vAlign w:val="center"/>
                </w:tcPr>
                <w:p w14:paraId="6D3E58AE">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r w14:paraId="156F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5" w:type="pct"/>
                  <w:noWrap w:val="0"/>
                  <w:vAlign w:val="center"/>
                </w:tcPr>
                <w:p w14:paraId="170B3E8E">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储油油气排放控制</w:t>
                  </w:r>
                </w:p>
              </w:tc>
              <w:tc>
                <w:tcPr>
                  <w:tcW w:w="2349" w:type="pct"/>
                  <w:noWrap w:val="0"/>
                  <w:vAlign w:val="center"/>
                </w:tcPr>
                <w:p w14:paraId="779FD37A">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kern w:val="0"/>
                      <w:szCs w:val="21"/>
                    </w:rPr>
                    <w:t>所有影响储油油气密闭性的部件，包括油气管线和所连接的法兰、阀门、快接头以及其他相关部件在正常工作状况下应保持密闭，油气泄漏浓度满足本标准油气回收系统密闭点位限值要求。</w:t>
                  </w:r>
                </w:p>
                <w:p w14:paraId="3667D23F">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（2）采用红外摄像方式检测油气回收系统密闭点位时，不应有油气泄漏。</w:t>
                  </w:r>
                </w:p>
                <w:p w14:paraId="2C4B0F60">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（3）埋地油罐应采用电子式液位计进行汽油密闭测量。</w:t>
                  </w:r>
                </w:p>
                <w:p w14:paraId="047DB19C">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（4）应采用符合GB50156相关规定的溢油控制措施。</w:t>
                  </w:r>
                </w:p>
                <w:p w14:paraId="3956B472">
                  <w:pPr>
                    <w:jc w:val="center"/>
                    <w:textAlignment w:val="baseline"/>
                    <w:rPr>
                      <w:rFonts w:hint="default" w:ascii="Times New Roman" w:hAnsi="Times New Roman" w:eastAsia="宋体" w:cs="Times New Roman"/>
                      <w:color w:val="auto"/>
                      <w:kern w:val="0"/>
                      <w:szCs w:val="20"/>
                    </w:rPr>
                  </w:pPr>
                </w:p>
              </w:tc>
              <w:tc>
                <w:tcPr>
                  <w:tcW w:w="1771" w:type="pct"/>
                  <w:noWrap w:val="0"/>
                  <w:vAlign w:val="center"/>
                </w:tcPr>
                <w:p w14:paraId="2AEC38FD">
                  <w:pPr>
                    <w:widowControl/>
                    <w:adjustRightInd w:val="0"/>
                    <w:snapToGrid w:val="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（1）本项目油气管线和法兰、阀门、快接头等在正常工作状况下保持密闭。</w:t>
                  </w:r>
                </w:p>
                <w:p w14:paraId="4391E213">
                  <w:pPr>
                    <w:widowControl/>
                    <w:adjustRightInd w:val="0"/>
                    <w:snapToGrid w:val="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（2）本项目油罐设置磁致伸缩液位探棒，并设置液位仪，带有高液位报警功能和泄漏检测功能，可有效检测液位和检测油罐是否泄漏。</w:t>
                  </w:r>
                </w:p>
                <w:p w14:paraId="42CF6795">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（3）本项目埋地油罐采用电子式液位计进行汽油密闭测量，并</w:t>
                  </w:r>
                  <w:r>
                    <w:rPr>
                      <w:rFonts w:hint="default" w:ascii="Times New Roman" w:hAnsi="Times New Roman" w:cs="Times New Roman"/>
                      <w:color w:val="auto"/>
                      <w:kern w:val="0"/>
                      <w:sz w:val="21"/>
                      <w:szCs w:val="21"/>
                      <w:highlight w:val="none"/>
                    </w:rPr>
                    <w:t>按GB</w:t>
                  </w:r>
                  <w:r>
                    <w:rPr>
                      <w:rFonts w:hint="eastAsia" w:ascii="Times New Roman" w:hAnsi="Times New Roman" w:cs="Times New Roman"/>
                      <w:color w:val="auto"/>
                      <w:kern w:val="0"/>
                      <w:sz w:val="21"/>
                      <w:szCs w:val="21"/>
                      <w:highlight w:val="none"/>
                      <w:lang w:val="en-US" w:eastAsia="zh-CN"/>
                    </w:rPr>
                    <w:t>5</w:t>
                  </w:r>
                  <w:r>
                    <w:rPr>
                      <w:rFonts w:hint="default" w:ascii="Times New Roman" w:hAnsi="Times New Roman" w:cs="Times New Roman"/>
                      <w:color w:val="auto"/>
                      <w:kern w:val="0"/>
                      <w:sz w:val="21"/>
                      <w:szCs w:val="21"/>
                      <w:highlight w:val="none"/>
                    </w:rPr>
                    <w:t>0156</w:t>
                  </w:r>
                  <w:r>
                    <w:rPr>
                      <w:rFonts w:hint="eastAsia" w:ascii="Times New Roman" w:hAnsi="Times New Roman" w:cs="Times New Roman"/>
                      <w:color w:val="auto"/>
                      <w:kern w:val="0"/>
                      <w:sz w:val="21"/>
                      <w:szCs w:val="21"/>
                      <w:highlight w:val="none"/>
                      <w:lang w:val="en-US" w:eastAsia="zh-CN"/>
                    </w:rPr>
                    <w:t>-2021要求</w:t>
                  </w:r>
                  <w:r>
                    <w:rPr>
                      <w:rFonts w:hint="default" w:ascii="Times New Roman" w:hAnsi="Times New Roman" w:eastAsia="宋体" w:cs="Times New Roman"/>
                      <w:color w:val="auto"/>
                      <w:szCs w:val="21"/>
                    </w:rPr>
                    <w:t>采取了相应的溢油控制措施。</w:t>
                  </w:r>
                </w:p>
              </w:tc>
              <w:tc>
                <w:tcPr>
                  <w:tcW w:w="476" w:type="pct"/>
                  <w:noWrap w:val="0"/>
                  <w:vAlign w:val="center"/>
                </w:tcPr>
                <w:p w14:paraId="52E5DC20">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r w14:paraId="3F3B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5" w:type="pct"/>
                  <w:noWrap w:val="0"/>
                  <w:vAlign w:val="center"/>
                </w:tcPr>
                <w:p w14:paraId="4026E054">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加油油气排放控制</w:t>
                  </w:r>
                </w:p>
                <w:p w14:paraId="2AB9E46D">
                  <w:pPr>
                    <w:jc w:val="center"/>
                    <w:textAlignment w:val="baseline"/>
                    <w:rPr>
                      <w:rFonts w:hint="default" w:ascii="Times New Roman" w:hAnsi="Times New Roman" w:eastAsia="宋体" w:cs="Times New Roman"/>
                      <w:color w:val="auto"/>
                      <w:kern w:val="0"/>
                      <w:szCs w:val="20"/>
                    </w:rPr>
                  </w:pPr>
                </w:p>
              </w:tc>
              <w:tc>
                <w:tcPr>
                  <w:tcW w:w="2349" w:type="pct"/>
                  <w:noWrap w:val="0"/>
                  <w:vAlign w:val="center"/>
                </w:tcPr>
                <w:p w14:paraId="16F63650">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（1）加油产生的油气应采用真空辅助方式密闭收集。</w:t>
                  </w:r>
                </w:p>
                <w:p w14:paraId="0664F95B">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（2）油气回收管线应坡向油罐，坡度不应小于1%，受地形限制无法满足坡度要求的可设置集液器，集液器的凝结液应能密闭回收至低标号的汽油罐中。</w:t>
                  </w:r>
                </w:p>
                <w:p w14:paraId="1BE0E99B">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 加油软管应配备拉断截止阀，加油时应防止溢油和滴油。</w:t>
                  </w:r>
                </w:p>
                <w:p w14:paraId="6850726C">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（4）当辖区内采用 ORVR 的轻型汽车达到汽车保有量的 20%后，油气回收系统、在线监测系统应兼容 GB 18352.6 要求的轻型车 ORVR 系统。</w:t>
                  </w:r>
                </w:p>
                <w:p w14:paraId="2CAD4A01">
                  <w:pPr>
                    <w:widowControl/>
                    <w:adjustRightInd w:val="0"/>
                    <w:snapToGrid w:val="0"/>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1"/>
                    </w:rPr>
                    <w:t>（5）新建、改建、扩建的加油站在油气管线覆土、地面硬化施工之前，应向管线内注入 10 L 汽油并检测液阻。</w:t>
                  </w:r>
                </w:p>
              </w:tc>
              <w:tc>
                <w:tcPr>
                  <w:tcW w:w="1771" w:type="pct"/>
                  <w:noWrap w:val="0"/>
                  <w:vAlign w:val="center"/>
                </w:tcPr>
                <w:p w14:paraId="6CEDDE6C">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（1）本项目加油油气回收系统为密闭式。</w:t>
                  </w:r>
                </w:p>
                <w:p w14:paraId="7966DD12">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（2）本项目加油油气回收管均按不小于1%坡度坡向92#汽油罐。</w:t>
                  </w:r>
                </w:p>
                <w:p w14:paraId="4ACF2ABA">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（3）加油软管配备截止阀，可防止溢油和滴油。</w:t>
                  </w:r>
                </w:p>
                <w:p w14:paraId="488FF38C">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（4）加油油气回收系统按照相关要求操作。</w:t>
                  </w:r>
                </w:p>
                <w:p w14:paraId="4B7B95B5">
                  <w:pPr>
                    <w:jc w:val="center"/>
                    <w:textAlignment w:val="baseline"/>
                    <w:rPr>
                      <w:rFonts w:hint="default" w:ascii="Times New Roman" w:hAnsi="Times New Roman" w:eastAsia="宋体" w:cs="Times New Roman"/>
                      <w:color w:val="auto"/>
                      <w:kern w:val="0"/>
                      <w:szCs w:val="20"/>
                    </w:rPr>
                  </w:pPr>
                </w:p>
              </w:tc>
              <w:tc>
                <w:tcPr>
                  <w:tcW w:w="476" w:type="pct"/>
                  <w:noWrap w:val="0"/>
                  <w:vAlign w:val="center"/>
                </w:tcPr>
                <w:p w14:paraId="109355EB">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bl>
          <w:p w14:paraId="0B3535D1">
            <w:pPr>
              <w:snapToGrid w:val="0"/>
              <w:spacing w:line="360" w:lineRule="auto"/>
              <w:ind w:firstLine="480" w:firstLineChars="200"/>
              <w:rPr>
                <w:rFonts w:hint="default" w:ascii="Times New Roman" w:hAnsi="Times New Roman" w:eastAsia="宋体" w:cs="Times New Roman"/>
                <w:snapToGrid w:val="0"/>
                <w:color w:val="auto"/>
                <w:sz w:val="24"/>
              </w:rPr>
            </w:pPr>
          </w:p>
          <w:p w14:paraId="2A31E6A0">
            <w:pPr>
              <w:snapToGrid w:val="0"/>
              <w:spacing w:line="360" w:lineRule="auto"/>
              <w:ind w:firstLine="480" w:firstLineChars="200"/>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sz w:val="24"/>
              </w:rPr>
              <w:t>由上表分析可知，本项目符合《加油站大气污染物排放标准》（GB20952-2020）中相关环保要求。</w:t>
            </w:r>
          </w:p>
          <w:p w14:paraId="07622476">
            <w:pPr>
              <w:snapToGrid w:val="0"/>
              <w:spacing w:line="360" w:lineRule="auto"/>
              <w:rPr>
                <w:rFonts w:hint="default" w:ascii="Times New Roman" w:hAnsi="Times New Roman" w:eastAsia="宋体" w:cs="Times New Roman"/>
                <w:b/>
                <w:bCs/>
                <w:snapToGrid w:val="0"/>
                <w:color w:val="auto"/>
                <w:kern w:val="0"/>
                <w:sz w:val="24"/>
              </w:rPr>
            </w:pPr>
            <w:r>
              <w:rPr>
                <w:rFonts w:hint="default" w:ascii="Times New Roman" w:hAnsi="Times New Roman" w:eastAsia="宋体" w:cs="Times New Roman"/>
                <w:b/>
                <w:bCs/>
                <w:snapToGrid w:val="0"/>
                <w:color w:val="auto"/>
                <w:kern w:val="0"/>
                <w:sz w:val="24"/>
              </w:rPr>
              <w:t>1.3.</w:t>
            </w:r>
            <w:r>
              <w:rPr>
                <w:rFonts w:hint="default" w:ascii="Times New Roman" w:hAnsi="Times New Roman" w:eastAsia="宋体" w:cs="Times New Roman"/>
                <w:b/>
                <w:bCs/>
                <w:snapToGrid w:val="0"/>
                <w:color w:val="auto"/>
                <w:kern w:val="0"/>
                <w:sz w:val="24"/>
                <w:lang w:val="en-US" w:eastAsia="zh-CN"/>
              </w:rPr>
              <w:t>5</w:t>
            </w:r>
            <w:r>
              <w:rPr>
                <w:rFonts w:hint="default" w:ascii="Times New Roman" w:hAnsi="Times New Roman" w:eastAsia="宋体" w:cs="Times New Roman"/>
                <w:b/>
                <w:bCs/>
                <w:snapToGrid w:val="0"/>
                <w:color w:val="auto"/>
                <w:kern w:val="0"/>
                <w:sz w:val="24"/>
              </w:rPr>
              <w:t>与《加油站地下水污染防治技术指南</w:t>
            </w:r>
            <w:r>
              <w:rPr>
                <w:rFonts w:hint="eastAsia" w:cs="Times New Roman"/>
                <w:b/>
                <w:bCs/>
                <w:snapToGrid w:val="0"/>
                <w:color w:val="auto"/>
                <w:kern w:val="0"/>
                <w:sz w:val="24"/>
                <w:lang w:eastAsia="zh-CN"/>
              </w:rPr>
              <w:t>（试行）》</w:t>
            </w:r>
            <w:r>
              <w:rPr>
                <w:rFonts w:hint="default" w:ascii="Times New Roman" w:hAnsi="Times New Roman" w:eastAsia="宋体" w:cs="Times New Roman"/>
                <w:b/>
                <w:bCs/>
                <w:snapToGrid w:val="0"/>
                <w:color w:val="auto"/>
                <w:kern w:val="0"/>
                <w:sz w:val="24"/>
              </w:rPr>
              <w:t>符合性分析</w:t>
            </w:r>
          </w:p>
          <w:p w14:paraId="6BD5035F">
            <w:pPr>
              <w:snapToGrid w:val="0"/>
              <w:spacing w:line="360" w:lineRule="auto"/>
              <w:ind w:firstLine="480" w:firstLineChars="200"/>
              <w:rPr>
                <w:rFonts w:hint="default" w:ascii="Times New Roman" w:hAnsi="Times New Roman" w:eastAsia="宋体" w:cs="Times New Roman"/>
                <w:b/>
                <w:bCs/>
                <w:snapToGrid w:val="0"/>
                <w:color w:val="auto"/>
                <w:kern w:val="0"/>
                <w:sz w:val="24"/>
              </w:rPr>
            </w:pPr>
            <w:r>
              <w:rPr>
                <w:rFonts w:hint="default" w:ascii="Times New Roman" w:hAnsi="Times New Roman" w:cs="Times New Roman"/>
                <w:snapToGrid w:val="0"/>
                <w:color w:val="auto"/>
                <w:kern w:val="0"/>
                <w:sz w:val="24"/>
                <w:highlight w:val="none"/>
                <w:lang w:eastAsia="zh-CN"/>
              </w:rPr>
              <w:t>本项目与</w:t>
            </w:r>
            <w:r>
              <w:rPr>
                <w:rFonts w:hint="default" w:ascii="Times New Roman" w:hAnsi="Times New Roman" w:cs="Times New Roman"/>
                <w:snapToGrid w:val="0"/>
                <w:color w:val="auto"/>
                <w:kern w:val="0"/>
                <w:sz w:val="24"/>
                <w:highlight w:val="none"/>
              </w:rPr>
              <w:t>《加油站地下水污染防治技术指南</w:t>
            </w:r>
            <w:r>
              <w:rPr>
                <w:rFonts w:hint="eastAsia" w:cs="Times New Roman"/>
                <w:snapToGrid w:val="0"/>
                <w:color w:val="auto"/>
                <w:kern w:val="0"/>
                <w:sz w:val="24"/>
                <w:highlight w:val="none"/>
                <w:lang w:eastAsia="zh-CN"/>
              </w:rPr>
              <w:t>（试行）》</w:t>
            </w:r>
            <w:r>
              <w:rPr>
                <w:rFonts w:hint="default" w:ascii="Times New Roman" w:hAnsi="Times New Roman" w:cs="Times New Roman"/>
                <w:snapToGrid w:val="0"/>
                <w:color w:val="auto"/>
                <w:kern w:val="0"/>
                <w:sz w:val="24"/>
                <w:highlight w:val="none"/>
                <w:lang w:eastAsia="zh-CN"/>
              </w:rPr>
              <w:t>的符合性分析见表</w:t>
            </w:r>
            <w:r>
              <w:rPr>
                <w:rFonts w:hint="default" w:ascii="Times New Roman" w:hAnsi="Times New Roman" w:cs="Times New Roman"/>
                <w:snapToGrid w:val="0"/>
                <w:color w:val="auto"/>
                <w:kern w:val="0"/>
                <w:sz w:val="24"/>
                <w:highlight w:val="none"/>
                <w:lang w:val="en-US" w:eastAsia="zh-CN"/>
              </w:rPr>
              <w:t>1.3-2。</w:t>
            </w:r>
          </w:p>
          <w:p w14:paraId="7C184AB7">
            <w:pPr>
              <w:snapToGrid w:val="0"/>
              <w:jc w:val="center"/>
              <w:rPr>
                <w:rFonts w:hint="default" w:ascii="Times New Roman" w:hAnsi="Times New Roman" w:eastAsia="宋体" w:cs="Times New Roman"/>
                <w:b/>
                <w:bCs/>
                <w:snapToGrid w:val="0"/>
                <w:color w:val="auto"/>
                <w:kern w:val="0"/>
                <w:sz w:val="24"/>
              </w:rPr>
            </w:pPr>
            <w:r>
              <w:rPr>
                <w:rFonts w:hint="default" w:ascii="Times New Roman" w:hAnsi="Times New Roman" w:eastAsia="宋体" w:cs="Times New Roman"/>
                <w:b/>
                <w:bCs/>
                <w:snapToGrid w:val="0"/>
                <w:color w:val="auto"/>
                <w:kern w:val="0"/>
                <w:sz w:val="24"/>
              </w:rPr>
              <w:t>表1.3-2    与《加油站地下水污染防治技术指南</w:t>
            </w:r>
            <w:r>
              <w:rPr>
                <w:rFonts w:hint="eastAsia" w:cs="Times New Roman"/>
                <w:b/>
                <w:bCs/>
                <w:snapToGrid w:val="0"/>
                <w:color w:val="auto"/>
                <w:kern w:val="0"/>
                <w:sz w:val="24"/>
                <w:lang w:eastAsia="zh-CN"/>
              </w:rPr>
              <w:t>（试行）》</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774"/>
              <w:gridCol w:w="2495"/>
              <w:gridCol w:w="881"/>
            </w:tblGrid>
            <w:tr w14:paraId="4486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05" w:type="pct"/>
                  <w:noWrap w:val="0"/>
                  <w:vAlign w:val="center"/>
                </w:tcPr>
                <w:p w14:paraId="5FD4DFBE">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序号</w:t>
                  </w:r>
                </w:p>
              </w:tc>
              <w:tc>
                <w:tcPr>
                  <w:tcW w:w="2425" w:type="pct"/>
                  <w:noWrap w:val="0"/>
                  <w:vAlign w:val="center"/>
                </w:tcPr>
                <w:p w14:paraId="23BDAD0A">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标准要求</w:t>
                  </w:r>
                </w:p>
              </w:tc>
              <w:tc>
                <w:tcPr>
                  <w:tcW w:w="1603" w:type="pct"/>
                  <w:noWrap w:val="0"/>
                  <w:vAlign w:val="center"/>
                </w:tcPr>
                <w:p w14:paraId="7A5B4AAD">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项目情况</w:t>
                  </w:r>
                </w:p>
              </w:tc>
              <w:tc>
                <w:tcPr>
                  <w:tcW w:w="566" w:type="pct"/>
                  <w:noWrap w:val="0"/>
                  <w:vAlign w:val="center"/>
                </w:tcPr>
                <w:p w14:paraId="7EA90AD0">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符合性</w:t>
                  </w:r>
                </w:p>
              </w:tc>
            </w:tr>
            <w:tr w14:paraId="5AD2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5" w:type="pct"/>
                  <w:noWrap w:val="0"/>
                  <w:vAlign w:val="center"/>
                </w:tcPr>
                <w:p w14:paraId="0DD61CC8">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1</w:t>
                  </w:r>
                </w:p>
              </w:tc>
              <w:tc>
                <w:tcPr>
                  <w:tcW w:w="2425" w:type="pct"/>
                  <w:noWrap w:val="0"/>
                  <w:vAlign w:val="center"/>
                </w:tcPr>
                <w:p w14:paraId="45435B8B">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所有加油站的油罐需要更新为双层罐或者设置防渗池，双层罐和防渗池应符合《汽车加油加气站设计与施工规范》（GB50156）的要求；</w:t>
                  </w:r>
                </w:p>
              </w:tc>
              <w:tc>
                <w:tcPr>
                  <w:tcW w:w="1603" w:type="pct"/>
                  <w:noWrap w:val="0"/>
                  <w:vAlign w:val="center"/>
                </w:tcPr>
                <w:p w14:paraId="1CE4FA67">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本项目采用单层油罐+防渗罐池，且符合《汽车加油加气站设计与施工规范》（GB50156）的要求</w:t>
                  </w:r>
                </w:p>
              </w:tc>
              <w:tc>
                <w:tcPr>
                  <w:tcW w:w="566" w:type="pct"/>
                  <w:noWrap w:val="0"/>
                  <w:vAlign w:val="center"/>
                </w:tcPr>
                <w:p w14:paraId="742204A5">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r w14:paraId="139A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5" w:type="pct"/>
                  <w:noWrap w:val="0"/>
                  <w:vAlign w:val="center"/>
                </w:tcPr>
                <w:p w14:paraId="030F9DE9">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2</w:t>
                  </w:r>
                </w:p>
              </w:tc>
              <w:tc>
                <w:tcPr>
                  <w:tcW w:w="2425" w:type="pct"/>
                  <w:noWrap w:val="0"/>
                  <w:vAlign w:val="center"/>
                </w:tcPr>
                <w:p w14:paraId="72E38052">
                  <w:pPr>
                    <w:jc w:val="left"/>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采取防渗漏措施的加油站，其埋地加油管道应采用双层管道。具体设计要求应符合《汽车加油加气站设计与施工规范》（GB50156）的规定。双层油罐、防渗池和管道系统的渗漏检测宜采用在线监测系统。采用液体传感器监测时，传感器的检测精度不应大于3.5mm。其他设置要求可参见《汽车加油加气站设计与施工规范》（GB50156）及《石油化工防渗工程技术规范》（GB/T50934）。</w:t>
                  </w:r>
                </w:p>
              </w:tc>
              <w:tc>
                <w:tcPr>
                  <w:tcW w:w="1603" w:type="pct"/>
                  <w:noWrap w:val="0"/>
                  <w:vAlign w:val="center"/>
                </w:tcPr>
                <w:p w14:paraId="3D1B239B">
                  <w:pPr>
                    <w:widowControl/>
                    <w:adjustRightInd w:val="0"/>
                    <w:snapToGrid w:val="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本项目埋地加油管道采用的双层管道，</w:t>
                  </w:r>
                  <w:r>
                    <w:rPr>
                      <w:rFonts w:hint="default" w:ascii="Times New Roman" w:hAnsi="Times New Roman" w:eastAsia="宋体" w:cs="Times New Roman"/>
                      <w:color w:val="auto"/>
                      <w:kern w:val="0"/>
                      <w:szCs w:val="20"/>
                    </w:rPr>
                    <w:t>加油站防渗罐池和管道系统的渗漏检测采用在线监测系统，</w:t>
                  </w:r>
                  <w:r>
                    <w:rPr>
                      <w:rFonts w:hint="default" w:ascii="Times New Roman" w:hAnsi="Times New Roman" w:eastAsia="宋体" w:cs="Times New Roman"/>
                      <w:color w:val="auto"/>
                      <w:kern w:val="0"/>
                      <w:szCs w:val="21"/>
                    </w:rPr>
                    <w:t>其设计符合</w:t>
                  </w:r>
                  <w:r>
                    <w:rPr>
                      <w:rFonts w:hint="default" w:ascii="Times New Roman" w:hAnsi="Times New Roman" w:eastAsia="宋体" w:cs="Times New Roman"/>
                      <w:color w:val="auto"/>
                      <w:kern w:val="0"/>
                      <w:szCs w:val="20"/>
                    </w:rPr>
                    <w:t>《汽车加油加气站设计与施工规范》（GB50156）及《石油化工防渗工程技术规范》（GB/T50934）相关规定。</w:t>
                  </w:r>
                </w:p>
              </w:tc>
              <w:tc>
                <w:tcPr>
                  <w:tcW w:w="566" w:type="pct"/>
                  <w:noWrap w:val="0"/>
                  <w:vAlign w:val="center"/>
                </w:tcPr>
                <w:p w14:paraId="2D17487D">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r w14:paraId="0C00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5" w:type="pct"/>
                  <w:noWrap w:val="0"/>
                  <w:vAlign w:val="center"/>
                </w:tcPr>
                <w:p w14:paraId="7AACB647">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w:t>
                  </w:r>
                </w:p>
              </w:tc>
              <w:tc>
                <w:tcPr>
                  <w:tcW w:w="2425" w:type="pct"/>
                  <w:noWrap w:val="0"/>
                  <w:vAlign w:val="center"/>
                </w:tcPr>
                <w:p w14:paraId="74164B27">
                  <w:pPr>
                    <w:widowControl/>
                    <w:adjustRightInd w:val="0"/>
                    <w:snapToGrid w:val="0"/>
                    <w:jc w:val="left"/>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当现场只需布设一个地下水监测井时，地下水监测井应设在埋地油罐区地下水流向的下游，在保证安全的情况下，尽可能靠近埋地油罐。</w:t>
                  </w:r>
                </w:p>
              </w:tc>
              <w:tc>
                <w:tcPr>
                  <w:tcW w:w="1603" w:type="pct"/>
                  <w:noWrap w:val="0"/>
                  <w:vAlign w:val="center"/>
                </w:tcPr>
                <w:p w14:paraId="4F6B58F3">
                  <w:pPr>
                    <w:jc w:val="left"/>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本项目不在地下水饮用水源保护区和补给径流区，在罐区下游站区内设置一口地下水跟踪监测井，并开展地下水日常监测。</w:t>
                  </w:r>
                </w:p>
              </w:tc>
              <w:tc>
                <w:tcPr>
                  <w:tcW w:w="566" w:type="pct"/>
                  <w:noWrap w:val="0"/>
                  <w:vAlign w:val="center"/>
                </w:tcPr>
                <w:p w14:paraId="400E21B7">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补充设置并按要求开展地下水日常监测后符合</w:t>
                  </w:r>
                </w:p>
              </w:tc>
            </w:tr>
          </w:tbl>
          <w:p w14:paraId="606B0162">
            <w:pPr>
              <w:pStyle w:val="9"/>
              <w:spacing w:line="240" w:lineRule="auto"/>
              <w:ind w:firstLine="480" w:firstLineChars="200"/>
              <w:jc w:val="both"/>
              <w:outlineLvl w:val="1"/>
              <w:rPr>
                <w:rFonts w:hint="default" w:ascii="Times New Roman" w:hAnsi="Times New Roman" w:eastAsia="宋体" w:cs="Times New Roman"/>
                <w:snapToGrid w:val="0"/>
                <w:color w:val="auto"/>
                <w:kern w:val="0"/>
                <w:sz w:val="24"/>
              </w:rPr>
            </w:pPr>
          </w:p>
          <w:p w14:paraId="4CDFF828">
            <w:pPr>
              <w:pStyle w:val="9"/>
              <w:spacing w:line="360" w:lineRule="auto"/>
              <w:ind w:firstLine="480" w:firstLineChars="200"/>
              <w:jc w:val="both"/>
              <w:outlineLvl w:val="1"/>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rPr>
              <w:t>由上表分析可</w:t>
            </w:r>
            <w:r>
              <w:rPr>
                <w:rFonts w:hint="default" w:ascii="Times New Roman" w:hAnsi="Times New Roman" w:eastAsia="宋体" w:cs="Times New Roman"/>
                <w:snapToGrid w:val="0"/>
                <w:color w:val="auto"/>
                <w:kern w:val="0"/>
                <w:sz w:val="24"/>
                <w:lang w:val="en-US" w:eastAsia="zh-CN"/>
              </w:rPr>
              <w:t>知</w:t>
            </w:r>
            <w:r>
              <w:rPr>
                <w:rFonts w:hint="default" w:ascii="Times New Roman" w:hAnsi="Times New Roman" w:eastAsia="宋体" w:cs="Times New Roman"/>
                <w:snapToGrid w:val="0"/>
                <w:color w:val="auto"/>
                <w:kern w:val="0"/>
                <w:sz w:val="24"/>
              </w:rPr>
              <w:t>，本项目采用单层钢制卧式油罐+防渗罐池和双层管道，双层管道设置检测井及在线监测系统；在防渗罐池内设置泄漏观测井，油罐一旦发生泄漏，油品泄漏</w:t>
            </w:r>
            <w:r>
              <w:rPr>
                <w:rFonts w:hint="default" w:ascii="Times New Roman" w:hAnsi="Times New Roman" w:cs="Times New Roman"/>
                <w:snapToGrid w:val="0"/>
                <w:color w:val="auto"/>
                <w:kern w:val="0"/>
                <w:sz w:val="24"/>
                <w:lang w:eastAsia="zh-CN"/>
              </w:rPr>
              <w:t>后由</w:t>
            </w:r>
            <w:r>
              <w:rPr>
                <w:rFonts w:hint="default" w:ascii="Times New Roman" w:hAnsi="Times New Roman" w:eastAsia="宋体" w:cs="Times New Roman"/>
                <w:snapToGrid w:val="0"/>
                <w:color w:val="auto"/>
                <w:kern w:val="0"/>
                <w:sz w:val="24"/>
              </w:rPr>
              <w:t>防渗罐池收集，防渗罐池进行了重点防渗处理，油品发生泄漏后通过观测井能及时发现并采取措施，不会对地下水产生污染；本项目在罐区地下水下游方向内新建一口地下水跟踪监测井，距离埋地油罐距离不超过30m，地下水监测井结构采用一孔成井工艺，符合《加油站地下水污染防治技术指南（试行）》中的相关要求。</w:t>
            </w:r>
          </w:p>
          <w:p w14:paraId="080FD198">
            <w:pPr>
              <w:pStyle w:val="9"/>
              <w:spacing w:line="460" w:lineRule="exact"/>
              <w:outlineLvl w:val="1"/>
              <w:rPr>
                <w:rFonts w:hint="eastAsia" w:ascii="Times New Roman" w:hAnsi="Times New Roman" w:eastAsia="宋体" w:cs="Times New Roman"/>
                <w:b/>
                <w:bCs/>
                <w:snapToGrid w:val="0"/>
                <w:color w:val="auto"/>
                <w:kern w:val="0"/>
                <w:sz w:val="24"/>
                <w:szCs w:val="24"/>
                <w:highlight w:val="none"/>
                <w:lang w:val="en-US" w:eastAsia="zh-CN" w:bidi="ar-SA"/>
              </w:rPr>
            </w:pPr>
            <w:r>
              <w:rPr>
                <w:rFonts w:hint="eastAsia" w:ascii="Times New Roman" w:hAnsi="Times New Roman" w:eastAsia="宋体" w:cs="Times New Roman"/>
                <w:b/>
                <w:bCs/>
                <w:snapToGrid w:val="0"/>
                <w:color w:val="auto"/>
                <w:kern w:val="0"/>
                <w:sz w:val="24"/>
                <w:szCs w:val="24"/>
                <w:highlight w:val="none"/>
                <w:lang w:val="en-US" w:eastAsia="zh-CN" w:bidi="ar-SA"/>
              </w:rPr>
              <w:t>1.3.6与《</w:t>
            </w:r>
            <w:r>
              <w:rPr>
                <w:rFonts w:hint="default" w:ascii="Times New Roman" w:hAnsi="Times New Roman" w:eastAsia="宋体" w:cs="Times New Roman"/>
                <w:b/>
                <w:bCs/>
                <w:snapToGrid w:val="0"/>
                <w:color w:val="auto"/>
                <w:kern w:val="0"/>
                <w:sz w:val="24"/>
                <w:szCs w:val="24"/>
                <w:highlight w:val="none"/>
                <w:lang w:val="zh-CN" w:eastAsia="zh-CN" w:bidi="ar-SA"/>
              </w:rPr>
              <w:t>重庆市大气污染防治条例</w:t>
            </w:r>
            <w:r>
              <w:rPr>
                <w:rFonts w:hint="eastAsia" w:ascii="Times New Roman" w:hAnsi="Times New Roman" w:eastAsia="宋体" w:cs="Times New Roman"/>
                <w:b/>
                <w:bCs/>
                <w:snapToGrid w:val="0"/>
                <w:color w:val="auto"/>
                <w:kern w:val="0"/>
                <w:sz w:val="24"/>
                <w:szCs w:val="24"/>
                <w:highlight w:val="none"/>
                <w:lang w:val="en-US" w:eastAsia="zh-CN" w:bidi="ar-SA"/>
              </w:rPr>
              <w:t>》符合性分析</w:t>
            </w:r>
          </w:p>
          <w:p w14:paraId="37F3CA4B">
            <w:pPr>
              <w:pStyle w:val="9"/>
              <w:spacing w:line="460" w:lineRule="exact"/>
              <w:outlineLvl w:val="1"/>
              <w:rPr>
                <w:rFonts w:hint="eastAsia" w:ascii="Times New Roman" w:hAnsi="Times New Roman" w:eastAsia="宋体" w:cs="Times New Roman"/>
                <w:snapToGrid w:val="0"/>
                <w:color w:val="auto"/>
                <w:kern w:val="0"/>
                <w:sz w:val="24"/>
                <w:lang w:val="zh-CN" w:eastAsia="zh-CN"/>
              </w:rPr>
            </w:pPr>
            <w:r>
              <w:rPr>
                <w:rFonts w:hint="eastAsia" w:ascii="Times New Roman" w:hAnsi="Times New Roman"/>
                <w:snapToGrid w:val="0"/>
                <w:color w:val="auto"/>
                <w:kern w:val="0"/>
                <w:sz w:val="24"/>
                <w:lang w:val="en-US" w:eastAsia="zh-CN"/>
              </w:rPr>
              <w:t xml:space="preserve">   </w:t>
            </w:r>
            <w:r>
              <w:rPr>
                <w:rFonts w:hint="eastAsia" w:ascii="Times New Roman" w:hAnsi="Times New Roman"/>
                <w:snapToGrid w:val="0"/>
                <w:color w:val="auto"/>
                <w:kern w:val="0"/>
                <w:sz w:val="24"/>
                <w:lang w:val="en-US" w:eastAsia="zh-CN"/>
              </w:rPr>
              <w:t xml:space="preserve"> 根据《</w:t>
            </w:r>
            <w:r>
              <w:rPr>
                <w:rFonts w:hint="default" w:ascii="Times New Roman" w:hAnsi="Times New Roman" w:eastAsia="宋体" w:cs="Times New Roman"/>
                <w:b w:val="0"/>
                <w:bCs w:val="0"/>
                <w:snapToGrid w:val="0"/>
                <w:color w:val="auto"/>
                <w:kern w:val="0"/>
                <w:sz w:val="24"/>
                <w:szCs w:val="24"/>
                <w:highlight w:val="none"/>
                <w:lang w:val="zh-CN" w:eastAsia="zh-CN" w:bidi="ar-SA"/>
              </w:rPr>
              <w:t>重庆市大气污染防</w:t>
            </w:r>
            <w:r>
              <w:rPr>
                <w:rFonts w:hint="default" w:ascii="Times New Roman" w:hAnsi="Times New Roman" w:eastAsia="宋体" w:cs="Times New Roman"/>
                <w:snapToGrid w:val="0"/>
                <w:color w:val="auto"/>
                <w:kern w:val="0"/>
                <w:sz w:val="24"/>
                <w:lang w:val="zh-CN" w:eastAsia="zh-CN"/>
              </w:rPr>
              <w:t>治条例</w:t>
            </w:r>
            <w:r>
              <w:rPr>
                <w:rFonts w:hint="eastAsia" w:ascii="Times New Roman" w:hAnsi="Times New Roman" w:eastAsia="宋体" w:cs="Times New Roman"/>
                <w:snapToGrid w:val="0"/>
                <w:color w:val="auto"/>
                <w:kern w:val="0"/>
                <w:sz w:val="24"/>
                <w:lang w:val="en-US" w:eastAsia="zh-CN"/>
              </w:rPr>
              <w:t>》（2021年5月27日第二次修正</w:t>
            </w:r>
            <w:r>
              <w:rPr>
                <w:rFonts w:hint="eastAsia" w:ascii="Times New Roman" w:hAnsi="Times New Roman"/>
                <w:snapToGrid w:val="0"/>
                <w:color w:val="auto"/>
                <w:kern w:val="0"/>
                <w:sz w:val="24"/>
                <w:lang w:val="en-US" w:eastAsia="zh-CN"/>
              </w:rPr>
              <w:t>）</w:t>
            </w:r>
            <w:r>
              <w:rPr>
                <w:rFonts w:hint="eastAsia" w:ascii="Times New Roman" w:hAnsi="Times New Roman" w:eastAsia="宋体" w:cs="Times New Roman"/>
                <w:snapToGrid w:val="0"/>
                <w:color w:val="auto"/>
                <w:kern w:val="0"/>
                <w:sz w:val="24"/>
                <w:lang w:val="zh-CN" w:eastAsia="zh-CN"/>
              </w:rPr>
              <w:t>第三十四条在生产、运输、储存过程中，可能产生二氧化硫、氮氧化物、烟尘、粉尘、恶臭气体，以及含重金属、持久性有机污染物等大气污染物的企业事业单位和其他生产经营者，应当遵守下列规定，采取配置相关污染防治设施等措施予以控制，达到国家和本市规定的大气排放标准，防止污染周边环境：（五）储油储气库、加油加气站和油罐车、气罐车等，应当开展油气回收治理，按照国家有关规定安装油气回收装置并保持正常使用，每年向生态环境主管部门报送油气排放检测报告。</w:t>
            </w:r>
          </w:p>
          <w:p w14:paraId="40FD2F3D">
            <w:pPr>
              <w:pStyle w:val="9"/>
              <w:spacing w:line="460" w:lineRule="exact"/>
              <w:outlineLvl w:val="1"/>
              <w:rPr>
                <w:rFonts w:hint="default" w:ascii="Times New Roman" w:hAnsi="Times New Roman" w:eastAsia="宋体" w:cs="Times New Roman"/>
                <w:snapToGrid w:val="0"/>
                <w:color w:val="auto"/>
                <w:kern w:val="0"/>
                <w:sz w:val="24"/>
                <w:lang w:val="en-US" w:eastAsia="zh-CN"/>
              </w:rPr>
            </w:pPr>
            <w:r>
              <w:rPr>
                <w:rFonts w:hint="eastAsia" w:ascii="Times New Roman" w:hAnsi="Times New Roman" w:eastAsia="宋体" w:cs="Times New Roman"/>
                <w:snapToGrid w:val="0"/>
                <w:color w:val="auto"/>
                <w:kern w:val="0"/>
                <w:sz w:val="24"/>
                <w:lang w:val="en-US" w:eastAsia="zh-CN"/>
              </w:rPr>
              <w:t xml:space="preserve">    本项目设置了一次、二次和三次油气回收系统，并按照油气回收在线监测设备，每年委托第三方对油气回收系统进行检测，并将检测报告报送当地生态环境主管部门，确保油气回收系统正常运行，加油站排放的挥发性有机物达标排放。因此本项目符合</w:t>
            </w:r>
            <w:r>
              <w:rPr>
                <w:rFonts w:hint="eastAsia" w:ascii="Times New Roman" w:hAnsi="Times New Roman"/>
                <w:snapToGrid w:val="0"/>
                <w:color w:val="auto"/>
                <w:kern w:val="0"/>
                <w:sz w:val="24"/>
                <w:lang w:val="en-US" w:eastAsia="zh-CN"/>
              </w:rPr>
              <w:t>《</w:t>
            </w:r>
            <w:r>
              <w:rPr>
                <w:rFonts w:hint="default" w:ascii="Times New Roman" w:hAnsi="Times New Roman" w:eastAsia="宋体" w:cs="Times New Roman"/>
                <w:b w:val="0"/>
                <w:bCs w:val="0"/>
                <w:snapToGrid w:val="0"/>
                <w:color w:val="auto"/>
                <w:kern w:val="0"/>
                <w:sz w:val="24"/>
                <w:szCs w:val="24"/>
                <w:highlight w:val="none"/>
                <w:lang w:val="zh-CN" w:eastAsia="zh-CN" w:bidi="ar-SA"/>
              </w:rPr>
              <w:t>重庆市大气污染防</w:t>
            </w:r>
            <w:r>
              <w:rPr>
                <w:rFonts w:hint="default" w:ascii="Times New Roman" w:hAnsi="Times New Roman" w:eastAsia="宋体" w:cs="Times New Roman"/>
                <w:snapToGrid w:val="0"/>
                <w:color w:val="auto"/>
                <w:kern w:val="0"/>
                <w:sz w:val="24"/>
                <w:lang w:val="zh-CN" w:eastAsia="zh-CN"/>
              </w:rPr>
              <w:t>治条例</w:t>
            </w:r>
            <w:r>
              <w:rPr>
                <w:rFonts w:hint="eastAsia" w:ascii="Times New Roman" w:hAnsi="Times New Roman" w:eastAsia="宋体" w:cs="Times New Roman"/>
                <w:snapToGrid w:val="0"/>
                <w:color w:val="auto"/>
                <w:kern w:val="0"/>
                <w:sz w:val="24"/>
                <w:lang w:val="en-US" w:eastAsia="zh-CN"/>
              </w:rPr>
              <w:t>》（2021年5月27日第二次修正</w:t>
            </w:r>
            <w:r>
              <w:rPr>
                <w:rFonts w:hint="eastAsia" w:ascii="Times New Roman" w:hAnsi="Times New Roman"/>
                <w:snapToGrid w:val="0"/>
                <w:color w:val="auto"/>
                <w:kern w:val="0"/>
                <w:sz w:val="24"/>
                <w:lang w:val="en-US" w:eastAsia="zh-CN"/>
              </w:rPr>
              <w:t>）中的相关要求。</w:t>
            </w:r>
          </w:p>
          <w:p w14:paraId="5494971B">
            <w:pPr>
              <w:pStyle w:val="9"/>
              <w:spacing w:line="360" w:lineRule="auto"/>
              <w:jc w:val="both"/>
              <w:outlineLvl w:val="1"/>
              <w:rPr>
                <w:rFonts w:hint="default" w:ascii="Times New Roman" w:hAnsi="Times New Roman" w:eastAsia="宋体" w:cs="Times New Roman"/>
                <w:b/>
                <w:bCs/>
                <w:snapToGrid w:val="0"/>
                <w:color w:val="auto"/>
                <w:kern w:val="0"/>
                <w:sz w:val="28"/>
                <w:szCs w:val="21"/>
                <w:lang w:val="en-US" w:eastAsia="zh-CN"/>
              </w:rPr>
            </w:pPr>
            <w:r>
              <w:rPr>
                <w:rFonts w:hint="default" w:ascii="Times New Roman" w:hAnsi="Times New Roman" w:eastAsia="宋体" w:cs="Times New Roman"/>
                <w:b/>
                <w:bCs/>
                <w:snapToGrid w:val="0"/>
                <w:color w:val="auto"/>
                <w:kern w:val="0"/>
                <w:sz w:val="28"/>
                <w:szCs w:val="21"/>
                <w:lang w:val="en-US" w:eastAsia="zh-CN"/>
              </w:rPr>
              <w:t>1.4与相关环保规划符合性分析</w:t>
            </w:r>
          </w:p>
          <w:p w14:paraId="153B3B3F">
            <w:pPr>
              <w:snapToGrid w:val="0"/>
              <w:spacing w:line="360" w:lineRule="auto"/>
              <w:jc w:val="both"/>
              <w:rPr>
                <w:rFonts w:hint="default" w:ascii="Times New Roman" w:hAnsi="Times New Roman" w:eastAsia="宋体" w:cs="Times New Roman"/>
                <w:b/>
                <w:bCs/>
                <w:snapToGrid w:val="0"/>
                <w:color w:val="auto"/>
                <w:kern w:val="0"/>
                <w:sz w:val="24"/>
                <w:highlight w:val="none"/>
              </w:rPr>
            </w:pPr>
            <w:r>
              <w:rPr>
                <w:rFonts w:hint="default" w:ascii="Times New Roman" w:hAnsi="Times New Roman" w:eastAsia="宋体" w:cs="Times New Roman"/>
                <w:b/>
                <w:bCs/>
                <w:snapToGrid w:val="0"/>
                <w:color w:val="auto"/>
                <w:kern w:val="0"/>
                <w:sz w:val="24"/>
                <w:highlight w:val="none"/>
                <w:lang w:val="en-US" w:eastAsia="zh-CN"/>
              </w:rPr>
              <w:t>1.4.1</w:t>
            </w:r>
            <w:r>
              <w:rPr>
                <w:rFonts w:hint="default" w:ascii="Times New Roman" w:hAnsi="Times New Roman" w:eastAsia="宋体" w:cs="Times New Roman"/>
                <w:b/>
                <w:bCs/>
                <w:snapToGrid w:val="0"/>
                <w:color w:val="auto"/>
                <w:kern w:val="0"/>
                <w:sz w:val="24"/>
                <w:highlight w:val="none"/>
              </w:rPr>
              <w:t>《</w:t>
            </w:r>
            <w:r>
              <w:rPr>
                <w:rFonts w:hint="default" w:ascii="Times New Roman" w:hAnsi="Times New Roman" w:eastAsia="宋体" w:cs="Times New Roman"/>
                <w:b/>
                <w:bCs/>
                <w:snapToGrid w:val="0"/>
                <w:color w:val="auto"/>
                <w:kern w:val="0"/>
                <w:sz w:val="24"/>
                <w:highlight w:val="none"/>
                <w:lang w:val="en-US" w:eastAsia="zh-CN"/>
              </w:rPr>
              <w:t>重庆市生态环境保护“十四五”规划（2021—2025年）</w:t>
            </w:r>
            <w:r>
              <w:rPr>
                <w:rFonts w:hint="default" w:ascii="Times New Roman" w:hAnsi="Times New Roman" w:eastAsia="宋体" w:cs="Times New Roman"/>
                <w:b/>
                <w:bCs/>
                <w:snapToGrid w:val="0"/>
                <w:color w:val="auto"/>
                <w:kern w:val="0"/>
                <w:sz w:val="24"/>
                <w:highlight w:val="none"/>
              </w:rPr>
              <w:t>》符合性分析</w:t>
            </w:r>
          </w:p>
          <w:p w14:paraId="0E71328A">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jc w:val="both"/>
              <w:textAlignment w:val="auto"/>
              <w:rPr>
                <w:rFonts w:hint="default" w:ascii="Times New Roman" w:hAnsi="Times New Roman" w:eastAsia="宋体" w:cs="Times New Roman"/>
                <w:snapToGrid w:val="0"/>
                <w:color w:val="auto"/>
                <w:kern w:val="0"/>
                <w:sz w:val="24"/>
                <w:highlight w:val="none"/>
                <w:lang w:val="en-US" w:eastAsia="zh-CN"/>
              </w:rPr>
            </w:pPr>
            <w:r>
              <w:rPr>
                <w:rFonts w:hint="default" w:ascii="Times New Roman" w:hAnsi="Times New Roman" w:eastAsia="宋体" w:cs="Times New Roman"/>
                <w:snapToGrid w:val="0"/>
                <w:color w:val="auto"/>
                <w:kern w:val="0"/>
                <w:sz w:val="24"/>
                <w:highlight w:val="none"/>
                <w:lang w:val="en-US" w:eastAsia="zh-CN"/>
              </w:rPr>
              <w:t>《重庆市生态环境保护“十四五”规划（2021—2025年）》中提出：以工业涂装、包装印刷、家具制造、电子、石化、化工、油品储运销等行业为重点，强化 VOCs无组织排放管控。</w:t>
            </w:r>
          </w:p>
          <w:p w14:paraId="7B29E58F">
            <w:pPr>
              <w:pStyle w:val="7"/>
              <w:keepNext w:val="0"/>
              <w:keepLines w:val="0"/>
              <w:pageBreakBefore w:val="0"/>
              <w:kinsoku/>
              <w:wordWrap/>
              <w:overflowPunct/>
              <w:topLinePunct w:val="0"/>
              <w:autoSpaceDE/>
              <w:autoSpaceDN/>
              <w:bidi w:val="0"/>
              <w:adjustRightInd/>
              <w:snapToGrid w:val="0"/>
              <w:spacing w:before="0" w:after="0" w:line="360" w:lineRule="auto"/>
              <w:ind w:right="0" w:firstLine="480"/>
              <w:jc w:val="both"/>
              <w:textAlignment w:val="auto"/>
              <w:rPr>
                <w:rFonts w:hint="default" w:ascii="Times New Roman" w:hAnsi="Times New Roman" w:eastAsia="宋体" w:cs="Times New Roman"/>
                <w:snapToGrid w:val="0"/>
                <w:color w:val="auto"/>
                <w:kern w:val="0"/>
                <w:sz w:val="24"/>
                <w:highlight w:val="none"/>
                <w:lang w:val="en-US" w:eastAsia="zh-CN"/>
              </w:rPr>
            </w:pPr>
            <w:r>
              <w:rPr>
                <w:rFonts w:hint="default" w:ascii="Times New Roman" w:hAnsi="Times New Roman" w:eastAsia="宋体" w:cs="Times New Roman"/>
                <w:snapToGrid w:val="0"/>
                <w:color w:val="auto"/>
                <w:kern w:val="0"/>
                <w:sz w:val="24"/>
                <w:highlight w:val="none"/>
                <w:lang w:val="en-US" w:eastAsia="zh-CN"/>
              </w:rPr>
              <w:t>本加油站为减少挥发性有机物的排放，设置了一次、二次和三次油气回收处理系统，并设置了油气回收在线检测系统，并与当地环境主管部门联网，极大程度减少了VOCs无组织排放。</w:t>
            </w:r>
          </w:p>
          <w:p w14:paraId="141D394B">
            <w:pPr>
              <w:snapToGrid w:val="0"/>
              <w:spacing w:line="360" w:lineRule="auto"/>
              <w:jc w:val="both"/>
              <w:rPr>
                <w:rFonts w:hint="default" w:ascii="Times New Roman" w:hAnsi="Times New Roman" w:eastAsia="宋体" w:cs="Times New Roman"/>
                <w:b/>
                <w:bCs/>
                <w:snapToGrid w:val="0"/>
                <w:color w:val="auto"/>
                <w:kern w:val="0"/>
                <w:sz w:val="24"/>
                <w:highlight w:val="none"/>
              </w:rPr>
            </w:pPr>
            <w:r>
              <w:rPr>
                <w:rFonts w:hint="default" w:ascii="Times New Roman" w:hAnsi="Times New Roman" w:eastAsia="宋体" w:cs="Times New Roman"/>
                <w:b/>
                <w:bCs/>
                <w:snapToGrid w:val="0"/>
                <w:color w:val="auto"/>
                <w:kern w:val="0"/>
                <w:sz w:val="24"/>
                <w:highlight w:val="none"/>
                <w:lang w:val="en-US" w:eastAsia="zh-CN"/>
              </w:rPr>
              <w:t>1.4.2</w:t>
            </w:r>
            <w:r>
              <w:rPr>
                <w:rFonts w:hint="default" w:ascii="Times New Roman" w:hAnsi="Times New Roman" w:eastAsia="宋体" w:cs="Times New Roman"/>
                <w:b/>
                <w:bCs/>
                <w:snapToGrid w:val="0"/>
                <w:color w:val="auto"/>
                <w:kern w:val="0"/>
                <w:sz w:val="24"/>
                <w:highlight w:val="none"/>
              </w:rPr>
              <w:t>《</w:t>
            </w:r>
            <w:r>
              <w:rPr>
                <w:rFonts w:hint="default" w:ascii="Times New Roman" w:hAnsi="Times New Roman" w:eastAsia="宋体" w:cs="Times New Roman"/>
                <w:b/>
                <w:bCs/>
                <w:snapToGrid w:val="0"/>
                <w:color w:val="auto"/>
                <w:kern w:val="0"/>
                <w:sz w:val="24"/>
                <w:highlight w:val="none"/>
                <w:lang w:val="en-US" w:eastAsia="zh-CN"/>
              </w:rPr>
              <w:t>重庆市大气环境保护“十四五”规划（2021—2025年）</w:t>
            </w:r>
            <w:r>
              <w:rPr>
                <w:rFonts w:hint="default" w:ascii="Times New Roman" w:hAnsi="Times New Roman" w:eastAsia="宋体" w:cs="Times New Roman"/>
                <w:b/>
                <w:bCs/>
                <w:snapToGrid w:val="0"/>
                <w:color w:val="auto"/>
                <w:kern w:val="0"/>
                <w:sz w:val="24"/>
                <w:highlight w:val="none"/>
              </w:rPr>
              <w:t>》符合性分析</w:t>
            </w:r>
          </w:p>
          <w:p w14:paraId="294E9337">
            <w:pPr>
              <w:adjustRightInd w:val="0"/>
              <w:snapToGrid w:val="0"/>
              <w:spacing w:line="360" w:lineRule="auto"/>
              <w:ind w:firstLine="480" w:firstLineChars="200"/>
              <w:jc w:val="both"/>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rPr>
              <w:t>根据《重庆市生态环境局关于印发重庆市大气环境保护“十四五”规划（2021—2025年）的通知》</w:t>
            </w:r>
            <w:r>
              <w:rPr>
                <w:rFonts w:hint="default" w:ascii="Times New Roman" w:hAnsi="Times New Roman" w:eastAsia="宋体" w:cs="Times New Roman"/>
                <w:bCs/>
                <w:color w:val="auto"/>
                <w:sz w:val="24"/>
              </w:rPr>
              <w:t>提出</w:t>
            </w:r>
            <w:r>
              <w:rPr>
                <w:rFonts w:hint="default" w:ascii="Times New Roman" w:hAnsi="Times New Roman" w:eastAsia="宋体" w:cs="Times New Roman"/>
                <w:snapToGrid w:val="0"/>
                <w:color w:val="auto"/>
                <w:kern w:val="0"/>
                <w:sz w:val="24"/>
              </w:rPr>
              <w:t>的相关要求，本项目与其符合性详见下表。</w:t>
            </w:r>
          </w:p>
          <w:p w14:paraId="5F86606B">
            <w:pPr>
              <w:snapToGrid w:val="0"/>
              <w:spacing w:line="360" w:lineRule="auto"/>
              <w:jc w:val="center"/>
              <w:rPr>
                <w:rFonts w:hint="default" w:ascii="Times New Roman" w:hAnsi="Times New Roman" w:eastAsia="宋体" w:cs="Times New Roman"/>
                <w:b/>
                <w:bCs/>
                <w:snapToGrid w:val="0"/>
                <w:color w:val="auto"/>
                <w:kern w:val="0"/>
                <w:sz w:val="24"/>
              </w:rPr>
            </w:pPr>
            <w:r>
              <w:rPr>
                <w:rFonts w:hint="default" w:ascii="Times New Roman" w:hAnsi="Times New Roman" w:eastAsia="宋体" w:cs="Times New Roman"/>
                <w:b/>
                <w:bCs/>
                <w:snapToGrid w:val="0"/>
                <w:color w:val="auto"/>
                <w:kern w:val="0"/>
                <w:sz w:val="24"/>
              </w:rPr>
              <w:t>表1.</w:t>
            </w:r>
            <w:r>
              <w:rPr>
                <w:rFonts w:hint="default" w:ascii="Times New Roman" w:hAnsi="Times New Roman" w:eastAsia="宋体" w:cs="Times New Roman"/>
                <w:b/>
                <w:bCs/>
                <w:snapToGrid w:val="0"/>
                <w:color w:val="auto"/>
                <w:kern w:val="0"/>
                <w:sz w:val="24"/>
                <w:lang w:val="en-US" w:eastAsia="zh-CN"/>
              </w:rPr>
              <w:t>4-1</w:t>
            </w:r>
            <w:r>
              <w:rPr>
                <w:rFonts w:hint="default" w:ascii="Times New Roman" w:hAnsi="Times New Roman" w:eastAsia="宋体" w:cs="Times New Roman"/>
                <w:b/>
                <w:bCs/>
                <w:snapToGrid w:val="0"/>
                <w:color w:val="auto"/>
                <w:kern w:val="0"/>
                <w:sz w:val="24"/>
              </w:rPr>
              <w:t>与重庆市大气环境保护“十四五”规划的符合性分析</w:t>
            </w:r>
          </w:p>
          <w:tbl>
            <w:tblPr>
              <w:tblStyle w:val="19"/>
              <w:tblW w:w="7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4550"/>
              <w:gridCol w:w="1932"/>
              <w:gridCol w:w="881"/>
            </w:tblGrid>
            <w:tr w14:paraId="4089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137" w:type="dxa"/>
                  <w:gridSpan w:val="2"/>
                  <w:noWrap w:val="0"/>
                  <w:vAlign w:val="center"/>
                </w:tcPr>
                <w:p w14:paraId="389A92C8">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7"/>
                      <w:kern w:val="0"/>
                      <w:sz w:val="21"/>
                      <w:szCs w:val="21"/>
                      <w:lang w:val="en-US" w:eastAsia="zh-CN" w:bidi="ar"/>
                    </w:rPr>
                    <w:t>规划</w:t>
                  </w:r>
                  <w:r>
                    <w:rPr>
                      <w:rFonts w:hint="default" w:ascii="Times New Roman" w:hAnsi="Times New Roman" w:eastAsia="宋体" w:cs="Times New Roman"/>
                      <w:color w:val="auto"/>
                      <w:spacing w:val="7"/>
                      <w:kern w:val="0"/>
                      <w:sz w:val="21"/>
                      <w:szCs w:val="21"/>
                      <w:lang w:bidi="ar"/>
                    </w:rPr>
                    <w:t>中要求</w:t>
                  </w:r>
                </w:p>
              </w:tc>
              <w:tc>
                <w:tcPr>
                  <w:tcW w:w="1932" w:type="dxa"/>
                  <w:noWrap w:val="0"/>
                  <w:vAlign w:val="center"/>
                </w:tcPr>
                <w:p w14:paraId="6762E910">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6"/>
                      <w:kern w:val="0"/>
                      <w:sz w:val="21"/>
                      <w:szCs w:val="21"/>
                      <w:lang w:bidi="ar"/>
                    </w:rPr>
                    <w:t>项目情况</w:t>
                  </w:r>
                </w:p>
              </w:tc>
              <w:tc>
                <w:tcPr>
                  <w:tcW w:w="881" w:type="dxa"/>
                  <w:noWrap w:val="0"/>
                  <w:vAlign w:val="center"/>
                </w:tcPr>
                <w:p w14:paraId="3754B794">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6"/>
                      <w:kern w:val="0"/>
                      <w:sz w:val="21"/>
                      <w:szCs w:val="21"/>
                      <w:lang w:bidi="ar"/>
                    </w:rPr>
                    <w:t>符合性</w:t>
                  </w:r>
                </w:p>
              </w:tc>
            </w:tr>
            <w:tr w14:paraId="4A13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87" w:type="dxa"/>
                  <w:noWrap w:val="0"/>
                  <w:vAlign w:val="center"/>
                </w:tcPr>
                <w:p w14:paraId="718B03E9">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bidi="ar"/>
                    </w:rPr>
                  </w:pPr>
                  <w:r>
                    <w:rPr>
                      <w:rFonts w:hint="default" w:ascii="Times New Roman" w:hAnsi="Times New Roman" w:eastAsia="宋体" w:cs="Times New Roman"/>
                      <w:color w:val="auto"/>
                      <w:spacing w:val="4"/>
                      <w:kern w:val="0"/>
                      <w:sz w:val="21"/>
                      <w:szCs w:val="21"/>
                      <w:lang w:bidi="ar"/>
                    </w:rPr>
                    <w:t>强化VOC</w:t>
                  </w:r>
                  <w:r>
                    <w:rPr>
                      <w:rFonts w:hint="default" w:ascii="Times New Roman" w:hAnsi="Times New Roman" w:eastAsia="宋体" w:cs="Times New Roman"/>
                      <w:color w:val="auto"/>
                      <w:spacing w:val="4"/>
                      <w:kern w:val="0"/>
                      <w:sz w:val="21"/>
                      <w:szCs w:val="21"/>
                      <w:vertAlign w:val="subscript"/>
                      <w:lang w:bidi="ar"/>
                    </w:rPr>
                    <w:t>S</w:t>
                  </w:r>
                </w:p>
                <w:p w14:paraId="1869F38D">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bidi="ar"/>
                    </w:rPr>
                  </w:pPr>
                  <w:r>
                    <w:rPr>
                      <w:rFonts w:hint="default" w:ascii="Times New Roman" w:hAnsi="Times New Roman" w:eastAsia="宋体" w:cs="Times New Roman"/>
                      <w:color w:val="auto"/>
                      <w:spacing w:val="4"/>
                      <w:kern w:val="0"/>
                      <w:sz w:val="21"/>
                      <w:szCs w:val="21"/>
                      <w:lang w:bidi="ar"/>
                    </w:rPr>
                    <w:t>无组织排放管控</w:t>
                  </w:r>
                </w:p>
              </w:tc>
              <w:tc>
                <w:tcPr>
                  <w:tcW w:w="4550" w:type="dxa"/>
                  <w:noWrap w:val="0"/>
                  <w:vAlign w:val="center"/>
                </w:tcPr>
                <w:p w14:paraId="4350F8F7">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bidi="ar"/>
                    </w:rPr>
                  </w:pPr>
                  <w:r>
                    <w:rPr>
                      <w:rFonts w:hint="default" w:ascii="Times New Roman" w:hAnsi="Times New Roman" w:eastAsia="宋体" w:cs="Times New Roman"/>
                      <w:color w:val="auto"/>
                      <w:spacing w:val="4"/>
                      <w:kern w:val="0"/>
                      <w:sz w:val="21"/>
                      <w:szCs w:val="21"/>
                      <w:lang w:bidi="ar"/>
                    </w:rPr>
                    <w:t>实施储罐综合治理，浮顶与罐壁之间应采用高效密封方式，重点区域存储汽油、航空煤油、石脑油以及苯、甲苯、二甲苯的浮顶罐应使用全液面接触式浮顶。强化装卸废气收集治理，限期推动装载汽油、航空煤油、石脑油和苯、甲苯、二甲苯等的汽车罐车全部采用底部装载方式，换用自封式快速接头。指导企业规范开展泄漏检测与修复（LDAR）工作，优先在密封点超过2000个的企业推行LDAR技术改造，并加强监督检查。长寿、万州、涪陵及其他重点工业园区，逐步建立统一的LDAR信息管理平台试点。2023年年底前完成万吨级及以上原油、成品油码头油气回收治理。鼓励重点区域年销售汽油5000吨以上加油站完成油气三级回收处理。</w:t>
                  </w:r>
                </w:p>
              </w:tc>
              <w:tc>
                <w:tcPr>
                  <w:tcW w:w="1932" w:type="dxa"/>
                  <w:noWrap w:val="0"/>
                  <w:vAlign w:val="center"/>
                </w:tcPr>
                <w:p w14:paraId="0EAFC69D">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bidi="ar"/>
                    </w:rPr>
                  </w:pPr>
                  <w:r>
                    <w:rPr>
                      <w:rFonts w:hint="default" w:ascii="Times New Roman" w:hAnsi="Times New Roman" w:eastAsia="宋体" w:cs="Times New Roman"/>
                      <w:color w:val="auto"/>
                      <w:spacing w:val="4"/>
                      <w:kern w:val="0"/>
                      <w:sz w:val="21"/>
                      <w:szCs w:val="21"/>
                      <w:lang w:bidi="ar"/>
                    </w:rPr>
                    <w:t>本项目</w:t>
                  </w:r>
                  <w:r>
                    <w:rPr>
                      <w:rFonts w:hint="default" w:ascii="Times New Roman" w:hAnsi="Times New Roman" w:eastAsia="宋体" w:cs="Times New Roman"/>
                      <w:color w:val="auto"/>
                      <w:spacing w:val="4"/>
                      <w:kern w:val="0"/>
                      <w:sz w:val="21"/>
                      <w:szCs w:val="21"/>
                      <w:highlight w:val="none"/>
                      <w:lang w:bidi="ar"/>
                    </w:rPr>
                    <w:t>位于重庆市九龙坡区，</w:t>
                  </w:r>
                  <w:r>
                    <w:rPr>
                      <w:rFonts w:hint="eastAsia" w:cs="Times New Roman"/>
                      <w:color w:val="auto"/>
                      <w:spacing w:val="4"/>
                      <w:kern w:val="0"/>
                      <w:sz w:val="21"/>
                      <w:szCs w:val="21"/>
                      <w:highlight w:val="none"/>
                      <w:lang w:val="en-US" w:eastAsia="zh-CN" w:bidi="ar"/>
                    </w:rPr>
                    <w:t>属于重点区域，</w:t>
                  </w:r>
                  <w:r>
                    <w:rPr>
                      <w:rFonts w:hint="default" w:ascii="Times New Roman" w:hAnsi="Times New Roman" w:eastAsia="宋体" w:cs="Times New Roman"/>
                      <w:color w:val="auto"/>
                      <w:spacing w:val="4"/>
                      <w:kern w:val="0"/>
                      <w:sz w:val="21"/>
                      <w:szCs w:val="21"/>
                      <w:highlight w:val="none"/>
                      <w:lang w:bidi="ar"/>
                    </w:rPr>
                    <w:t>站内储油罐总容积</w:t>
                  </w:r>
                  <w:r>
                    <w:rPr>
                      <w:rFonts w:hint="default" w:ascii="Times New Roman" w:hAnsi="Times New Roman" w:eastAsia="宋体" w:cs="Times New Roman"/>
                      <w:color w:val="auto"/>
                      <w:spacing w:val="4"/>
                      <w:kern w:val="0"/>
                      <w:sz w:val="21"/>
                      <w:szCs w:val="21"/>
                      <w:highlight w:val="none"/>
                      <w:lang w:val="en-US" w:eastAsia="zh-CN" w:bidi="ar"/>
                    </w:rPr>
                    <w:t>87.5</w:t>
                  </w:r>
                  <w:r>
                    <w:rPr>
                      <w:rFonts w:hint="default" w:ascii="Times New Roman" w:hAnsi="Times New Roman" w:eastAsia="宋体" w:cs="Times New Roman"/>
                      <w:color w:val="auto"/>
                      <w:spacing w:val="4"/>
                      <w:kern w:val="0"/>
                      <w:sz w:val="21"/>
                      <w:szCs w:val="21"/>
                      <w:highlight w:val="none"/>
                      <w:lang w:bidi="ar"/>
                    </w:rPr>
                    <w:t>m</w:t>
                  </w:r>
                  <w:r>
                    <w:rPr>
                      <w:rFonts w:hint="default" w:ascii="Times New Roman" w:hAnsi="Times New Roman" w:eastAsia="宋体" w:cs="Times New Roman"/>
                      <w:color w:val="auto"/>
                      <w:spacing w:val="4"/>
                      <w:kern w:val="0"/>
                      <w:sz w:val="21"/>
                      <w:szCs w:val="21"/>
                      <w:highlight w:val="none"/>
                      <w:vertAlign w:val="superscript"/>
                      <w:lang w:bidi="ar"/>
                    </w:rPr>
                    <w:t>3</w:t>
                  </w:r>
                  <w:r>
                    <w:rPr>
                      <w:rFonts w:hint="default" w:ascii="Times New Roman" w:hAnsi="Times New Roman" w:eastAsia="宋体" w:cs="Times New Roman"/>
                      <w:color w:val="auto"/>
                      <w:spacing w:val="4"/>
                      <w:kern w:val="0"/>
                      <w:sz w:val="21"/>
                      <w:szCs w:val="21"/>
                      <w:highlight w:val="none"/>
                      <w:lang w:bidi="ar"/>
                    </w:rPr>
                    <w:t>，为三级加油站，设置密闭卸油口箱，内设4个密闭卸油快速接头及1个卸油油气回收快速接头，卸油口设置一次油气回收系统；加油设置二次油气回收系统，本加油站虽然年销售汽油不足5000吨，但是已经安装三次油气回收处理装置。</w:t>
                  </w:r>
                </w:p>
              </w:tc>
              <w:tc>
                <w:tcPr>
                  <w:tcW w:w="881" w:type="dxa"/>
                  <w:noWrap w:val="0"/>
                  <w:vAlign w:val="center"/>
                </w:tcPr>
                <w:p w14:paraId="6243985B">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3"/>
                      <w:kern w:val="0"/>
                      <w:sz w:val="21"/>
                      <w:szCs w:val="21"/>
                      <w:lang w:bidi="ar"/>
                    </w:rPr>
                    <w:t>符合</w:t>
                  </w:r>
                </w:p>
              </w:tc>
            </w:tr>
            <w:tr w14:paraId="7DF4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87" w:type="dxa"/>
                  <w:noWrap w:val="0"/>
                  <w:vAlign w:val="center"/>
                </w:tcPr>
                <w:p w14:paraId="5335A2F0">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bidi="ar"/>
                    </w:rPr>
                  </w:pPr>
                  <w:r>
                    <w:rPr>
                      <w:rFonts w:hint="default" w:ascii="Times New Roman" w:hAnsi="Times New Roman" w:eastAsia="宋体" w:cs="Times New Roman"/>
                      <w:color w:val="auto"/>
                      <w:spacing w:val="4"/>
                      <w:kern w:val="0"/>
                      <w:sz w:val="21"/>
                      <w:szCs w:val="21"/>
                      <w:lang w:bidi="ar"/>
                    </w:rPr>
                    <w:t>强化环保监管</w:t>
                  </w:r>
                </w:p>
              </w:tc>
              <w:tc>
                <w:tcPr>
                  <w:tcW w:w="4550" w:type="dxa"/>
                  <w:noWrap w:val="0"/>
                  <w:vAlign w:val="center"/>
                </w:tcPr>
                <w:p w14:paraId="4662D968">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bidi="ar"/>
                    </w:rPr>
                  </w:pPr>
                  <w:r>
                    <w:rPr>
                      <w:rFonts w:hint="default" w:ascii="Times New Roman" w:hAnsi="Times New Roman" w:eastAsia="宋体" w:cs="Times New Roman"/>
                      <w:color w:val="auto"/>
                      <w:spacing w:val="4"/>
                      <w:kern w:val="0"/>
                      <w:sz w:val="21"/>
                      <w:szCs w:val="21"/>
                      <w:lang w:bidi="ar"/>
                    </w:rPr>
                    <w:t>建立重点排污单位动态管理台账，开展执法监测、加密监测。开展重点区域重点行业VOCS排放企业生产设施—治理设施—排放口—在线监控全过程动态管控系统试点，确保污染治理设施正常运行。完成重点区域城市建成区加油站油气回收在线监控设施建设全覆盖，并与生态环境部门联网，确保油气回收治理设施正常运转，每年检查、抽测重点区域储油库、加油站油气回收装置，重点区域每年抽测比例不低于50%，一般区域不低于30%。</w:t>
                  </w:r>
                </w:p>
              </w:tc>
              <w:tc>
                <w:tcPr>
                  <w:tcW w:w="1932" w:type="dxa"/>
                  <w:noWrap w:val="0"/>
                  <w:vAlign w:val="center"/>
                </w:tcPr>
                <w:p w14:paraId="2E9EF1D4">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bidi="ar"/>
                    </w:rPr>
                  </w:pPr>
                  <w:r>
                    <w:rPr>
                      <w:rFonts w:hint="default" w:ascii="Times New Roman" w:hAnsi="Times New Roman" w:eastAsia="宋体" w:cs="Times New Roman"/>
                      <w:color w:val="auto"/>
                      <w:spacing w:val="4"/>
                      <w:kern w:val="0"/>
                      <w:sz w:val="21"/>
                      <w:szCs w:val="21"/>
                      <w:lang w:bidi="ar"/>
                    </w:rPr>
                    <w:t>本项目设置有加油及卸油油气回收系统用于收集油气，每年对加油站油气回收装置进行监测，确保油气回收治理设施正常运转。</w:t>
                  </w:r>
                </w:p>
              </w:tc>
              <w:tc>
                <w:tcPr>
                  <w:tcW w:w="881" w:type="dxa"/>
                  <w:noWrap w:val="0"/>
                  <w:vAlign w:val="center"/>
                </w:tcPr>
                <w:p w14:paraId="6EAFD3D6">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pacing w:val="3"/>
                      <w:kern w:val="0"/>
                      <w:sz w:val="21"/>
                      <w:szCs w:val="21"/>
                      <w:lang w:bidi="ar"/>
                    </w:rPr>
                    <w:t>符合</w:t>
                  </w:r>
                </w:p>
              </w:tc>
            </w:tr>
            <w:tr w14:paraId="3570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87" w:type="dxa"/>
                  <w:noWrap w:val="0"/>
                  <w:vAlign w:val="center"/>
                </w:tcPr>
                <w:p w14:paraId="1899084C">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bidi="ar"/>
                    </w:rPr>
                  </w:pPr>
                  <w:r>
                    <w:rPr>
                      <w:rFonts w:hint="default" w:ascii="Times New Roman" w:hAnsi="Times New Roman" w:eastAsia="宋体" w:cs="Times New Roman"/>
                      <w:color w:val="auto"/>
                      <w:spacing w:val="4"/>
                      <w:kern w:val="0"/>
                      <w:sz w:val="21"/>
                      <w:szCs w:val="21"/>
                      <w:lang w:bidi="ar"/>
                    </w:rPr>
                    <w:t>实施清洁油品攻坚行动</w:t>
                  </w:r>
                </w:p>
              </w:tc>
              <w:tc>
                <w:tcPr>
                  <w:tcW w:w="4550" w:type="dxa"/>
                  <w:noWrap w:val="0"/>
                  <w:vAlign w:val="center"/>
                </w:tcPr>
                <w:p w14:paraId="461A9AD5">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bidi="ar"/>
                    </w:rPr>
                  </w:pPr>
                  <w:r>
                    <w:rPr>
                      <w:rFonts w:hint="default" w:ascii="Times New Roman" w:hAnsi="Times New Roman" w:eastAsia="宋体" w:cs="Times New Roman"/>
                      <w:color w:val="auto"/>
                      <w:spacing w:val="4"/>
                      <w:kern w:val="0"/>
                      <w:sz w:val="21"/>
                      <w:szCs w:val="21"/>
                      <w:lang w:bidi="ar"/>
                    </w:rPr>
                    <w:t>加强油品进口、生产、储存、销售、使用等环节全链条监管，持续开展打击整治成品油非法经营行为的联合执法行动，严厉打击非标油品流通使用，严厉查处生产、销售、储存和使用不合格油品、天然气和车用尿素等违法行为，坚决取缔无证无照经营的黑加油站点、流动黑加油罐车。持续开展油品质量监管和质量抽检工作，每年对加油站、储油库、企业自备油库抽检组数不少于1000组，柴油组数不少于50%，强调抽测在时间维度、空间维度的针对性，提高在秋冬季、春夏季等污染高发时段及空气质量较差、投诉较多区域的抽测比例。</w:t>
                  </w:r>
                </w:p>
              </w:tc>
              <w:tc>
                <w:tcPr>
                  <w:tcW w:w="1932" w:type="dxa"/>
                  <w:noWrap w:val="0"/>
                  <w:vAlign w:val="center"/>
                </w:tcPr>
                <w:p w14:paraId="765167FB">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bidi="ar"/>
                    </w:rPr>
                  </w:pPr>
                  <w:r>
                    <w:rPr>
                      <w:rFonts w:hint="default" w:ascii="Times New Roman" w:hAnsi="Times New Roman" w:eastAsia="宋体" w:cs="Times New Roman"/>
                      <w:color w:val="auto"/>
                      <w:spacing w:val="4"/>
                      <w:kern w:val="0"/>
                      <w:sz w:val="21"/>
                      <w:szCs w:val="21"/>
                      <w:lang w:bidi="ar"/>
                    </w:rPr>
                    <w:t>本加油站已取得成品油零售经营批准证书，见附件</w:t>
                  </w:r>
                  <w:r>
                    <w:rPr>
                      <w:rFonts w:hint="default" w:ascii="Times New Roman" w:hAnsi="Times New Roman" w:eastAsia="宋体" w:cs="Times New Roman"/>
                      <w:color w:val="auto"/>
                      <w:spacing w:val="4"/>
                      <w:kern w:val="0"/>
                      <w:sz w:val="21"/>
                      <w:szCs w:val="21"/>
                      <w:lang w:val="en-US" w:eastAsia="zh-CN" w:bidi="ar"/>
                    </w:rPr>
                    <w:t>4</w:t>
                  </w:r>
                  <w:r>
                    <w:rPr>
                      <w:rFonts w:hint="default" w:ascii="Times New Roman" w:hAnsi="Times New Roman" w:eastAsia="宋体" w:cs="Times New Roman"/>
                      <w:color w:val="auto"/>
                      <w:spacing w:val="4"/>
                      <w:kern w:val="0"/>
                      <w:sz w:val="21"/>
                      <w:szCs w:val="21"/>
                      <w:lang w:bidi="ar"/>
                    </w:rPr>
                    <w:t>，且定期进行油品抽检工作。</w:t>
                  </w:r>
                </w:p>
              </w:tc>
              <w:tc>
                <w:tcPr>
                  <w:tcW w:w="881" w:type="dxa"/>
                  <w:noWrap w:val="0"/>
                  <w:vAlign w:val="center"/>
                </w:tcPr>
                <w:p w14:paraId="3C6881BC">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bidi="ar"/>
                    </w:rPr>
                  </w:pPr>
                  <w:r>
                    <w:rPr>
                      <w:rFonts w:hint="default" w:ascii="Times New Roman" w:hAnsi="Times New Roman" w:eastAsia="宋体" w:cs="Times New Roman"/>
                      <w:color w:val="auto"/>
                      <w:spacing w:val="4"/>
                      <w:kern w:val="0"/>
                      <w:sz w:val="21"/>
                      <w:szCs w:val="21"/>
                      <w:lang w:bidi="ar"/>
                    </w:rPr>
                    <w:t>符合</w:t>
                  </w:r>
                </w:p>
              </w:tc>
            </w:tr>
          </w:tbl>
          <w:p w14:paraId="32B1EE26">
            <w:pPr>
              <w:pStyle w:val="9"/>
              <w:spacing w:line="240" w:lineRule="auto"/>
              <w:outlineLvl w:val="1"/>
              <w:rPr>
                <w:rFonts w:hint="default" w:ascii="Times New Roman" w:hAnsi="Times New Roman" w:eastAsia="宋体" w:cs="Times New Roman"/>
                <w:snapToGrid w:val="0"/>
                <w:color w:val="auto"/>
                <w:kern w:val="0"/>
                <w:sz w:val="24"/>
              </w:rPr>
            </w:pPr>
          </w:p>
          <w:p w14:paraId="5760189A">
            <w:pPr>
              <w:snapToGrid w:val="0"/>
              <w:spacing w:line="360" w:lineRule="auto"/>
              <w:rPr>
                <w:rFonts w:hint="default" w:ascii="Times New Roman" w:hAnsi="Times New Roman" w:cs="Times New Roman"/>
                <w:b/>
                <w:bCs/>
                <w:snapToGrid w:val="0"/>
                <w:color w:val="auto"/>
                <w:kern w:val="0"/>
                <w:sz w:val="24"/>
                <w:highlight w:val="none"/>
              </w:rPr>
            </w:pPr>
            <w:r>
              <w:rPr>
                <w:rFonts w:hint="default" w:ascii="Times New Roman" w:hAnsi="Times New Roman" w:eastAsia="宋体" w:cs="Times New Roman"/>
                <w:b/>
                <w:color w:val="auto"/>
                <w:sz w:val="24"/>
                <w:szCs w:val="24"/>
                <w:highlight w:val="none"/>
                <w:lang w:val="en-US" w:eastAsia="zh-CN"/>
              </w:rPr>
              <w:t>1.4.3与</w:t>
            </w:r>
            <w:r>
              <w:rPr>
                <w:rFonts w:hint="default" w:ascii="Times New Roman" w:hAnsi="Times New Roman" w:cs="Times New Roman"/>
                <w:b/>
                <w:bCs/>
                <w:snapToGrid w:val="0"/>
                <w:color w:val="auto"/>
                <w:kern w:val="0"/>
                <w:sz w:val="24"/>
                <w:highlight w:val="none"/>
              </w:rPr>
              <w:t>《</w:t>
            </w:r>
            <w:r>
              <w:rPr>
                <w:rFonts w:hint="default" w:ascii="Times New Roman" w:hAnsi="Times New Roman" w:cs="Times New Roman"/>
                <w:b/>
                <w:bCs/>
                <w:snapToGrid w:val="0"/>
                <w:color w:val="auto"/>
                <w:kern w:val="0"/>
                <w:sz w:val="24"/>
                <w:highlight w:val="none"/>
                <w:lang w:val="en-US" w:eastAsia="zh-CN"/>
              </w:rPr>
              <w:t>重庆市九龙坡区生态环境保护“十四五”规划</w:t>
            </w:r>
            <w:r>
              <w:rPr>
                <w:rFonts w:hint="default" w:ascii="Times New Roman" w:hAnsi="Times New Roman" w:cs="Times New Roman"/>
                <w:b/>
                <w:bCs/>
                <w:snapToGrid w:val="0"/>
                <w:color w:val="auto"/>
                <w:kern w:val="0"/>
                <w:sz w:val="24"/>
                <w:highlight w:val="none"/>
              </w:rPr>
              <w:t>》符合性分析</w:t>
            </w:r>
          </w:p>
          <w:p w14:paraId="5BABE8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 w:val="24"/>
                <w:highlight w:val="none"/>
              </w:rPr>
              <w:t>根据重庆市</w:t>
            </w:r>
            <w:r>
              <w:rPr>
                <w:rFonts w:hint="default" w:ascii="Times New Roman" w:hAnsi="Times New Roman" w:cs="Times New Roman"/>
                <w:snapToGrid w:val="0"/>
                <w:color w:val="auto"/>
                <w:kern w:val="0"/>
                <w:sz w:val="24"/>
                <w:highlight w:val="none"/>
                <w:lang w:eastAsia="zh-CN"/>
              </w:rPr>
              <w:t>九龙坡区人民政府办公室关于印发</w:t>
            </w:r>
            <w:r>
              <w:rPr>
                <w:rFonts w:hint="default" w:ascii="Times New Roman" w:hAnsi="Times New Roman" w:cs="Times New Roman"/>
                <w:snapToGrid w:val="0"/>
                <w:color w:val="auto"/>
                <w:kern w:val="0"/>
                <w:sz w:val="24"/>
                <w:highlight w:val="none"/>
              </w:rPr>
              <w:t>《重庆市</w:t>
            </w:r>
            <w:r>
              <w:rPr>
                <w:rFonts w:hint="default" w:ascii="Times New Roman" w:hAnsi="Times New Roman" w:cs="Times New Roman"/>
                <w:snapToGrid w:val="0"/>
                <w:color w:val="auto"/>
                <w:kern w:val="0"/>
                <w:sz w:val="24"/>
                <w:highlight w:val="none"/>
                <w:lang w:eastAsia="zh-CN"/>
              </w:rPr>
              <w:t>九龙坡区生态</w:t>
            </w:r>
            <w:r>
              <w:rPr>
                <w:rFonts w:hint="default" w:ascii="Times New Roman" w:hAnsi="Times New Roman" w:cs="Times New Roman"/>
                <w:snapToGrid w:val="0"/>
                <w:color w:val="auto"/>
                <w:kern w:val="0"/>
                <w:sz w:val="24"/>
                <w:highlight w:val="none"/>
              </w:rPr>
              <w:t>环境保护</w:t>
            </w:r>
            <w:r>
              <w:rPr>
                <w:rFonts w:hint="default" w:ascii="Times New Roman" w:hAnsi="Times New Roman" w:eastAsia="宋体" w:cs="Times New Roman"/>
                <w:snapToGrid w:val="0"/>
                <w:color w:val="auto"/>
                <w:kern w:val="0"/>
                <w:sz w:val="24"/>
                <w:highlight w:val="none"/>
              </w:rPr>
              <w:t>“十四五”规</w:t>
            </w:r>
            <w:r>
              <w:rPr>
                <w:rFonts w:hint="default" w:ascii="Times New Roman" w:hAnsi="Times New Roman" w:cs="Times New Roman"/>
                <w:snapToGrid w:val="0"/>
                <w:color w:val="auto"/>
                <w:kern w:val="0"/>
                <w:sz w:val="24"/>
                <w:highlight w:val="none"/>
              </w:rPr>
              <w:t>划》的通知</w:t>
            </w:r>
            <w:r>
              <w:rPr>
                <w:rFonts w:hint="default" w:ascii="Times New Roman" w:hAnsi="Times New Roman" w:cs="Times New Roman"/>
                <w:snapToGrid w:val="0"/>
                <w:color w:val="auto"/>
                <w:kern w:val="0"/>
                <w:sz w:val="24"/>
                <w:highlight w:val="none"/>
                <w:lang w:eastAsia="zh-CN"/>
              </w:rPr>
              <w:t>，</w:t>
            </w:r>
            <w:r>
              <w:rPr>
                <w:rFonts w:hint="default" w:ascii="Times New Roman" w:hAnsi="Times New Roman" w:cs="Times New Roman"/>
                <w:snapToGrid w:val="0"/>
                <w:color w:val="auto"/>
                <w:kern w:val="0"/>
                <w:sz w:val="24"/>
                <w:highlight w:val="none"/>
              </w:rPr>
              <w:t>本项目与其符合性详见下表。</w:t>
            </w:r>
          </w:p>
          <w:p w14:paraId="582A9C9A">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b/>
                <w:bCs/>
                <w:snapToGrid w:val="0"/>
                <w:color w:val="auto"/>
                <w:kern w:val="0"/>
                <w:sz w:val="24"/>
              </w:rPr>
            </w:pPr>
            <w:r>
              <w:rPr>
                <w:rFonts w:hint="default" w:ascii="Times New Roman" w:hAnsi="Times New Roman" w:cs="Times New Roman"/>
                <w:b/>
                <w:bCs/>
                <w:snapToGrid w:val="0"/>
                <w:color w:val="auto"/>
                <w:kern w:val="0"/>
                <w:sz w:val="24"/>
                <w:highlight w:val="none"/>
              </w:rPr>
              <w:t>表1.</w:t>
            </w:r>
            <w:r>
              <w:rPr>
                <w:rFonts w:hint="default" w:ascii="Times New Roman" w:hAnsi="Times New Roman" w:cs="Times New Roman"/>
                <w:b/>
                <w:bCs/>
                <w:snapToGrid w:val="0"/>
                <w:color w:val="auto"/>
                <w:kern w:val="0"/>
                <w:sz w:val="24"/>
                <w:highlight w:val="none"/>
                <w:lang w:val="en-US" w:eastAsia="zh-CN"/>
              </w:rPr>
              <w:t>4-2</w:t>
            </w:r>
            <w:r>
              <w:rPr>
                <w:rFonts w:hint="default" w:ascii="Times New Roman" w:hAnsi="Times New Roman" w:cs="Times New Roman"/>
                <w:b/>
                <w:bCs/>
                <w:snapToGrid w:val="0"/>
                <w:color w:val="auto"/>
                <w:kern w:val="0"/>
                <w:sz w:val="24"/>
                <w:highlight w:val="none"/>
              </w:rPr>
              <w:t>与</w:t>
            </w:r>
            <w:r>
              <w:rPr>
                <w:rFonts w:hint="default" w:ascii="Times New Roman" w:hAnsi="Times New Roman" w:cs="Times New Roman"/>
                <w:b/>
                <w:bCs/>
                <w:snapToGrid w:val="0"/>
                <w:color w:val="auto"/>
                <w:kern w:val="0"/>
                <w:sz w:val="24"/>
              </w:rPr>
              <w:t>重庆市</w:t>
            </w:r>
            <w:r>
              <w:rPr>
                <w:rFonts w:hint="default" w:ascii="Times New Roman" w:hAnsi="Times New Roman" w:cs="Times New Roman"/>
                <w:b/>
                <w:bCs/>
                <w:snapToGrid w:val="0"/>
                <w:color w:val="auto"/>
                <w:kern w:val="0"/>
                <w:sz w:val="24"/>
                <w:lang w:eastAsia="zh-CN"/>
              </w:rPr>
              <w:t>九龙坡区生态</w:t>
            </w:r>
            <w:r>
              <w:rPr>
                <w:rFonts w:hint="default" w:ascii="Times New Roman" w:hAnsi="Times New Roman" w:cs="Times New Roman"/>
                <w:b/>
                <w:bCs/>
                <w:snapToGrid w:val="0"/>
                <w:color w:val="auto"/>
                <w:kern w:val="0"/>
                <w:sz w:val="24"/>
              </w:rPr>
              <w:t>环</w:t>
            </w:r>
            <w:r>
              <w:rPr>
                <w:rFonts w:hint="default" w:ascii="Times New Roman" w:hAnsi="Times New Roman" w:eastAsia="宋体" w:cs="Times New Roman"/>
                <w:b/>
                <w:bCs/>
                <w:snapToGrid w:val="0"/>
                <w:color w:val="auto"/>
                <w:kern w:val="0"/>
                <w:sz w:val="24"/>
              </w:rPr>
              <w:t>境保护“十四五”规</w:t>
            </w:r>
            <w:r>
              <w:rPr>
                <w:rFonts w:hint="default" w:ascii="Times New Roman" w:hAnsi="Times New Roman" w:cs="Times New Roman"/>
                <w:b/>
                <w:bCs/>
                <w:snapToGrid w:val="0"/>
                <w:color w:val="auto"/>
                <w:kern w:val="0"/>
                <w:sz w:val="24"/>
              </w:rPr>
              <w:t>划的符合性分析</w:t>
            </w:r>
          </w:p>
          <w:tbl>
            <w:tblPr>
              <w:tblStyle w:val="19"/>
              <w:tblW w:w="7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3050"/>
              <w:gridCol w:w="3518"/>
              <w:gridCol w:w="795"/>
            </w:tblGrid>
            <w:tr w14:paraId="784F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3637" w:type="dxa"/>
                  <w:gridSpan w:val="2"/>
                  <w:noWrap w:val="0"/>
                  <w:vAlign w:val="center"/>
                </w:tcPr>
                <w:p w14:paraId="45273EB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等线" w:cs="Times New Roman"/>
                      <w:color w:val="auto"/>
                      <w:kern w:val="0"/>
                      <w:sz w:val="21"/>
                      <w:szCs w:val="21"/>
                    </w:rPr>
                  </w:pPr>
                  <w:r>
                    <w:rPr>
                      <w:rFonts w:hint="default" w:ascii="Times New Roman" w:hAnsi="Times New Roman" w:cs="Times New Roman"/>
                      <w:color w:val="auto"/>
                      <w:spacing w:val="7"/>
                      <w:kern w:val="0"/>
                      <w:sz w:val="21"/>
                      <w:szCs w:val="21"/>
                      <w:lang w:val="en-US" w:eastAsia="zh-CN" w:bidi="ar"/>
                    </w:rPr>
                    <w:t>规划</w:t>
                  </w:r>
                  <w:r>
                    <w:rPr>
                      <w:rFonts w:hint="default" w:ascii="Times New Roman" w:hAnsi="Times New Roman" w:cs="Times New Roman"/>
                      <w:color w:val="auto"/>
                      <w:spacing w:val="7"/>
                      <w:kern w:val="0"/>
                      <w:sz w:val="21"/>
                      <w:szCs w:val="21"/>
                      <w:lang w:bidi="ar"/>
                    </w:rPr>
                    <w:t>中要求</w:t>
                  </w:r>
                </w:p>
              </w:tc>
              <w:tc>
                <w:tcPr>
                  <w:tcW w:w="3518" w:type="dxa"/>
                  <w:noWrap w:val="0"/>
                  <w:vAlign w:val="center"/>
                </w:tcPr>
                <w:p w14:paraId="67D1470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等线" w:cs="Times New Roman"/>
                      <w:color w:val="auto"/>
                      <w:kern w:val="0"/>
                      <w:sz w:val="21"/>
                      <w:szCs w:val="21"/>
                    </w:rPr>
                  </w:pPr>
                  <w:r>
                    <w:rPr>
                      <w:rFonts w:hint="default" w:ascii="Times New Roman" w:hAnsi="Times New Roman" w:cs="Times New Roman"/>
                      <w:color w:val="auto"/>
                      <w:spacing w:val="6"/>
                      <w:kern w:val="0"/>
                      <w:sz w:val="21"/>
                      <w:szCs w:val="21"/>
                      <w:lang w:bidi="ar"/>
                    </w:rPr>
                    <w:t>项目情况</w:t>
                  </w:r>
                </w:p>
              </w:tc>
              <w:tc>
                <w:tcPr>
                  <w:tcW w:w="795" w:type="dxa"/>
                  <w:noWrap w:val="0"/>
                  <w:vAlign w:val="center"/>
                </w:tcPr>
                <w:p w14:paraId="711E26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等线" w:cs="Times New Roman"/>
                      <w:color w:val="auto"/>
                      <w:kern w:val="0"/>
                      <w:sz w:val="21"/>
                      <w:szCs w:val="21"/>
                    </w:rPr>
                  </w:pPr>
                  <w:r>
                    <w:rPr>
                      <w:rFonts w:hint="default" w:ascii="Times New Roman" w:hAnsi="Times New Roman" w:cs="Times New Roman"/>
                      <w:color w:val="auto"/>
                      <w:spacing w:val="6"/>
                      <w:kern w:val="0"/>
                      <w:sz w:val="21"/>
                      <w:szCs w:val="21"/>
                      <w:lang w:bidi="ar"/>
                    </w:rPr>
                    <w:t>符合性</w:t>
                  </w:r>
                </w:p>
              </w:tc>
            </w:tr>
            <w:tr w14:paraId="6471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jc w:val="center"/>
              </w:trPr>
              <w:tc>
                <w:tcPr>
                  <w:tcW w:w="587" w:type="dxa"/>
                  <w:noWrap w:val="0"/>
                  <w:vAlign w:val="center"/>
                </w:tcPr>
                <w:p w14:paraId="2B141BAB">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highlight w:val="none"/>
                      <w:lang w:eastAsia="zh-CN" w:bidi="ar"/>
                    </w:rPr>
                  </w:pPr>
                  <w:r>
                    <w:rPr>
                      <w:rFonts w:hint="default" w:ascii="Times New Roman" w:hAnsi="Times New Roman" w:cs="Times New Roman"/>
                      <w:color w:val="auto"/>
                      <w:spacing w:val="4"/>
                      <w:kern w:val="0"/>
                      <w:sz w:val="21"/>
                      <w:szCs w:val="21"/>
                      <w:highlight w:val="none"/>
                      <w:lang w:eastAsia="zh-CN" w:bidi="ar"/>
                    </w:rPr>
                    <w:t>改善大气环境质量</w:t>
                  </w:r>
                </w:p>
              </w:tc>
              <w:tc>
                <w:tcPr>
                  <w:tcW w:w="3050" w:type="dxa"/>
                  <w:noWrap w:val="0"/>
                  <w:vAlign w:val="center"/>
                </w:tcPr>
                <w:p w14:paraId="1B656C54">
                  <w:pPr>
                    <w:widowControl/>
                    <w:kinsoku w:val="0"/>
                    <w:autoSpaceDE w:val="0"/>
                    <w:autoSpaceDN w:val="0"/>
                    <w:adjustRightInd w:val="0"/>
                    <w:snapToGrid w:val="0"/>
                    <w:spacing w:line="240" w:lineRule="atLeast"/>
                    <w:jc w:val="left"/>
                    <w:rPr>
                      <w:rFonts w:hint="default" w:ascii="Times New Roman" w:hAnsi="Times New Roman" w:cs="Times New Roman"/>
                      <w:color w:val="auto"/>
                      <w:spacing w:val="4"/>
                      <w:kern w:val="0"/>
                      <w:sz w:val="21"/>
                      <w:szCs w:val="21"/>
                      <w:lang w:bidi="ar"/>
                    </w:rPr>
                  </w:pPr>
                  <w:r>
                    <w:rPr>
                      <w:rFonts w:hint="default" w:ascii="Times New Roman" w:hAnsi="Times New Roman" w:cs="Times New Roman"/>
                      <w:color w:val="auto"/>
                      <w:spacing w:val="4"/>
                      <w:kern w:val="0"/>
                      <w:sz w:val="21"/>
                      <w:szCs w:val="21"/>
                      <w:lang w:val="en-US" w:eastAsia="zh-CN" w:bidi="ar"/>
                    </w:rPr>
                    <w:t>以工业涂装、包装印刷、家具制造、汽车维修、油品储运销等行业为重点，开展挥发性有机物（VOCs）专项排查，深入推进VOCs综合整治，完成重点监管企业VOCs销号式综合整治。</w:t>
                  </w:r>
                </w:p>
              </w:tc>
              <w:tc>
                <w:tcPr>
                  <w:tcW w:w="3518" w:type="dxa"/>
                  <w:noWrap w:val="0"/>
                  <w:vAlign w:val="center"/>
                </w:tcPr>
                <w:p w14:paraId="109966CE">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eastAsia="zh-CN" w:bidi="ar"/>
                    </w:rPr>
                  </w:pPr>
                  <w:r>
                    <w:rPr>
                      <w:rFonts w:hint="default" w:ascii="Times New Roman" w:hAnsi="Times New Roman" w:cs="Times New Roman"/>
                      <w:color w:val="auto"/>
                      <w:spacing w:val="4"/>
                      <w:kern w:val="0"/>
                      <w:sz w:val="21"/>
                      <w:szCs w:val="21"/>
                      <w:lang w:bidi="ar"/>
                    </w:rPr>
                    <w:t>本项目位于重庆市九龙坡区，站内储油罐总容积</w:t>
                  </w:r>
                  <w:r>
                    <w:rPr>
                      <w:rFonts w:hint="default" w:ascii="Times New Roman" w:hAnsi="Times New Roman" w:cs="Times New Roman"/>
                      <w:color w:val="auto"/>
                      <w:spacing w:val="4"/>
                      <w:kern w:val="0"/>
                      <w:sz w:val="21"/>
                      <w:szCs w:val="21"/>
                      <w:lang w:val="en-US" w:eastAsia="zh-CN" w:bidi="ar"/>
                    </w:rPr>
                    <w:t>87.5</w:t>
                  </w:r>
                  <w:r>
                    <w:rPr>
                      <w:rFonts w:hint="default" w:ascii="Times New Roman" w:hAnsi="Times New Roman" w:cs="Times New Roman"/>
                      <w:color w:val="auto"/>
                      <w:spacing w:val="4"/>
                      <w:kern w:val="0"/>
                      <w:sz w:val="21"/>
                      <w:szCs w:val="21"/>
                      <w:lang w:bidi="ar"/>
                    </w:rPr>
                    <w:t>m</w:t>
                  </w:r>
                  <w:r>
                    <w:rPr>
                      <w:rFonts w:hint="default" w:ascii="Times New Roman" w:hAnsi="Times New Roman" w:cs="Times New Roman"/>
                      <w:color w:val="auto"/>
                      <w:spacing w:val="4"/>
                      <w:kern w:val="0"/>
                      <w:sz w:val="21"/>
                      <w:szCs w:val="21"/>
                      <w:vertAlign w:val="superscript"/>
                      <w:lang w:bidi="ar"/>
                    </w:rPr>
                    <w:t>3</w:t>
                  </w:r>
                  <w:r>
                    <w:rPr>
                      <w:rFonts w:hint="default" w:ascii="Times New Roman" w:hAnsi="Times New Roman" w:cs="Times New Roman"/>
                      <w:color w:val="auto"/>
                      <w:spacing w:val="4"/>
                      <w:kern w:val="0"/>
                      <w:sz w:val="21"/>
                      <w:szCs w:val="21"/>
                      <w:lang w:bidi="ar"/>
                    </w:rPr>
                    <w:t>，为三级加油站，设置有一次、二</w:t>
                  </w:r>
                  <w:r>
                    <w:rPr>
                      <w:rFonts w:hint="default" w:ascii="Times New Roman" w:hAnsi="Times New Roman" w:cs="Times New Roman"/>
                      <w:color w:val="auto"/>
                      <w:spacing w:val="4"/>
                      <w:kern w:val="0"/>
                      <w:sz w:val="21"/>
                      <w:szCs w:val="21"/>
                      <w:highlight w:val="none"/>
                      <w:lang w:bidi="ar"/>
                    </w:rPr>
                    <w:t>次、三次油气</w:t>
                  </w:r>
                  <w:r>
                    <w:rPr>
                      <w:rFonts w:hint="default" w:ascii="Times New Roman" w:hAnsi="Times New Roman" w:cs="Times New Roman"/>
                      <w:color w:val="auto"/>
                      <w:spacing w:val="4"/>
                      <w:kern w:val="0"/>
                      <w:sz w:val="21"/>
                      <w:szCs w:val="21"/>
                      <w:lang w:bidi="ar"/>
                    </w:rPr>
                    <w:t>回收系统用于收集油气</w:t>
                  </w:r>
                  <w:r>
                    <w:rPr>
                      <w:rFonts w:hint="default" w:ascii="Times New Roman" w:hAnsi="Times New Roman" w:cs="Times New Roman"/>
                      <w:color w:val="auto"/>
                      <w:spacing w:val="4"/>
                      <w:kern w:val="0"/>
                      <w:sz w:val="21"/>
                      <w:szCs w:val="21"/>
                      <w:lang w:eastAsia="zh-CN" w:bidi="ar"/>
                    </w:rPr>
                    <w:t>，并设置了油气回收在线监测系统，</w:t>
                  </w:r>
                  <w:r>
                    <w:rPr>
                      <w:rFonts w:hint="default" w:ascii="Times New Roman" w:hAnsi="Times New Roman" w:cs="Times New Roman"/>
                      <w:color w:val="auto"/>
                      <w:spacing w:val="4"/>
                      <w:kern w:val="0"/>
                      <w:sz w:val="21"/>
                      <w:szCs w:val="21"/>
                      <w:lang w:bidi="ar"/>
                    </w:rPr>
                    <w:t>确保油气回收治理设施正常运转</w:t>
                  </w:r>
                </w:p>
              </w:tc>
              <w:tc>
                <w:tcPr>
                  <w:tcW w:w="795" w:type="dxa"/>
                  <w:noWrap w:val="0"/>
                  <w:vAlign w:val="center"/>
                </w:tcPr>
                <w:p w14:paraId="00C55290">
                  <w:pPr>
                    <w:widowControl/>
                    <w:kinsoku w:val="0"/>
                    <w:autoSpaceDE w:val="0"/>
                    <w:autoSpaceDN w:val="0"/>
                    <w:adjustRightInd w:val="0"/>
                    <w:snapToGrid w:val="0"/>
                    <w:spacing w:line="240" w:lineRule="atLeast"/>
                    <w:jc w:val="center"/>
                    <w:rPr>
                      <w:rFonts w:hint="default" w:ascii="Times New Roman" w:hAnsi="Times New Roman" w:eastAsia="等线" w:cs="Times New Roman"/>
                      <w:color w:val="auto"/>
                      <w:kern w:val="0"/>
                      <w:sz w:val="21"/>
                      <w:szCs w:val="21"/>
                    </w:rPr>
                  </w:pPr>
                  <w:r>
                    <w:rPr>
                      <w:rFonts w:hint="default" w:ascii="Times New Roman" w:hAnsi="Times New Roman" w:cs="Times New Roman"/>
                      <w:color w:val="auto"/>
                      <w:spacing w:val="3"/>
                      <w:kern w:val="0"/>
                      <w:sz w:val="21"/>
                      <w:szCs w:val="21"/>
                      <w:lang w:bidi="ar"/>
                    </w:rPr>
                    <w:t>符合</w:t>
                  </w:r>
                </w:p>
              </w:tc>
            </w:tr>
            <w:tr w14:paraId="3B84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4" w:hRule="atLeast"/>
                <w:jc w:val="center"/>
              </w:trPr>
              <w:tc>
                <w:tcPr>
                  <w:tcW w:w="587" w:type="dxa"/>
                  <w:vMerge w:val="restart"/>
                  <w:noWrap w:val="0"/>
                  <w:vAlign w:val="center"/>
                </w:tcPr>
                <w:p w14:paraId="42B44448">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highlight w:val="none"/>
                      <w:lang w:eastAsia="zh-CN" w:bidi="ar"/>
                    </w:rPr>
                  </w:pPr>
                  <w:r>
                    <w:rPr>
                      <w:rFonts w:hint="default" w:ascii="Times New Roman" w:hAnsi="Times New Roman" w:cs="Times New Roman"/>
                      <w:color w:val="auto"/>
                      <w:spacing w:val="4"/>
                      <w:kern w:val="0"/>
                      <w:sz w:val="21"/>
                      <w:szCs w:val="21"/>
                      <w:highlight w:val="none"/>
                      <w:lang w:eastAsia="zh-CN" w:bidi="ar"/>
                    </w:rPr>
                    <w:t>协调防治土壤和地下水污染</w:t>
                  </w:r>
                </w:p>
              </w:tc>
              <w:tc>
                <w:tcPr>
                  <w:tcW w:w="3050" w:type="dxa"/>
                  <w:noWrap w:val="0"/>
                  <w:vAlign w:val="center"/>
                </w:tcPr>
                <w:p w14:paraId="103E904B">
                  <w:pPr>
                    <w:widowControl/>
                    <w:kinsoku w:val="0"/>
                    <w:autoSpaceDE w:val="0"/>
                    <w:autoSpaceDN w:val="0"/>
                    <w:adjustRightInd w:val="0"/>
                    <w:snapToGrid w:val="0"/>
                    <w:spacing w:line="240" w:lineRule="atLeast"/>
                    <w:jc w:val="left"/>
                    <w:rPr>
                      <w:rFonts w:hint="default" w:ascii="Times New Roman" w:hAnsi="Times New Roman" w:cs="Times New Roman"/>
                      <w:color w:val="auto"/>
                      <w:spacing w:val="4"/>
                      <w:kern w:val="0"/>
                      <w:sz w:val="21"/>
                      <w:szCs w:val="21"/>
                      <w:lang w:bidi="ar"/>
                    </w:rPr>
                  </w:pPr>
                  <w:r>
                    <w:rPr>
                      <w:rFonts w:hint="default" w:ascii="Times New Roman" w:hAnsi="Times New Roman" w:cs="Times New Roman"/>
                      <w:color w:val="auto"/>
                      <w:spacing w:val="4"/>
                      <w:kern w:val="0"/>
                      <w:sz w:val="21"/>
                      <w:szCs w:val="21"/>
                      <w:lang w:val="en-US" w:eastAsia="zh-CN" w:bidi="ar"/>
                    </w:rPr>
                    <w:t>加强土壤和地下水污染防治，强化地下水监测、监管和污染防治相关技术研究，以加油站、化工企业等为重点，开展防渗情况检查评估，统筹推进地下水安全源头预防和风险管控。</w:t>
                  </w:r>
                </w:p>
              </w:tc>
              <w:tc>
                <w:tcPr>
                  <w:tcW w:w="3518" w:type="dxa"/>
                  <w:noWrap w:val="0"/>
                  <w:vAlign w:val="center"/>
                </w:tcPr>
                <w:p w14:paraId="5698D3D8">
                  <w:pPr>
                    <w:widowControl/>
                    <w:kinsoku w:val="0"/>
                    <w:autoSpaceDE w:val="0"/>
                    <w:autoSpaceDN w:val="0"/>
                    <w:adjustRightInd w:val="0"/>
                    <w:snapToGrid w:val="0"/>
                    <w:spacing w:line="240" w:lineRule="atLeast"/>
                    <w:jc w:val="center"/>
                    <w:rPr>
                      <w:rFonts w:hint="default" w:ascii="Times New Roman" w:hAnsi="Times New Roman" w:eastAsia="宋体" w:cs="Times New Roman"/>
                      <w:color w:val="auto"/>
                      <w:spacing w:val="4"/>
                      <w:kern w:val="0"/>
                      <w:sz w:val="21"/>
                      <w:szCs w:val="21"/>
                      <w:lang w:eastAsia="zh-CN" w:bidi="ar"/>
                    </w:rPr>
                  </w:pPr>
                  <w:r>
                    <w:rPr>
                      <w:rFonts w:hint="default" w:ascii="Times New Roman" w:hAnsi="Times New Roman" w:cs="Times New Roman"/>
                      <w:color w:val="auto"/>
                      <w:kern w:val="0"/>
                      <w:szCs w:val="21"/>
                      <w:highlight w:val="none"/>
                      <w:lang w:eastAsia="zh-CN"/>
                    </w:rPr>
                    <w:t>本项目</w:t>
                  </w:r>
                  <w:r>
                    <w:rPr>
                      <w:rFonts w:hint="default" w:ascii="Times New Roman" w:hAnsi="Times New Roman" w:cs="Times New Roman"/>
                      <w:color w:val="auto"/>
                      <w:kern w:val="0"/>
                      <w:szCs w:val="21"/>
                      <w:highlight w:val="none"/>
                    </w:rPr>
                    <w:t>埋地加油管道采用的双层管道，</w:t>
                  </w:r>
                  <w:r>
                    <w:rPr>
                      <w:rFonts w:hint="default" w:ascii="Times New Roman" w:hAnsi="Times New Roman" w:cs="Times New Roman"/>
                      <w:color w:val="auto"/>
                      <w:kern w:val="0"/>
                      <w:szCs w:val="20"/>
                      <w:highlight w:val="none"/>
                      <w:lang w:eastAsia="zh-CN"/>
                    </w:rPr>
                    <w:t>加油站防渗池</w:t>
                  </w:r>
                  <w:r>
                    <w:rPr>
                      <w:rFonts w:hint="default" w:ascii="Times New Roman" w:hAnsi="Times New Roman" w:cs="Times New Roman"/>
                      <w:color w:val="auto"/>
                      <w:kern w:val="0"/>
                      <w:szCs w:val="20"/>
                      <w:highlight w:val="none"/>
                    </w:rPr>
                    <w:t>和管道系统的渗漏检测采用在线监测系统</w:t>
                  </w:r>
                  <w:r>
                    <w:rPr>
                      <w:rFonts w:hint="default" w:ascii="Times New Roman" w:hAnsi="Times New Roman" w:cs="Times New Roman"/>
                      <w:color w:val="auto"/>
                      <w:kern w:val="0"/>
                      <w:szCs w:val="20"/>
                      <w:highlight w:val="none"/>
                      <w:lang w:eastAsia="zh-CN"/>
                    </w:rPr>
                    <w:t>；</w:t>
                  </w:r>
                  <w:r>
                    <w:rPr>
                      <w:rFonts w:hint="default" w:ascii="Times New Roman" w:hAnsi="Times New Roman" w:cs="Times New Roman"/>
                      <w:color w:val="auto"/>
                      <w:kern w:val="0"/>
                      <w:sz w:val="21"/>
                      <w:szCs w:val="21"/>
                      <w:highlight w:val="none"/>
                      <w:lang w:val="en-US" w:eastAsia="zh-CN"/>
                    </w:rPr>
                    <w:t>每个罐池设置观察井，通过观察井可及时发现油罐是否发生泄漏事故</w:t>
                  </w:r>
                </w:p>
              </w:tc>
              <w:tc>
                <w:tcPr>
                  <w:tcW w:w="795" w:type="dxa"/>
                  <w:noWrap w:val="0"/>
                  <w:vAlign w:val="center"/>
                </w:tcPr>
                <w:p w14:paraId="30AC483F">
                  <w:pPr>
                    <w:widowControl/>
                    <w:kinsoku w:val="0"/>
                    <w:autoSpaceDE w:val="0"/>
                    <w:autoSpaceDN w:val="0"/>
                    <w:adjustRightInd w:val="0"/>
                    <w:snapToGrid w:val="0"/>
                    <w:spacing w:line="240" w:lineRule="atLeast"/>
                    <w:jc w:val="center"/>
                    <w:rPr>
                      <w:rFonts w:hint="default" w:ascii="Times New Roman" w:hAnsi="Times New Roman" w:eastAsia="等线" w:cs="Times New Roman"/>
                      <w:color w:val="auto"/>
                      <w:kern w:val="0"/>
                      <w:sz w:val="21"/>
                      <w:szCs w:val="21"/>
                    </w:rPr>
                  </w:pPr>
                  <w:r>
                    <w:rPr>
                      <w:rFonts w:hint="default" w:ascii="Times New Roman" w:hAnsi="Times New Roman" w:cs="Times New Roman"/>
                      <w:color w:val="auto"/>
                      <w:spacing w:val="3"/>
                      <w:kern w:val="0"/>
                      <w:sz w:val="21"/>
                      <w:szCs w:val="21"/>
                      <w:lang w:bidi="ar"/>
                    </w:rPr>
                    <w:t>符合</w:t>
                  </w:r>
                </w:p>
              </w:tc>
            </w:tr>
            <w:tr w14:paraId="632E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87" w:type="dxa"/>
                  <w:vMerge w:val="continue"/>
                  <w:noWrap w:val="0"/>
                  <w:vAlign w:val="top"/>
                </w:tcPr>
                <w:p w14:paraId="615C898C">
                  <w:pPr>
                    <w:widowControl/>
                    <w:kinsoku w:val="0"/>
                    <w:autoSpaceDE w:val="0"/>
                    <w:autoSpaceDN w:val="0"/>
                    <w:adjustRightInd w:val="0"/>
                    <w:snapToGrid w:val="0"/>
                    <w:spacing w:line="240" w:lineRule="atLeast"/>
                    <w:jc w:val="center"/>
                    <w:rPr>
                      <w:rFonts w:hint="default" w:ascii="Times New Roman" w:hAnsi="Times New Roman" w:cs="Times New Roman"/>
                      <w:color w:val="auto"/>
                      <w:spacing w:val="4"/>
                      <w:kern w:val="0"/>
                      <w:sz w:val="21"/>
                      <w:szCs w:val="21"/>
                      <w:highlight w:val="yellow"/>
                      <w:lang w:bidi="ar"/>
                    </w:rPr>
                  </w:pPr>
                </w:p>
              </w:tc>
              <w:tc>
                <w:tcPr>
                  <w:tcW w:w="3050" w:type="dxa"/>
                  <w:noWrap w:val="0"/>
                  <w:vAlign w:val="top"/>
                </w:tcPr>
                <w:p w14:paraId="4739A676">
                  <w:pPr>
                    <w:widowControl/>
                    <w:kinsoku w:val="0"/>
                    <w:autoSpaceDE w:val="0"/>
                    <w:autoSpaceDN w:val="0"/>
                    <w:adjustRightInd w:val="0"/>
                    <w:snapToGrid w:val="0"/>
                    <w:spacing w:line="240" w:lineRule="atLeast"/>
                    <w:jc w:val="left"/>
                    <w:rPr>
                      <w:rFonts w:hint="default" w:ascii="Times New Roman" w:hAnsi="Times New Roman" w:eastAsia="宋体" w:cs="Times New Roman"/>
                      <w:color w:val="auto"/>
                      <w:spacing w:val="4"/>
                      <w:kern w:val="0"/>
                      <w:sz w:val="21"/>
                      <w:szCs w:val="21"/>
                      <w:lang w:eastAsia="zh-CN" w:bidi="ar"/>
                    </w:rPr>
                  </w:pPr>
                  <w:r>
                    <w:rPr>
                      <w:rFonts w:hint="default" w:ascii="Times New Roman" w:hAnsi="Times New Roman" w:cs="Times New Roman"/>
                      <w:color w:val="auto"/>
                      <w:spacing w:val="4"/>
                      <w:kern w:val="0"/>
                      <w:sz w:val="21"/>
                      <w:szCs w:val="21"/>
                      <w:lang w:eastAsia="zh-CN" w:bidi="ar"/>
                    </w:rPr>
                    <w:t>推进固体废弃物减量化、无害化、资源化处置和利用；防控危险废物污染环境风险。</w:t>
                  </w:r>
                </w:p>
              </w:tc>
              <w:tc>
                <w:tcPr>
                  <w:tcW w:w="3518" w:type="dxa"/>
                  <w:noWrap w:val="0"/>
                  <w:vAlign w:val="top"/>
                </w:tcPr>
                <w:p w14:paraId="2602C8E2">
                  <w:pPr>
                    <w:widowControl/>
                    <w:kinsoku w:val="0"/>
                    <w:autoSpaceDE w:val="0"/>
                    <w:autoSpaceDN w:val="0"/>
                    <w:adjustRightInd w:val="0"/>
                    <w:snapToGrid w:val="0"/>
                    <w:spacing w:line="240" w:lineRule="atLeast"/>
                    <w:jc w:val="center"/>
                    <w:rPr>
                      <w:rFonts w:hint="default" w:ascii="Times New Roman" w:hAnsi="Times New Roman" w:cs="Times New Roman"/>
                      <w:color w:val="auto"/>
                      <w:spacing w:val="4"/>
                      <w:kern w:val="0"/>
                      <w:sz w:val="21"/>
                      <w:szCs w:val="21"/>
                      <w:lang w:bidi="ar"/>
                    </w:rPr>
                  </w:pPr>
                  <w:r>
                    <w:rPr>
                      <w:rFonts w:hint="default" w:ascii="Times New Roman" w:hAnsi="Times New Roman" w:eastAsia="宋体" w:cs="Times New Roman"/>
                      <w:color w:val="auto"/>
                      <w:sz w:val="21"/>
                      <w:szCs w:val="21"/>
                      <w:highlight w:val="none"/>
                      <w:lang w:val="en-US" w:eastAsia="zh-CN"/>
                    </w:rPr>
                    <w:t>加油站</w:t>
                  </w:r>
                  <w:r>
                    <w:rPr>
                      <w:rFonts w:hint="default" w:ascii="Times New Roman" w:hAnsi="Times New Roman" w:cs="Times New Roman"/>
                      <w:color w:val="auto"/>
                      <w:kern w:val="0"/>
                      <w:sz w:val="21"/>
                      <w:szCs w:val="21"/>
                      <w:highlight w:val="none"/>
                    </w:rPr>
                    <w:t>生化池污泥定期清掏，定期交由环卫部门处置；生活垃圾经站区生活垃圾桶</w:t>
                  </w:r>
                  <w:r>
                    <w:rPr>
                      <w:rFonts w:hint="default" w:ascii="Times New Roman" w:hAnsi="Times New Roman" w:cs="Times New Roman"/>
                      <w:color w:val="auto"/>
                      <w:kern w:val="0"/>
                      <w:sz w:val="21"/>
                      <w:szCs w:val="21"/>
                      <w:highlight w:val="none"/>
                      <w:lang w:val="en-US" w:eastAsia="zh-CN"/>
                    </w:rPr>
                    <w:t>分类</w:t>
                  </w:r>
                  <w:r>
                    <w:rPr>
                      <w:rFonts w:hint="default" w:ascii="Times New Roman" w:hAnsi="Times New Roman" w:cs="Times New Roman"/>
                      <w:color w:val="auto"/>
                      <w:kern w:val="0"/>
                      <w:sz w:val="21"/>
                      <w:szCs w:val="21"/>
                      <w:highlight w:val="none"/>
                    </w:rPr>
                    <w:t>收集后，由环卫部门统一清运处置</w:t>
                  </w:r>
                  <w:r>
                    <w:rPr>
                      <w:rFonts w:hint="default" w:ascii="Times New Roman" w:hAnsi="Times New Roman" w:eastAsia="宋体" w:cs="Times New Roman"/>
                      <w:color w:val="auto"/>
                      <w:sz w:val="21"/>
                      <w:szCs w:val="21"/>
                      <w:highlight w:val="none"/>
                      <w:lang w:val="en-US" w:eastAsia="zh-CN"/>
                    </w:rPr>
                    <w:t>。加油站产生的危险废物委托有资质单位进行运输和处置</w:t>
                  </w:r>
                </w:p>
              </w:tc>
              <w:tc>
                <w:tcPr>
                  <w:tcW w:w="795" w:type="dxa"/>
                  <w:noWrap w:val="0"/>
                  <w:vAlign w:val="top"/>
                </w:tcPr>
                <w:p w14:paraId="39B7AD76">
                  <w:pPr>
                    <w:widowControl/>
                    <w:kinsoku w:val="0"/>
                    <w:autoSpaceDE w:val="0"/>
                    <w:autoSpaceDN w:val="0"/>
                    <w:adjustRightInd w:val="0"/>
                    <w:snapToGrid w:val="0"/>
                    <w:spacing w:line="240" w:lineRule="atLeast"/>
                    <w:jc w:val="center"/>
                    <w:rPr>
                      <w:rFonts w:hint="default" w:ascii="Times New Roman" w:hAnsi="Times New Roman" w:cs="Times New Roman"/>
                      <w:color w:val="auto"/>
                      <w:spacing w:val="4"/>
                      <w:kern w:val="0"/>
                      <w:sz w:val="21"/>
                      <w:szCs w:val="21"/>
                      <w:lang w:bidi="ar"/>
                    </w:rPr>
                  </w:pPr>
                  <w:r>
                    <w:rPr>
                      <w:rFonts w:hint="default" w:ascii="Times New Roman" w:hAnsi="Times New Roman" w:cs="Times New Roman"/>
                      <w:color w:val="auto"/>
                      <w:spacing w:val="4"/>
                      <w:kern w:val="0"/>
                      <w:sz w:val="21"/>
                      <w:szCs w:val="21"/>
                      <w:lang w:bidi="ar"/>
                    </w:rPr>
                    <w:t>符合</w:t>
                  </w:r>
                </w:p>
              </w:tc>
            </w:tr>
          </w:tbl>
          <w:p w14:paraId="148F78A1">
            <w:pPr>
              <w:pStyle w:val="9"/>
              <w:spacing w:line="360" w:lineRule="auto"/>
              <w:outlineLvl w:val="1"/>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1.</w:t>
            </w:r>
            <w:r>
              <w:rPr>
                <w:rFonts w:hint="default" w:ascii="Times New Roman" w:hAnsi="Times New Roman" w:eastAsia="宋体" w:cs="Times New Roman"/>
                <w:b/>
                <w:color w:val="auto"/>
                <w:sz w:val="28"/>
                <w:szCs w:val="28"/>
                <w:lang w:val="en-US" w:eastAsia="zh-CN"/>
              </w:rPr>
              <w:t>5</w:t>
            </w:r>
            <w:r>
              <w:rPr>
                <w:rFonts w:hint="default" w:ascii="Times New Roman" w:hAnsi="Times New Roman" w:eastAsia="宋体" w:cs="Times New Roman"/>
                <w:b/>
                <w:color w:val="auto"/>
                <w:sz w:val="28"/>
                <w:szCs w:val="28"/>
              </w:rPr>
              <w:t>选址合理性分析</w:t>
            </w:r>
          </w:p>
          <w:p w14:paraId="2BCCAEC4">
            <w:pPr>
              <w:autoSpaceDE w:val="0"/>
              <w:autoSpaceDN w:val="0"/>
              <w:adjustRightInd w:val="0"/>
              <w:snapToGrid w:val="0"/>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w:t>
            </w:r>
            <w:r>
              <w:rPr>
                <w:rFonts w:hint="default" w:ascii="Times New Roman" w:hAnsi="Times New Roman" w:eastAsia="宋体" w:cs="Times New Roman"/>
                <w:b/>
                <w:color w:val="auto"/>
                <w:sz w:val="24"/>
                <w:lang w:val="en-US" w:eastAsia="zh-CN"/>
              </w:rPr>
              <w:t>5</w:t>
            </w:r>
            <w:r>
              <w:rPr>
                <w:rFonts w:hint="default" w:ascii="Times New Roman" w:hAnsi="Times New Roman" w:eastAsia="宋体" w:cs="Times New Roman"/>
                <w:b/>
                <w:color w:val="auto"/>
                <w:sz w:val="24"/>
              </w:rPr>
              <w:t>.1用地性质符合性分析</w:t>
            </w:r>
          </w:p>
          <w:p w14:paraId="4A1C4C3C">
            <w:pPr>
              <w:autoSpaceDE w:val="0"/>
              <w:autoSpaceDN w:val="0"/>
              <w:adjustRightInd w:val="0"/>
              <w:snapToGrid w:val="0"/>
              <w:spacing w:line="360" w:lineRule="auto"/>
              <w:ind w:firstLine="480" w:firstLineChars="200"/>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rPr>
              <w:t>根据重庆市国土资源和房屋管理局下发的不动产权证书（105D房产证2010字第00670号），本项目所在地为商服用地，符合用地要求，详见</w:t>
            </w:r>
            <w:r>
              <w:rPr>
                <w:rFonts w:hint="default" w:ascii="Times New Roman" w:hAnsi="Times New Roman" w:eastAsia="宋体" w:cs="Times New Roman"/>
                <w:b/>
                <w:color w:val="auto"/>
                <w:sz w:val="24"/>
              </w:rPr>
              <w:t>附件</w:t>
            </w:r>
            <w:r>
              <w:rPr>
                <w:rFonts w:hint="eastAsia" w:cs="Times New Roman"/>
                <w:b/>
                <w:color w:val="auto"/>
                <w:sz w:val="24"/>
                <w:lang w:val="en-US" w:eastAsia="zh-CN"/>
              </w:rPr>
              <w:t>2</w:t>
            </w:r>
            <w:r>
              <w:rPr>
                <w:rFonts w:hint="eastAsia" w:cs="Times New Roman"/>
                <w:b/>
                <w:color w:val="auto"/>
                <w:sz w:val="24"/>
                <w:lang w:eastAsia="zh-CN"/>
              </w:rPr>
              <w:t>。</w:t>
            </w:r>
          </w:p>
          <w:p w14:paraId="6D689731">
            <w:pPr>
              <w:autoSpaceDE w:val="0"/>
              <w:autoSpaceDN w:val="0"/>
              <w:adjustRightInd w:val="0"/>
              <w:snapToGrid w:val="0"/>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w:t>
            </w:r>
            <w:r>
              <w:rPr>
                <w:rFonts w:hint="default" w:ascii="Times New Roman" w:hAnsi="Times New Roman" w:eastAsia="宋体" w:cs="Times New Roman"/>
                <w:b/>
                <w:color w:val="auto"/>
                <w:sz w:val="24"/>
                <w:lang w:val="en-US" w:eastAsia="zh-CN"/>
              </w:rPr>
              <w:t>5</w:t>
            </w:r>
            <w:r>
              <w:rPr>
                <w:rFonts w:hint="default" w:ascii="Times New Roman" w:hAnsi="Times New Roman" w:eastAsia="宋体" w:cs="Times New Roman"/>
                <w:b/>
                <w:color w:val="auto"/>
                <w:sz w:val="24"/>
              </w:rPr>
              <w:t>.2选址符合性分析</w:t>
            </w:r>
          </w:p>
          <w:p w14:paraId="7264A026">
            <w:pPr>
              <w:autoSpaceDE w:val="0"/>
              <w:autoSpaceDN w:val="0"/>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根据</w:t>
            </w:r>
            <w:r>
              <w:rPr>
                <w:rFonts w:hint="default" w:ascii="Times New Roman" w:hAnsi="Times New Roman" w:eastAsia="宋体" w:cs="Times New Roman"/>
                <w:color w:val="auto"/>
                <w:sz w:val="24"/>
                <w:lang w:val="en-US" w:eastAsia="zh-CN"/>
              </w:rPr>
              <w:t>《汽车加油加气加氢站技术标准》（GB50156-2021）</w:t>
            </w:r>
            <w:r>
              <w:rPr>
                <w:rFonts w:hint="default" w:ascii="Times New Roman" w:hAnsi="Times New Roman" w:eastAsia="宋体" w:cs="Times New Roman"/>
                <w:color w:val="auto"/>
                <w:sz w:val="24"/>
              </w:rPr>
              <w:t>要求，项目站址选择合理性分析见表</w:t>
            </w:r>
            <w:r>
              <w:rPr>
                <w:rFonts w:hint="default" w:ascii="Times New Roman" w:hAnsi="Times New Roman" w:eastAsia="宋体" w:cs="Times New Roman"/>
                <w:color w:val="auto"/>
                <w:sz w:val="24"/>
                <w:lang w:val="en-US" w:eastAsia="zh-CN"/>
              </w:rPr>
              <w:t>1.5-1；</w:t>
            </w:r>
            <w:r>
              <w:rPr>
                <w:rFonts w:hint="default" w:ascii="Times New Roman" w:hAnsi="Times New Roman" w:eastAsia="宋体" w:cs="Times New Roman"/>
                <w:color w:val="auto"/>
                <w:sz w:val="24"/>
              </w:rPr>
              <w:t>加油站汽油（柴油）工艺设备与站外建（构）筑物关系</w:t>
            </w:r>
            <w:r>
              <w:rPr>
                <w:rFonts w:hint="default" w:ascii="Times New Roman" w:hAnsi="Times New Roman" w:eastAsia="宋体" w:cs="Times New Roman"/>
                <w:color w:val="auto"/>
                <w:sz w:val="24"/>
                <w:lang w:val="en-US" w:eastAsia="zh-CN"/>
              </w:rPr>
              <w:t>见表1.5-2和1.5-3。</w:t>
            </w:r>
          </w:p>
          <w:p w14:paraId="0634EC72">
            <w:pPr>
              <w:snapToGrid w:val="0"/>
              <w:jc w:val="center"/>
              <w:rPr>
                <w:rFonts w:hint="default" w:ascii="Times New Roman" w:hAnsi="Times New Roman" w:eastAsia="宋体" w:cs="Times New Roman"/>
                <w:b/>
                <w:bCs/>
                <w:snapToGrid w:val="0"/>
                <w:color w:val="auto"/>
                <w:kern w:val="0"/>
                <w:sz w:val="24"/>
              </w:rPr>
            </w:pPr>
            <w:r>
              <w:rPr>
                <w:rFonts w:hint="default" w:ascii="Times New Roman" w:hAnsi="Times New Roman" w:eastAsia="宋体" w:cs="Times New Roman"/>
                <w:b/>
                <w:bCs/>
                <w:snapToGrid w:val="0"/>
                <w:color w:val="auto"/>
                <w:kern w:val="0"/>
                <w:sz w:val="24"/>
              </w:rPr>
              <w:t>表1.</w:t>
            </w:r>
            <w:r>
              <w:rPr>
                <w:rFonts w:hint="default" w:ascii="Times New Roman" w:hAnsi="Times New Roman" w:eastAsia="宋体" w:cs="Times New Roman"/>
                <w:b/>
                <w:bCs/>
                <w:snapToGrid w:val="0"/>
                <w:color w:val="auto"/>
                <w:kern w:val="0"/>
                <w:sz w:val="24"/>
                <w:lang w:val="en-US" w:eastAsia="zh-CN"/>
              </w:rPr>
              <w:t>5</w:t>
            </w:r>
            <w:r>
              <w:rPr>
                <w:rFonts w:hint="default" w:ascii="Times New Roman" w:hAnsi="Times New Roman" w:eastAsia="宋体" w:cs="Times New Roman"/>
                <w:b/>
                <w:bCs/>
                <w:snapToGrid w:val="0"/>
                <w:color w:val="auto"/>
                <w:kern w:val="0"/>
                <w:sz w:val="24"/>
              </w:rPr>
              <w:t>-1  项目选址与设计规范要求的符合情况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207"/>
              <w:gridCol w:w="2794"/>
              <w:gridCol w:w="909"/>
            </w:tblGrid>
            <w:tr w14:paraId="37EF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559" w:type="pct"/>
                  <w:noWrap w:val="0"/>
                  <w:vAlign w:val="center"/>
                </w:tcPr>
                <w:p w14:paraId="24BED6C2">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序号</w:t>
                  </w:r>
                </w:p>
              </w:tc>
              <w:tc>
                <w:tcPr>
                  <w:tcW w:w="2060" w:type="pct"/>
                  <w:noWrap w:val="0"/>
                  <w:vAlign w:val="center"/>
                </w:tcPr>
                <w:p w14:paraId="7E052B9C">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标准要求</w:t>
                  </w:r>
                </w:p>
              </w:tc>
              <w:tc>
                <w:tcPr>
                  <w:tcW w:w="1795" w:type="pct"/>
                  <w:noWrap w:val="0"/>
                  <w:vAlign w:val="center"/>
                </w:tcPr>
                <w:p w14:paraId="68C0787D">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项目情况</w:t>
                  </w:r>
                </w:p>
              </w:tc>
              <w:tc>
                <w:tcPr>
                  <w:tcW w:w="584" w:type="pct"/>
                  <w:noWrap w:val="0"/>
                  <w:vAlign w:val="center"/>
                </w:tcPr>
                <w:p w14:paraId="5BCB9AB2">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符合性</w:t>
                  </w:r>
                </w:p>
              </w:tc>
            </w:tr>
            <w:tr w14:paraId="4125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9" w:type="pct"/>
                  <w:noWrap w:val="0"/>
                  <w:vAlign w:val="center"/>
                </w:tcPr>
                <w:p w14:paraId="1EEAE93C">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1</w:t>
                  </w:r>
                </w:p>
              </w:tc>
              <w:tc>
                <w:tcPr>
                  <w:tcW w:w="2060" w:type="pct"/>
                  <w:noWrap w:val="0"/>
                  <w:vAlign w:val="center"/>
                </w:tcPr>
                <w:p w14:paraId="70A2A68F">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符合城乡规划</w:t>
                  </w:r>
                </w:p>
              </w:tc>
              <w:tc>
                <w:tcPr>
                  <w:tcW w:w="1795" w:type="pct"/>
                  <w:noWrap w:val="0"/>
                  <w:vAlign w:val="center"/>
                </w:tcPr>
                <w:p w14:paraId="3B6EE9B0">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项目用地属于九龙坡区商服用地，符合土地利用规划，且本项目已取得房产证书</w:t>
                  </w:r>
                </w:p>
              </w:tc>
              <w:tc>
                <w:tcPr>
                  <w:tcW w:w="584" w:type="pct"/>
                  <w:noWrap w:val="0"/>
                  <w:vAlign w:val="center"/>
                </w:tcPr>
                <w:p w14:paraId="51949DE2">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r w14:paraId="3912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9" w:type="pct"/>
                  <w:noWrap w:val="0"/>
                  <w:vAlign w:val="center"/>
                </w:tcPr>
                <w:p w14:paraId="7D700C13">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2</w:t>
                  </w:r>
                </w:p>
              </w:tc>
              <w:tc>
                <w:tcPr>
                  <w:tcW w:w="2060" w:type="pct"/>
                  <w:noWrap w:val="0"/>
                  <w:vAlign w:val="center"/>
                </w:tcPr>
                <w:p w14:paraId="32222ADA">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符合环境保</w:t>
                  </w:r>
                  <w:r>
                    <w:rPr>
                      <w:rFonts w:hint="default" w:ascii="Times New Roman" w:hAnsi="Times New Roman" w:cs="Times New Roman"/>
                      <w:color w:val="auto"/>
                      <w:kern w:val="0"/>
                      <w:szCs w:val="21"/>
                      <w:lang w:eastAsia="zh-CN"/>
                    </w:rPr>
                    <w:t>护要</w:t>
                  </w:r>
                  <w:r>
                    <w:rPr>
                      <w:rFonts w:hint="default" w:ascii="Times New Roman" w:hAnsi="Times New Roman" w:eastAsia="宋体" w:cs="Times New Roman"/>
                      <w:color w:val="auto"/>
                      <w:kern w:val="0"/>
                      <w:szCs w:val="21"/>
                    </w:rPr>
                    <w:t>求</w:t>
                  </w:r>
                </w:p>
              </w:tc>
              <w:tc>
                <w:tcPr>
                  <w:tcW w:w="1795" w:type="pct"/>
                  <w:noWrap w:val="0"/>
                  <w:vAlign w:val="center"/>
                </w:tcPr>
                <w:p w14:paraId="308EE4AA">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本项目采取的各项环保措施符合现行的环境保护要求</w:t>
                  </w:r>
                </w:p>
              </w:tc>
              <w:tc>
                <w:tcPr>
                  <w:tcW w:w="584" w:type="pct"/>
                  <w:noWrap w:val="0"/>
                  <w:vAlign w:val="center"/>
                </w:tcPr>
                <w:p w14:paraId="53507617">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r w14:paraId="24E7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59" w:type="pct"/>
                  <w:noWrap w:val="0"/>
                  <w:vAlign w:val="center"/>
                </w:tcPr>
                <w:p w14:paraId="23133149">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3</w:t>
                  </w:r>
                </w:p>
              </w:tc>
              <w:tc>
                <w:tcPr>
                  <w:tcW w:w="2060" w:type="pct"/>
                  <w:noWrap w:val="0"/>
                  <w:vAlign w:val="center"/>
                </w:tcPr>
                <w:p w14:paraId="0B3CCB2E">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应选在交通便利的地方</w:t>
                  </w:r>
                </w:p>
              </w:tc>
              <w:tc>
                <w:tcPr>
                  <w:tcW w:w="1795" w:type="pct"/>
                  <w:noWrap w:val="0"/>
                  <w:vAlign w:val="center"/>
                </w:tcPr>
                <w:p w14:paraId="329D6D48">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项目临菜袁路，交通便利</w:t>
                  </w:r>
                </w:p>
              </w:tc>
              <w:tc>
                <w:tcPr>
                  <w:tcW w:w="584" w:type="pct"/>
                  <w:noWrap w:val="0"/>
                  <w:vAlign w:val="center"/>
                </w:tcPr>
                <w:p w14:paraId="1B335BE5">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r w14:paraId="0FD6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9" w:type="pct"/>
                  <w:noWrap w:val="0"/>
                  <w:vAlign w:val="center"/>
                </w:tcPr>
                <w:p w14:paraId="6F782BEF">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4</w:t>
                  </w:r>
                </w:p>
              </w:tc>
              <w:tc>
                <w:tcPr>
                  <w:tcW w:w="2060" w:type="pct"/>
                  <w:noWrap w:val="0"/>
                  <w:vAlign w:val="center"/>
                </w:tcPr>
                <w:p w14:paraId="443F0C0A">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在城市建成区不宜建一级加油站、一级加气站、一级加油加气合建站、CNG加气母站。在城市中心区不应建一级加油站、一级加气站、一级加油加气合建站、CNG加气母站</w:t>
                  </w:r>
                </w:p>
              </w:tc>
              <w:tc>
                <w:tcPr>
                  <w:tcW w:w="1795" w:type="pct"/>
                  <w:noWrap w:val="0"/>
                  <w:vAlign w:val="center"/>
                </w:tcPr>
                <w:p w14:paraId="31F07601">
                  <w:pPr>
                    <w:jc w:val="center"/>
                    <w:textAlignment w:val="baseline"/>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本项目为三级加油站</w:t>
                  </w:r>
                </w:p>
              </w:tc>
              <w:tc>
                <w:tcPr>
                  <w:tcW w:w="584" w:type="pct"/>
                  <w:noWrap w:val="0"/>
                  <w:vAlign w:val="center"/>
                </w:tcPr>
                <w:p w14:paraId="3405E0B7">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r w14:paraId="5A22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9" w:type="pct"/>
                  <w:noWrap w:val="0"/>
                  <w:vAlign w:val="center"/>
                </w:tcPr>
                <w:p w14:paraId="4C6142D4">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5</w:t>
                  </w:r>
                </w:p>
              </w:tc>
              <w:tc>
                <w:tcPr>
                  <w:tcW w:w="2060" w:type="pct"/>
                  <w:noWrap w:val="0"/>
                  <w:vAlign w:val="center"/>
                </w:tcPr>
                <w:p w14:paraId="6D0C23BE">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城市建成区内的加油加气站，宜靠近城市道路，但不宜选在城市干道的交叉路口附近。</w:t>
                  </w:r>
                </w:p>
              </w:tc>
              <w:tc>
                <w:tcPr>
                  <w:tcW w:w="1795" w:type="pct"/>
                  <w:noWrap w:val="0"/>
                  <w:vAlign w:val="center"/>
                </w:tcPr>
                <w:p w14:paraId="20066FD5">
                  <w:pPr>
                    <w:jc w:val="center"/>
                    <w:textAlignment w:val="baseline"/>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本项目不在城市干道交叉口</w:t>
                  </w:r>
                </w:p>
              </w:tc>
              <w:tc>
                <w:tcPr>
                  <w:tcW w:w="584" w:type="pct"/>
                  <w:noWrap w:val="0"/>
                  <w:vAlign w:val="center"/>
                </w:tcPr>
                <w:p w14:paraId="2B94801C">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r w14:paraId="4345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9" w:type="pct"/>
                  <w:noWrap w:val="0"/>
                  <w:vAlign w:val="center"/>
                </w:tcPr>
                <w:p w14:paraId="426F2B35">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6</w:t>
                  </w:r>
                </w:p>
              </w:tc>
              <w:tc>
                <w:tcPr>
                  <w:tcW w:w="2060" w:type="pct"/>
                  <w:noWrap w:val="0"/>
                  <w:vAlign w:val="center"/>
                </w:tcPr>
                <w:p w14:paraId="5C473809">
                  <w:pPr>
                    <w:widowControl/>
                    <w:adjustRightInd w:val="0"/>
                    <w:snapToGrid w:val="0"/>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加油站的汽油、柴油设备与站外建（构）筑物的安全距离，不应</w:t>
                  </w:r>
                  <w:r>
                    <w:rPr>
                      <w:rFonts w:hint="default" w:ascii="Times New Roman" w:hAnsi="Times New Roman" w:cs="Times New Roman"/>
                      <w:color w:val="auto"/>
                      <w:kern w:val="0"/>
                      <w:szCs w:val="20"/>
                      <w:lang w:eastAsia="zh-CN"/>
                    </w:rPr>
                    <w:t>小于</w:t>
                  </w:r>
                  <w:r>
                    <w:rPr>
                      <w:rFonts w:hint="default" w:ascii="Times New Roman" w:hAnsi="Times New Roman" w:eastAsia="宋体" w:cs="Times New Roman"/>
                      <w:color w:val="auto"/>
                      <w:kern w:val="0"/>
                      <w:szCs w:val="20"/>
                    </w:rPr>
                    <w:t>表4.0.4的规定</w:t>
                  </w:r>
                </w:p>
              </w:tc>
              <w:tc>
                <w:tcPr>
                  <w:tcW w:w="1795" w:type="pct"/>
                  <w:noWrap w:val="0"/>
                  <w:vAlign w:val="center"/>
                </w:tcPr>
                <w:p w14:paraId="1904BC30">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现有加油站已经编制完成了《中国石油天然气股份有限公司重庆销售分公司渝中加油站安全现状评价报告》，根据该报告，满足安全距离要求</w:t>
                  </w:r>
                </w:p>
              </w:tc>
              <w:tc>
                <w:tcPr>
                  <w:tcW w:w="584" w:type="pct"/>
                  <w:noWrap w:val="0"/>
                  <w:vAlign w:val="center"/>
                </w:tcPr>
                <w:p w14:paraId="27053036">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r w14:paraId="040A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59" w:type="pct"/>
                  <w:noWrap w:val="0"/>
                  <w:vAlign w:val="center"/>
                </w:tcPr>
                <w:p w14:paraId="7734F388">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7</w:t>
                  </w:r>
                </w:p>
              </w:tc>
              <w:tc>
                <w:tcPr>
                  <w:tcW w:w="2060" w:type="pct"/>
                  <w:noWrap w:val="0"/>
                  <w:vAlign w:val="center"/>
                </w:tcPr>
                <w:p w14:paraId="0E43F87D">
                  <w:pPr>
                    <w:widowControl/>
                    <w:adjustRightInd w:val="0"/>
                    <w:snapToGrid w:val="0"/>
                    <w:jc w:val="center"/>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架空电力线路不应跨越加油加气加氢站的加油加气作业区，架空通信线路不应跨越加气站、加氢合建站中加氢设施的作业区</w:t>
                  </w:r>
                </w:p>
              </w:tc>
              <w:tc>
                <w:tcPr>
                  <w:tcW w:w="1795" w:type="pct"/>
                  <w:noWrap w:val="0"/>
                  <w:vAlign w:val="center"/>
                </w:tcPr>
                <w:p w14:paraId="2F6FFEDD">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无架空电力线及跨越加油站</w:t>
                  </w:r>
                </w:p>
              </w:tc>
              <w:tc>
                <w:tcPr>
                  <w:tcW w:w="584" w:type="pct"/>
                  <w:noWrap w:val="0"/>
                  <w:vAlign w:val="center"/>
                </w:tcPr>
                <w:p w14:paraId="0ABC6471">
                  <w:pPr>
                    <w:jc w:val="center"/>
                    <w:textAlignment w:val="baseline"/>
                    <w:rPr>
                      <w:rFonts w:hint="default" w:ascii="Times New Roman" w:hAnsi="Times New Roman" w:eastAsia="宋体" w:cs="Times New Roman"/>
                      <w:color w:val="auto"/>
                      <w:kern w:val="0"/>
                      <w:szCs w:val="20"/>
                    </w:rPr>
                  </w:pPr>
                  <w:r>
                    <w:rPr>
                      <w:rFonts w:hint="default" w:ascii="Times New Roman" w:hAnsi="Times New Roman" w:eastAsia="宋体" w:cs="Times New Roman"/>
                      <w:color w:val="auto"/>
                      <w:kern w:val="0"/>
                      <w:szCs w:val="20"/>
                    </w:rPr>
                    <w:t>符合</w:t>
                  </w:r>
                </w:p>
              </w:tc>
            </w:tr>
          </w:tbl>
          <w:p w14:paraId="2175C991">
            <w:pPr>
              <w:keepNext/>
              <w:snapToGrid w:val="0"/>
              <w:spacing w:line="560" w:lineRule="exact"/>
              <w:jc w:val="center"/>
              <w:rPr>
                <w:rFonts w:hint="default" w:ascii="Times New Roman" w:hAnsi="Times New Roman" w:eastAsia="宋体" w:cs="Times New Roman"/>
                <w:b/>
                <w:bCs/>
                <w:color w:val="auto"/>
                <w:spacing w:val="2"/>
                <w:kern w:val="18"/>
                <w:position w:val="-2"/>
                <w:sz w:val="24"/>
                <w:highlight w:val="none"/>
              </w:rPr>
            </w:pPr>
            <w:r>
              <w:rPr>
                <w:rFonts w:hint="default" w:ascii="Times New Roman" w:hAnsi="Times New Roman" w:eastAsia="宋体" w:cs="Times New Roman"/>
                <w:b/>
                <w:bCs/>
                <w:color w:val="auto"/>
                <w:spacing w:val="2"/>
                <w:sz w:val="24"/>
                <w:highlight w:val="none"/>
              </w:rPr>
              <w:t>表1.</w:t>
            </w:r>
            <w:r>
              <w:rPr>
                <w:rFonts w:hint="default" w:ascii="Times New Roman" w:hAnsi="Times New Roman" w:eastAsia="宋体" w:cs="Times New Roman"/>
                <w:b/>
                <w:bCs/>
                <w:color w:val="auto"/>
                <w:spacing w:val="2"/>
                <w:sz w:val="24"/>
                <w:highlight w:val="none"/>
                <w:lang w:val="en-US" w:eastAsia="zh-CN"/>
              </w:rPr>
              <w:t>5</w:t>
            </w:r>
            <w:r>
              <w:rPr>
                <w:rFonts w:hint="default" w:ascii="Times New Roman" w:hAnsi="Times New Roman" w:eastAsia="宋体" w:cs="Times New Roman"/>
                <w:b/>
                <w:bCs/>
                <w:color w:val="auto"/>
                <w:spacing w:val="2"/>
                <w:sz w:val="24"/>
                <w:highlight w:val="none"/>
              </w:rPr>
              <w:t xml:space="preserve">-2 </w:t>
            </w:r>
            <w:r>
              <w:rPr>
                <w:rFonts w:hint="default" w:ascii="Times New Roman" w:hAnsi="Times New Roman" w:eastAsia="宋体" w:cs="Times New Roman"/>
                <w:b/>
                <w:bCs/>
                <w:color w:val="auto"/>
                <w:spacing w:val="2"/>
                <w:sz w:val="24"/>
                <w:highlight w:val="none"/>
                <w:lang w:val="en-US" w:eastAsia="zh-CN"/>
              </w:rPr>
              <w:t>加油站</w:t>
            </w:r>
            <w:r>
              <w:rPr>
                <w:rFonts w:hint="default" w:ascii="Times New Roman" w:hAnsi="Times New Roman" w:eastAsia="宋体" w:cs="Times New Roman"/>
                <w:b/>
                <w:bCs/>
                <w:color w:val="auto"/>
                <w:spacing w:val="2"/>
                <w:sz w:val="24"/>
                <w:highlight w:val="none"/>
              </w:rPr>
              <w:t>汽油</w:t>
            </w:r>
            <w:r>
              <w:rPr>
                <w:rFonts w:hint="default" w:ascii="Times New Roman" w:hAnsi="Times New Roman" w:eastAsia="宋体" w:cs="Times New Roman"/>
                <w:b/>
                <w:bCs/>
                <w:color w:val="auto"/>
                <w:spacing w:val="2"/>
                <w:sz w:val="24"/>
                <w:highlight w:val="none"/>
                <w:lang w:val="en-US" w:eastAsia="zh-CN"/>
              </w:rPr>
              <w:t>设施</w:t>
            </w:r>
            <w:r>
              <w:rPr>
                <w:rFonts w:hint="default" w:ascii="Times New Roman" w:hAnsi="Times New Roman" w:eastAsia="宋体" w:cs="Times New Roman"/>
                <w:b/>
                <w:bCs/>
                <w:color w:val="auto"/>
                <w:spacing w:val="2"/>
                <w:sz w:val="24"/>
                <w:highlight w:val="none"/>
              </w:rPr>
              <w:t>与站外建构筑物的防火距离表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05"/>
              <w:gridCol w:w="788"/>
              <w:gridCol w:w="788"/>
              <w:gridCol w:w="750"/>
              <w:gridCol w:w="713"/>
              <w:gridCol w:w="769"/>
              <w:gridCol w:w="712"/>
              <w:gridCol w:w="713"/>
              <w:gridCol w:w="721"/>
            </w:tblGrid>
            <w:tr w14:paraId="7117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3" w:type="pct"/>
                  <w:vMerge w:val="restart"/>
                  <w:noWrap w:val="0"/>
                  <w:vAlign w:val="center"/>
                </w:tcPr>
                <w:p w14:paraId="65743FD0">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方位</w:t>
                  </w:r>
                </w:p>
              </w:tc>
              <w:tc>
                <w:tcPr>
                  <w:tcW w:w="710" w:type="pct"/>
                  <w:vMerge w:val="restart"/>
                  <w:noWrap w:val="0"/>
                  <w:vAlign w:val="center"/>
                </w:tcPr>
                <w:p w14:paraId="79598E0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1012" w:type="pct"/>
                  <w:gridSpan w:val="2"/>
                  <w:noWrap w:val="0"/>
                  <w:vAlign w:val="center"/>
                </w:tcPr>
                <w:p w14:paraId="478F0842">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汽油</w:t>
                  </w:r>
                  <w:r>
                    <w:rPr>
                      <w:rFonts w:hint="default" w:ascii="Times New Roman" w:hAnsi="Times New Roman" w:eastAsia="宋体" w:cs="Times New Roman"/>
                      <w:color w:val="auto"/>
                      <w:sz w:val="21"/>
                      <w:szCs w:val="21"/>
                      <w:highlight w:val="none"/>
                    </w:rPr>
                    <w:t>埋地油罐</w:t>
                  </w:r>
                </w:p>
              </w:tc>
              <w:tc>
                <w:tcPr>
                  <w:tcW w:w="940" w:type="pct"/>
                  <w:gridSpan w:val="2"/>
                  <w:noWrap w:val="0"/>
                  <w:vAlign w:val="center"/>
                </w:tcPr>
                <w:p w14:paraId="7AE0C3C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通气管管口</w:t>
                  </w:r>
                </w:p>
              </w:tc>
              <w:tc>
                <w:tcPr>
                  <w:tcW w:w="951" w:type="pct"/>
                  <w:gridSpan w:val="2"/>
                  <w:noWrap w:val="0"/>
                  <w:vAlign w:val="center"/>
                </w:tcPr>
                <w:p w14:paraId="1E90ECE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加油机</w:t>
                  </w:r>
                </w:p>
              </w:tc>
              <w:tc>
                <w:tcPr>
                  <w:tcW w:w="921" w:type="pct"/>
                  <w:gridSpan w:val="2"/>
                  <w:noWrap w:val="0"/>
                  <w:vAlign w:val="center"/>
                </w:tcPr>
                <w:p w14:paraId="67ACF502">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油气回收处理装置</w:t>
                  </w:r>
                </w:p>
              </w:tc>
            </w:tr>
            <w:tr w14:paraId="50B8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3" w:type="pct"/>
                  <w:vMerge w:val="continue"/>
                  <w:noWrap w:val="0"/>
                  <w:vAlign w:val="center"/>
                </w:tcPr>
                <w:p w14:paraId="4B7F9B8C">
                  <w:pPr>
                    <w:adjustRightInd w:val="0"/>
                    <w:snapToGrid w:val="0"/>
                    <w:jc w:val="center"/>
                    <w:rPr>
                      <w:rFonts w:hint="default" w:ascii="Times New Roman" w:hAnsi="Times New Roman" w:eastAsia="宋体" w:cs="Times New Roman"/>
                      <w:color w:val="auto"/>
                      <w:sz w:val="21"/>
                      <w:szCs w:val="21"/>
                      <w:highlight w:val="none"/>
                    </w:rPr>
                  </w:pPr>
                </w:p>
              </w:tc>
              <w:tc>
                <w:tcPr>
                  <w:tcW w:w="710" w:type="pct"/>
                  <w:vMerge w:val="continue"/>
                  <w:noWrap w:val="0"/>
                  <w:vAlign w:val="center"/>
                </w:tcPr>
                <w:p w14:paraId="4CB92F71">
                  <w:pPr>
                    <w:adjustRightInd w:val="0"/>
                    <w:snapToGrid w:val="0"/>
                    <w:jc w:val="center"/>
                    <w:rPr>
                      <w:rFonts w:hint="default" w:ascii="Times New Roman" w:hAnsi="Times New Roman" w:eastAsia="宋体" w:cs="Times New Roman"/>
                      <w:color w:val="auto"/>
                      <w:sz w:val="21"/>
                      <w:szCs w:val="21"/>
                      <w:highlight w:val="none"/>
                    </w:rPr>
                  </w:pPr>
                </w:p>
              </w:tc>
              <w:tc>
                <w:tcPr>
                  <w:tcW w:w="506" w:type="pct"/>
                  <w:noWrap w:val="0"/>
                  <w:vAlign w:val="center"/>
                </w:tcPr>
                <w:p w14:paraId="67C6BE5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规范距离（m）</w:t>
                  </w:r>
                </w:p>
              </w:tc>
              <w:tc>
                <w:tcPr>
                  <w:tcW w:w="506" w:type="pct"/>
                  <w:noWrap w:val="0"/>
                  <w:vAlign w:val="center"/>
                </w:tcPr>
                <w:p w14:paraId="048EC72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总图距离（m）</w:t>
                  </w:r>
                </w:p>
              </w:tc>
              <w:tc>
                <w:tcPr>
                  <w:tcW w:w="482" w:type="pct"/>
                  <w:noWrap w:val="0"/>
                  <w:vAlign w:val="center"/>
                </w:tcPr>
                <w:p w14:paraId="3A04F7D8">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规范距离（m）</w:t>
                  </w:r>
                </w:p>
              </w:tc>
              <w:tc>
                <w:tcPr>
                  <w:tcW w:w="458" w:type="pct"/>
                  <w:noWrap w:val="0"/>
                  <w:vAlign w:val="center"/>
                </w:tcPr>
                <w:p w14:paraId="1F59D8C6">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总图距离（m）</w:t>
                  </w:r>
                </w:p>
              </w:tc>
              <w:tc>
                <w:tcPr>
                  <w:tcW w:w="494" w:type="pct"/>
                  <w:noWrap w:val="0"/>
                  <w:vAlign w:val="center"/>
                </w:tcPr>
                <w:p w14:paraId="5D296E2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规范距离（m）</w:t>
                  </w:r>
                </w:p>
              </w:tc>
              <w:tc>
                <w:tcPr>
                  <w:tcW w:w="457" w:type="pct"/>
                  <w:noWrap w:val="0"/>
                  <w:vAlign w:val="center"/>
                </w:tcPr>
                <w:p w14:paraId="3A9254D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总图距离（m）</w:t>
                  </w:r>
                </w:p>
              </w:tc>
              <w:tc>
                <w:tcPr>
                  <w:tcW w:w="458" w:type="pct"/>
                  <w:noWrap w:val="0"/>
                  <w:vAlign w:val="center"/>
                </w:tcPr>
                <w:p w14:paraId="3BE5D76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规范距离（m）</w:t>
                  </w:r>
                </w:p>
              </w:tc>
              <w:tc>
                <w:tcPr>
                  <w:tcW w:w="463" w:type="pct"/>
                  <w:noWrap w:val="0"/>
                  <w:vAlign w:val="center"/>
                </w:tcPr>
                <w:p w14:paraId="234BAF28">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总图距离（m）</w:t>
                  </w:r>
                </w:p>
              </w:tc>
            </w:tr>
            <w:tr w14:paraId="29B5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3" w:type="pct"/>
                  <w:noWrap w:val="0"/>
                  <w:vAlign w:val="center"/>
                </w:tcPr>
                <w:p w14:paraId="24E8536A">
                  <w:pPr>
                    <w:adjustRightInd w:val="0"/>
                    <w:snapToGrid w:val="0"/>
                    <w:jc w:val="center"/>
                    <w:rPr>
                      <w:rFonts w:hint="default" w:ascii="Times New Roman" w:hAnsi="Times New Roman" w:eastAsia="宋体" w:cs="Times New Roman"/>
                      <w:color w:val="auto"/>
                      <w:sz w:val="21"/>
                      <w:szCs w:val="21"/>
                      <w:highlight w:val="none"/>
                      <w:lang w:val="en-US" w:eastAsia="zh-CN"/>
                    </w:rPr>
                  </w:pPr>
                  <w:bookmarkStart w:id="1" w:name="OLE_LINK5" w:colFirst="1" w:colLast="65"/>
                  <w:bookmarkStart w:id="2" w:name="_Hlk187222597"/>
                  <w:bookmarkStart w:id="3" w:name="OLE_LINK7" w:colFirst="1" w:colLast="65"/>
                  <w:r>
                    <w:rPr>
                      <w:rFonts w:hint="default" w:ascii="Times New Roman" w:hAnsi="Times New Roman" w:eastAsia="宋体" w:cs="Times New Roman"/>
                      <w:color w:val="auto"/>
                      <w:sz w:val="21"/>
                      <w:szCs w:val="21"/>
                      <w:highlight w:val="none"/>
                      <w:lang w:val="en-US" w:eastAsia="zh-CN"/>
                    </w:rPr>
                    <w:t>东侧</w:t>
                  </w:r>
                </w:p>
              </w:tc>
              <w:tc>
                <w:tcPr>
                  <w:tcW w:w="710" w:type="pct"/>
                  <w:noWrap w:val="0"/>
                  <w:vAlign w:val="center"/>
                </w:tcPr>
                <w:p w14:paraId="1CF34C3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公路</w:t>
                  </w:r>
                  <w:r>
                    <w:rPr>
                      <w:rFonts w:hint="default" w:ascii="Times New Roman" w:hAnsi="Times New Roman" w:cs="Times New Roman"/>
                      <w:color w:val="auto"/>
                      <w:sz w:val="21"/>
                      <w:szCs w:val="21"/>
                      <w:highlight w:val="none"/>
                      <w:lang w:val="en-US" w:eastAsia="zh-CN"/>
                    </w:rPr>
                    <w:t>（支路）</w:t>
                  </w:r>
                </w:p>
              </w:tc>
              <w:tc>
                <w:tcPr>
                  <w:tcW w:w="506" w:type="pct"/>
                  <w:noWrap w:val="0"/>
                  <w:vAlign w:val="center"/>
                </w:tcPr>
                <w:p w14:paraId="33C4D08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506" w:type="pct"/>
                  <w:noWrap w:val="0"/>
                  <w:vAlign w:val="center"/>
                </w:tcPr>
                <w:p w14:paraId="56DECDC1">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482" w:type="pct"/>
                  <w:noWrap w:val="0"/>
                  <w:vAlign w:val="center"/>
                </w:tcPr>
                <w:p w14:paraId="6E2A79EC">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458" w:type="pct"/>
                  <w:noWrap w:val="0"/>
                  <w:vAlign w:val="center"/>
                </w:tcPr>
                <w:p w14:paraId="46AFFCD6">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494" w:type="pct"/>
                  <w:noWrap w:val="0"/>
                  <w:vAlign w:val="center"/>
                </w:tcPr>
                <w:p w14:paraId="7003E53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457" w:type="pct"/>
                  <w:noWrap w:val="0"/>
                  <w:vAlign w:val="center"/>
                </w:tcPr>
                <w:p w14:paraId="37BE8201">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458" w:type="pct"/>
                  <w:noWrap w:val="0"/>
                  <w:vAlign w:val="center"/>
                </w:tcPr>
                <w:p w14:paraId="7D1A38CB">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p>
              </w:tc>
              <w:tc>
                <w:tcPr>
                  <w:tcW w:w="463" w:type="pct"/>
                  <w:noWrap w:val="0"/>
                  <w:vAlign w:val="center"/>
                </w:tcPr>
                <w:p w14:paraId="08C8CADE">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w:t>
                  </w:r>
                </w:p>
              </w:tc>
            </w:tr>
            <w:tr w14:paraId="656F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3" w:type="pct"/>
                  <w:noWrap w:val="0"/>
                  <w:vAlign w:val="center"/>
                </w:tcPr>
                <w:p w14:paraId="5159EBE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南侧</w:t>
                  </w:r>
                </w:p>
              </w:tc>
              <w:tc>
                <w:tcPr>
                  <w:tcW w:w="710" w:type="pct"/>
                  <w:noWrap w:val="0"/>
                  <w:vAlign w:val="center"/>
                </w:tcPr>
                <w:p w14:paraId="33680704">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小区</w:t>
                  </w:r>
                  <w:r>
                    <w:rPr>
                      <w:rFonts w:hint="default" w:ascii="Times New Roman" w:hAnsi="Times New Roman" w:cs="Times New Roman"/>
                      <w:color w:val="auto"/>
                      <w:sz w:val="21"/>
                      <w:szCs w:val="21"/>
                      <w:highlight w:val="none"/>
                      <w:lang w:val="en-US" w:eastAsia="zh-CN"/>
                    </w:rPr>
                    <w:t>（二类保护物）</w:t>
                  </w:r>
                </w:p>
              </w:tc>
              <w:tc>
                <w:tcPr>
                  <w:tcW w:w="506" w:type="pct"/>
                  <w:noWrap w:val="0"/>
                  <w:vAlign w:val="center"/>
                </w:tcPr>
                <w:p w14:paraId="5A1F950C">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8.5</w:t>
                  </w:r>
                </w:p>
              </w:tc>
              <w:tc>
                <w:tcPr>
                  <w:tcW w:w="506" w:type="pct"/>
                  <w:noWrap w:val="0"/>
                  <w:vAlign w:val="center"/>
                </w:tcPr>
                <w:p w14:paraId="0CB4D23F">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76.2</w:t>
                  </w:r>
                </w:p>
              </w:tc>
              <w:tc>
                <w:tcPr>
                  <w:tcW w:w="482" w:type="pct"/>
                  <w:noWrap w:val="0"/>
                  <w:vAlign w:val="center"/>
                </w:tcPr>
                <w:p w14:paraId="19D235EC">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8.5</w:t>
                  </w:r>
                </w:p>
              </w:tc>
              <w:tc>
                <w:tcPr>
                  <w:tcW w:w="458" w:type="pct"/>
                  <w:noWrap w:val="0"/>
                  <w:vAlign w:val="center"/>
                </w:tcPr>
                <w:p w14:paraId="59196BC2">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76.2</w:t>
                  </w:r>
                </w:p>
              </w:tc>
              <w:tc>
                <w:tcPr>
                  <w:tcW w:w="494" w:type="pct"/>
                  <w:noWrap w:val="0"/>
                  <w:vAlign w:val="center"/>
                </w:tcPr>
                <w:p w14:paraId="03766DCE">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8.5</w:t>
                  </w:r>
                </w:p>
              </w:tc>
              <w:tc>
                <w:tcPr>
                  <w:tcW w:w="457" w:type="pct"/>
                  <w:noWrap w:val="0"/>
                  <w:vAlign w:val="center"/>
                </w:tcPr>
                <w:p w14:paraId="7047D3B4">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105</w:t>
                  </w:r>
                </w:p>
              </w:tc>
              <w:tc>
                <w:tcPr>
                  <w:tcW w:w="458" w:type="pct"/>
                  <w:noWrap w:val="0"/>
                  <w:vAlign w:val="center"/>
                </w:tcPr>
                <w:p w14:paraId="506A2D2B">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8.5</w:t>
                  </w:r>
                </w:p>
              </w:tc>
              <w:tc>
                <w:tcPr>
                  <w:tcW w:w="463" w:type="pct"/>
                  <w:noWrap w:val="0"/>
                  <w:vAlign w:val="center"/>
                </w:tcPr>
                <w:p w14:paraId="578E7759">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r>
            <w:tr w14:paraId="213F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63" w:type="pct"/>
                  <w:noWrap w:val="0"/>
                  <w:vAlign w:val="center"/>
                </w:tcPr>
                <w:p w14:paraId="3A0701EA">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西侧</w:t>
                  </w:r>
                </w:p>
              </w:tc>
              <w:tc>
                <w:tcPr>
                  <w:tcW w:w="710" w:type="pct"/>
                  <w:noWrap w:val="0"/>
                  <w:vAlign w:val="center"/>
                </w:tcPr>
                <w:p w14:paraId="7FE38C2A">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小区</w:t>
                  </w:r>
                </w:p>
              </w:tc>
              <w:tc>
                <w:tcPr>
                  <w:tcW w:w="506" w:type="pct"/>
                  <w:noWrap w:val="0"/>
                  <w:vAlign w:val="center"/>
                </w:tcPr>
                <w:p w14:paraId="63AB84E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8.5</w:t>
                  </w:r>
                </w:p>
              </w:tc>
              <w:tc>
                <w:tcPr>
                  <w:tcW w:w="506" w:type="pct"/>
                  <w:noWrap w:val="0"/>
                  <w:vAlign w:val="center"/>
                </w:tcPr>
                <w:p w14:paraId="7F61CD69">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53</w:t>
                  </w:r>
                </w:p>
              </w:tc>
              <w:tc>
                <w:tcPr>
                  <w:tcW w:w="482" w:type="pct"/>
                  <w:noWrap w:val="0"/>
                  <w:vAlign w:val="center"/>
                </w:tcPr>
                <w:p w14:paraId="5C59660F">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8.5</w:t>
                  </w:r>
                </w:p>
              </w:tc>
              <w:tc>
                <w:tcPr>
                  <w:tcW w:w="458" w:type="pct"/>
                  <w:noWrap w:val="0"/>
                  <w:vAlign w:val="center"/>
                </w:tcPr>
                <w:p w14:paraId="6A185B9E">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53</w:t>
                  </w:r>
                </w:p>
              </w:tc>
              <w:tc>
                <w:tcPr>
                  <w:tcW w:w="494" w:type="pct"/>
                  <w:noWrap w:val="0"/>
                  <w:vAlign w:val="center"/>
                </w:tcPr>
                <w:p w14:paraId="13BF9345">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8.5</w:t>
                  </w:r>
                </w:p>
              </w:tc>
              <w:tc>
                <w:tcPr>
                  <w:tcW w:w="457" w:type="pct"/>
                  <w:noWrap w:val="0"/>
                  <w:vAlign w:val="center"/>
                </w:tcPr>
                <w:p w14:paraId="64DB0E9F">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59</w:t>
                  </w:r>
                </w:p>
              </w:tc>
              <w:tc>
                <w:tcPr>
                  <w:tcW w:w="458" w:type="pct"/>
                  <w:noWrap w:val="0"/>
                  <w:vAlign w:val="center"/>
                </w:tcPr>
                <w:p w14:paraId="5D7C0C4C">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8.5</w:t>
                  </w:r>
                </w:p>
              </w:tc>
              <w:tc>
                <w:tcPr>
                  <w:tcW w:w="463" w:type="pct"/>
                  <w:noWrap w:val="0"/>
                  <w:vAlign w:val="center"/>
                </w:tcPr>
                <w:p w14:paraId="054A835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r>
            <w:tr w14:paraId="164D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3" w:type="pct"/>
                  <w:noWrap w:val="0"/>
                  <w:vAlign w:val="center"/>
                </w:tcPr>
                <w:p w14:paraId="1BE6C3FF">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西侧</w:t>
                  </w:r>
                </w:p>
              </w:tc>
              <w:tc>
                <w:tcPr>
                  <w:tcW w:w="710" w:type="pct"/>
                  <w:noWrap w:val="0"/>
                  <w:vAlign w:val="center"/>
                </w:tcPr>
                <w:p w14:paraId="42EFB627">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医院</w:t>
                  </w:r>
                  <w:r>
                    <w:rPr>
                      <w:rFonts w:hint="default" w:ascii="Times New Roman" w:hAnsi="Times New Roman" w:cs="Times New Roman"/>
                      <w:color w:val="auto"/>
                      <w:sz w:val="21"/>
                      <w:szCs w:val="21"/>
                      <w:highlight w:val="none"/>
                      <w:lang w:val="en-US" w:eastAsia="zh-CN"/>
                    </w:rPr>
                    <w:t>（重要公共建筑物）</w:t>
                  </w:r>
                </w:p>
              </w:tc>
              <w:tc>
                <w:tcPr>
                  <w:tcW w:w="506" w:type="pct"/>
                  <w:noWrap w:val="0"/>
                  <w:vAlign w:val="center"/>
                </w:tcPr>
                <w:p w14:paraId="30F4E96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506" w:type="pct"/>
                  <w:noWrap w:val="0"/>
                  <w:vAlign w:val="center"/>
                </w:tcPr>
                <w:p w14:paraId="7E6F5B04">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c>
                <w:tcPr>
                  <w:tcW w:w="482" w:type="pct"/>
                  <w:noWrap w:val="0"/>
                  <w:vAlign w:val="center"/>
                </w:tcPr>
                <w:p w14:paraId="1856A59A">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458" w:type="pct"/>
                  <w:noWrap w:val="0"/>
                  <w:vAlign w:val="center"/>
                </w:tcPr>
                <w:p w14:paraId="66CB5697">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54</w:t>
                  </w:r>
                </w:p>
              </w:tc>
              <w:tc>
                <w:tcPr>
                  <w:tcW w:w="494" w:type="pct"/>
                  <w:noWrap w:val="0"/>
                  <w:vAlign w:val="center"/>
                </w:tcPr>
                <w:p w14:paraId="12501377">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w:t>
                  </w:r>
                </w:p>
              </w:tc>
              <w:tc>
                <w:tcPr>
                  <w:tcW w:w="457" w:type="pct"/>
                  <w:noWrap w:val="0"/>
                  <w:vAlign w:val="center"/>
                </w:tcPr>
                <w:p w14:paraId="6D08EBA7">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61</w:t>
                  </w:r>
                </w:p>
              </w:tc>
              <w:tc>
                <w:tcPr>
                  <w:tcW w:w="458" w:type="pct"/>
                  <w:noWrap w:val="0"/>
                  <w:vAlign w:val="center"/>
                </w:tcPr>
                <w:p w14:paraId="22D4F5A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35</w:t>
                  </w:r>
                </w:p>
              </w:tc>
              <w:tc>
                <w:tcPr>
                  <w:tcW w:w="463" w:type="pct"/>
                  <w:noWrap w:val="0"/>
                  <w:vAlign w:val="center"/>
                </w:tcPr>
                <w:p w14:paraId="024DDFDC">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58</w:t>
                  </w:r>
                </w:p>
              </w:tc>
            </w:tr>
            <w:tr w14:paraId="4181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3" w:type="pct"/>
                  <w:noWrap w:val="0"/>
                  <w:vAlign w:val="center"/>
                </w:tcPr>
                <w:p w14:paraId="49A6B7B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西侧</w:t>
                  </w:r>
                </w:p>
              </w:tc>
              <w:tc>
                <w:tcPr>
                  <w:tcW w:w="710" w:type="pct"/>
                  <w:noWrap w:val="0"/>
                  <w:vAlign w:val="center"/>
                </w:tcPr>
                <w:p w14:paraId="41ACF83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电力线</w:t>
                  </w:r>
                  <w:r>
                    <w:rPr>
                      <w:rFonts w:hint="default" w:ascii="Times New Roman" w:hAnsi="Times New Roman" w:cs="Times New Roman"/>
                      <w:color w:val="auto"/>
                      <w:sz w:val="21"/>
                      <w:szCs w:val="21"/>
                      <w:highlight w:val="none"/>
                      <w:lang w:val="en-US" w:eastAsia="zh-CN"/>
                    </w:rPr>
                    <w:t>（有绝缘层）</w:t>
                  </w:r>
                </w:p>
              </w:tc>
              <w:tc>
                <w:tcPr>
                  <w:tcW w:w="506" w:type="pct"/>
                  <w:noWrap w:val="0"/>
                  <w:vAlign w:val="center"/>
                </w:tcPr>
                <w:p w14:paraId="438102AE">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506" w:type="pct"/>
                  <w:noWrap w:val="0"/>
                  <w:vAlign w:val="center"/>
                </w:tcPr>
                <w:p w14:paraId="19B5C60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482" w:type="pct"/>
                  <w:noWrap w:val="0"/>
                  <w:vAlign w:val="center"/>
                </w:tcPr>
                <w:p w14:paraId="2FF1509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458" w:type="pct"/>
                  <w:noWrap w:val="0"/>
                  <w:vAlign w:val="center"/>
                </w:tcPr>
                <w:p w14:paraId="4DA20E5C">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46</w:t>
                  </w:r>
                </w:p>
              </w:tc>
              <w:tc>
                <w:tcPr>
                  <w:tcW w:w="494" w:type="pct"/>
                  <w:noWrap w:val="0"/>
                  <w:vAlign w:val="center"/>
                </w:tcPr>
                <w:p w14:paraId="4FCD989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457" w:type="pct"/>
                  <w:noWrap w:val="0"/>
                  <w:vAlign w:val="center"/>
                </w:tcPr>
                <w:p w14:paraId="23A3DC49">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458" w:type="pct"/>
                  <w:noWrap w:val="0"/>
                  <w:vAlign w:val="center"/>
                </w:tcPr>
                <w:p w14:paraId="1AEABB3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p>
              </w:tc>
              <w:tc>
                <w:tcPr>
                  <w:tcW w:w="463" w:type="pct"/>
                  <w:noWrap w:val="0"/>
                  <w:vAlign w:val="center"/>
                </w:tcPr>
                <w:p w14:paraId="736464DF">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41</w:t>
                  </w:r>
                </w:p>
              </w:tc>
            </w:tr>
            <w:tr w14:paraId="4FF3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3" w:type="pct"/>
                  <w:noWrap w:val="0"/>
                  <w:vAlign w:val="center"/>
                </w:tcPr>
                <w:p w14:paraId="0A16CA8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北侧</w:t>
                  </w:r>
                </w:p>
              </w:tc>
              <w:tc>
                <w:tcPr>
                  <w:tcW w:w="710" w:type="pct"/>
                  <w:noWrap w:val="0"/>
                  <w:vAlign w:val="center"/>
                </w:tcPr>
                <w:p w14:paraId="4A11E77B">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菜袁路（城市主干道）</w:t>
                  </w:r>
                </w:p>
              </w:tc>
              <w:tc>
                <w:tcPr>
                  <w:tcW w:w="506" w:type="pct"/>
                  <w:noWrap w:val="0"/>
                  <w:vAlign w:val="center"/>
                </w:tcPr>
                <w:p w14:paraId="5C9E6B5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5.5</w:t>
                  </w:r>
                </w:p>
              </w:tc>
              <w:tc>
                <w:tcPr>
                  <w:tcW w:w="506" w:type="pct"/>
                  <w:noWrap w:val="0"/>
                  <w:vAlign w:val="center"/>
                </w:tcPr>
                <w:p w14:paraId="1CFC615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482" w:type="pct"/>
                  <w:noWrap w:val="0"/>
                  <w:vAlign w:val="center"/>
                </w:tcPr>
                <w:p w14:paraId="3E09D0CE">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458" w:type="pct"/>
                  <w:noWrap w:val="0"/>
                  <w:vAlign w:val="center"/>
                </w:tcPr>
                <w:p w14:paraId="40CC3904">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494" w:type="pct"/>
                  <w:noWrap w:val="0"/>
                  <w:vAlign w:val="center"/>
                </w:tcPr>
                <w:p w14:paraId="08F1418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457" w:type="pct"/>
                  <w:noWrap w:val="0"/>
                  <w:vAlign w:val="center"/>
                </w:tcPr>
                <w:p w14:paraId="0231636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458" w:type="pct"/>
                  <w:noWrap w:val="0"/>
                  <w:vAlign w:val="center"/>
                </w:tcPr>
                <w:p w14:paraId="26045E12">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p>
              </w:tc>
              <w:tc>
                <w:tcPr>
                  <w:tcW w:w="463" w:type="pct"/>
                  <w:noWrap w:val="0"/>
                  <w:vAlign w:val="center"/>
                </w:tcPr>
                <w:p w14:paraId="24C01B82">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w:t>
                  </w:r>
                </w:p>
              </w:tc>
            </w:tr>
            <w:bookmarkEnd w:id="1"/>
            <w:bookmarkEnd w:id="2"/>
            <w:bookmarkEnd w:id="3"/>
          </w:tbl>
          <w:p w14:paraId="5ABFA2CF">
            <w:pPr>
              <w:keepNext/>
              <w:snapToGrid w:val="0"/>
              <w:spacing w:line="560" w:lineRule="exact"/>
              <w:jc w:val="center"/>
              <w:rPr>
                <w:rFonts w:hint="default" w:ascii="Times New Roman" w:hAnsi="Times New Roman" w:eastAsia="宋体" w:cs="Times New Roman"/>
                <w:b/>
                <w:bCs/>
                <w:color w:val="auto"/>
                <w:spacing w:val="2"/>
                <w:kern w:val="18"/>
                <w:position w:val="-2"/>
                <w:sz w:val="24"/>
                <w:highlight w:val="none"/>
              </w:rPr>
            </w:pPr>
            <w:r>
              <w:rPr>
                <w:rFonts w:hint="default" w:ascii="Times New Roman" w:hAnsi="Times New Roman" w:eastAsia="宋体" w:cs="Times New Roman"/>
                <w:b/>
                <w:bCs/>
                <w:color w:val="auto"/>
                <w:spacing w:val="2"/>
                <w:sz w:val="24"/>
                <w:highlight w:val="none"/>
              </w:rPr>
              <w:t>表1.</w:t>
            </w:r>
            <w:r>
              <w:rPr>
                <w:rFonts w:hint="default" w:ascii="Times New Roman" w:hAnsi="Times New Roman" w:eastAsia="宋体" w:cs="Times New Roman"/>
                <w:b/>
                <w:bCs/>
                <w:color w:val="auto"/>
                <w:spacing w:val="2"/>
                <w:sz w:val="24"/>
                <w:highlight w:val="none"/>
                <w:lang w:val="en-US" w:eastAsia="zh-CN"/>
              </w:rPr>
              <w:t>5</w:t>
            </w:r>
            <w:r>
              <w:rPr>
                <w:rFonts w:hint="default" w:ascii="Times New Roman" w:hAnsi="Times New Roman" w:eastAsia="宋体" w:cs="Times New Roman"/>
                <w:b/>
                <w:bCs/>
                <w:color w:val="auto"/>
                <w:spacing w:val="2"/>
                <w:sz w:val="24"/>
                <w:highlight w:val="none"/>
              </w:rPr>
              <w:t>-</w:t>
            </w:r>
            <w:r>
              <w:rPr>
                <w:rFonts w:hint="eastAsia" w:cs="Times New Roman"/>
                <w:b/>
                <w:bCs/>
                <w:color w:val="auto"/>
                <w:spacing w:val="2"/>
                <w:sz w:val="24"/>
                <w:highlight w:val="none"/>
                <w:lang w:val="en-US" w:eastAsia="zh-CN"/>
              </w:rPr>
              <w:t>3</w:t>
            </w:r>
            <w:r>
              <w:rPr>
                <w:rFonts w:hint="default" w:ascii="Times New Roman" w:hAnsi="Times New Roman" w:eastAsia="宋体" w:cs="Times New Roman"/>
                <w:b/>
                <w:bCs/>
                <w:color w:val="auto"/>
                <w:spacing w:val="2"/>
                <w:sz w:val="24"/>
                <w:highlight w:val="none"/>
              </w:rPr>
              <w:t xml:space="preserve"> </w:t>
            </w:r>
            <w:r>
              <w:rPr>
                <w:rFonts w:hint="default" w:ascii="Times New Roman" w:hAnsi="Times New Roman" w:eastAsia="宋体" w:cs="Times New Roman"/>
                <w:b/>
                <w:bCs/>
                <w:color w:val="auto"/>
                <w:spacing w:val="2"/>
                <w:sz w:val="24"/>
                <w:highlight w:val="none"/>
                <w:lang w:val="en-US" w:eastAsia="zh-CN"/>
              </w:rPr>
              <w:t>加油站柴</w:t>
            </w:r>
            <w:r>
              <w:rPr>
                <w:rFonts w:hint="default" w:ascii="Times New Roman" w:hAnsi="Times New Roman" w:eastAsia="宋体" w:cs="Times New Roman"/>
                <w:b/>
                <w:bCs/>
                <w:color w:val="auto"/>
                <w:spacing w:val="2"/>
                <w:sz w:val="24"/>
                <w:highlight w:val="none"/>
              </w:rPr>
              <w:t>油</w:t>
            </w:r>
            <w:r>
              <w:rPr>
                <w:rFonts w:hint="default" w:ascii="Times New Roman" w:hAnsi="Times New Roman" w:eastAsia="宋体" w:cs="Times New Roman"/>
                <w:b/>
                <w:bCs/>
                <w:color w:val="auto"/>
                <w:spacing w:val="2"/>
                <w:sz w:val="24"/>
                <w:highlight w:val="none"/>
                <w:lang w:val="en-US" w:eastAsia="zh-CN"/>
              </w:rPr>
              <w:t>设施</w:t>
            </w:r>
            <w:r>
              <w:rPr>
                <w:rFonts w:hint="default" w:ascii="Times New Roman" w:hAnsi="Times New Roman" w:eastAsia="宋体" w:cs="Times New Roman"/>
                <w:b/>
                <w:bCs/>
                <w:color w:val="auto"/>
                <w:spacing w:val="2"/>
                <w:sz w:val="24"/>
                <w:highlight w:val="none"/>
              </w:rPr>
              <w:t>与站外建构筑物的防火距离表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37"/>
              <w:gridCol w:w="904"/>
              <w:gridCol w:w="862"/>
              <w:gridCol w:w="887"/>
              <w:gridCol w:w="859"/>
              <w:gridCol w:w="886"/>
              <w:gridCol w:w="925"/>
            </w:tblGrid>
            <w:tr w14:paraId="65DD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pct"/>
                  <w:vMerge w:val="restart"/>
                  <w:noWrap w:val="0"/>
                  <w:vAlign w:val="center"/>
                </w:tcPr>
                <w:p w14:paraId="05A4014D">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方位</w:t>
                  </w:r>
                </w:p>
              </w:tc>
              <w:tc>
                <w:tcPr>
                  <w:tcW w:w="1116" w:type="pct"/>
                  <w:vMerge w:val="restart"/>
                  <w:noWrap w:val="0"/>
                  <w:vAlign w:val="center"/>
                </w:tcPr>
                <w:p w14:paraId="4A4A093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1135" w:type="pct"/>
                  <w:gridSpan w:val="2"/>
                  <w:noWrap w:val="0"/>
                  <w:vAlign w:val="center"/>
                </w:tcPr>
                <w:p w14:paraId="321FFC0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汽油</w:t>
                  </w:r>
                  <w:r>
                    <w:rPr>
                      <w:rFonts w:hint="default" w:ascii="Times New Roman" w:hAnsi="Times New Roman" w:eastAsia="宋体" w:cs="Times New Roman"/>
                      <w:color w:val="auto"/>
                      <w:sz w:val="21"/>
                      <w:szCs w:val="21"/>
                      <w:highlight w:val="none"/>
                    </w:rPr>
                    <w:t>埋地油罐</w:t>
                  </w:r>
                </w:p>
              </w:tc>
              <w:tc>
                <w:tcPr>
                  <w:tcW w:w="1122" w:type="pct"/>
                  <w:gridSpan w:val="2"/>
                  <w:noWrap w:val="0"/>
                  <w:vAlign w:val="center"/>
                </w:tcPr>
                <w:p w14:paraId="440729F5">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通气管管口</w:t>
                  </w:r>
                </w:p>
              </w:tc>
              <w:tc>
                <w:tcPr>
                  <w:tcW w:w="1164" w:type="pct"/>
                  <w:gridSpan w:val="2"/>
                  <w:noWrap w:val="0"/>
                  <w:vAlign w:val="center"/>
                </w:tcPr>
                <w:p w14:paraId="0F54A41A">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加油机</w:t>
                  </w:r>
                </w:p>
              </w:tc>
            </w:tr>
            <w:tr w14:paraId="5320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pct"/>
                  <w:vMerge w:val="continue"/>
                  <w:noWrap w:val="0"/>
                  <w:vAlign w:val="center"/>
                </w:tcPr>
                <w:p w14:paraId="38C12E4B">
                  <w:pPr>
                    <w:adjustRightInd w:val="0"/>
                    <w:snapToGrid w:val="0"/>
                    <w:jc w:val="center"/>
                    <w:rPr>
                      <w:rFonts w:hint="default" w:ascii="Times New Roman" w:hAnsi="Times New Roman" w:eastAsia="宋体" w:cs="Times New Roman"/>
                      <w:color w:val="auto"/>
                      <w:sz w:val="21"/>
                      <w:szCs w:val="21"/>
                      <w:highlight w:val="none"/>
                    </w:rPr>
                  </w:pPr>
                </w:p>
              </w:tc>
              <w:tc>
                <w:tcPr>
                  <w:tcW w:w="1116" w:type="pct"/>
                  <w:vMerge w:val="continue"/>
                  <w:noWrap w:val="0"/>
                  <w:vAlign w:val="center"/>
                </w:tcPr>
                <w:p w14:paraId="076D76FF">
                  <w:pPr>
                    <w:adjustRightInd w:val="0"/>
                    <w:snapToGrid w:val="0"/>
                    <w:jc w:val="center"/>
                    <w:rPr>
                      <w:rFonts w:hint="default" w:ascii="Times New Roman" w:hAnsi="Times New Roman" w:eastAsia="宋体" w:cs="Times New Roman"/>
                      <w:color w:val="auto"/>
                      <w:sz w:val="21"/>
                      <w:szCs w:val="21"/>
                      <w:highlight w:val="none"/>
                    </w:rPr>
                  </w:pPr>
                </w:p>
              </w:tc>
              <w:tc>
                <w:tcPr>
                  <w:tcW w:w="581" w:type="pct"/>
                  <w:noWrap w:val="0"/>
                  <w:vAlign w:val="center"/>
                </w:tcPr>
                <w:p w14:paraId="7FD5DE23">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规范距离（m）</w:t>
                  </w:r>
                </w:p>
              </w:tc>
              <w:tc>
                <w:tcPr>
                  <w:tcW w:w="554" w:type="pct"/>
                  <w:noWrap w:val="0"/>
                  <w:vAlign w:val="center"/>
                </w:tcPr>
                <w:p w14:paraId="479F96B1">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总图距离（m）</w:t>
                  </w:r>
                </w:p>
              </w:tc>
              <w:tc>
                <w:tcPr>
                  <w:tcW w:w="570" w:type="pct"/>
                  <w:noWrap w:val="0"/>
                  <w:vAlign w:val="center"/>
                </w:tcPr>
                <w:p w14:paraId="25EE61C7">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规范距离（m）</w:t>
                  </w:r>
                </w:p>
              </w:tc>
              <w:tc>
                <w:tcPr>
                  <w:tcW w:w="552" w:type="pct"/>
                  <w:noWrap w:val="0"/>
                  <w:vAlign w:val="center"/>
                </w:tcPr>
                <w:p w14:paraId="4FB24D5F">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总图距离（m）</w:t>
                  </w:r>
                </w:p>
              </w:tc>
              <w:tc>
                <w:tcPr>
                  <w:tcW w:w="569" w:type="pct"/>
                  <w:noWrap w:val="0"/>
                  <w:vAlign w:val="center"/>
                </w:tcPr>
                <w:p w14:paraId="5C6999DE">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规范距离（m）</w:t>
                  </w:r>
                </w:p>
              </w:tc>
              <w:tc>
                <w:tcPr>
                  <w:tcW w:w="594" w:type="pct"/>
                  <w:noWrap w:val="0"/>
                  <w:vAlign w:val="center"/>
                </w:tcPr>
                <w:p w14:paraId="06D7FB79">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总图距离（m）</w:t>
                  </w:r>
                </w:p>
              </w:tc>
            </w:tr>
            <w:tr w14:paraId="6D4D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60" w:type="pct"/>
                  <w:noWrap w:val="0"/>
                  <w:vAlign w:val="center"/>
                </w:tcPr>
                <w:p w14:paraId="5D840F6C">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东侧</w:t>
                  </w:r>
                </w:p>
              </w:tc>
              <w:tc>
                <w:tcPr>
                  <w:tcW w:w="1116" w:type="pct"/>
                  <w:noWrap w:val="0"/>
                  <w:vAlign w:val="center"/>
                </w:tcPr>
                <w:p w14:paraId="088B1A37">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公路</w:t>
                  </w:r>
                  <w:r>
                    <w:rPr>
                      <w:rFonts w:hint="default" w:ascii="Times New Roman" w:hAnsi="Times New Roman" w:cs="Times New Roman"/>
                      <w:color w:val="auto"/>
                      <w:sz w:val="21"/>
                      <w:szCs w:val="21"/>
                      <w:highlight w:val="none"/>
                      <w:lang w:val="en-US" w:eastAsia="zh-CN"/>
                    </w:rPr>
                    <w:t>（支路）</w:t>
                  </w:r>
                </w:p>
              </w:tc>
              <w:tc>
                <w:tcPr>
                  <w:tcW w:w="581" w:type="pct"/>
                  <w:noWrap w:val="0"/>
                  <w:vAlign w:val="center"/>
                </w:tcPr>
                <w:p w14:paraId="46D80C4A">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554" w:type="pct"/>
                  <w:noWrap w:val="0"/>
                  <w:vAlign w:val="center"/>
                </w:tcPr>
                <w:p w14:paraId="76BB8F72">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32</w:t>
                  </w:r>
                </w:p>
              </w:tc>
              <w:tc>
                <w:tcPr>
                  <w:tcW w:w="570" w:type="pct"/>
                  <w:noWrap w:val="0"/>
                  <w:vAlign w:val="center"/>
                </w:tcPr>
                <w:p w14:paraId="6C73EA94">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552" w:type="pct"/>
                  <w:noWrap w:val="0"/>
                  <w:vAlign w:val="center"/>
                </w:tcPr>
                <w:p w14:paraId="2489A861">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w:t>
                  </w:r>
                </w:p>
              </w:tc>
              <w:tc>
                <w:tcPr>
                  <w:tcW w:w="569" w:type="pct"/>
                  <w:noWrap w:val="0"/>
                  <w:vAlign w:val="center"/>
                </w:tcPr>
                <w:p w14:paraId="046082F1">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594" w:type="pct"/>
                  <w:noWrap w:val="0"/>
                  <w:vAlign w:val="center"/>
                </w:tcPr>
                <w:p w14:paraId="0050B03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r w14:paraId="183E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pct"/>
                  <w:noWrap w:val="0"/>
                  <w:vAlign w:val="center"/>
                </w:tcPr>
                <w:p w14:paraId="65FC7E85">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南侧</w:t>
                  </w:r>
                </w:p>
              </w:tc>
              <w:tc>
                <w:tcPr>
                  <w:tcW w:w="1116" w:type="pct"/>
                  <w:noWrap w:val="0"/>
                  <w:vAlign w:val="center"/>
                </w:tcPr>
                <w:p w14:paraId="33A9724E">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小区</w:t>
                  </w:r>
                  <w:r>
                    <w:rPr>
                      <w:rFonts w:hint="default" w:ascii="Times New Roman" w:hAnsi="Times New Roman" w:cs="Times New Roman"/>
                      <w:color w:val="auto"/>
                      <w:sz w:val="21"/>
                      <w:szCs w:val="21"/>
                      <w:highlight w:val="none"/>
                      <w:lang w:val="en-US" w:eastAsia="zh-CN"/>
                    </w:rPr>
                    <w:t>（二类保护物）</w:t>
                  </w:r>
                </w:p>
              </w:tc>
              <w:tc>
                <w:tcPr>
                  <w:tcW w:w="581" w:type="pct"/>
                  <w:noWrap w:val="0"/>
                  <w:vAlign w:val="center"/>
                </w:tcPr>
                <w:p w14:paraId="5A1BDB7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554" w:type="pct"/>
                  <w:noWrap w:val="0"/>
                  <w:vAlign w:val="center"/>
                </w:tcPr>
                <w:p w14:paraId="7507D0E6">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76.2</w:t>
                  </w:r>
                </w:p>
              </w:tc>
              <w:tc>
                <w:tcPr>
                  <w:tcW w:w="570" w:type="pct"/>
                  <w:noWrap w:val="0"/>
                  <w:vAlign w:val="center"/>
                </w:tcPr>
                <w:p w14:paraId="23D1CE95">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552" w:type="pct"/>
                  <w:noWrap w:val="0"/>
                  <w:vAlign w:val="center"/>
                </w:tcPr>
                <w:p w14:paraId="562065D5">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76.2</w:t>
                  </w:r>
                </w:p>
              </w:tc>
              <w:tc>
                <w:tcPr>
                  <w:tcW w:w="569" w:type="pct"/>
                  <w:noWrap w:val="0"/>
                  <w:vAlign w:val="center"/>
                </w:tcPr>
                <w:p w14:paraId="7A3E9982">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594" w:type="pct"/>
                  <w:noWrap w:val="0"/>
                  <w:vAlign w:val="center"/>
                </w:tcPr>
                <w:p w14:paraId="7F341F6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116</w:t>
                  </w:r>
                </w:p>
              </w:tc>
            </w:tr>
            <w:tr w14:paraId="4287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pct"/>
                  <w:noWrap w:val="0"/>
                  <w:vAlign w:val="center"/>
                </w:tcPr>
                <w:p w14:paraId="6396C86A">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西侧</w:t>
                  </w:r>
                </w:p>
              </w:tc>
              <w:tc>
                <w:tcPr>
                  <w:tcW w:w="1116" w:type="pct"/>
                  <w:noWrap w:val="0"/>
                  <w:vAlign w:val="center"/>
                </w:tcPr>
                <w:p w14:paraId="3DD3A9E6">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小区</w:t>
                  </w:r>
                  <w:r>
                    <w:rPr>
                      <w:rFonts w:hint="default" w:ascii="Times New Roman" w:hAnsi="Times New Roman" w:cs="Times New Roman"/>
                      <w:color w:val="auto"/>
                      <w:sz w:val="21"/>
                      <w:szCs w:val="21"/>
                      <w:highlight w:val="none"/>
                      <w:lang w:val="en-US" w:eastAsia="zh-CN"/>
                    </w:rPr>
                    <w:t>（二类保护物）</w:t>
                  </w:r>
                </w:p>
              </w:tc>
              <w:tc>
                <w:tcPr>
                  <w:tcW w:w="581" w:type="pct"/>
                  <w:noWrap w:val="0"/>
                  <w:vAlign w:val="center"/>
                </w:tcPr>
                <w:p w14:paraId="694337D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554" w:type="pct"/>
                  <w:noWrap w:val="0"/>
                  <w:vAlign w:val="center"/>
                </w:tcPr>
                <w:p w14:paraId="69F1222B">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71</w:t>
                  </w:r>
                </w:p>
              </w:tc>
              <w:tc>
                <w:tcPr>
                  <w:tcW w:w="570" w:type="pct"/>
                  <w:noWrap w:val="0"/>
                  <w:vAlign w:val="center"/>
                </w:tcPr>
                <w:p w14:paraId="1317B8B7">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552" w:type="pct"/>
                  <w:noWrap w:val="0"/>
                  <w:vAlign w:val="center"/>
                </w:tcPr>
                <w:p w14:paraId="5902881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59</w:t>
                  </w:r>
                </w:p>
              </w:tc>
              <w:tc>
                <w:tcPr>
                  <w:tcW w:w="569" w:type="pct"/>
                  <w:noWrap w:val="0"/>
                  <w:vAlign w:val="center"/>
                </w:tcPr>
                <w:p w14:paraId="738E4C67">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594" w:type="pct"/>
                  <w:noWrap w:val="0"/>
                  <w:vAlign w:val="center"/>
                </w:tcPr>
                <w:p w14:paraId="19F9747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53</w:t>
                  </w:r>
                </w:p>
              </w:tc>
            </w:tr>
            <w:tr w14:paraId="02A5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pct"/>
                  <w:noWrap w:val="0"/>
                  <w:vAlign w:val="center"/>
                </w:tcPr>
                <w:p w14:paraId="76B7F41F">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西侧</w:t>
                  </w:r>
                </w:p>
              </w:tc>
              <w:tc>
                <w:tcPr>
                  <w:tcW w:w="1116" w:type="pct"/>
                  <w:noWrap w:val="0"/>
                  <w:vAlign w:val="center"/>
                </w:tcPr>
                <w:p w14:paraId="057ED5EB">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医院</w:t>
                  </w:r>
                  <w:r>
                    <w:rPr>
                      <w:rFonts w:hint="default" w:ascii="Times New Roman" w:hAnsi="Times New Roman" w:cs="Times New Roman"/>
                      <w:color w:val="auto"/>
                      <w:sz w:val="21"/>
                      <w:szCs w:val="21"/>
                      <w:highlight w:val="none"/>
                      <w:lang w:val="en-US" w:eastAsia="zh-CN"/>
                    </w:rPr>
                    <w:t>（重要公共建筑物）</w:t>
                  </w:r>
                </w:p>
              </w:tc>
              <w:tc>
                <w:tcPr>
                  <w:tcW w:w="581" w:type="pct"/>
                  <w:noWrap w:val="0"/>
                  <w:vAlign w:val="center"/>
                </w:tcPr>
                <w:p w14:paraId="3576F459">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554" w:type="pct"/>
                  <w:noWrap w:val="0"/>
                  <w:vAlign w:val="center"/>
                </w:tcPr>
                <w:p w14:paraId="3CD546E2">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63</w:t>
                  </w:r>
                </w:p>
              </w:tc>
              <w:tc>
                <w:tcPr>
                  <w:tcW w:w="570" w:type="pct"/>
                  <w:noWrap w:val="0"/>
                  <w:vAlign w:val="center"/>
                </w:tcPr>
                <w:p w14:paraId="1C0F9D64">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552" w:type="pct"/>
                  <w:noWrap w:val="0"/>
                  <w:vAlign w:val="center"/>
                </w:tcPr>
                <w:p w14:paraId="1A7EE8C1">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69</w:t>
                  </w:r>
                </w:p>
              </w:tc>
              <w:tc>
                <w:tcPr>
                  <w:tcW w:w="569" w:type="pct"/>
                  <w:noWrap w:val="0"/>
                  <w:vAlign w:val="center"/>
                </w:tcPr>
                <w:p w14:paraId="0F91D00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594" w:type="pct"/>
                  <w:noWrap w:val="0"/>
                  <w:vAlign w:val="center"/>
                </w:tcPr>
                <w:p w14:paraId="5D4824A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54</w:t>
                  </w:r>
                </w:p>
              </w:tc>
            </w:tr>
            <w:tr w14:paraId="21BC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pct"/>
                  <w:noWrap w:val="0"/>
                  <w:vAlign w:val="center"/>
                </w:tcPr>
                <w:p w14:paraId="2A6A974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西侧</w:t>
                  </w:r>
                </w:p>
              </w:tc>
              <w:tc>
                <w:tcPr>
                  <w:tcW w:w="1116" w:type="pct"/>
                  <w:noWrap w:val="0"/>
                  <w:vAlign w:val="center"/>
                </w:tcPr>
                <w:p w14:paraId="5C9AF90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电力线</w:t>
                  </w:r>
                  <w:r>
                    <w:rPr>
                      <w:rFonts w:hint="default" w:ascii="Times New Roman" w:hAnsi="Times New Roman" w:cs="Times New Roman"/>
                      <w:color w:val="auto"/>
                      <w:sz w:val="21"/>
                      <w:szCs w:val="21"/>
                      <w:highlight w:val="none"/>
                      <w:lang w:val="en-US" w:eastAsia="zh-CN"/>
                    </w:rPr>
                    <w:t>（有绝缘层）</w:t>
                  </w:r>
                </w:p>
              </w:tc>
              <w:tc>
                <w:tcPr>
                  <w:tcW w:w="581" w:type="pct"/>
                  <w:noWrap w:val="0"/>
                  <w:vAlign w:val="center"/>
                </w:tcPr>
                <w:p w14:paraId="327A5D73">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554" w:type="pct"/>
                  <w:noWrap w:val="0"/>
                  <w:vAlign w:val="center"/>
                </w:tcPr>
                <w:p w14:paraId="27996688">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58</w:t>
                  </w:r>
                </w:p>
              </w:tc>
              <w:tc>
                <w:tcPr>
                  <w:tcW w:w="570" w:type="pct"/>
                  <w:noWrap w:val="0"/>
                  <w:vAlign w:val="center"/>
                </w:tcPr>
                <w:p w14:paraId="18B9D405">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552" w:type="pct"/>
                  <w:noWrap w:val="0"/>
                  <w:vAlign w:val="center"/>
                </w:tcPr>
                <w:p w14:paraId="3D5D88FB">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46</w:t>
                  </w:r>
                </w:p>
              </w:tc>
              <w:tc>
                <w:tcPr>
                  <w:tcW w:w="569" w:type="pct"/>
                  <w:noWrap w:val="0"/>
                  <w:vAlign w:val="center"/>
                </w:tcPr>
                <w:p w14:paraId="333AB2A4">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594" w:type="pct"/>
                  <w:noWrap w:val="0"/>
                  <w:vAlign w:val="center"/>
                </w:tcPr>
                <w:p w14:paraId="6E3C02FB">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r>
            <w:tr w14:paraId="4CEE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pct"/>
                  <w:noWrap w:val="0"/>
                  <w:vAlign w:val="center"/>
                </w:tcPr>
                <w:p w14:paraId="0579D7A0">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北侧</w:t>
                  </w:r>
                </w:p>
              </w:tc>
              <w:tc>
                <w:tcPr>
                  <w:tcW w:w="1116" w:type="pct"/>
                  <w:noWrap w:val="0"/>
                  <w:vAlign w:val="center"/>
                </w:tcPr>
                <w:p w14:paraId="715F36DC">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菜袁路（城市主干道）</w:t>
                  </w:r>
                </w:p>
              </w:tc>
              <w:tc>
                <w:tcPr>
                  <w:tcW w:w="581" w:type="pct"/>
                  <w:noWrap w:val="0"/>
                  <w:vAlign w:val="center"/>
                </w:tcPr>
                <w:p w14:paraId="3B5EA985">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554" w:type="pct"/>
                  <w:noWrap w:val="0"/>
                  <w:vAlign w:val="center"/>
                </w:tcPr>
                <w:p w14:paraId="1E4AD5E4">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31</w:t>
                  </w:r>
                </w:p>
              </w:tc>
              <w:tc>
                <w:tcPr>
                  <w:tcW w:w="570" w:type="pct"/>
                  <w:noWrap w:val="0"/>
                  <w:vAlign w:val="center"/>
                </w:tcPr>
                <w:p w14:paraId="41EE91FA">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552" w:type="pct"/>
                  <w:noWrap w:val="0"/>
                  <w:vAlign w:val="center"/>
                </w:tcPr>
                <w:p w14:paraId="02A657F4">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14</w:t>
                  </w:r>
                </w:p>
              </w:tc>
              <w:tc>
                <w:tcPr>
                  <w:tcW w:w="569" w:type="pct"/>
                  <w:noWrap w:val="0"/>
                  <w:vAlign w:val="center"/>
                </w:tcPr>
                <w:p w14:paraId="0C5F3FCD">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594" w:type="pct"/>
                  <w:noWrap w:val="0"/>
                  <w:vAlign w:val="center"/>
                </w:tcPr>
                <w:p w14:paraId="0FA1C7FA">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13</w:t>
                  </w:r>
                </w:p>
              </w:tc>
            </w:tr>
          </w:tbl>
          <w:p w14:paraId="201E4F13">
            <w:pPr>
              <w:adjustRightInd w:val="0"/>
              <w:snapToGrid w:val="0"/>
              <w:spacing w:line="240" w:lineRule="auto"/>
              <w:ind w:firstLine="480" w:firstLineChars="200"/>
              <w:rPr>
                <w:rFonts w:hint="default" w:ascii="Times New Roman" w:hAnsi="Times New Roman" w:eastAsia="宋体" w:cs="Times New Roman"/>
                <w:bCs/>
                <w:color w:val="auto"/>
                <w:sz w:val="24"/>
              </w:rPr>
            </w:pPr>
          </w:p>
          <w:p w14:paraId="082201D8">
            <w:pPr>
              <w:adjustRightInd w:val="0"/>
              <w:snapToGrid w:val="0"/>
              <w:spacing w:line="460" w:lineRule="exact"/>
              <w:ind w:firstLine="480" w:firstLineChars="200"/>
              <w:rPr>
                <w:rFonts w:hint="default" w:ascii="Times New Roman" w:hAnsi="Times New Roman" w:eastAsia="宋体" w:cs="Times New Roman"/>
                <w:color w:val="auto"/>
                <w:szCs w:val="26"/>
                <w:highlight w:val="yellow"/>
              </w:rPr>
            </w:pPr>
            <w:r>
              <w:rPr>
                <w:rFonts w:hint="default" w:ascii="Times New Roman" w:hAnsi="Times New Roman" w:eastAsia="宋体" w:cs="Times New Roman"/>
                <w:bCs/>
                <w:color w:val="auto"/>
                <w:sz w:val="24"/>
              </w:rPr>
              <w:t>由表1.</w:t>
            </w:r>
            <w:r>
              <w:rPr>
                <w:rFonts w:hint="default" w:ascii="Times New Roman" w:hAnsi="Times New Roman" w:eastAsia="宋体" w:cs="Times New Roman"/>
                <w:bCs/>
                <w:color w:val="auto"/>
                <w:sz w:val="24"/>
                <w:lang w:val="en-US" w:eastAsia="zh-CN"/>
              </w:rPr>
              <w:t>5</w:t>
            </w:r>
            <w:r>
              <w:rPr>
                <w:rFonts w:hint="default" w:ascii="Times New Roman" w:hAnsi="Times New Roman" w:eastAsia="宋体" w:cs="Times New Roman"/>
                <w:bCs/>
                <w:color w:val="auto"/>
                <w:sz w:val="24"/>
              </w:rPr>
              <w:t>-2~1.</w:t>
            </w:r>
            <w:r>
              <w:rPr>
                <w:rFonts w:hint="default" w:ascii="Times New Roman" w:hAnsi="Times New Roman" w:eastAsia="宋体" w:cs="Times New Roman"/>
                <w:bCs/>
                <w:color w:val="auto"/>
                <w:sz w:val="24"/>
                <w:lang w:val="en-US" w:eastAsia="zh-CN"/>
              </w:rPr>
              <w:t>5</w:t>
            </w:r>
            <w:r>
              <w:rPr>
                <w:rFonts w:hint="default" w:ascii="Times New Roman" w:hAnsi="Times New Roman" w:eastAsia="宋体" w:cs="Times New Roman"/>
                <w:bCs/>
                <w:color w:val="auto"/>
                <w:sz w:val="24"/>
              </w:rPr>
              <w:t>-3可知，本加油站汽油（柴油）工艺设备与站外建（构）筑物的安全距离符合《汽车加油加气加氢站技术标准》（GB50156-2021）要求。</w:t>
            </w:r>
          </w:p>
        </w:tc>
      </w:tr>
    </w:tbl>
    <w:p w14:paraId="447D0803">
      <w:pPr>
        <w:pStyle w:val="16"/>
        <w:jc w:val="center"/>
        <w:outlineLvl w:val="0"/>
        <w:rPr>
          <w:rFonts w:hint="default" w:ascii="Times New Roman" w:hAnsi="Times New Roman" w:eastAsia="宋体" w:cs="Times New Roman"/>
          <w:color w:val="auto"/>
          <w:sz w:val="26"/>
          <w:szCs w:val="26"/>
          <w:highlight w:val="yellow"/>
        </w:rPr>
        <w:sectPr>
          <w:pgSz w:w="11906" w:h="16838"/>
          <w:pgMar w:top="1701" w:right="1531" w:bottom="1701" w:left="1531" w:header="851" w:footer="850" w:gutter="0"/>
          <w:pgNumType w:fmt="decimal"/>
          <w:cols w:space="720" w:num="1"/>
          <w:docGrid w:linePitch="312" w:charSpace="0"/>
        </w:sectPr>
      </w:pPr>
    </w:p>
    <w:p w14:paraId="1770CCFE">
      <w:pPr>
        <w:pStyle w:val="16"/>
        <w:jc w:val="center"/>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sz w:val="30"/>
          <w:szCs w:val="30"/>
        </w:rPr>
        <w:t>二、建设项目工程分析</w:t>
      </w:r>
    </w:p>
    <w:tbl>
      <w:tblPr>
        <w:tblStyle w:val="19"/>
        <w:tblW w:w="546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976"/>
      </w:tblGrid>
      <w:tr w14:paraId="28C8F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9" w:hRule="atLeast"/>
          <w:jc w:val="center"/>
        </w:trPr>
        <w:tc>
          <w:tcPr>
            <w:tcW w:w="339" w:type="pct"/>
            <w:noWrap w:val="0"/>
            <w:vAlign w:val="center"/>
          </w:tcPr>
          <w:p w14:paraId="2EF74239">
            <w:pPr>
              <w:pStyle w:val="16"/>
              <w:adjustRightInd w:val="0"/>
              <w:snapToGrid w:val="0"/>
              <w:spacing w:before="0" w:beforeAutospacing="0" w:after="0" w:afterAutospacing="0" w:line="360" w:lineRule="auto"/>
              <w:jc w:val="center"/>
              <w:rPr>
                <w:rFonts w:hint="default" w:ascii="Times New Roman" w:hAnsi="Times New Roman" w:eastAsia="宋体" w:cs="Times New Roman"/>
                <w:color w:val="auto"/>
                <w:sz w:val="26"/>
                <w:szCs w:val="26"/>
                <w:highlight w:val="yellow"/>
              </w:rPr>
            </w:pPr>
            <w:r>
              <w:rPr>
                <w:rFonts w:hint="default" w:ascii="Times New Roman" w:hAnsi="Times New Roman" w:eastAsia="宋体" w:cs="Times New Roman"/>
                <w:color w:val="auto"/>
                <w:szCs w:val="26"/>
              </w:rPr>
              <w:t>建设内容</w:t>
            </w:r>
          </w:p>
        </w:tc>
        <w:tc>
          <w:tcPr>
            <w:tcW w:w="4660" w:type="pct"/>
            <w:noWrap w:val="0"/>
            <w:vAlign w:val="top"/>
          </w:tcPr>
          <w:p w14:paraId="5372B73B">
            <w:pPr>
              <w:adjustRightInd w:val="0"/>
              <w:snapToGrid w:val="0"/>
              <w:spacing w:line="360" w:lineRule="auto"/>
              <w:jc w:val="left"/>
              <w:rPr>
                <w:rFonts w:hint="default" w:ascii="Times New Roman" w:hAnsi="Times New Roman" w:eastAsia="宋体" w:cs="Times New Roman"/>
                <w:b/>
                <w:color w:val="auto"/>
                <w:sz w:val="28"/>
                <w:szCs w:val="26"/>
              </w:rPr>
            </w:pPr>
            <w:r>
              <w:rPr>
                <w:rFonts w:hint="default" w:ascii="Times New Roman" w:hAnsi="Times New Roman" w:eastAsia="宋体" w:cs="Times New Roman"/>
                <w:b/>
                <w:color w:val="auto"/>
                <w:sz w:val="28"/>
                <w:szCs w:val="26"/>
              </w:rPr>
              <w:t>2.1项目由来</w:t>
            </w:r>
          </w:p>
          <w:p w14:paraId="1793E592">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中国石油天然气股份有限公司重庆销售分公司渝中加油站（以下简称“现有工程”）位于</w:t>
            </w:r>
            <w:r>
              <w:rPr>
                <w:rFonts w:hint="default" w:ascii="Times New Roman" w:hAnsi="Times New Roman" w:eastAsia="宋体" w:cs="Times New Roman"/>
                <w:bCs/>
                <w:color w:val="auto"/>
                <w:kern w:val="0"/>
                <w:sz w:val="24"/>
              </w:rPr>
              <w:t>重庆市九龙坡区谢家湾菜袁路，</w:t>
            </w:r>
            <w:r>
              <w:rPr>
                <w:rFonts w:hint="default" w:ascii="Times New Roman" w:hAnsi="Times New Roman" w:eastAsia="宋体" w:cs="Times New Roman"/>
                <w:bCs/>
                <w:color w:val="auto"/>
                <w:sz w:val="24"/>
                <w:szCs w:val="26"/>
              </w:rPr>
              <w:t>主要经营成品油零售业务，为过往车辆加油。渝中加油站于2004年6月通过竣工环境保护验收。工程占地面积约3077m</w:t>
            </w:r>
            <w:r>
              <w:rPr>
                <w:rFonts w:hint="default" w:ascii="Times New Roman" w:hAnsi="Times New Roman" w:eastAsia="宋体" w:cs="Times New Roman"/>
                <w:bCs/>
                <w:color w:val="auto"/>
                <w:sz w:val="24"/>
                <w:szCs w:val="26"/>
                <w:vertAlign w:val="superscript"/>
              </w:rPr>
              <w:t>2</w:t>
            </w:r>
            <w:r>
              <w:rPr>
                <w:rFonts w:hint="default" w:ascii="Times New Roman" w:hAnsi="Times New Roman" w:eastAsia="宋体" w:cs="Times New Roman"/>
                <w:bCs/>
                <w:color w:val="auto"/>
                <w:sz w:val="24"/>
                <w:szCs w:val="26"/>
              </w:rPr>
              <w:t>，为三级加油站，建设4</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bCs/>
                <w:color w:val="auto"/>
                <w:sz w:val="24"/>
                <w:szCs w:val="26"/>
              </w:rPr>
              <w:t>15m</w:t>
            </w:r>
            <w:r>
              <w:rPr>
                <w:rFonts w:hint="default" w:ascii="Times New Roman" w:hAnsi="Times New Roman" w:eastAsia="宋体" w:cs="Times New Roman"/>
                <w:bCs/>
                <w:color w:val="auto"/>
                <w:sz w:val="24"/>
                <w:szCs w:val="26"/>
                <w:vertAlign w:val="superscript"/>
              </w:rPr>
              <w:t>3</w:t>
            </w:r>
            <w:r>
              <w:rPr>
                <w:rFonts w:hint="default" w:ascii="Times New Roman" w:hAnsi="Times New Roman" w:eastAsia="宋体" w:cs="Times New Roman"/>
                <w:bCs/>
                <w:color w:val="auto"/>
                <w:sz w:val="24"/>
                <w:szCs w:val="26"/>
              </w:rPr>
              <w:t>储罐，其中汽油储罐3</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bCs/>
                <w:color w:val="auto"/>
                <w:sz w:val="24"/>
                <w:szCs w:val="26"/>
              </w:rPr>
              <w:t>，柴油储罐1</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bCs/>
                <w:color w:val="auto"/>
                <w:sz w:val="24"/>
                <w:szCs w:val="26"/>
              </w:rPr>
              <w:t>。</w:t>
            </w:r>
          </w:p>
          <w:p w14:paraId="74A6ECED">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lang w:val="en-US" w:eastAsia="zh-CN"/>
              </w:rPr>
              <w:t>2021年，渝中加油站新增一套汽车快洗装置</w:t>
            </w:r>
            <w:r>
              <w:rPr>
                <w:rFonts w:hint="eastAsia" w:cs="Times New Roman"/>
                <w:bCs/>
                <w:color w:val="auto"/>
                <w:sz w:val="24"/>
                <w:szCs w:val="26"/>
                <w:lang w:val="en-US" w:eastAsia="zh-CN"/>
              </w:rPr>
              <w:t>，</w:t>
            </w:r>
            <w:r>
              <w:rPr>
                <w:rFonts w:hint="default" w:ascii="Times New Roman" w:hAnsi="Times New Roman" w:eastAsia="宋体" w:cs="Times New Roman"/>
                <w:bCs/>
                <w:color w:val="auto"/>
                <w:sz w:val="24"/>
                <w:szCs w:val="26"/>
              </w:rPr>
              <w:t>对照《建设项目环境影响评价分类管理名录（2021年版）》，无需办理环评手续</w:t>
            </w:r>
            <w:r>
              <w:rPr>
                <w:rFonts w:hint="default" w:ascii="Times New Roman" w:hAnsi="Times New Roman" w:eastAsia="宋体" w:cs="Times New Roman"/>
                <w:bCs/>
                <w:color w:val="auto"/>
                <w:sz w:val="24"/>
                <w:szCs w:val="26"/>
                <w:lang w:eastAsia="zh-CN"/>
              </w:rPr>
              <w:t>。</w:t>
            </w:r>
          </w:p>
          <w:p w14:paraId="40FAA67B">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随着车辆的增加，本加油站加油能力已经不足，因此中国石油天然气股份有限公司重庆销售分公司投资50万元于现有工程用地范围内对加油站原有油罐进行更换扩容，实施“</w:t>
            </w:r>
            <w:r>
              <w:rPr>
                <w:rFonts w:hint="default" w:ascii="Times New Roman" w:hAnsi="Times New Roman" w:eastAsia="宋体" w:cs="Times New Roman"/>
                <w:color w:val="auto"/>
                <w:sz w:val="24"/>
              </w:rPr>
              <w:t>中国石油渝中加油站更换油罐项目</w:t>
            </w:r>
            <w:r>
              <w:rPr>
                <w:rFonts w:hint="default" w:ascii="Times New Roman" w:hAnsi="Times New Roman" w:eastAsia="宋体" w:cs="Times New Roman"/>
                <w:bCs/>
                <w:color w:val="auto"/>
                <w:sz w:val="24"/>
                <w:szCs w:val="26"/>
              </w:rPr>
              <w:t>”（以下简称“本项目”）。2023年2月7日，本项目取得了重庆市九龙坡区发展和改革委员会下发同意的《重庆市企业投资项目备案证》（</w:t>
            </w:r>
            <w:r>
              <w:rPr>
                <w:rFonts w:hint="default" w:ascii="Times New Roman" w:hAnsi="Times New Roman" w:eastAsia="宋体" w:cs="Times New Roman"/>
                <w:color w:val="auto"/>
                <w:sz w:val="24"/>
              </w:rPr>
              <w:t>2302-500107-04-02-797031</w:t>
            </w:r>
            <w:r>
              <w:rPr>
                <w:rFonts w:hint="default" w:ascii="Times New Roman" w:hAnsi="Times New Roman" w:eastAsia="宋体" w:cs="Times New Roman"/>
                <w:bCs/>
                <w:color w:val="auto"/>
                <w:sz w:val="24"/>
                <w:szCs w:val="26"/>
              </w:rPr>
              <w:t>）。实施本项目后，渝中加油站总容积（柴油折半）从52.5m</w:t>
            </w:r>
            <w:r>
              <w:rPr>
                <w:rFonts w:hint="default" w:ascii="Times New Roman" w:hAnsi="Times New Roman" w:eastAsia="宋体" w:cs="Times New Roman"/>
                <w:bCs/>
                <w:color w:val="auto"/>
                <w:sz w:val="24"/>
                <w:szCs w:val="26"/>
                <w:vertAlign w:val="superscript"/>
              </w:rPr>
              <w:t>3</w:t>
            </w:r>
            <w:r>
              <w:rPr>
                <w:rFonts w:hint="default" w:ascii="Times New Roman" w:hAnsi="Times New Roman" w:eastAsia="宋体" w:cs="Times New Roman"/>
                <w:bCs/>
                <w:color w:val="auto"/>
                <w:sz w:val="24"/>
                <w:szCs w:val="26"/>
              </w:rPr>
              <w:t>调整为87.5m</w:t>
            </w:r>
            <w:r>
              <w:rPr>
                <w:rFonts w:hint="default" w:ascii="Times New Roman" w:hAnsi="Times New Roman" w:eastAsia="宋体" w:cs="Times New Roman"/>
                <w:bCs/>
                <w:color w:val="auto"/>
                <w:sz w:val="24"/>
                <w:szCs w:val="26"/>
                <w:vertAlign w:val="superscript"/>
              </w:rPr>
              <w:t>3</w:t>
            </w:r>
            <w:r>
              <w:rPr>
                <w:rFonts w:hint="default" w:ascii="Times New Roman" w:hAnsi="Times New Roman" w:eastAsia="宋体" w:cs="Times New Roman"/>
                <w:bCs/>
                <w:color w:val="auto"/>
                <w:sz w:val="24"/>
                <w:szCs w:val="26"/>
              </w:rPr>
              <w:t>。</w:t>
            </w:r>
          </w:p>
          <w:p w14:paraId="34D02D75">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根据《国民经济行业分类》（GB/T 4754-2017），项目属于F5265机动车燃料零售，根据《建设项目环境影响评价分类管理名录》（2021年版），本项目属于分类管理名录中“五十、社会事业与服务业，加油站—119加油、加气站—城市建成区新建、扩建加油站”，项目所在地为城市建成区，且本项目为扩建项目，因此应编制环境影响报告表。</w:t>
            </w:r>
          </w:p>
          <w:p w14:paraId="034657C0">
            <w:pPr>
              <w:pStyle w:val="14"/>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ascii="Times New Roman" w:hAnsi="Times New Roman" w:eastAsia="宋体" w:cs="Times New Roman"/>
                <w:bCs/>
                <w:color w:val="auto"/>
                <w:kern w:val="2"/>
                <w:sz w:val="24"/>
                <w:szCs w:val="26"/>
                <w:lang w:val="en-US" w:eastAsia="zh-CN" w:bidi="ar-SA"/>
              </w:rPr>
            </w:pPr>
            <w:r>
              <w:rPr>
                <w:rFonts w:hint="default" w:ascii="Times New Roman" w:hAnsi="Times New Roman" w:eastAsia="宋体" w:cs="Times New Roman"/>
                <w:bCs/>
                <w:color w:val="auto"/>
                <w:kern w:val="2"/>
                <w:sz w:val="24"/>
                <w:szCs w:val="26"/>
                <w:lang w:val="en-US" w:eastAsia="zh-CN" w:bidi="ar-SA"/>
              </w:rPr>
              <w:t>评价思路：本次实际建设内容为油罐更换扩容，本次评价将2021年新增汽车快洗装置作为现有工程进行详细梳理，纳入本次评价范围，并对现有工程的产排污进行重新核算。</w:t>
            </w:r>
          </w:p>
          <w:p w14:paraId="121F3A3D">
            <w:pPr>
              <w:adjustRightInd w:val="0"/>
              <w:snapToGrid w:val="0"/>
              <w:spacing w:line="360" w:lineRule="auto"/>
              <w:jc w:val="left"/>
              <w:rPr>
                <w:rFonts w:hint="default" w:ascii="Times New Roman" w:hAnsi="Times New Roman" w:eastAsia="宋体" w:cs="Times New Roman"/>
                <w:bCs/>
                <w:color w:val="auto"/>
                <w:sz w:val="28"/>
                <w:szCs w:val="26"/>
              </w:rPr>
            </w:pPr>
            <w:r>
              <w:rPr>
                <w:rFonts w:hint="default" w:ascii="Times New Roman" w:hAnsi="Times New Roman" w:eastAsia="宋体" w:cs="Times New Roman"/>
                <w:b/>
                <w:color w:val="auto"/>
                <w:sz w:val="28"/>
                <w:szCs w:val="26"/>
              </w:rPr>
              <w:t>2.2本项目建设内容</w:t>
            </w:r>
          </w:p>
          <w:p w14:paraId="5E3B6A2B">
            <w:pPr>
              <w:adjustRightInd w:val="0"/>
              <w:snapToGrid w:val="0"/>
              <w:spacing w:line="360" w:lineRule="auto"/>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2.2.1原料来源及运输</w:t>
            </w:r>
          </w:p>
          <w:p w14:paraId="1AB3930F">
            <w:pPr>
              <w:pStyle w:val="62"/>
              <w:spacing w:line="360" w:lineRule="auto"/>
              <w:ind w:firstLine="480"/>
              <w:rPr>
                <w:rFonts w:hint="default" w:ascii="Times New Roman" w:hAnsi="Times New Roman" w:eastAsia="宋体" w:cs="Times New Roman"/>
                <w:b/>
                <w:bCs w:val="0"/>
                <w:color w:val="auto"/>
                <w:sz w:val="24"/>
              </w:rPr>
            </w:pPr>
            <w:r>
              <w:rPr>
                <w:rFonts w:hint="default" w:ascii="Times New Roman" w:hAnsi="Times New Roman" w:eastAsia="宋体" w:cs="Times New Roman"/>
                <w:color w:val="auto"/>
                <w:sz w:val="24"/>
                <w:szCs w:val="24"/>
              </w:rPr>
              <w:t>渝中加油站主要销售汽油和0#柴油，</w:t>
            </w:r>
            <w:bookmarkStart w:id="4" w:name="_Hlk68807056"/>
            <w:r>
              <w:rPr>
                <w:rFonts w:hint="default" w:ascii="Times New Roman" w:hAnsi="Times New Roman" w:eastAsia="宋体" w:cs="Times New Roman"/>
                <w:color w:val="auto"/>
                <w:sz w:val="24"/>
                <w:szCs w:val="24"/>
              </w:rPr>
              <w:t>油品主要来自中国石油天然气股份有限公司</w:t>
            </w:r>
            <w:bookmarkEnd w:id="4"/>
            <w:r>
              <w:rPr>
                <w:rFonts w:hint="default" w:ascii="Times New Roman" w:hAnsi="Times New Roman" w:eastAsia="宋体" w:cs="Times New Roman"/>
                <w:color w:val="auto"/>
                <w:sz w:val="24"/>
                <w:szCs w:val="24"/>
              </w:rPr>
              <w:t>重庆销售分公司，油品经油罐车运输至加油站后，采用密闭卸油方式将油料注入埋地式油罐中。当向过往车辆售油时，通过潜油泵将油品从埋地式油罐中抽出，经加油机将油品注入汽车油箱。油品运输由中国石油天然气股份有限公司统一配送，本次环评不包括原料运输过程中的环境影响评价分析。</w:t>
            </w:r>
          </w:p>
          <w:p w14:paraId="0EA06D30">
            <w:pPr>
              <w:pStyle w:val="62"/>
              <w:spacing w:line="360" w:lineRule="auto"/>
              <w:ind w:firstLine="0" w:firstLineChars="0"/>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2.2.2建设规模及等级</w:t>
            </w:r>
          </w:p>
          <w:p w14:paraId="6C2545DC">
            <w:pPr>
              <w:pStyle w:val="62"/>
              <w:spacing w:line="360" w:lineRule="auto"/>
              <w:ind w:firstLine="480"/>
              <w:rPr>
                <w:rFonts w:hint="default" w:ascii="Times New Roman" w:hAnsi="Times New Roman" w:eastAsia="宋体" w:cs="Times New Roman"/>
                <w:color w:val="auto"/>
                <w:sz w:val="24"/>
                <w:szCs w:val="26"/>
              </w:rPr>
            </w:pPr>
            <w:r>
              <w:rPr>
                <w:rFonts w:hint="default" w:ascii="Times New Roman" w:hAnsi="Times New Roman" w:eastAsia="宋体" w:cs="Times New Roman"/>
                <w:bCs w:val="0"/>
                <w:color w:val="auto"/>
                <w:sz w:val="24"/>
                <w:szCs w:val="26"/>
              </w:rPr>
              <w:t>建设内容及规模：</w:t>
            </w:r>
            <w:r>
              <w:rPr>
                <w:rFonts w:hint="default" w:ascii="Times New Roman" w:hAnsi="Times New Roman" w:eastAsia="宋体" w:cs="Times New Roman"/>
                <w:color w:val="auto"/>
                <w:sz w:val="24"/>
                <w:szCs w:val="26"/>
              </w:rPr>
              <w:t>加油站现设有15m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的92#汽油罐2</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color w:val="auto"/>
                <w:sz w:val="24"/>
                <w:szCs w:val="26"/>
              </w:rPr>
              <w:t>，15m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的95#汽油罐1</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color w:val="auto"/>
                <w:sz w:val="24"/>
                <w:szCs w:val="26"/>
              </w:rPr>
              <w:t>，15m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的0#柴油罐1</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color w:val="auto"/>
                <w:sz w:val="24"/>
                <w:szCs w:val="26"/>
              </w:rPr>
              <w:t>，油罐总储油量为52.5</w:t>
            </w:r>
            <w:r>
              <w:rPr>
                <w:rFonts w:hint="default" w:ascii="Times New Roman" w:hAnsi="Times New Roman" w:eastAsia="宋体" w:cs="Times New Roman"/>
                <w:bCs w:val="0"/>
                <w:color w:val="auto"/>
                <w:sz w:val="24"/>
                <w:szCs w:val="26"/>
              </w:rPr>
              <w:t>m</w:t>
            </w:r>
            <w:r>
              <w:rPr>
                <w:rFonts w:hint="default" w:ascii="Times New Roman" w:hAnsi="Times New Roman" w:eastAsia="宋体" w:cs="Times New Roman"/>
                <w:bCs w:val="0"/>
                <w:color w:val="auto"/>
                <w:sz w:val="24"/>
                <w:szCs w:val="26"/>
                <w:vertAlign w:val="superscript"/>
              </w:rPr>
              <w:t>3</w:t>
            </w:r>
            <w:r>
              <w:rPr>
                <w:rFonts w:hint="default" w:ascii="Times New Roman" w:hAnsi="Times New Roman" w:eastAsia="宋体" w:cs="Times New Roman"/>
                <w:bCs w:val="0"/>
                <w:color w:val="auto"/>
                <w:sz w:val="24"/>
                <w:szCs w:val="26"/>
              </w:rPr>
              <w:t>，</w:t>
            </w:r>
            <w:r>
              <w:rPr>
                <w:rFonts w:hint="default" w:ascii="Times New Roman" w:hAnsi="Times New Roman" w:eastAsia="宋体" w:cs="Times New Roman"/>
                <w:color w:val="auto"/>
                <w:sz w:val="24"/>
                <w:szCs w:val="26"/>
              </w:rPr>
              <w:t>总容积为52.5m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（柴油容积折半计算）。</w:t>
            </w:r>
            <w:r>
              <w:rPr>
                <w:rFonts w:hint="eastAsia" w:cs="Times New Roman"/>
                <w:bCs w:val="0"/>
                <w:color w:val="auto"/>
                <w:sz w:val="24"/>
                <w:szCs w:val="26"/>
                <w:lang w:eastAsia="zh-CN"/>
              </w:rPr>
              <w:t>本项目实施</w:t>
            </w:r>
            <w:r>
              <w:rPr>
                <w:rFonts w:hint="default" w:ascii="Times New Roman" w:hAnsi="Times New Roman" w:eastAsia="宋体" w:cs="Times New Roman"/>
                <w:bCs w:val="0"/>
                <w:color w:val="auto"/>
                <w:sz w:val="24"/>
                <w:szCs w:val="26"/>
              </w:rPr>
              <w:t>后加油站内油罐为</w:t>
            </w:r>
            <w:r>
              <w:rPr>
                <w:rFonts w:hint="default" w:ascii="Times New Roman" w:hAnsi="Times New Roman" w:eastAsia="宋体" w:cs="Times New Roman"/>
                <w:color w:val="auto"/>
                <w:sz w:val="24"/>
                <w:szCs w:val="26"/>
              </w:rPr>
              <w:t>25m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的92#汽油罐</w:t>
            </w:r>
            <w:r>
              <w:rPr>
                <w:rFonts w:hint="default" w:ascii="Times New Roman" w:hAnsi="Times New Roman" w:eastAsia="宋体" w:cs="Times New Roman"/>
                <w:color w:val="auto"/>
                <w:sz w:val="24"/>
                <w:szCs w:val="26"/>
                <w:lang w:val="en-US" w:eastAsia="zh-CN"/>
              </w:rPr>
              <w:t>1</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color w:val="auto"/>
                <w:sz w:val="24"/>
                <w:szCs w:val="26"/>
              </w:rPr>
              <w:t>，25m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的95#汽油罐1</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color w:val="auto"/>
                <w:sz w:val="24"/>
                <w:szCs w:val="26"/>
                <w:lang w:eastAsia="zh-CN"/>
              </w:rPr>
              <w:t>，</w:t>
            </w:r>
            <w:r>
              <w:rPr>
                <w:rFonts w:hint="default" w:ascii="Times New Roman" w:hAnsi="Times New Roman" w:eastAsia="宋体" w:cs="Times New Roman"/>
                <w:color w:val="auto"/>
                <w:sz w:val="24"/>
                <w:szCs w:val="26"/>
              </w:rPr>
              <w:t>25m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的9</w:t>
            </w:r>
            <w:r>
              <w:rPr>
                <w:rFonts w:hint="default" w:ascii="Times New Roman" w:hAnsi="Times New Roman" w:eastAsia="宋体" w:cs="Times New Roman"/>
                <w:color w:val="auto"/>
                <w:sz w:val="24"/>
                <w:szCs w:val="26"/>
                <w:lang w:val="en-US" w:eastAsia="zh-CN"/>
              </w:rPr>
              <w:t>8</w:t>
            </w:r>
            <w:r>
              <w:rPr>
                <w:rFonts w:hint="default" w:ascii="Times New Roman" w:hAnsi="Times New Roman" w:eastAsia="宋体" w:cs="Times New Roman"/>
                <w:color w:val="auto"/>
                <w:sz w:val="24"/>
                <w:szCs w:val="26"/>
              </w:rPr>
              <w:t>#汽油罐1</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color w:val="auto"/>
                <w:sz w:val="24"/>
                <w:szCs w:val="26"/>
              </w:rPr>
              <w:t>，25m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的0#柴油罐1</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color w:val="auto"/>
                <w:sz w:val="24"/>
                <w:szCs w:val="26"/>
              </w:rPr>
              <w:t>，油罐总储油量为100</w:t>
            </w:r>
            <w:r>
              <w:rPr>
                <w:rFonts w:hint="default" w:ascii="Times New Roman" w:hAnsi="Times New Roman" w:eastAsia="宋体" w:cs="Times New Roman"/>
                <w:bCs w:val="0"/>
                <w:color w:val="auto"/>
                <w:sz w:val="24"/>
                <w:szCs w:val="26"/>
              </w:rPr>
              <w:t>m</w:t>
            </w:r>
            <w:r>
              <w:rPr>
                <w:rFonts w:hint="default" w:ascii="Times New Roman" w:hAnsi="Times New Roman" w:eastAsia="宋体" w:cs="Times New Roman"/>
                <w:bCs w:val="0"/>
                <w:color w:val="auto"/>
                <w:sz w:val="24"/>
                <w:szCs w:val="26"/>
                <w:vertAlign w:val="superscript"/>
              </w:rPr>
              <w:t>3</w:t>
            </w:r>
            <w:r>
              <w:rPr>
                <w:rFonts w:hint="default" w:ascii="Times New Roman" w:hAnsi="Times New Roman" w:eastAsia="宋体" w:cs="Times New Roman"/>
                <w:bCs w:val="0"/>
                <w:color w:val="auto"/>
                <w:sz w:val="24"/>
                <w:szCs w:val="26"/>
              </w:rPr>
              <w:t>，</w:t>
            </w:r>
            <w:r>
              <w:rPr>
                <w:rFonts w:hint="default" w:ascii="Times New Roman" w:hAnsi="Times New Roman" w:eastAsia="宋体" w:cs="Times New Roman"/>
                <w:color w:val="auto"/>
                <w:sz w:val="24"/>
                <w:szCs w:val="26"/>
              </w:rPr>
              <w:t>总容积为87.5m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（柴油容积折半计算）</w:t>
            </w:r>
            <w:r>
              <w:rPr>
                <w:rFonts w:hint="default" w:ascii="Times New Roman" w:hAnsi="Times New Roman" w:cs="Times New Roman"/>
                <w:color w:val="auto"/>
                <w:sz w:val="24"/>
                <w:szCs w:val="26"/>
                <w:lang w:eastAsia="zh-CN"/>
              </w:rPr>
              <w:t>。</w:t>
            </w:r>
            <w:r>
              <w:rPr>
                <w:rFonts w:hint="default" w:ascii="Times New Roman" w:hAnsi="Times New Roman" w:eastAsia="宋体" w:cs="Times New Roman"/>
                <w:color w:val="auto"/>
                <w:sz w:val="24"/>
                <w:szCs w:val="26"/>
              </w:rPr>
              <w:t>加油站油罐容积见下表2.2-</w:t>
            </w:r>
            <w:r>
              <w:rPr>
                <w:rFonts w:hint="default" w:ascii="Times New Roman" w:hAnsi="Times New Roman" w:cs="Times New Roman"/>
                <w:color w:val="auto"/>
                <w:sz w:val="24"/>
                <w:szCs w:val="26"/>
                <w:lang w:val="en-US" w:eastAsia="zh-CN"/>
              </w:rPr>
              <w:t>1</w:t>
            </w:r>
            <w:r>
              <w:rPr>
                <w:rFonts w:hint="default" w:ascii="Times New Roman" w:hAnsi="Times New Roman" w:eastAsia="宋体" w:cs="Times New Roman"/>
                <w:color w:val="auto"/>
                <w:sz w:val="24"/>
                <w:szCs w:val="26"/>
              </w:rPr>
              <w:t>。</w:t>
            </w:r>
          </w:p>
          <w:p w14:paraId="01FBBD7D">
            <w:pPr>
              <w:pStyle w:val="62"/>
              <w:spacing w:line="240" w:lineRule="auto"/>
              <w:ind w:firstLine="0" w:firstLineChars="0"/>
              <w:jc w:val="center"/>
              <w:rPr>
                <w:rFonts w:hint="default" w:ascii="Times New Roman" w:hAnsi="Times New Roman" w:eastAsia="宋体" w:cs="Times New Roman"/>
                <w:b/>
                <w:color w:val="auto"/>
                <w:sz w:val="24"/>
                <w:lang w:val="zh-CN"/>
              </w:rPr>
            </w:pPr>
            <w:r>
              <w:rPr>
                <w:rFonts w:hint="default" w:ascii="Times New Roman" w:hAnsi="Times New Roman" w:eastAsia="宋体" w:cs="Times New Roman"/>
                <w:b/>
                <w:color w:val="auto"/>
                <w:sz w:val="24"/>
                <w:lang w:val="zh-CN"/>
              </w:rPr>
              <w:t>表2.2-</w:t>
            </w:r>
            <w:r>
              <w:rPr>
                <w:rFonts w:hint="default" w:ascii="Times New Roman" w:hAnsi="Times New Roman" w:eastAsia="宋体" w:cs="Times New Roman"/>
                <w:b/>
                <w:color w:val="auto"/>
                <w:sz w:val="24"/>
                <w:lang w:val="en-US" w:eastAsia="zh-CN"/>
              </w:rPr>
              <w:t>1</w:t>
            </w:r>
            <w:r>
              <w:rPr>
                <w:rFonts w:hint="default" w:ascii="Times New Roman" w:hAnsi="Times New Roman" w:eastAsia="宋体" w:cs="Times New Roman"/>
                <w:b/>
                <w:color w:val="auto"/>
                <w:sz w:val="24"/>
                <w:lang w:val="zh-CN"/>
              </w:rPr>
              <w:t xml:space="preserve">    本项目</w:t>
            </w:r>
            <w:r>
              <w:rPr>
                <w:rFonts w:hint="eastAsia" w:cs="Times New Roman"/>
                <w:b/>
                <w:color w:val="auto"/>
                <w:sz w:val="24"/>
                <w:lang w:val="zh-CN"/>
              </w:rPr>
              <w:t>实施前后</w:t>
            </w:r>
            <w:r>
              <w:rPr>
                <w:rFonts w:hint="default" w:ascii="Times New Roman" w:hAnsi="Times New Roman" w:eastAsia="宋体" w:cs="Times New Roman"/>
                <w:b/>
                <w:color w:val="auto"/>
                <w:sz w:val="24"/>
                <w:lang w:val="zh-CN"/>
              </w:rPr>
              <w:t>油罐容积一览表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50"/>
              <w:gridCol w:w="1332"/>
              <w:gridCol w:w="1073"/>
              <w:gridCol w:w="819"/>
              <w:gridCol w:w="1334"/>
              <w:gridCol w:w="1114"/>
              <w:gridCol w:w="861"/>
            </w:tblGrid>
            <w:tr w14:paraId="76FF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restart"/>
                  <w:noWrap w:val="0"/>
                  <w:vAlign w:val="center"/>
                </w:tcPr>
                <w:p w14:paraId="447BB195">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序号</w:t>
                  </w:r>
                </w:p>
              </w:tc>
              <w:tc>
                <w:tcPr>
                  <w:tcW w:w="828" w:type="pct"/>
                  <w:vMerge w:val="restart"/>
                  <w:noWrap w:val="0"/>
                  <w:vAlign w:val="center"/>
                </w:tcPr>
                <w:p w14:paraId="5B984722">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油罐名称</w:t>
                  </w:r>
                </w:p>
              </w:tc>
              <w:tc>
                <w:tcPr>
                  <w:tcW w:w="1842" w:type="pct"/>
                  <w:gridSpan w:val="3"/>
                  <w:noWrap w:val="0"/>
                  <w:vAlign w:val="center"/>
                </w:tcPr>
                <w:p w14:paraId="557DD685">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现有项目</w:t>
                  </w:r>
                </w:p>
              </w:tc>
              <w:tc>
                <w:tcPr>
                  <w:tcW w:w="1890" w:type="pct"/>
                  <w:gridSpan w:val="3"/>
                  <w:noWrap w:val="0"/>
                  <w:vAlign w:val="center"/>
                </w:tcPr>
                <w:p w14:paraId="77922D5A">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扩建后项目</w:t>
                  </w:r>
                </w:p>
              </w:tc>
            </w:tr>
            <w:tr w14:paraId="1511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vMerge w:val="continue"/>
                  <w:noWrap w:val="0"/>
                  <w:vAlign w:val="center"/>
                </w:tcPr>
                <w:p w14:paraId="67AB1C30">
                  <w:pPr>
                    <w:tabs>
                      <w:tab w:val="left" w:pos="612"/>
                    </w:tabs>
                    <w:jc w:val="center"/>
                    <w:rPr>
                      <w:rFonts w:hint="default" w:ascii="Times New Roman" w:hAnsi="Times New Roman" w:eastAsia="宋体" w:cs="Times New Roman"/>
                      <w:color w:val="auto"/>
                      <w:szCs w:val="22"/>
                    </w:rPr>
                  </w:pPr>
                </w:p>
              </w:tc>
              <w:tc>
                <w:tcPr>
                  <w:tcW w:w="828" w:type="pct"/>
                  <w:vMerge w:val="continue"/>
                  <w:noWrap w:val="0"/>
                  <w:vAlign w:val="center"/>
                </w:tcPr>
                <w:p w14:paraId="711D4F38">
                  <w:pPr>
                    <w:tabs>
                      <w:tab w:val="left" w:pos="612"/>
                    </w:tabs>
                    <w:jc w:val="center"/>
                    <w:rPr>
                      <w:rFonts w:hint="default" w:ascii="Times New Roman" w:hAnsi="Times New Roman" w:eastAsia="宋体" w:cs="Times New Roman"/>
                      <w:color w:val="auto"/>
                      <w:szCs w:val="22"/>
                    </w:rPr>
                  </w:pPr>
                </w:p>
              </w:tc>
              <w:tc>
                <w:tcPr>
                  <w:tcW w:w="761" w:type="pct"/>
                  <w:noWrap w:val="0"/>
                  <w:vAlign w:val="center"/>
                </w:tcPr>
                <w:p w14:paraId="24B952D2">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单罐储油量</w:t>
                  </w:r>
                </w:p>
              </w:tc>
              <w:tc>
                <w:tcPr>
                  <w:tcW w:w="613" w:type="pct"/>
                  <w:noWrap w:val="0"/>
                  <w:vAlign w:val="center"/>
                </w:tcPr>
                <w:p w14:paraId="3A187843">
                  <w:pPr>
                    <w:tabs>
                      <w:tab w:val="left" w:pos="612"/>
                    </w:tabs>
                    <w:jc w:val="center"/>
                    <w:rPr>
                      <w:rFonts w:hint="eastAsia" w:ascii="Times New Roman" w:hAnsi="Times New Roman" w:eastAsia="宋体" w:cs="Times New Roman"/>
                      <w:color w:val="auto"/>
                      <w:szCs w:val="22"/>
                      <w:lang w:eastAsia="zh-CN"/>
                    </w:rPr>
                  </w:pPr>
                  <w:r>
                    <w:rPr>
                      <w:rFonts w:hint="default" w:ascii="Times New Roman" w:hAnsi="Times New Roman" w:eastAsia="宋体" w:cs="Times New Roman"/>
                      <w:color w:val="auto"/>
                      <w:szCs w:val="22"/>
                    </w:rPr>
                    <w:t>油罐</w:t>
                  </w:r>
                  <w:r>
                    <w:rPr>
                      <w:rFonts w:hint="eastAsia" w:cs="Times New Roman"/>
                      <w:color w:val="auto"/>
                      <w:szCs w:val="22"/>
                      <w:lang w:eastAsia="zh-CN"/>
                    </w:rPr>
                    <w:t>数量</w:t>
                  </w:r>
                </w:p>
              </w:tc>
              <w:tc>
                <w:tcPr>
                  <w:tcW w:w="468" w:type="pct"/>
                  <w:noWrap w:val="0"/>
                  <w:vAlign w:val="center"/>
                </w:tcPr>
                <w:p w14:paraId="32D885A0">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容积</w:t>
                  </w:r>
                </w:p>
              </w:tc>
              <w:tc>
                <w:tcPr>
                  <w:tcW w:w="762" w:type="pct"/>
                  <w:noWrap w:val="0"/>
                  <w:vAlign w:val="center"/>
                </w:tcPr>
                <w:p w14:paraId="5018FE9B">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单罐储油量</w:t>
                  </w:r>
                </w:p>
              </w:tc>
              <w:tc>
                <w:tcPr>
                  <w:tcW w:w="636" w:type="pct"/>
                  <w:noWrap w:val="0"/>
                  <w:vAlign w:val="center"/>
                </w:tcPr>
                <w:p w14:paraId="6769C89B">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油罐</w:t>
                  </w:r>
                  <w:r>
                    <w:rPr>
                      <w:rFonts w:hint="eastAsia" w:cs="Times New Roman"/>
                      <w:color w:val="auto"/>
                      <w:szCs w:val="22"/>
                      <w:lang w:eastAsia="zh-CN"/>
                    </w:rPr>
                    <w:t>数量</w:t>
                  </w:r>
                </w:p>
              </w:tc>
              <w:tc>
                <w:tcPr>
                  <w:tcW w:w="492" w:type="pct"/>
                  <w:noWrap w:val="0"/>
                  <w:vAlign w:val="center"/>
                </w:tcPr>
                <w:p w14:paraId="2AD37FA6">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容积</w:t>
                  </w:r>
                </w:p>
              </w:tc>
            </w:tr>
            <w:tr w14:paraId="6B5D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noWrap w:val="0"/>
                  <w:vAlign w:val="center"/>
                </w:tcPr>
                <w:p w14:paraId="19C77DDD">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w:t>
                  </w:r>
                </w:p>
              </w:tc>
              <w:tc>
                <w:tcPr>
                  <w:tcW w:w="828" w:type="pct"/>
                  <w:noWrap w:val="0"/>
                  <w:vAlign w:val="center"/>
                </w:tcPr>
                <w:p w14:paraId="5EF6D483">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92#汽油罐</w:t>
                  </w:r>
                </w:p>
              </w:tc>
              <w:tc>
                <w:tcPr>
                  <w:tcW w:w="761" w:type="pct"/>
                  <w:noWrap w:val="0"/>
                  <w:vAlign w:val="center"/>
                </w:tcPr>
                <w:p w14:paraId="102A7465">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15m</w:t>
                  </w:r>
                  <w:r>
                    <w:rPr>
                      <w:rFonts w:hint="default" w:ascii="Times New Roman" w:hAnsi="Times New Roman" w:eastAsia="宋体" w:cs="Times New Roman"/>
                      <w:color w:val="auto"/>
                      <w:szCs w:val="22"/>
                      <w:vertAlign w:val="superscript"/>
                    </w:rPr>
                    <w:t>3</w:t>
                  </w:r>
                </w:p>
              </w:tc>
              <w:tc>
                <w:tcPr>
                  <w:tcW w:w="613" w:type="pct"/>
                  <w:noWrap w:val="0"/>
                  <w:vAlign w:val="center"/>
                </w:tcPr>
                <w:p w14:paraId="2AE94EA2">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w:t>
                  </w:r>
                </w:p>
              </w:tc>
              <w:tc>
                <w:tcPr>
                  <w:tcW w:w="468" w:type="pct"/>
                  <w:noWrap w:val="0"/>
                  <w:vAlign w:val="center"/>
                </w:tcPr>
                <w:p w14:paraId="5DA45F58">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30m</w:t>
                  </w:r>
                  <w:r>
                    <w:rPr>
                      <w:rFonts w:hint="default" w:ascii="Times New Roman" w:hAnsi="Times New Roman" w:eastAsia="宋体" w:cs="Times New Roman"/>
                      <w:color w:val="auto"/>
                      <w:szCs w:val="22"/>
                      <w:vertAlign w:val="superscript"/>
                    </w:rPr>
                    <w:t>3</w:t>
                  </w:r>
                </w:p>
              </w:tc>
              <w:tc>
                <w:tcPr>
                  <w:tcW w:w="762" w:type="pct"/>
                  <w:noWrap w:val="0"/>
                  <w:vAlign w:val="center"/>
                </w:tcPr>
                <w:p w14:paraId="3D7767B0">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25m</w:t>
                  </w:r>
                  <w:r>
                    <w:rPr>
                      <w:rFonts w:hint="default" w:ascii="Times New Roman" w:hAnsi="Times New Roman" w:eastAsia="宋体" w:cs="Times New Roman"/>
                      <w:color w:val="auto"/>
                      <w:szCs w:val="22"/>
                      <w:vertAlign w:val="superscript"/>
                    </w:rPr>
                    <w:t>3</w:t>
                  </w:r>
                </w:p>
              </w:tc>
              <w:tc>
                <w:tcPr>
                  <w:tcW w:w="636" w:type="pct"/>
                  <w:noWrap w:val="0"/>
                  <w:vAlign w:val="center"/>
                </w:tcPr>
                <w:p w14:paraId="59E4508C">
                  <w:pPr>
                    <w:tabs>
                      <w:tab w:val="left" w:pos="612"/>
                    </w:tabs>
                    <w:jc w:val="center"/>
                    <w:rPr>
                      <w:rFonts w:hint="default" w:ascii="Times New Roman" w:hAnsi="Times New Roman" w:eastAsia="宋体" w:cs="Times New Roman"/>
                      <w:color w:val="auto"/>
                      <w:szCs w:val="22"/>
                      <w:lang w:val="en-US" w:eastAsia="zh-CN"/>
                    </w:rPr>
                  </w:pPr>
                  <w:r>
                    <w:rPr>
                      <w:rFonts w:hint="default" w:ascii="Times New Roman" w:hAnsi="Times New Roman" w:eastAsia="宋体" w:cs="Times New Roman"/>
                      <w:color w:val="auto"/>
                      <w:szCs w:val="22"/>
                      <w:lang w:val="en-US" w:eastAsia="zh-CN"/>
                    </w:rPr>
                    <w:t>1</w:t>
                  </w:r>
                </w:p>
              </w:tc>
              <w:tc>
                <w:tcPr>
                  <w:tcW w:w="492" w:type="pct"/>
                  <w:noWrap w:val="0"/>
                  <w:vAlign w:val="center"/>
                </w:tcPr>
                <w:p w14:paraId="26ADE1F5">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lang w:val="en-US" w:eastAsia="zh-CN"/>
                    </w:rPr>
                    <w:t>25</w:t>
                  </w:r>
                  <w:r>
                    <w:rPr>
                      <w:rFonts w:hint="default" w:ascii="Times New Roman" w:hAnsi="Times New Roman" w:eastAsia="宋体" w:cs="Times New Roman"/>
                      <w:color w:val="auto"/>
                      <w:szCs w:val="22"/>
                    </w:rPr>
                    <w:t>m</w:t>
                  </w:r>
                  <w:r>
                    <w:rPr>
                      <w:rFonts w:hint="default" w:ascii="Times New Roman" w:hAnsi="Times New Roman" w:eastAsia="宋体" w:cs="Times New Roman"/>
                      <w:color w:val="auto"/>
                      <w:szCs w:val="22"/>
                      <w:vertAlign w:val="superscript"/>
                    </w:rPr>
                    <w:t>3</w:t>
                  </w:r>
                </w:p>
              </w:tc>
            </w:tr>
            <w:tr w14:paraId="6E75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noWrap w:val="0"/>
                  <w:vAlign w:val="center"/>
                </w:tcPr>
                <w:p w14:paraId="57130B89">
                  <w:pPr>
                    <w:tabs>
                      <w:tab w:val="left" w:pos="612"/>
                    </w:tabs>
                    <w:jc w:val="center"/>
                    <w:rPr>
                      <w:rFonts w:hint="default" w:ascii="Times New Roman" w:hAnsi="Times New Roman" w:eastAsia="宋体" w:cs="Times New Roman"/>
                      <w:bCs/>
                      <w:color w:val="auto"/>
                      <w:szCs w:val="22"/>
                    </w:rPr>
                  </w:pPr>
                  <w:r>
                    <w:rPr>
                      <w:rFonts w:hint="default" w:ascii="Times New Roman" w:hAnsi="Times New Roman" w:eastAsia="宋体" w:cs="Times New Roman"/>
                      <w:bCs/>
                      <w:color w:val="auto"/>
                      <w:szCs w:val="22"/>
                    </w:rPr>
                    <w:t>2</w:t>
                  </w:r>
                </w:p>
              </w:tc>
              <w:tc>
                <w:tcPr>
                  <w:tcW w:w="828" w:type="pct"/>
                  <w:noWrap w:val="0"/>
                  <w:vAlign w:val="center"/>
                </w:tcPr>
                <w:p w14:paraId="47978053">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95#汽油罐</w:t>
                  </w:r>
                </w:p>
              </w:tc>
              <w:tc>
                <w:tcPr>
                  <w:tcW w:w="761" w:type="pct"/>
                  <w:noWrap w:val="0"/>
                  <w:vAlign w:val="center"/>
                </w:tcPr>
                <w:p w14:paraId="60A27651">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15m</w:t>
                  </w:r>
                  <w:r>
                    <w:rPr>
                      <w:rFonts w:hint="default" w:ascii="Times New Roman" w:hAnsi="Times New Roman" w:eastAsia="宋体" w:cs="Times New Roman"/>
                      <w:color w:val="auto"/>
                      <w:szCs w:val="22"/>
                      <w:vertAlign w:val="superscript"/>
                    </w:rPr>
                    <w:t>3</w:t>
                  </w:r>
                </w:p>
              </w:tc>
              <w:tc>
                <w:tcPr>
                  <w:tcW w:w="613" w:type="pct"/>
                  <w:noWrap w:val="0"/>
                  <w:vAlign w:val="center"/>
                </w:tcPr>
                <w:p w14:paraId="00B5A122">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w:t>
                  </w:r>
                </w:p>
              </w:tc>
              <w:tc>
                <w:tcPr>
                  <w:tcW w:w="468" w:type="pct"/>
                  <w:noWrap w:val="0"/>
                  <w:vAlign w:val="center"/>
                </w:tcPr>
                <w:p w14:paraId="688D3EB8">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15m</w:t>
                  </w:r>
                  <w:r>
                    <w:rPr>
                      <w:rFonts w:hint="default" w:ascii="Times New Roman" w:hAnsi="Times New Roman" w:eastAsia="宋体" w:cs="Times New Roman"/>
                      <w:color w:val="auto"/>
                      <w:szCs w:val="22"/>
                      <w:vertAlign w:val="superscript"/>
                    </w:rPr>
                    <w:t>3</w:t>
                  </w:r>
                </w:p>
              </w:tc>
              <w:tc>
                <w:tcPr>
                  <w:tcW w:w="762" w:type="pct"/>
                  <w:noWrap w:val="0"/>
                  <w:vAlign w:val="center"/>
                </w:tcPr>
                <w:p w14:paraId="0F43208E">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25m</w:t>
                  </w:r>
                  <w:r>
                    <w:rPr>
                      <w:rFonts w:hint="default" w:ascii="Times New Roman" w:hAnsi="Times New Roman" w:eastAsia="宋体" w:cs="Times New Roman"/>
                      <w:color w:val="auto"/>
                      <w:szCs w:val="22"/>
                      <w:vertAlign w:val="superscript"/>
                    </w:rPr>
                    <w:t>3</w:t>
                  </w:r>
                </w:p>
              </w:tc>
              <w:tc>
                <w:tcPr>
                  <w:tcW w:w="636" w:type="pct"/>
                  <w:noWrap w:val="0"/>
                  <w:vAlign w:val="center"/>
                </w:tcPr>
                <w:p w14:paraId="33CF875C">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w:t>
                  </w:r>
                </w:p>
              </w:tc>
              <w:tc>
                <w:tcPr>
                  <w:tcW w:w="492" w:type="pct"/>
                  <w:noWrap w:val="0"/>
                  <w:vAlign w:val="center"/>
                </w:tcPr>
                <w:p w14:paraId="5BDE5756">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25m</w:t>
                  </w:r>
                  <w:r>
                    <w:rPr>
                      <w:rFonts w:hint="default" w:ascii="Times New Roman" w:hAnsi="Times New Roman" w:eastAsia="宋体" w:cs="Times New Roman"/>
                      <w:color w:val="auto"/>
                      <w:szCs w:val="22"/>
                      <w:vertAlign w:val="superscript"/>
                    </w:rPr>
                    <w:t>3</w:t>
                  </w:r>
                </w:p>
              </w:tc>
            </w:tr>
            <w:tr w14:paraId="55B4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noWrap w:val="0"/>
                  <w:vAlign w:val="center"/>
                </w:tcPr>
                <w:p w14:paraId="7150C759">
                  <w:pPr>
                    <w:tabs>
                      <w:tab w:val="left" w:pos="612"/>
                    </w:tabs>
                    <w:jc w:val="center"/>
                    <w:rPr>
                      <w:rFonts w:hint="default" w:ascii="Times New Roman" w:hAnsi="Times New Roman" w:eastAsia="宋体" w:cs="Times New Roman"/>
                      <w:bCs/>
                      <w:color w:val="auto"/>
                      <w:szCs w:val="22"/>
                    </w:rPr>
                  </w:pPr>
                  <w:r>
                    <w:rPr>
                      <w:rFonts w:hint="default" w:ascii="Times New Roman" w:hAnsi="Times New Roman" w:eastAsia="宋体" w:cs="Times New Roman"/>
                      <w:bCs/>
                      <w:color w:val="auto"/>
                      <w:szCs w:val="22"/>
                    </w:rPr>
                    <w:t>3</w:t>
                  </w:r>
                </w:p>
              </w:tc>
              <w:tc>
                <w:tcPr>
                  <w:tcW w:w="828" w:type="pct"/>
                  <w:noWrap w:val="0"/>
                  <w:vAlign w:val="center"/>
                </w:tcPr>
                <w:p w14:paraId="3967AD2A">
                  <w:pPr>
                    <w:tabs>
                      <w:tab w:val="left" w:pos="612"/>
                    </w:tabs>
                    <w:jc w:val="center"/>
                    <w:rPr>
                      <w:rFonts w:hint="default" w:ascii="Times New Roman" w:hAnsi="Times New Roman" w:eastAsia="宋体" w:cs="Times New Roman"/>
                      <w:color w:val="auto"/>
                      <w:szCs w:val="22"/>
                      <w:lang w:val="en-US" w:eastAsia="zh-CN"/>
                    </w:rPr>
                  </w:pPr>
                  <w:r>
                    <w:rPr>
                      <w:rFonts w:hint="default" w:ascii="Times New Roman" w:hAnsi="Times New Roman" w:cs="Times New Roman"/>
                      <w:color w:val="auto"/>
                      <w:szCs w:val="22"/>
                      <w:lang w:val="en-US" w:eastAsia="zh-CN"/>
                    </w:rPr>
                    <w:t>98</w:t>
                  </w:r>
                  <w:r>
                    <w:rPr>
                      <w:rFonts w:hint="default" w:ascii="Times New Roman" w:hAnsi="Times New Roman" w:eastAsia="宋体" w:cs="Times New Roman"/>
                      <w:color w:val="auto"/>
                      <w:szCs w:val="22"/>
                    </w:rPr>
                    <w:t>#汽油罐</w:t>
                  </w:r>
                </w:p>
              </w:tc>
              <w:tc>
                <w:tcPr>
                  <w:tcW w:w="761" w:type="pct"/>
                  <w:noWrap w:val="0"/>
                  <w:vAlign w:val="center"/>
                </w:tcPr>
                <w:p w14:paraId="3EDEB6F2">
                  <w:pPr>
                    <w:tabs>
                      <w:tab w:val="left" w:pos="612"/>
                    </w:tabs>
                    <w:jc w:val="center"/>
                    <w:rPr>
                      <w:rFonts w:hint="default" w:ascii="Times New Roman" w:hAnsi="Times New Roman" w:eastAsia="宋体" w:cs="Times New Roman"/>
                      <w:color w:val="auto"/>
                      <w:szCs w:val="22"/>
                      <w:lang w:val="en-US" w:eastAsia="zh-CN"/>
                    </w:rPr>
                  </w:pPr>
                  <w:r>
                    <w:rPr>
                      <w:rFonts w:hint="default" w:ascii="Times New Roman" w:hAnsi="Times New Roman" w:eastAsia="宋体" w:cs="Times New Roman"/>
                      <w:color w:val="auto"/>
                      <w:szCs w:val="22"/>
                      <w:lang w:val="en-US" w:eastAsia="zh-CN"/>
                    </w:rPr>
                    <w:t>/</w:t>
                  </w:r>
                </w:p>
              </w:tc>
              <w:tc>
                <w:tcPr>
                  <w:tcW w:w="613" w:type="pct"/>
                  <w:noWrap w:val="0"/>
                  <w:vAlign w:val="center"/>
                </w:tcPr>
                <w:p w14:paraId="44F020CF">
                  <w:pPr>
                    <w:tabs>
                      <w:tab w:val="left" w:pos="612"/>
                    </w:tabs>
                    <w:jc w:val="center"/>
                    <w:rPr>
                      <w:rFonts w:hint="default" w:ascii="Times New Roman" w:hAnsi="Times New Roman" w:eastAsia="宋体" w:cs="Times New Roman"/>
                      <w:color w:val="auto"/>
                      <w:szCs w:val="22"/>
                      <w:lang w:val="en-US" w:eastAsia="zh-CN"/>
                    </w:rPr>
                  </w:pPr>
                  <w:r>
                    <w:rPr>
                      <w:rFonts w:hint="default" w:ascii="Times New Roman" w:hAnsi="Times New Roman" w:eastAsia="宋体" w:cs="Times New Roman"/>
                      <w:color w:val="auto"/>
                      <w:szCs w:val="22"/>
                      <w:lang w:val="en-US" w:eastAsia="zh-CN"/>
                    </w:rPr>
                    <w:t>/</w:t>
                  </w:r>
                </w:p>
              </w:tc>
              <w:tc>
                <w:tcPr>
                  <w:tcW w:w="468" w:type="pct"/>
                  <w:noWrap w:val="0"/>
                  <w:vAlign w:val="center"/>
                </w:tcPr>
                <w:p w14:paraId="5CE410A9">
                  <w:pPr>
                    <w:tabs>
                      <w:tab w:val="left" w:pos="612"/>
                    </w:tabs>
                    <w:jc w:val="center"/>
                    <w:rPr>
                      <w:rFonts w:hint="default" w:ascii="Times New Roman" w:hAnsi="Times New Roman" w:eastAsia="宋体" w:cs="Times New Roman"/>
                      <w:color w:val="auto"/>
                      <w:szCs w:val="22"/>
                      <w:lang w:eastAsia="zh-CN"/>
                    </w:rPr>
                  </w:pPr>
                  <w:r>
                    <w:rPr>
                      <w:rFonts w:hint="default" w:ascii="Times New Roman" w:hAnsi="Times New Roman" w:eastAsia="宋体" w:cs="Times New Roman"/>
                      <w:color w:val="auto"/>
                      <w:szCs w:val="22"/>
                      <w:lang w:val="en-US" w:eastAsia="zh-CN"/>
                    </w:rPr>
                    <w:t>/</w:t>
                  </w:r>
                </w:p>
              </w:tc>
              <w:tc>
                <w:tcPr>
                  <w:tcW w:w="762" w:type="pct"/>
                  <w:noWrap w:val="0"/>
                  <w:vAlign w:val="center"/>
                </w:tcPr>
                <w:p w14:paraId="1780ECEB">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25m</w:t>
                  </w:r>
                  <w:r>
                    <w:rPr>
                      <w:rFonts w:hint="default" w:ascii="Times New Roman" w:hAnsi="Times New Roman" w:eastAsia="宋体" w:cs="Times New Roman"/>
                      <w:color w:val="auto"/>
                      <w:szCs w:val="22"/>
                      <w:vertAlign w:val="superscript"/>
                    </w:rPr>
                    <w:t>3</w:t>
                  </w:r>
                </w:p>
              </w:tc>
              <w:tc>
                <w:tcPr>
                  <w:tcW w:w="636" w:type="pct"/>
                  <w:noWrap w:val="0"/>
                  <w:vAlign w:val="center"/>
                </w:tcPr>
                <w:p w14:paraId="4DD26944">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w:t>
                  </w:r>
                </w:p>
              </w:tc>
              <w:tc>
                <w:tcPr>
                  <w:tcW w:w="492" w:type="pct"/>
                  <w:noWrap w:val="0"/>
                  <w:vAlign w:val="center"/>
                </w:tcPr>
                <w:p w14:paraId="016A2E6F">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25m</w:t>
                  </w:r>
                  <w:r>
                    <w:rPr>
                      <w:rFonts w:hint="default" w:ascii="Times New Roman" w:hAnsi="Times New Roman" w:eastAsia="宋体" w:cs="Times New Roman"/>
                      <w:color w:val="auto"/>
                      <w:szCs w:val="22"/>
                      <w:vertAlign w:val="superscript"/>
                    </w:rPr>
                    <w:t>3</w:t>
                  </w:r>
                </w:p>
              </w:tc>
            </w:tr>
            <w:tr w14:paraId="4F88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8" w:type="pct"/>
                  <w:noWrap w:val="0"/>
                  <w:vAlign w:val="center"/>
                </w:tcPr>
                <w:p w14:paraId="238AE2E7">
                  <w:pPr>
                    <w:tabs>
                      <w:tab w:val="left" w:pos="612"/>
                    </w:tabs>
                    <w:jc w:val="center"/>
                    <w:rPr>
                      <w:rFonts w:hint="default" w:ascii="Times New Roman" w:hAnsi="Times New Roman" w:eastAsia="宋体" w:cs="Times New Roman"/>
                      <w:bCs/>
                      <w:color w:val="auto"/>
                      <w:szCs w:val="22"/>
                      <w:lang w:val="en-US" w:eastAsia="zh-CN"/>
                    </w:rPr>
                  </w:pPr>
                  <w:r>
                    <w:rPr>
                      <w:rFonts w:hint="default" w:ascii="Times New Roman" w:hAnsi="Times New Roman" w:eastAsia="宋体" w:cs="Times New Roman"/>
                      <w:bCs/>
                      <w:color w:val="auto"/>
                      <w:szCs w:val="22"/>
                      <w:lang w:val="en-US" w:eastAsia="zh-CN"/>
                    </w:rPr>
                    <w:t>4</w:t>
                  </w:r>
                </w:p>
              </w:tc>
              <w:tc>
                <w:tcPr>
                  <w:tcW w:w="828" w:type="pct"/>
                  <w:noWrap w:val="0"/>
                  <w:vAlign w:val="center"/>
                </w:tcPr>
                <w:p w14:paraId="159462A8">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0#柴油罐</w:t>
                  </w:r>
                </w:p>
              </w:tc>
              <w:tc>
                <w:tcPr>
                  <w:tcW w:w="761" w:type="pct"/>
                  <w:noWrap w:val="0"/>
                  <w:vAlign w:val="center"/>
                </w:tcPr>
                <w:p w14:paraId="1D6EFC67">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15m</w:t>
                  </w:r>
                  <w:r>
                    <w:rPr>
                      <w:rFonts w:hint="default" w:ascii="Times New Roman" w:hAnsi="Times New Roman" w:eastAsia="宋体" w:cs="Times New Roman"/>
                      <w:color w:val="auto"/>
                      <w:szCs w:val="22"/>
                      <w:vertAlign w:val="superscript"/>
                    </w:rPr>
                    <w:t>3</w:t>
                  </w:r>
                </w:p>
              </w:tc>
              <w:tc>
                <w:tcPr>
                  <w:tcW w:w="613" w:type="pct"/>
                  <w:noWrap w:val="0"/>
                  <w:vAlign w:val="center"/>
                </w:tcPr>
                <w:p w14:paraId="5DE44E2F">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w:t>
                  </w:r>
                </w:p>
              </w:tc>
              <w:tc>
                <w:tcPr>
                  <w:tcW w:w="468" w:type="pct"/>
                  <w:noWrap w:val="0"/>
                  <w:vAlign w:val="center"/>
                </w:tcPr>
                <w:p w14:paraId="32991FA7">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7.5m</w:t>
                  </w:r>
                  <w:r>
                    <w:rPr>
                      <w:rFonts w:hint="default" w:ascii="Times New Roman" w:hAnsi="Times New Roman" w:eastAsia="宋体" w:cs="Times New Roman"/>
                      <w:color w:val="auto"/>
                      <w:szCs w:val="22"/>
                      <w:vertAlign w:val="superscript"/>
                    </w:rPr>
                    <w:t>3</w:t>
                  </w:r>
                </w:p>
              </w:tc>
              <w:tc>
                <w:tcPr>
                  <w:tcW w:w="762" w:type="pct"/>
                  <w:noWrap w:val="0"/>
                  <w:vAlign w:val="center"/>
                </w:tcPr>
                <w:p w14:paraId="35A520BD">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25m</w:t>
                  </w:r>
                  <w:r>
                    <w:rPr>
                      <w:rFonts w:hint="default" w:ascii="Times New Roman" w:hAnsi="Times New Roman" w:eastAsia="宋体" w:cs="Times New Roman"/>
                      <w:color w:val="auto"/>
                      <w:szCs w:val="22"/>
                      <w:vertAlign w:val="superscript"/>
                    </w:rPr>
                    <w:t>3</w:t>
                  </w:r>
                </w:p>
              </w:tc>
              <w:tc>
                <w:tcPr>
                  <w:tcW w:w="636" w:type="pct"/>
                  <w:noWrap w:val="0"/>
                  <w:vAlign w:val="center"/>
                </w:tcPr>
                <w:p w14:paraId="36802E11">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w:t>
                  </w:r>
                </w:p>
              </w:tc>
              <w:tc>
                <w:tcPr>
                  <w:tcW w:w="492" w:type="pct"/>
                  <w:noWrap w:val="0"/>
                  <w:vAlign w:val="center"/>
                </w:tcPr>
                <w:p w14:paraId="5041ED97">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12.5m</w:t>
                  </w:r>
                  <w:r>
                    <w:rPr>
                      <w:rFonts w:hint="default" w:ascii="Times New Roman" w:hAnsi="Times New Roman" w:eastAsia="宋体" w:cs="Times New Roman"/>
                      <w:color w:val="auto"/>
                      <w:szCs w:val="22"/>
                      <w:vertAlign w:val="superscript"/>
                    </w:rPr>
                    <w:t>3</w:t>
                  </w:r>
                </w:p>
              </w:tc>
            </w:tr>
            <w:tr w14:paraId="6C76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6" w:type="pct"/>
                  <w:gridSpan w:val="2"/>
                  <w:noWrap w:val="0"/>
                  <w:vAlign w:val="center"/>
                </w:tcPr>
                <w:p w14:paraId="1CCEDA9A">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bCs/>
                      <w:color w:val="auto"/>
                      <w:szCs w:val="22"/>
                    </w:rPr>
                    <w:t>合计</w:t>
                  </w:r>
                </w:p>
              </w:tc>
              <w:tc>
                <w:tcPr>
                  <w:tcW w:w="761" w:type="pct"/>
                  <w:noWrap w:val="0"/>
                  <w:vAlign w:val="center"/>
                </w:tcPr>
                <w:p w14:paraId="52FAA674">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w:t>
                  </w:r>
                </w:p>
              </w:tc>
              <w:tc>
                <w:tcPr>
                  <w:tcW w:w="613" w:type="pct"/>
                  <w:noWrap w:val="0"/>
                  <w:vAlign w:val="center"/>
                </w:tcPr>
                <w:p w14:paraId="4540179B">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4</w:t>
                  </w:r>
                </w:p>
              </w:tc>
              <w:tc>
                <w:tcPr>
                  <w:tcW w:w="468" w:type="pct"/>
                  <w:noWrap w:val="0"/>
                  <w:vAlign w:val="center"/>
                </w:tcPr>
                <w:p w14:paraId="77798A4B">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52.5</w:t>
                  </w:r>
                </w:p>
              </w:tc>
              <w:tc>
                <w:tcPr>
                  <w:tcW w:w="762" w:type="pct"/>
                  <w:noWrap w:val="0"/>
                  <w:vAlign w:val="center"/>
                </w:tcPr>
                <w:p w14:paraId="6B791286">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w:t>
                  </w:r>
                </w:p>
              </w:tc>
              <w:tc>
                <w:tcPr>
                  <w:tcW w:w="636" w:type="pct"/>
                  <w:noWrap w:val="0"/>
                  <w:vAlign w:val="center"/>
                </w:tcPr>
                <w:p w14:paraId="7A5CEE61">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4</w:t>
                  </w:r>
                </w:p>
              </w:tc>
              <w:tc>
                <w:tcPr>
                  <w:tcW w:w="492" w:type="pct"/>
                  <w:noWrap w:val="0"/>
                  <w:vAlign w:val="center"/>
                </w:tcPr>
                <w:p w14:paraId="20521E97">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87.5m</w:t>
                  </w:r>
                  <w:r>
                    <w:rPr>
                      <w:rFonts w:hint="default" w:ascii="Times New Roman" w:hAnsi="Times New Roman" w:eastAsia="宋体" w:cs="Times New Roman"/>
                      <w:color w:val="auto"/>
                      <w:szCs w:val="22"/>
                      <w:vertAlign w:val="superscript"/>
                    </w:rPr>
                    <w:t>3</w:t>
                  </w:r>
                </w:p>
              </w:tc>
            </w:tr>
          </w:tbl>
          <w:p w14:paraId="7AD4B9BB">
            <w:pPr>
              <w:adjustRightInd w:val="0"/>
              <w:snapToGrid w:val="0"/>
              <w:spacing w:line="360" w:lineRule="auto"/>
              <w:rPr>
                <w:rFonts w:hint="default" w:ascii="Times New Roman" w:hAnsi="Times New Roman" w:eastAsia="宋体" w:cs="Times New Roman"/>
                <w:b/>
                <w:bCs/>
                <w:color w:val="auto"/>
                <w:sz w:val="24"/>
                <w:szCs w:val="26"/>
              </w:rPr>
            </w:pPr>
            <w:r>
              <w:rPr>
                <w:rFonts w:hint="default" w:ascii="Times New Roman" w:hAnsi="Times New Roman" w:eastAsia="宋体" w:cs="Times New Roman"/>
                <w:bCs/>
                <w:color w:val="auto"/>
                <w:sz w:val="22"/>
                <w:szCs w:val="22"/>
              </w:rPr>
              <w:t>注：柴油罐容积折半计入油罐总容积。</w:t>
            </w:r>
          </w:p>
          <w:p w14:paraId="3C1E676A">
            <w:pPr>
              <w:pStyle w:val="62"/>
              <w:spacing w:line="360" w:lineRule="auto"/>
              <w:ind w:firstLine="480"/>
              <w:rPr>
                <w:rFonts w:hint="default" w:ascii="Times New Roman" w:hAnsi="Times New Roman" w:eastAsia="宋体" w:cs="Times New Roman"/>
                <w:bCs w:val="0"/>
                <w:color w:val="auto"/>
                <w:szCs w:val="26"/>
              </w:rPr>
            </w:pPr>
            <w:r>
              <w:rPr>
                <w:rFonts w:hint="default" w:ascii="Times New Roman" w:hAnsi="Times New Roman" w:eastAsia="宋体" w:cs="Times New Roman"/>
                <w:b/>
                <w:bCs/>
                <w:color w:val="auto"/>
                <w:sz w:val="24"/>
                <w:szCs w:val="26"/>
              </w:rPr>
              <w:t>产品方案</w:t>
            </w:r>
            <w:r>
              <w:rPr>
                <w:rFonts w:hint="default" w:ascii="Times New Roman" w:hAnsi="Times New Roman" w:eastAsia="宋体" w:cs="Times New Roman"/>
                <w:bCs w:val="0"/>
                <w:color w:val="auto"/>
                <w:sz w:val="24"/>
                <w:szCs w:val="26"/>
              </w:rPr>
              <w:t>：加油站年销售汽油、柴油情况见下表2.2-</w:t>
            </w:r>
            <w:r>
              <w:rPr>
                <w:rFonts w:hint="default" w:ascii="Times New Roman" w:hAnsi="Times New Roman" w:eastAsia="宋体" w:cs="Times New Roman"/>
                <w:bCs w:val="0"/>
                <w:color w:val="auto"/>
                <w:sz w:val="24"/>
                <w:szCs w:val="26"/>
                <w:lang w:val="en-US" w:eastAsia="zh-CN"/>
              </w:rPr>
              <w:t>2</w:t>
            </w:r>
            <w:r>
              <w:rPr>
                <w:rFonts w:hint="default" w:ascii="Times New Roman" w:hAnsi="Times New Roman" w:eastAsia="宋体" w:cs="Times New Roman"/>
                <w:bCs w:val="0"/>
                <w:color w:val="auto"/>
                <w:sz w:val="24"/>
                <w:szCs w:val="26"/>
              </w:rPr>
              <w:t>。</w:t>
            </w:r>
          </w:p>
          <w:p w14:paraId="500AE580">
            <w:pPr>
              <w:pStyle w:val="62"/>
              <w:spacing w:line="240" w:lineRule="auto"/>
              <w:ind w:firstLine="0" w:firstLineChars="0"/>
              <w:jc w:val="center"/>
              <w:rPr>
                <w:rFonts w:hint="default" w:ascii="Times New Roman" w:hAnsi="Times New Roman" w:eastAsia="宋体" w:cs="Times New Roman"/>
                <w:b/>
                <w:color w:val="auto"/>
                <w:sz w:val="24"/>
                <w:lang w:val="zh-CN"/>
              </w:rPr>
            </w:pPr>
            <w:r>
              <w:rPr>
                <w:rFonts w:hint="default" w:ascii="Times New Roman" w:hAnsi="Times New Roman" w:eastAsia="宋体" w:cs="Times New Roman"/>
                <w:b/>
                <w:color w:val="auto"/>
                <w:sz w:val="24"/>
                <w:lang w:val="zh-CN"/>
              </w:rPr>
              <w:t>表2.2-</w:t>
            </w:r>
            <w:r>
              <w:rPr>
                <w:rFonts w:hint="default" w:ascii="Times New Roman" w:hAnsi="Times New Roman" w:eastAsia="宋体" w:cs="Times New Roman"/>
                <w:b/>
                <w:color w:val="auto"/>
                <w:sz w:val="24"/>
                <w:lang w:val="en-US" w:eastAsia="zh-CN"/>
              </w:rPr>
              <w:t>2</w:t>
            </w:r>
            <w:r>
              <w:rPr>
                <w:rFonts w:hint="default" w:ascii="Times New Roman" w:hAnsi="Times New Roman" w:eastAsia="宋体" w:cs="Times New Roman"/>
                <w:b/>
                <w:color w:val="auto"/>
                <w:sz w:val="24"/>
                <w:lang w:val="zh-CN"/>
              </w:rPr>
              <w:t xml:space="preserve">    本项目产品销售情况一览表    </w:t>
            </w:r>
            <w:r>
              <w:rPr>
                <w:rFonts w:hint="default" w:ascii="Times New Roman" w:hAnsi="Times New Roman" w:eastAsia="宋体" w:cs="Times New Roman"/>
                <w:b/>
                <w:bCs w:val="0"/>
                <w:color w:val="auto"/>
                <w:sz w:val="24"/>
              </w:rPr>
              <w:t>单位t/a</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388"/>
              <w:gridCol w:w="1819"/>
              <w:gridCol w:w="2377"/>
              <w:gridCol w:w="2377"/>
            </w:tblGrid>
            <w:tr w14:paraId="23FF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noWrap w:val="0"/>
                  <w:vAlign w:val="center"/>
                </w:tcPr>
                <w:p w14:paraId="50DC61D8">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序号</w:t>
                  </w:r>
                </w:p>
              </w:tc>
              <w:tc>
                <w:tcPr>
                  <w:tcW w:w="793" w:type="pct"/>
                  <w:noWrap w:val="0"/>
                  <w:vAlign w:val="center"/>
                </w:tcPr>
                <w:p w14:paraId="7D622C77">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产品名称</w:t>
                  </w:r>
                </w:p>
              </w:tc>
              <w:tc>
                <w:tcPr>
                  <w:tcW w:w="1039" w:type="pct"/>
                  <w:noWrap w:val="0"/>
                  <w:vAlign w:val="center"/>
                </w:tcPr>
                <w:p w14:paraId="01AEBD74">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现有工程销售量</w:t>
                  </w:r>
                </w:p>
              </w:tc>
              <w:tc>
                <w:tcPr>
                  <w:tcW w:w="1358" w:type="pct"/>
                  <w:noWrap w:val="0"/>
                  <w:vAlign w:val="center"/>
                </w:tcPr>
                <w:p w14:paraId="1787B135">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本项目实施后销售量</w:t>
                  </w:r>
                </w:p>
              </w:tc>
              <w:tc>
                <w:tcPr>
                  <w:tcW w:w="1358" w:type="pct"/>
                  <w:noWrap w:val="0"/>
                  <w:vAlign w:val="center"/>
                </w:tcPr>
                <w:p w14:paraId="236FDC3E">
                  <w:pPr>
                    <w:tabs>
                      <w:tab w:val="left" w:pos="612"/>
                    </w:tabs>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变化情况</w:t>
                  </w:r>
                </w:p>
              </w:tc>
            </w:tr>
            <w:tr w14:paraId="696D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noWrap w:val="0"/>
                  <w:vAlign w:val="center"/>
                </w:tcPr>
                <w:p w14:paraId="2BBDA9E4">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bCs/>
                      <w:color w:val="auto"/>
                      <w:szCs w:val="22"/>
                    </w:rPr>
                    <w:t>1</w:t>
                  </w:r>
                </w:p>
              </w:tc>
              <w:tc>
                <w:tcPr>
                  <w:tcW w:w="793" w:type="pct"/>
                  <w:noWrap w:val="0"/>
                  <w:vAlign w:val="center"/>
                </w:tcPr>
                <w:p w14:paraId="01414A4F">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0#柴油</w:t>
                  </w:r>
                </w:p>
              </w:tc>
              <w:tc>
                <w:tcPr>
                  <w:tcW w:w="1039" w:type="pct"/>
                  <w:noWrap w:val="0"/>
                  <w:vAlign w:val="center"/>
                </w:tcPr>
                <w:p w14:paraId="37D93358">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300</w:t>
                  </w:r>
                </w:p>
              </w:tc>
              <w:tc>
                <w:tcPr>
                  <w:tcW w:w="1358" w:type="pct"/>
                  <w:noWrap w:val="0"/>
                  <w:vAlign w:val="center"/>
                </w:tcPr>
                <w:p w14:paraId="539AB190">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500</w:t>
                  </w:r>
                </w:p>
              </w:tc>
              <w:tc>
                <w:tcPr>
                  <w:tcW w:w="1358" w:type="pct"/>
                  <w:noWrap w:val="0"/>
                  <w:vAlign w:val="center"/>
                </w:tcPr>
                <w:p w14:paraId="5D558589">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+200</w:t>
                  </w:r>
                </w:p>
              </w:tc>
            </w:tr>
            <w:tr w14:paraId="3551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noWrap w:val="0"/>
                  <w:vAlign w:val="center"/>
                </w:tcPr>
                <w:p w14:paraId="4DE6A37E">
                  <w:pPr>
                    <w:tabs>
                      <w:tab w:val="left" w:pos="612"/>
                    </w:tabs>
                    <w:jc w:val="center"/>
                    <w:rPr>
                      <w:rFonts w:hint="default" w:ascii="Times New Roman" w:hAnsi="Times New Roman" w:eastAsia="宋体" w:cs="Times New Roman"/>
                      <w:bCs/>
                      <w:color w:val="auto"/>
                      <w:szCs w:val="22"/>
                    </w:rPr>
                  </w:pPr>
                  <w:r>
                    <w:rPr>
                      <w:rFonts w:hint="default" w:ascii="Times New Roman" w:hAnsi="Times New Roman" w:eastAsia="宋体" w:cs="Times New Roman"/>
                      <w:bCs/>
                      <w:color w:val="auto"/>
                      <w:szCs w:val="22"/>
                    </w:rPr>
                    <w:t>2</w:t>
                  </w:r>
                </w:p>
              </w:tc>
              <w:tc>
                <w:tcPr>
                  <w:tcW w:w="793" w:type="pct"/>
                  <w:noWrap w:val="0"/>
                  <w:vAlign w:val="center"/>
                </w:tcPr>
                <w:p w14:paraId="279D2BE5">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92#汽油</w:t>
                  </w:r>
                </w:p>
              </w:tc>
              <w:tc>
                <w:tcPr>
                  <w:tcW w:w="1039" w:type="pct"/>
                  <w:noWrap w:val="0"/>
                  <w:vAlign w:val="center"/>
                </w:tcPr>
                <w:p w14:paraId="2C93DF6D">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1700</w:t>
                  </w:r>
                </w:p>
              </w:tc>
              <w:tc>
                <w:tcPr>
                  <w:tcW w:w="1358" w:type="pct"/>
                  <w:noWrap w:val="0"/>
                  <w:vAlign w:val="center"/>
                </w:tcPr>
                <w:p w14:paraId="2268249E">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2000</w:t>
                  </w:r>
                </w:p>
              </w:tc>
              <w:tc>
                <w:tcPr>
                  <w:tcW w:w="1358" w:type="pct"/>
                  <w:noWrap w:val="0"/>
                  <w:vAlign w:val="center"/>
                </w:tcPr>
                <w:p w14:paraId="6F4A1FE2">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+300</w:t>
                  </w:r>
                </w:p>
              </w:tc>
            </w:tr>
            <w:tr w14:paraId="2EA1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noWrap w:val="0"/>
                  <w:vAlign w:val="center"/>
                </w:tcPr>
                <w:p w14:paraId="7529477E">
                  <w:pPr>
                    <w:tabs>
                      <w:tab w:val="left" w:pos="612"/>
                    </w:tabs>
                    <w:jc w:val="center"/>
                    <w:rPr>
                      <w:rFonts w:hint="default" w:ascii="Times New Roman" w:hAnsi="Times New Roman" w:eastAsia="宋体" w:cs="Times New Roman"/>
                      <w:bCs/>
                      <w:color w:val="auto"/>
                      <w:szCs w:val="22"/>
                    </w:rPr>
                  </w:pPr>
                  <w:r>
                    <w:rPr>
                      <w:rFonts w:hint="default" w:ascii="Times New Roman" w:hAnsi="Times New Roman" w:eastAsia="宋体" w:cs="Times New Roman"/>
                      <w:bCs/>
                      <w:color w:val="auto"/>
                      <w:szCs w:val="22"/>
                    </w:rPr>
                    <w:t>3</w:t>
                  </w:r>
                </w:p>
              </w:tc>
              <w:tc>
                <w:tcPr>
                  <w:tcW w:w="793" w:type="pct"/>
                  <w:noWrap w:val="0"/>
                  <w:vAlign w:val="center"/>
                </w:tcPr>
                <w:p w14:paraId="0399E42C">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95#汽油</w:t>
                  </w:r>
                </w:p>
              </w:tc>
              <w:tc>
                <w:tcPr>
                  <w:tcW w:w="1039" w:type="pct"/>
                  <w:noWrap w:val="0"/>
                  <w:vAlign w:val="center"/>
                </w:tcPr>
                <w:p w14:paraId="3FDCCE0F">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1300</w:t>
                  </w:r>
                </w:p>
              </w:tc>
              <w:tc>
                <w:tcPr>
                  <w:tcW w:w="1358" w:type="pct"/>
                  <w:noWrap w:val="0"/>
                  <w:vAlign w:val="center"/>
                </w:tcPr>
                <w:p w14:paraId="18B3E225">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1500</w:t>
                  </w:r>
                </w:p>
              </w:tc>
              <w:tc>
                <w:tcPr>
                  <w:tcW w:w="1358" w:type="pct"/>
                  <w:noWrap w:val="0"/>
                  <w:vAlign w:val="center"/>
                </w:tcPr>
                <w:p w14:paraId="23AB1C56">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+200</w:t>
                  </w:r>
                </w:p>
              </w:tc>
            </w:tr>
            <w:tr w14:paraId="52F1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noWrap w:val="0"/>
                  <w:vAlign w:val="center"/>
                </w:tcPr>
                <w:p w14:paraId="252B3B76">
                  <w:pPr>
                    <w:tabs>
                      <w:tab w:val="left" w:pos="612"/>
                    </w:tabs>
                    <w:jc w:val="center"/>
                    <w:rPr>
                      <w:rFonts w:hint="default" w:ascii="Times New Roman" w:hAnsi="Times New Roman" w:eastAsia="宋体" w:cs="Times New Roman"/>
                      <w:bCs/>
                      <w:color w:val="auto"/>
                      <w:szCs w:val="22"/>
                      <w:lang w:val="en-US" w:eastAsia="zh-CN"/>
                    </w:rPr>
                  </w:pPr>
                  <w:r>
                    <w:rPr>
                      <w:rFonts w:hint="default" w:ascii="Times New Roman" w:hAnsi="Times New Roman" w:eastAsia="宋体" w:cs="Times New Roman"/>
                      <w:bCs/>
                      <w:color w:val="auto"/>
                      <w:szCs w:val="22"/>
                      <w:lang w:val="en-US" w:eastAsia="zh-CN"/>
                    </w:rPr>
                    <w:t>4</w:t>
                  </w:r>
                </w:p>
              </w:tc>
              <w:tc>
                <w:tcPr>
                  <w:tcW w:w="793" w:type="pct"/>
                  <w:noWrap w:val="0"/>
                  <w:vAlign w:val="center"/>
                </w:tcPr>
                <w:p w14:paraId="693C4735">
                  <w:pPr>
                    <w:tabs>
                      <w:tab w:val="left" w:pos="612"/>
                    </w:tabs>
                    <w:jc w:val="center"/>
                    <w:rPr>
                      <w:rFonts w:hint="default" w:ascii="Times New Roman" w:hAnsi="Times New Roman" w:eastAsia="宋体" w:cs="Times New Roman"/>
                      <w:color w:val="auto"/>
                      <w:szCs w:val="22"/>
                      <w:lang w:val="en-US" w:eastAsia="zh-CN"/>
                    </w:rPr>
                  </w:pPr>
                  <w:r>
                    <w:rPr>
                      <w:rFonts w:hint="default" w:ascii="Times New Roman" w:hAnsi="Times New Roman" w:eastAsia="宋体" w:cs="Times New Roman"/>
                      <w:color w:val="auto"/>
                      <w:szCs w:val="22"/>
                      <w:lang w:val="en-US" w:eastAsia="zh-CN"/>
                    </w:rPr>
                    <w:t>98#汽油</w:t>
                  </w:r>
                </w:p>
              </w:tc>
              <w:tc>
                <w:tcPr>
                  <w:tcW w:w="1039" w:type="pct"/>
                  <w:noWrap w:val="0"/>
                  <w:vAlign w:val="center"/>
                </w:tcPr>
                <w:p w14:paraId="29F2FEB4">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1358" w:type="pct"/>
                  <w:noWrap w:val="0"/>
                  <w:vAlign w:val="center"/>
                </w:tcPr>
                <w:p w14:paraId="2CC8315E">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500</w:t>
                  </w:r>
                </w:p>
              </w:tc>
              <w:tc>
                <w:tcPr>
                  <w:tcW w:w="1358" w:type="pct"/>
                  <w:noWrap w:val="0"/>
                  <w:vAlign w:val="center"/>
                </w:tcPr>
                <w:p w14:paraId="7B1808AA">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+500</w:t>
                  </w:r>
                </w:p>
              </w:tc>
            </w:tr>
          </w:tbl>
          <w:p w14:paraId="506D976D">
            <w:pPr>
              <w:adjustRightInd w:val="0"/>
              <w:snapToGrid w:val="0"/>
              <w:spacing w:line="360" w:lineRule="auto"/>
              <w:ind w:firstLine="480" w:firstLineChars="200"/>
              <w:jc w:val="left"/>
              <w:rPr>
                <w:rFonts w:hint="default" w:ascii="Times New Roman" w:hAnsi="Times New Roman" w:eastAsia="宋体" w:cs="Times New Roman"/>
                <w:bCs w:val="0"/>
                <w:color w:val="auto"/>
                <w:sz w:val="24"/>
                <w:szCs w:val="26"/>
                <w:lang w:val="en-US" w:eastAsia="zh-CN"/>
              </w:rPr>
            </w:pPr>
          </w:p>
          <w:p w14:paraId="495F0033">
            <w:pPr>
              <w:adjustRightInd w:val="0"/>
              <w:snapToGrid w:val="0"/>
              <w:spacing w:line="360" w:lineRule="auto"/>
              <w:ind w:firstLine="482" w:firstLineChars="200"/>
              <w:jc w:val="left"/>
              <w:rPr>
                <w:rFonts w:hint="default" w:ascii="Times New Roman" w:hAnsi="Times New Roman" w:eastAsia="宋体" w:cs="Times New Roman"/>
                <w:color w:val="auto"/>
                <w:sz w:val="24"/>
                <w:szCs w:val="26"/>
              </w:rPr>
            </w:pPr>
            <w:r>
              <w:rPr>
                <w:rFonts w:hint="default" w:ascii="Times New Roman" w:hAnsi="Times New Roman" w:cs="Times New Roman"/>
                <w:b/>
                <w:bCs/>
                <w:color w:val="auto"/>
                <w:sz w:val="24"/>
                <w:szCs w:val="26"/>
                <w:lang w:val="en-US" w:eastAsia="zh-CN"/>
              </w:rPr>
              <w:t>加油站等级：</w:t>
            </w:r>
            <w:r>
              <w:rPr>
                <w:rFonts w:hint="default" w:ascii="Times New Roman" w:hAnsi="Times New Roman" w:eastAsia="宋体" w:cs="Times New Roman"/>
                <w:bCs w:val="0"/>
                <w:color w:val="auto"/>
                <w:sz w:val="24"/>
                <w:szCs w:val="26"/>
                <w:lang w:val="en-US" w:eastAsia="zh-CN"/>
              </w:rPr>
              <w:t>本项目实施后，</w:t>
            </w:r>
            <w:r>
              <w:rPr>
                <w:rFonts w:hint="default" w:ascii="Times New Roman" w:hAnsi="Times New Roman" w:eastAsia="宋体" w:cs="Times New Roman"/>
                <w:bCs w:val="0"/>
                <w:color w:val="auto"/>
                <w:sz w:val="24"/>
                <w:szCs w:val="26"/>
              </w:rPr>
              <w:t>加油站内油罐为</w:t>
            </w:r>
            <w:r>
              <w:rPr>
                <w:rFonts w:hint="default" w:ascii="Times New Roman" w:hAnsi="Times New Roman" w:eastAsia="宋体" w:cs="Times New Roman"/>
                <w:color w:val="auto"/>
                <w:sz w:val="24"/>
                <w:szCs w:val="26"/>
              </w:rPr>
              <w:t>25m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的92#汽油罐</w:t>
            </w:r>
            <w:r>
              <w:rPr>
                <w:rFonts w:hint="default" w:ascii="Times New Roman" w:hAnsi="Times New Roman" w:eastAsia="宋体" w:cs="Times New Roman"/>
                <w:color w:val="auto"/>
                <w:sz w:val="24"/>
                <w:szCs w:val="26"/>
                <w:lang w:val="en-US" w:eastAsia="zh-CN"/>
              </w:rPr>
              <w:t>1</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color w:val="auto"/>
                <w:sz w:val="24"/>
                <w:szCs w:val="26"/>
              </w:rPr>
              <w:t>，25m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的95#汽油罐1</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color w:val="auto"/>
                <w:sz w:val="24"/>
                <w:szCs w:val="26"/>
                <w:lang w:eastAsia="zh-CN"/>
              </w:rPr>
              <w:t>，</w:t>
            </w:r>
            <w:r>
              <w:rPr>
                <w:rFonts w:hint="default" w:ascii="Times New Roman" w:hAnsi="Times New Roman" w:eastAsia="宋体" w:cs="Times New Roman"/>
                <w:color w:val="auto"/>
                <w:sz w:val="24"/>
                <w:szCs w:val="26"/>
              </w:rPr>
              <w:t>25m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的9</w:t>
            </w:r>
            <w:r>
              <w:rPr>
                <w:rFonts w:hint="default" w:ascii="Times New Roman" w:hAnsi="Times New Roman" w:eastAsia="宋体" w:cs="Times New Roman"/>
                <w:color w:val="auto"/>
                <w:sz w:val="24"/>
                <w:szCs w:val="26"/>
                <w:lang w:val="en-US" w:eastAsia="zh-CN"/>
              </w:rPr>
              <w:t>8</w:t>
            </w:r>
            <w:r>
              <w:rPr>
                <w:rFonts w:hint="default" w:ascii="Times New Roman" w:hAnsi="Times New Roman" w:eastAsia="宋体" w:cs="Times New Roman"/>
                <w:color w:val="auto"/>
                <w:sz w:val="24"/>
                <w:szCs w:val="26"/>
              </w:rPr>
              <w:t>#汽油罐1</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color w:val="auto"/>
                <w:sz w:val="24"/>
                <w:szCs w:val="26"/>
              </w:rPr>
              <w:t>，25m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的0#柴油罐1</w:t>
            </w:r>
            <w:r>
              <w:rPr>
                <w:rFonts w:hint="eastAsia" w:ascii="Times New Roman" w:hAnsi="Times New Roman" w:cs="Times New Roman"/>
                <w:bCs/>
                <w:color w:val="auto"/>
                <w:sz w:val="24"/>
                <w:szCs w:val="26"/>
                <w:lang w:eastAsia="zh-CN"/>
              </w:rPr>
              <w:t>座</w:t>
            </w:r>
            <w:r>
              <w:rPr>
                <w:rFonts w:hint="default" w:ascii="Times New Roman" w:hAnsi="Times New Roman" w:eastAsia="宋体" w:cs="Times New Roman"/>
                <w:color w:val="auto"/>
                <w:sz w:val="24"/>
                <w:szCs w:val="26"/>
              </w:rPr>
              <w:t>，油罐总储油量为100</w:t>
            </w:r>
            <w:r>
              <w:rPr>
                <w:rFonts w:hint="default" w:ascii="Times New Roman" w:hAnsi="Times New Roman" w:eastAsia="宋体" w:cs="Times New Roman"/>
                <w:bCs w:val="0"/>
                <w:color w:val="auto"/>
                <w:sz w:val="24"/>
                <w:szCs w:val="26"/>
              </w:rPr>
              <w:t>m</w:t>
            </w:r>
            <w:r>
              <w:rPr>
                <w:rFonts w:hint="default" w:ascii="Times New Roman" w:hAnsi="Times New Roman" w:eastAsia="宋体" w:cs="Times New Roman"/>
                <w:bCs w:val="0"/>
                <w:color w:val="auto"/>
                <w:sz w:val="24"/>
                <w:szCs w:val="26"/>
                <w:vertAlign w:val="superscript"/>
              </w:rPr>
              <w:t>3</w:t>
            </w:r>
            <w:r>
              <w:rPr>
                <w:rFonts w:hint="default" w:ascii="Times New Roman" w:hAnsi="Times New Roman" w:eastAsia="宋体" w:cs="Times New Roman"/>
                <w:bCs w:val="0"/>
                <w:color w:val="auto"/>
                <w:sz w:val="24"/>
                <w:szCs w:val="26"/>
              </w:rPr>
              <w:t>，</w:t>
            </w:r>
            <w:r>
              <w:rPr>
                <w:rFonts w:hint="default" w:ascii="Times New Roman" w:hAnsi="Times New Roman" w:eastAsia="宋体" w:cs="Times New Roman"/>
                <w:color w:val="auto"/>
                <w:sz w:val="24"/>
                <w:szCs w:val="26"/>
              </w:rPr>
              <w:t>总容积为87.5m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（柴油容积折半计算）</w:t>
            </w:r>
            <w:r>
              <w:rPr>
                <w:rFonts w:hint="default" w:ascii="Times New Roman" w:hAnsi="Times New Roman" w:cs="Times New Roman"/>
                <w:color w:val="auto"/>
                <w:sz w:val="24"/>
                <w:szCs w:val="26"/>
                <w:lang w:eastAsia="zh-CN"/>
              </w:rPr>
              <w:t>。</w:t>
            </w:r>
            <w:r>
              <w:rPr>
                <w:rFonts w:hint="default" w:ascii="Times New Roman" w:hAnsi="Times New Roman" w:eastAsia="宋体" w:cs="Times New Roman"/>
                <w:color w:val="auto"/>
                <w:sz w:val="24"/>
                <w:szCs w:val="26"/>
              </w:rPr>
              <w:t>根据《汽车加油加气加氢站技术标准》（GB50156-2021），渝中加油站改扩建前后保持三级加油站不变。</w:t>
            </w:r>
          </w:p>
          <w:p w14:paraId="1FAEC4EC">
            <w:pPr>
              <w:adjustRightInd w:val="0"/>
              <w:snapToGrid w:val="0"/>
              <w:spacing w:line="360" w:lineRule="auto"/>
              <w:ind w:firstLine="480" w:firstLineChars="200"/>
              <w:jc w:val="left"/>
              <w:rPr>
                <w:rFonts w:hint="default" w:ascii="Times New Roman" w:hAnsi="Times New Roman" w:eastAsia="宋体" w:cs="Times New Roman"/>
                <w:color w:val="auto"/>
                <w:sz w:val="24"/>
                <w:szCs w:val="26"/>
                <w:lang w:eastAsia="zh-CN"/>
              </w:rPr>
            </w:pPr>
            <w:r>
              <w:rPr>
                <w:rFonts w:hint="default" w:ascii="Times New Roman" w:hAnsi="Times New Roman" w:eastAsia="宋体" w:cs="Times New Roman"/>
                <w:color w:val="auto"/>
                <w:sz w:val="24"/>
                <w:szCs w:val="26"/>
              </w:rPr>
              <w:t>本项目加油站等级划分见下表2.2-</w:t>
            </w:r>
            <w:r>
              <w:rPr>
                <w:rFonts w:hint="default" w:ascii="Times New Roman" w:hAnsi="Times New Roman" w:eastAsia="宋体" w:cs="Times New Roman"/>
                <w:color w:val="auto"/>
                <w:sz w:val="24"/>
                <w:szCs w:val="26"/>
                <w:lang w:val="en-US" w:eastAsia="zh-CN"/>
              </w:rPr>
              <w:t>3</w:t>
            </w:r>
            <w:r>
              <w:rPr>
                <w:rFonts w:hint="default" w:ascii="Times New Roman" w:hAnsi="Times New Roman" w:cs="Times New Roman"/>
                <w:color w:val="auto"/>
                <w:sz w:val="24"/>
                <w:szCs w:val="26"/>
                <w:lang w:val="en-US" w:eastAsia="zh-CN"/>
              </w:rPr>
              <w:t>。</w:t>
            </w:r>
          </w:p>
          <w:p w14:paraId="52DF6453">
            <w:pPr>
              <w:pStyle w:val="62"/>
              <w:spacing w:line="240" w:lineRule="auto"/>
              <w:ind w:firstLine="0" w:firstLineChars="0"/>
              <w:jc w:val="center"/>
              <w:rPr>
                <w:rFonts w:hint="default" w:ascii="Times New Roman" w:hAnsi="Times New Roman" w:eastAsia="宋体" w:cs="Times New Roman"/>
                <w:b/>
                <w:color w:val="auto"/>
                <w:sz w:val="24"/>
                <w:lang w:val="zh-CN"/>
              </w:rPr>
            </w:pPr>
            <w:r>
              <w:rPr>
                <w:rFonts w:hint="default" w:ascii="Times New Roman" w:hAnsi="Times New Roman" w:eastAsia="宋体" w:cs="Times New Roman"/>
                <w:b/>
                <w:color w:val="auto"/>
                <w:sz w:val="24"/>
                <w:lang w:val="zh-CN"/>
              </w:rPr>
              <w:t>表2.2-</w:t>
            </w:r>
            <w:r>
              <w:rPr>
                <w:rFonts w:hint="default" w:ascii="Times New Roman" w:hAnsi="Times New Roman" w:cs="Times New Roman"/>
                <w:b/>
                <w:color w:val="auto"/>
                <w:sz w:val="24"/>
                <w:lang w:val="en-US" w:eastAsia="zh-CN"/>
              </w:rPr>
              <w:t>3</w:t>
            </w:r>
            <w:r>
              <w:rPr>
                <w:rFonts w:hint="default" w:ascii="Times New Roman" w:hAnsi="Times New Roman" w:eastAsia="宋体" w:cs="Times New Roman"/>
                <w:b/>
                <w:color w:val="auto"/>
                <w:sz w:val="24"/>
                <w:lang w:val="zh-CN"/>
              </w:rPr>
              <w:t xml:space="preserve">  本项目加油站等级划分表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4057"/>
              <w:gridCol w:w="2826"/>
            </w:tblGrid>
            <w:tr w14:paraId="7BCB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pct"/>
                  <w:vMerge w:val="restart"/>
                  <w:noWrap w:val="0"/>
                  <w:vAlign w:val="center"/>
                </w:tcPr>
                <w:p w14:paraId="2D5DA016">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级别</w:t>
                  </w:r>
                </w:p>
              </w:tc>
              <w:tc>
                <w:tcPr>
                  <w:tcW w:w="3933" w:type="pct"/>
                  <w:gridSpan w:val="2"/>
                  <w:noWrap w:val="0"/>
                  <w:vAlign w:val="center"/>
                </w:tcPr>
                <w:p w14:paraId="7D90F79C">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油罐容积（m</w:t>
                  </w:r>
                  <w:r>
                    <w:rPr>
                      <w:rFonts w:hint="default" w:ascii="Times New Roman" w:hAnsi="Times New Roman" w:eastAsia="宋体" w:cs="Times New Roman"/>
                      <w:color w:val="auto"/>
                      <w:szCs w:val="22"/>
                      <w:vertAlign w:val="superscript"/>
                    </w:rPr>
                    <w:t>3</w:t>
                  </w:r>
                  <w:r>
                    <w:rPr>
                      <w:rFonts w:hint="default" w:ascii="Times New Roman" w:hAnsi="Times New Roman" w:eastAsia="宋体" w:cs="Times New Roman"/>
                      <w:color w:val="auto"/>
                      <w:szCs w:val="22"/>
                    </w:rPr>
                    <w:t>）</w:t>
                  </w:r>
                </w:p>
              </w:tc>
            </w:tr>
            <w:tr w14:paraId="2034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pct"/>
                  <w:vMerge w:val="continue"/>
                  <w:noWrap w:val="0"/>
                  <w:vAlign w:val="center"/>
                </w:tcPr>
                <w:p w14:paraId="7CE72ABF">
                  <w:pPr>
                    <w:tabs>
                      <w:tab w:val="left" w:pos="612"/>
                    </w:tabs>
                    <w:jc w:val="center"/>
                    <w:rPr>
                      <w:rFonts w:hint="default" w:ascii="Times New Roman" w:hAnsi="Times New Roman" w:eastAsia="宋体" w:cs="Times New Roman"/>
                      <w:color w:val="auto"/>
                      <w:szCs w:val="22"/>
                    </w:rPr>
                  </w:pPr>
                </w:p>
              </w:tc>
              <w:tc>
                <w:tcPr>
                  <w:tcW w:w="2318" w:type="pct"/>
                  <w:noWrap w:val="0"/>
                  <w:vAlign w:val="center"/>
                </w:tcPr>
                <w:p w14:paraId="693BA513">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总容积</w:t>
                  </w:r>
                </w:p>
              </w:tc>
              <w:tc>
                <w:tcPr>
                  <w:tcW w:w="1615" w:type="pct"/>
                  <w:noWrap w:val="0"/>
                  <w:vAlign w:val="center"/>
                </w:tcPr>
                <w:p w14:paraId="72B230D9">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单罐容积</w:t>
                  </w:r>
                </w:p>
              </w:tc>
            </w:tr>
            <w:tr w14:paraId="3258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pct"/>
                  <w:noWrap w:val="0"/>
                  <w:vAlign w:val="center"/>
                </w:tcPr>
                <w:p w14:paraId="059B98F4">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bCs/>
                      <w:color w:val="auto"/>
                      <w:szCs w:val="22"/>
                    </w:rPr>
                    <w:t>一级</w:t>
                  </w:r>
                </w:p>
              </w:tc>
              <w:tc>
                <w:tcPr>
                  <w:tcW w:w="2318" w:type="pct"/>
                  <w:noWrap w:val="0"/>
                  <w:vAlign w:val="center"/>
                </w:tcPr>
                <w:p w14:paraId="5301B0EC">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150&lt;V≤210</w:t>
                  </w:r>
                </w:p>
              </w:tc>
              <w:tc>
                <w:tcPr>
                  <w:tcW w:w="1615" w:type="pct"/>
                  <w:noWrap w:val="0"/>
                  <w:vAlign w:val="center"/>
                </w:tcPr>
                <w:p w14:paraId="6C3E67AF">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≤50</w:t>
                  </w:r>
                </w:p>
              </w:tc>
            </w:tr>
            <w:tr w14:paraId="7454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pct"/>
                  <w:noWrap w:val="0"/>
                  <w:vAlign w:val="center"/>
                </w:tcPr>
                <w:p w14:paraId="2DCB65B6">
                  <w:pPr>
                    <w:tabs>
                      <w:tab w:val="left" w:pos="612"/>
                    </w:tabs>
                    <w:jc w:val="center"/>
                    <w:rPr>
                      <w:rFonts w:hint="default" w:ascii="Times New Roman" w:hAnsi="Times New Roman" w:eastAsia="宋体" w:cs="Times New Roman"/>
                      <w:bCs/>
                      <w:color w:val="auto"/>
                      <w:szCs w:val="22"/>
                    </w:rPr>
                  </w:pPr>
                  <w:r>
                    <w:rPr>
                      <w:rFonts w:hint="default" w:ascii="Times New Roman" w:hAnsi="Times New Roman" w:eastAsia="宋体" w:cs="Times New Roman"/>
                      <w:bCs/>
                      <w:color w:val="auto"/>
                      <w:szCs w:val="22"/>
                    </w:rPr>
                    <w:t>二级</w:t>
                  </w:r>
                </w:p>
              </w:tc>
              <w:tc>
                <w:tcPr>
                  <w:tcW w:w="2318" w:type="pct"/>
                  <w:noWrap w:val="0"/>
                  <w:vAlign w:val="center"/>
                </w:tcPr>
                <w:p w14:paraId="2C2990EA">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90&lt;V≤150</w:t>
                  </w:r>
                </w:p>
              </w:tc>
              <w:tc>
                <w:tcPr>
                  <w:tcW w:w="1615" w:type="pct"/>
                  <w:noWrap w:val="0"/>
                  <w:vAlign w:val="center"/>
                </w:tcPr>
                <w:p w14:paraId="55AF6CDA">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≤50</w:t>
                  </w:r>
                </w:p>
              </w:tc>
            </w:tr>
            <w:tr w14:paraId="0A19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7" w:type="pct"/>
                  <w:noWrap w:val="0"/>
                  <w:vAlign w:val="center"/>
                </w:tcPr>
                <w:p w14:paraId="5763973E">
                  <w:pPr>
                    <w:tabs>
                      <w:tab w:val="left" w:pos="612"/>
                    </w:tabs>
                    <w:jc w:val="center"/>
                    <w:rPr>
                      <w:rFonts w:hint="default" w:ascii="Times New Roman" w:hAnsi="Times New Roman" w:eastAsia="宋体" w:cs="Times New Roman"/>
                      <w:bCs/>
                      <w:color w:val="auto"/>
                      <w:szCs w:val="22"/>
                    </w:rPr>
                  </w:pPr>
                  <w:r>
                    <w:rPr>
                      <w:rFonts w:hint="default" w:ascii="Times New Roman" w:hAnsi="Times New Roman" w:eastAsia="宋体" w:cs="Times New Roman"/>
                      <w:bCs/>
                      <w:color w:val="auto"/>
                      <w:szCs w:val="22"/>
                    </w:rPr>
                    <w:t>三级</w:t>
                  </w:r>
                </w:p>
              </w:tc>
              <w:tc>
                <w:tcPr>
                  <w:tcW w:w="2318" w:type="pct"/>
                  <w:noWrap w:val="0"/>
                  <w:vAlign w:val="center"/>
                </w:tcPr>
                <w:p w14:paraId="2A5F2A5E">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V≤90</w:t>
                  </w:r>
                </w:p>
              </w:tc>
              <w:tc>
                <w:tcPr>
                  <w:tcW w:w="1615" w:type="pct"/>
                  <w:noWrap w:val="0"/>
                  <w:vAlign w:val="center"/>
                </w:tcPr>
                <w:p w14:paraId="49C78062">
                  <w:pPr>
                    <w:tabs>
                      <w:tab w:val="left" w:pos="612"/>
                    </w:tabs>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汽油罐≤30，柴油罐≤50</w:t>
                  </w:r>
                </w:p>
              </w:tc>
            </w:tr>
          </w:tbl>
          <w:p w14:paraId="3079E91B">
            <w:pPr>
              <w:adjustRightInd w:val="0"/>
              <w:snapToGrid w:val="0"/>
              <w:rPr>
                <w:rFonts w:hint="default" w:ascii="Times New Roman" w:hAnsi="Times New Roman" w:eastAsia="宋体" w:cs="Times New Roman"/>
                <w:bCs/>
                <w:color w:val="auto"/>
                <w:sz w:val="22"/>
                <w:szCs w:val="22"/>
              </w:rPr>
            </w:pPr>
            <w:r>
              <w:rPr>
                <w:rFonts w:hint="default" w:ascii="Times New Roman" w:hAnsi="Times New Roman" w:eastAsia="宋体" w:cs="Times New Roman"/>
                <w:bCs/>
                <w:color w:val="auto"/>
                <w:sz w:val="22"/>
                <w:szCs w:val="22"/>
              </w:rPr>
              <w:t>注：柴油罐容积可折半计入油罐总容积。</w:t>
            </w:r>
          </w:p>
          <w:p w14:paraId="0C5DEDD9">
            <w:pPr>
              <w:adjustRightInd w:val="0"/>
              <w:snapToGrid w:val="0"/>
              <w:rPr>
                <w:rFonts w:hint="default" w:ascii="Times New Roman" w:hAnsi="Times New Roman" w:eastAsia="宋体" w:cs="Times New Roman"/>
                <w:bCs/>
                <w:color w:val="auto"/>
                <w:sz w:val="22"/>
                <w:szCs w:val="22"/>
              </w:rPr>
            </w:pPr>
          </w:p>
          <w:p w14:paraId="3463371E">
            <w:pPr>
              <w:adjustRightInd w:val="0"/>
              <w:snapToGrid w:val="0"/>
              <w:spacing w:line="360" w:lineRule="auto"/>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2.2.3项目组成表</w:t>
            </w:r>
          </w:p>
          <w:p w14:paraId="0EF269C1">
            <w:pPr>
              <w:pStyle w:val="62"/>
              <w:rPr>
                <w:bCs w:val="0"/>
                <w:color w:val="auto"/>
                <w:sz w:val="24"/>
                <w:szCs w:val="24"/>
                <w:highlight w:val="none"/>
              </w:rPr>
            </w:pPr>
            <w:r>
              <w:rPr>
                <w:rFonts w:hint="eastAsia"/>
                <w:bCs w:val="0"/>
                <w:color w:val="auto"/>
                <w:sz w:val="24"/>
                <w:szCs w:val="24"/>
                <w:highlight w:val="none"/>
              </w:rPr>
              <w:t>本项目</w:t>
            </w:r>
            <w:r>
              <w:rPr>
                <w:rFonts w:hint="eastAsia"/>
                <w:bCs w:val="0"/>
                <w:color w:val="auto"/>
                <w:sz w:val="24"/>
                <w:szCs w:val="24"/>
                <w:highlight w:val="none"/>
                <w:lang w:val="en-US" w:eastAsia="zh-CN"/>
              </w:rPr>
              <w:t>在现有工程埋地罐区进行改造，不新增占地，仅对埋地</w:t>
            </w:r>
            <w:r>
              <w:rPr>
                <w:rFonts w:hint="eastAsia"/>
                <w:bCs w:val="0"/>
                <w:color w:val="auto"/>
                <w:sz w:val="24"/>
                <w:szCs w:val="24"/>
                <w:highlight w:val="none"/>
              </w:rPr>
              <w:t>油罐</w:t>
            </w:r>
            <w:r>
              <w:rPr>
                <w:rFonts w:hint="eastAsia"/>
                <w:bCs w:val="0"/>
                <w:color w:val="auto"/>
                <w:sz w:val="24"/>
                <w:szCs w:val="24"/>
                <w:highlight w:val="none"/>
                <w:lang w:val="en-US" w:eastAsia="zh-CN"/>
              </w:rPr>
              <w:t>进行</w:t>
            </w:r>
            <w:r>
              <w:rPr>
                <w:rFonts w:hint="eastAsia"/>
                <w:bCs w:val="0"/>
                <w:color w:val="auto"/>
                <w:sz w:val="24"/>
                <w:szCs w:val="24"/>
                <w:highlight w:val="none"/>
              </w:rPr>
              <w:t>拆除</w:t>
            </w:r>
            <w:r>
              <w:rPr>
                <w:rFonts w:hint="eastAsia"/>
                <w:bCs w:val="0"/>
                <w:color w:val="auto"/>
                <w:sz w:val="24"/>
                <w:szCs w:val="24"/>
                <w:highlight w:val="none"/>
                <w:lang w:val="en-US" w:eastAsia="zh-CN"/>
              </w:rPr>
              <w:t>并更换，加油区、卸油区以及其他辅助工程、公用工程和环保工程均依托现有工程，不发生改变。</w:t>
            </w:r>
            <w:r>
              <w:rPr>
                <w:bCs w:val="0"/>
                <w:color w:val="auto"/>
                <w:sz w:val="24"/>
                <w:szCs w:val="24"/>
                <w:highlight w:val="none"/>
              </w:rPr>
              <w:t>具体</w:t>
            </w:r>
            <w:r>
              <w:rPr>
                <w:rFonts w:hint="eastAsia"/>
                <w:bCs w:val="0"/>
                <w:color w:val="auto"/>
                <w:sz w:val="24"/>
                <w:szCs w:val="24"/>
                <w:highlight w:val="none"/>
                <w:lang w:eastAsia="zh-CN"/>
              </w:rPr>
              <w:t>建设内容及项目</w:t>
            </w:r>
            <w:r>
              <w:rPr>
                <w:bCs w:val="0"/>
                <w:color w:val="auto"/>
                <w:sz w:val="24"/>
                <w:szCs w:val="24"/>
                <w:highlight w:val="none"/>
              </w:rPr>
              <w:t>组成见下表</w:t>
            </w:r>
            <w:r>
              <w:rPr>
                <w:rFonts w:hint="eastAsia"/>
                <w:bCs w:val="0"/>
                <w:color w:val="auto"/>
                <w:sz w:val="24"/>
                <w:szCs w:val="24"/>
                <w:highlight w:val="none"/>
              </w:rPr>
              <w:t>2</w:t>
            </w:r>
            <w:r>
              <w:rPr>
                <w:bCs w:val="0"/>
                <w:color w:val="auto"/>
                <w:sz w:val="24"/>
                <w:szCs w:val="24"/>
                <w:highlight w:val="none"/>
              </w:rPr>
              <w:t>.</w:t>
            </w:r>
            <w:r>
              <w:rPr>
                <w:rFonts w:hint="eastAsia"/>
                <w:bCs w:val="0"/>
                <w:color w:val="auto"/>
                <w:sz w:val="24"/>
                <w:szCs w:val="24"/>
                <w:highlight w:val="none"/>
                <w:lang w:val="en-US" w:eastAsia="zh-CN"/>
              </w:rPr>
              <w:t>2</w:t>
            </w:r>
            <w:r>
              <w:rPr>
                <w:rFonts w:hint="eastAsia"/>
                <w:bCs w:val="0"/>
                <w:color w:val="auto"/>
                <w:sz w:val="24"/>
                <w:szCs w:val="24"/>
                <w:highlight w:val="none"/>
              </w:rPr>
              <w:t>-</w:t>
            </w:r>
            <w:r>
              <w:rPr>
                <w:bCs w:val="0"/>
                <w:color w:val="auto"/>
                <w:sz w:val="24"/>
                <w:szCs w:val="24"/>
                <w:highlight w:val="none"/>
              </w:rPr>
              <w:t>4</w:t>
            </w:r>
            <w:r>
              <w:rPr>
                <w:rFonts w:hint="eastAsia"/>
                <w:bCs w:val="0"/>
                <w:color w:val="auto"/>
                <w:sz w:val="24"/>
                <w:szCs w:val="24"/>
                <w:highlight w:val="none"/>
              </w:rPr>
              <w:t>。</w:t>
            </w:r>
          </w:p>
          <w:p w14:paraId="1F4781D1">
            <w:pPr>
              <w:adjustRightInd w:val="0"/>
              <w:snapToGrid w:val="0"/>
              <w:jc w:val="center"/>
              <w:rPr>
                <w:rFonts w:hint="default" w:ascii="Times New Roman" w:hAnsi="Times New Roman" w:eastAsia="宋体" w:cs="Times New Roman"/>
                <w:bCs/>
                <w:color w:val="auto"/>
                <w:sz w:val="24"/>
              </w:rPr>
            </w:pPr>
            <w:r>
              <w:rPr>
                <w:rFonts w:hint="default" w:ascii="Times New Roman" w:hAnsi="Times New Roman" w:eastAsia="宋体" w:cs="Times New Roman"/>
                <w:b/>
                <w:bCs/>
                <w:color w:val="auto"/>
                <w:sz w:val="24"/>
                <w:szCs w:val="20"/>
                <w:lang w:val="zh-CN"/>
              </w:rPr>
              <w:t>表2.2-4    本项目</w:t>
            </w:r>
            <w:r>
              <w:rPr>
                <w:rFonts w:hint="eastAsia" w:cs="Times New Roman"/>
                <w:b/>
                <w:bCs/>
                <w:color w:val="auto"/>
                <w:sz w:val="24"/>
                <w:szCs w:val="20"/>
                <w:lang w:val="zh-CN"/>
              </w:rPr>
              <w:t>实施前后建设内容对照一览</w:t>
            </w:r>
            <w:r>
              <w:rPr>
                <w:rFonts w:hint="default" w:ascii="Times New Roman" w:hAnsi="Times New Roman" w:eastAsia="宋体" w:cs="Times New Roman"/>
                <w:b/>
                <w:bCs/>
                <w:color w:val="auto"/>
                <w:sz w:val="24"/>
                <w:szCs w:val="20"/>
                <w:lang w:val="zh-CN"/>
              </w:rPr>
              <w:t>表</w:t>
            </w:r>
          </w:p>
          <w:tbl>
            <w:tblPr>
              <w:tblStyle w:val="19"/>
              <w:tblW w:w="499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88"/>
              <w:gridCol w:w="509"/>
              <w:gridCol w:w="718"/>
              <w:gridCol w:w="3085"/>
              <w:gridCol w:w="2829"/>
              <w:gridCol w:w="806"/>
            </w:tblGrid>
            <w:tr w14:paraId="50B29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noWrap w:val="0"/>
                  <w:vAlign w:val="center"/>
                </w:tcPr>
                <w:p w14:paraId="356B349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工程</w:t>
                  </w:r>
                </w:p>
                <w:p w14:paraId="09E9914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分类</w:t>
                  </w:r>
                </w:p>
              </w:tc>
              <w:tc>
                <w:tcPr>
                  <w:tcW w:w="702" w:type="pct"/>
                  <w:gridSpan w:val="2"/>
                  <w:noWrap w:val="0"/>
                  <w:vAlign w:val="center"/>
                </w:tcPr>
                <w:p w14:paraId="7CEDDAB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项目</w:t>
                  </w:r>
                </w:p>
                <w:p w14:paraId="69FB59C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组成</w:t>
                  </w:r>
                </w:p>
              </w:tc>
              <w:tc>
                <w:tcPr>
                  <w:tcW w:w="1765" w:type="pct"/>
                  <w:noWrap w:val="0"/>
                  <w:vAlign w:val="center"/>
                </w:tcPr>
                <w:p w14:paraId="04A2BA3A">
                  <w:pPr>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现有工程</w:t>
                  </w:r>
                  <w:r>
                    <w:rPr>
                      <w:rFonts w:hint="eastAsia" w:cs="Times New Roman"/>
                      <w:color w:val="auto"/>
                      <w:szCs w:val="21"/>
                      <w:lang w:eastAsia="zh-CN"/>
                    </w:rPr>
                    <w:t>（现状）建设内容及规模</w:t>
                  </w:r>
                </w:p>
              </w:tc>
              <w:tc>
                <w:tcPr>
                  <w:tcW w:w="1619" w:type="pct"/>
                  <w:noWrap w:val="0"/>
                  <w:vAlign w:val="center"/>
                </w:tcPr>
                <w:p w14:paraId="3D8C69A9">
                  <w:pPr>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本项目</w:t>
                  </w:r>
                  <w:r>
                    <w:rPr>
                      <w:rFonts w:hint="eastAsia" w:cs="Times New Roman"/>
                      <w:color w:val="auto"/>
                      <w:szCs w:val="21"/>
                      <w:lang w:eastAsia="zh-CN"/>
                    </w:rPr>
                    <w:t>实施后建设内容及规模</w:t>
                  </w:r>
                </w:p>
              </w:tc>
              <w:tc>
                <w:tcPr>
                  <w:tcW w:w="461" w:type="pct"/>
                  <w:noWrap w:val="0"/>
                  <w:vAlign w:val="center"/>
                </w:tcPr>
                <w:p w14:paraId="222E16E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备注</w:t>
                  </w:r>
                </w:p>
              </w:tc>
            </w:tr>
            <w:tr w14:paraId="0F0D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restart"/>
                  <w:noWrap w:val="0"/>
                  <w:vAlign w:val="center"/>
                </w:tcPr>
                <w:p w14:paraId="3B0C382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主体工程</w:t>
                  </w:r>
                </w:p>
              </w:tc>
              <w:tc>
                <w:tcPr>
                  <w:tcW w:w="702" w:type="pct"/>
                  <w:gridSpan w:val="2"/>
                  <w:tcBorders>
                    <w:bottom w:val="single" w:color="auto" w:sz="4" w:space="0"/>
                  </w:tcBorders>
                  <w:noWrap w:val="0"/>
                  <w:vAlign w:val="center"/>
                </w:tcPr>
                <w:p w14:paraId="0D895D29">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埋地油罐区</w:t>
                  </w:r>
                </w:p>
              </w:tc>
              <w:tc>
                <w:tcPr>
                  <w:tcW w:w="1765" w:type="pct"/>
                  <w:tcBorders>
                    <w:top w:val="single" w:color="auto" w:sz="4" w:space="0"/>
                    <w:bottom w:val="single" w:color="auto" w:sz="4" w:space="0"/>
                  </w:tcBorders>
                  <w:noWrap w:val="0"/>
                  <w:vAlign w:val="center"/>
                </w:tcPr>
                <w:p w14:paraId="5F805165">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油罐区位于加油站罩棚南侧，</w:t>
                  </w:r>
                  <w:r>
                    <w:rPr>
                      <w:rFonts w:hint="eastAsia" w:cs="Times New Roman"/>
                      <w:bCs/>
                      <w:color w:val="auto"/>
                      <w:szCs w:val="21"/>
                      <w:lang w:eastAsia="zh-CN"/>
                    </w:rPr>
                    <w:t>设置防渗罐池，池内</w:t>
                  </w:r>
                  <w:r>
                    <w:rPr>
                      <w:rFonts w:hint="default" w:ascii="Times New Roman" w:hAnsi="Times New Roman" w:eastAsia="宋体" w:cs="Times New Roman"/>
                      <w:bCs/>
                      <w:color w:val="auto"/>
                      <w:szCs w:val="21"/>
                    </w:rPr>
                    <w:t>设4</w:t>
                  </w:r>
                  <w:r>
                    <w:rPr>
                      <w:rFonts w:hint="eastAsia" w:cs="Times New Roman"/>
                      <w:bCs/>
                      <w:color w:val="auto"/>
                      <w:szCs w:val="21"/>
                      <w:lang w:eastAsia="zh-CN"/>
                    </w:rPr>
                    <w:t>座</w:t>
                  </w:r>
                  <w:r>
                    <w:rPr>
                      <w:rFonts w:hint="default" w:ascii="Times New Roman" w:hAnsi="Times New Roman" w:eastAsia="宋体" w:cs="Times New Roman"/>
                      <w:bCs/>
                      <w:color w:val="auto"/>
                      <w:szCs w:val="21"/>
                    </w:rPr>
                    <w:t>15m</w:t>
                  </w:r>
                  <w:r>
                    <w:rPr>
                      <w:rFonts w:hint="default" w:ascii="Times New Roman" w:hAnsi="Times New Roman" w:eastAsia="宋体" w:cs="Times New Roman"/>
                      <w:bCs/>
                      <w:color w:val="auto"/>
                      <w:szCs w:val="21"/>
                      <w:vertAlign w:val="superscript"/>
                    </w:rPr>
                    <w:t>3</w:t>
                  </w:r>
                  <w:r>
                    <w:rPr>
                      <w:rFonts w:hint="default" w:ascii="Times New Roman" w:hAnsi="Times New Roman" w:eastAsia="宋体" w:cs="Times New Roman"/>
                      <w:bCs/>
                      <w:color w:val="auto"/>
                      <w:szCs w:val="21"/>
                    </w:rPr>
                    <w:t>的埋地单层卧式油罐，</w:t>
                  </w:r>
                  <w:r>
                    <w:rPr>
                      <w:rFonts w:hint="default" w:ascii="Times New Roman" w:hAnsi="Times New Roman" w:eastAsia="宋体" w:cs="Times New Roman"/>
                      <w:color w:val="auto"/>
                      <w:szCs w:val="21"/>
                    </w:rPr>
                    <w:t>其中2</w:t>
                  </w:r>
                  <w:r>
                    <w:rPr>
                      <w:rFonts w:hint="eastAsia" w:cs="Times New Roman"/>
                      <w:bCs/>
                      <w:color w:val="auto"/>
                      <w:szCs w:val="21"/>
                      <w:lang w:eastAsia="zh-CN"/>
                    </w:rPr>
                    <w:t>座</w:t>
                  </w:r>
                  <w:r>
                    <w:rPr>
                      <w:rFonts w:hint="default" w:ascii="Times New Roman" w:hAnsi="Times New Roman" w:eastAsia="宋体" w:cs="Times New Roman"/>
                      <w:color w:val="auto"/>
                      <w:szCs w:val="21"/>
                    </w:rPr>
                    <w:t>15m</w:t>
                  </w:r>
                  <w:r>
                    <w:rPr>
                      <w:rFonts w:hint="default" w:ascii="Times New Roman" w:hAnsi="Times New Roman" w:eastAsia="宋体" w:cs="Times New Roman"/>
                      <w:color w:val="auto"/>
                      <w:szCs w:val="21"/>
                      <w:vertAlign w:val="superscript"/>
                    </w:rPr>
                    <w:t>3</w:t>
                  </w:r>
                  <w:r>
                    <w:rPr>
                      <w:rFonts w:hint="eastAsia" w:ascii="Times New Roman" w:hAnsi="Times New Roman" w:cs="Times New Roman"/>
                      <w:color w:val="auto"/>
                      <w:szCs w:val="21"/>
                      <w:vertAlign w:val="superscript"/>
                      <w:lang w:val="en-US" w:eastAsia="zh-CN"/>
                    </w:rPr>
                    <w:t xml:space="preserve"> </w:t>
                  </w:r>
                  <w:r>
                    <w:rPr>
                      <w:rFonts w:hint="default" w:ascii="Times New Roman" w:hAnsi="Times New Roman" w:eastAsia="宋体" w:cs="Times New Roman"/>
                      <w:color w:val="auto"/>
                      <w:szCs w:val="21"/>
                    </w:rPr>
                    <w:t>92#汽油罐、</w:t>
                  </w:r>
                  <w:r>
                    <w:rPr>
                      <w:rFonts w:hint="eastAsia" w:cs="Times New Roman"/>
                      <w:color w:val="auto"/>
                      <w:szCs w:val="21"/>
                      <w:lang w:val="en-US" w:eastAsia="zh-CN"/>
                    </w:rPr>
                    <w:t>1座</w:t>
                  </w:r>
                  <w:r>
                    <w:rPr>
                      <w:rFonts w:hint="default" w:ascii="Times New Roman" w:hAnsi="Times New Roman" w:eastAsia="宋体" w:cs="Times New Roman"/>
                      <w:color w:val="auto"/>
                      <w:szCs w:val="21"/>
                    </w:rPr>
                    <w:t>15m</w:t>
                  </w:r>
                  <w:r>
                    <w:rPr>
                      <w:rFonts w:hint="default" w:ascii="Times New Roman" w:hAnsi="Times New Roman" w:eastAsia="宋体" w:cs="Times New Roman"/>
                      <w:color w:val="auto"/>
                      <w:szCs w:val="21"/>
                      <w:vertAlign w:val="superscript"/>
                    </w:rPr>
                    <w:t>3</w:t>
                  </w:r>
                  <w:r>
                    <w:rPr>
                      <w:rFonts w:hint="eastAsia" w:ascii="Times New Roman" w:hAnsi="Times New Roman" w:cs="Times New Roman"/>
                      <w:color w:val="auto"/>
                      <w:szCs w:val="21"/>
                      <w:vertAlign w:val="superscript"/>
                      <w:lang w:val="en-US" w:eastAsia="zh-CN"/>
                    </w:rPr>
                    <w:t xml:space="preserve"> </w:t>
                  </w:r>
                  <w:r>
                    <w:rPr>
                      <w:rFonts w:hint="default" w:ascii="Times New Roman" w:hAnsi="Times New Roman" w:eastAsia="宋体" w:cs="Times New Roman"/>
                      <w:color w:val="auto"/>
                      <w:szCs w:val="21"/>
                    </w:rPr>
                    <w:t>95#汽油罐、</w:t>
                  </w:r>
                  <w:r>
                    <w:rPr>
                      <w:rFonts w:hint="eastAsia" w:cs="Times New Roman"/>
                      <w:color w:val="auto"/>
                      <w:szCs w:val="21"/>
                      <w:lang w:val="en-US" w:eastAsia="zh-CN"/>
                    </w:rPr>
                    <w:t>1座</w:t>
                  </w:r>
                  <w:r>
                    <w:rPr>
                      <w:rFonts w:hint="default" w:ascii="Times New Roman" w:hAnsi="Times New Roman" w:eastAsia="宋体" w:cs="Times New Roman"/>
                      <w:color w:val="auto"/>
                      <w:szCs w:val="21"/>
                    </w:rPr>
                    <w:t>15m</w:t>
                  </w:r>
                  <w:r>
                    <w:rPr>
                      <w:rFonts w:hint="default" w:ascii="Times New Roman" w:hAnsi="Times New Roman" w:eastAsia="宋体" w:cs="Times New Roman"/>
                      <w:color w:val="auto"/>
                      <w:szCs w:val="21"/>
                      <w:vertAlign w:val="superscript"/>
                    </w:rPr>
                    <w:t>3</w:t>
                  </w:r>
                  <w:r>
                    <w:rPr>
                      <w:rFonts w:hint="eastAsia" w:ascii="Times New Roman" w:hAnsi="Times New Roman" w:cs="Times New Roman"/>
                      <w:color w:val="auto"/>
                      <w:szCs w:val="21"/>
                      <w:vertAlign w:val="superscript"/>
                      <w:lang w:val="en-US" w:eastAsia="zh-CN"/>
                    </w:rPr>
                    <w:t xml:space="preserve"> </w:t>
                  </w:r>
                  <w:r>
                    <w:rPr>
                      <w:rFonts w:hint="default" w:ascii="Times New Roman" w:hAnsi="Times New Roman" w:eastAsia="宋体" w:cs="Times New Roman"/>
                      <w:color w:val="auto"/>
                      <w:szCs w:val="21"/>
                    </w:rPr>
                    <w:t>0#柴油罐，总容积为52.5m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（柴油容积折半计算）</w:t>
                  </w:r>
                </w:p>
              </w:tc>
              <w:tc>
                <w:tcPr>
                  <w:tcW w:w="1619" w:type="pct"/>
                  <w:tcBorders>
                    <w:top w:val="single" w:color="auto" w:sz="4" w:space="0"/>
                    <w:bottom w:val="single" w:color="auto" w:sz="4" w:space="0"/>
                  </w:tcBorders>
                  <w:noWrap w:val="0"/>
                  <w:vAlign w:val="center"/>
                </w:tcPr>
                <w:p w14:paraId="4C5D5669">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油罐区位于加油站罩棚南侧，</w:t>
                  </w:r>
                  <w:r>
                    <w:rPr>
                      <w:rFonts w:hint="eastAsia" w:cs="Times New Roman"/>
                      <w:bCs/>
                      <w:color w:val="auto"/>
                      <w:szCs w:val="21"/>
                      <w:lang w:eastAsia="zh-CN"/>
                    </w:rPr>
                    <w:t>设置防渗罐池，池内</w:t>
                  </w:r>
                  <w:r>
                    <w:rPr>
                      <w:rFonts w:hint="default" w:ascii="Times New Roman" w:hAnsi="Times New Roman" w:eastAsia="宋体" w:cs="Times New Roman"/>
                      <w:bCs/>
                      <w:color w:val="auto"/>
                      <w:szCs w:val="21"/>
                    </w:rPr>
                    <w:t>设4</w:t>
                  </w:r>
                  <w:r>
                    <w:rPr>
                      <w:rFonts w:hint="eastAsia" w:cs="Times New Roman"/>
                      <w:bCs/>
                      <w:color w:val="auto"/>
                      <w:szCs w:val="21"/>
                      <w:lang w:eastAsia="zh-CN"/>
                    </w:rPr>
                    <w:t>座</w:t>
                  </w:r>
                  <w:r>
                    <w:rPr>
                      <w:rFonts w:hint="eastAsia" w:cs="Times New Roman"/>
                      <w:bCs/>
                      <w:color w:val="auto"/>
                      <w:szCs w:val="21"/>
                      <w:lang w:val="en-US" w:eastAsia="zh-CN"/>
                    </w:rPr>
                    <w:t>25</w:t>
                  </w:r>
                  <w:r>
                    <w:rPr>
                      <w:rFonts w:hint="default" w:ascii="Times New Roman" w:hAnsi="Times New Roman" w:eastAsia="宋体" w:cs="Times New Roman"/>
                      <w:bCs/>
                      <w:color w:val="auto"/>
                      <w:szCs w:val="21"/>
                    </w:rPr>
                    <w:t>m</w:t>
                  </w:r>
                  <w:r>
                    <w:rPr>
                      <w:rFonts w:hint="default" w:ascii="Times New Roman" w:hAnsi="Times New Roman" w:eastAsia="宋体" w:cs="Times New Roman"/>
                      <w:bCs/>
                      <w:color w:val="auto"/>
                      <w:szCs w:val="21"/>
                      <w:vertAlign w:val="superscript"/>
                    </w:rPr>
                    <w:t>3</w:t>
                  </w:r>
                  <w:r>
                    <w:rPr>
                      <w:rFonts w:hint="default" w:ascii="Times New Roman" w:hAnsi="Times New Roman" w:eastAsia="宋体" w:cs="Times New Roman"/>
                      <w:bCs/>
                      <w:color w:val="auto"/>
                      <w:szCs w:val="21"/>
                    </w:rPr>
                    <w:t>的埋地单层卧式油罐</w:t>
                  </w:r>
                  <w:r>
                    <w:rPr>
                      <w:rFonts w:hint="default" w:ascii="Times New Roman" w:hAnsi="Times New Roman" w:eastAsia="宋体" w:cs="Times New Roman"/>
                      <w:color w:val="auto"/>
                      <w:szCs w:val="21"/>
                    </w:rPr>
                    <w:t>其中</w:t>
                  </w:r>
                  <w:r>
                    <w:rPr>
                      <w:rFonts w:hint="eastAsia" w:ascii="Times New Roman" w:hAnsi="Times New Roman" w:cs="Times New Roman"/>
                      <w:color w:val="auto"/>
                      <w:szCs w:val="21"/>
                      <w:lang w:val="en-US" w:eastAsia="zh-CN"/>
                    </w:rPr>
                    <w:t>1</w:t>
                  </w:r>
                  <w:r>
                    <w:rPr>
                      <w:rFonts w:hint="eastAsia" w:cs="Times New Roman"/>
                      <w:bCs/>
                      <w:color w:val="auto"/>
                      <w:szCs w:val="21"/>
                      <w:lang w:eastAsia="zh-CN"/>
                    </w:rPr>
                    <w:t>座</w:t>
                  </w:r>
                  <w:r>
                    <w:rPr>
                      <w:rFonts w:hint="eastAsia" w:ascii="Times New Roman" w:hAnsi="Times New Roman" w:cs="Times New Roman"/>
                      <w:color w:val="auto"/>
                      <w:szCs w:val="21"/>
                      <w:lang w:val="en-US" w:eastAsia="zh-CN"/>
                    </w:rPr>
                    <w:t>2</w:t>
                  </w:r>
                  <w:r>
                    <w:rPr>
                      <w:rFonts w:hint="default" w:ascii="Times New Roman" w:hAnsi="Times New Roman" w:eastAsia="宋体" w:cs="Times New Roman"/>
                      <w:color w:val="auto"/>
                      <w:szCs w:val="21"/>
                    </w:rPr>
                    <w:t>5m</w:t>
                  </w:r>
                  <w:r>
                    <w:rPr>
                      <w:rFonts w:hint="default" w:ascii="Times New Roman" w:hAnsi="Times New Roman" w:eastAsia="宋体" w:cs="Times New Roman"/>
                      <w:color w:val="auto"/>
                      <w:szCs w:val="21"/>
                      <w:vertAlign w:val="superscript"/>
                    </w:rPr>
                    <w:t>3</w:t>
                  </w:r>
                  <w:r>
                    <w:rPr>
                      <w:rFonts w:hint="eastAsia" w:ascii="Times New Roman" w:hAnsi="Times New Roman" w:cs="Times New Roman"/>
                      <w:color w:val="auto"/>
                      <w:szCs w:val="21"/>
                      <w:vertAlign w:val="superscript"/>
                      <w:lang w:val="en-US" w:eastAsia="zh-CN"/>
                    </w:rPr>
                    <w:t xml:space="preserve"> </w:t>
                  </w:r>
                  <w:r>
                    <w:rPr>
                      <w:rFonts w:hint="default" w:ascii="Times New Roman" w:hAnsi="Times New Roman" w:eastAsia="宋体" w:cs="Times New Roman"/>
                      <w:color w:val="auto"/>
                      <w:szCs w:val="21"/>
                    </w:rPr>
                    <w:t>92#汽油罐、</w:t>
                  </w:r>
                  <w:r>
                    <w:rPr>
                      <w:rFonts w:hint="eastAsia" w:cs="Times New Roman"/>
                      <w:color w:val="auto"/>
                      <w:szCs w:val="21"/>
                      <w:lang w:val="en-US" w:eastAsia="zh-CN"/>
                    </w:rPr>
                    <w:t>1座</w:t>
                  </w:r>
                  <w:r>
                    <w:rPr>
                      <w:rFonts w:hint="eastAsia" w:ascii="Times New Roman" w:hAnsi="Times New Roman" w:cs="Times New Roman"/>
                      <w:color w:val="auto"/>
                      <w:szCs w:val="21"/>
                      <w:lang w:val="en-US" w:eastAsia="zh-CN"/>
                    </w:rPr>
                    <w:t>2</w:t>
                  </w:r>
                  <w:r>
                    <w:rPr>
                      <w:rFonts w:hint="default" w:ascii="Times New Roman" w:hAnsi="Times New Roman" w:eastAsia="宋体" w:cs="Times New Roman"/>
                      <w:color w:val="auto"/>
                      <w:szCs w:val="21"/>
                    </w:rPr>
                    <w:t>5m</w:t>
                  </w:r>
                  <w:r>
                    <w:rPr>
                      <w:rFonts w:hint="default" w:ascii="Times New Roman" w:hAnsi="Times New Roman" w:eastAsia="宋体" w:cs="Times New Roman"/>
                      <w:color w:val="auto"/>
                      <w:szCs w:val="21"/>
                      <w:vertAlign w:val="superscript"/>
                    </w:rPr>
                    <w:t>3</w:t>
                  </w:r>
                  <w:r>
                    <w:rPr>
                      <w:rFonts w:hint="eastAsia" w:ascii="Times New Roman" w:hAnsi="Times New Roman" w:cs="Times New Roman"/>
                      <w:color w:val="auto"/>
                      <w:szCs w:val="21"/>
                      <w:vertAlign w:val="superscript"/>
                      <w:lang w:val="en-US" w:eastAsia="zh-CN"/>
                    </w:rPr>
                    <w:t xml:space="preserve"> </w:t>
                  </w:r>
                  <w:r>
                    <w:rPr>
                      <w:rFonts w:hint="default" w:ascii="Times New Roman" w:hAnsi="Times New Roman" w:eastAsia="宋体" w:cs="Times New Roman"/>
                      <w:color w:val="auto"/>
                      <w:szCs w:val="21"/>
                    </w:rPr>
                    <w:t>95#汽油罐、</w:t>
                  </w:r>
                  <w:r>
                    <w:rPr>
                      <w:rFonts w:hint="eastAsia" w:cs="Times New Roman"/>
                      <w:color w:val="auto"/>
                      <w:szCs w:val="21"/>
                      <w:lang w:val="en-US" w:eastAsia="zh-CN"/>
                    </w:rPr>
                    <w:t>1座</w:t>
                  </w:r>
                  <w:r>
                    <w:rPr>
                      <w:rFonts w:hint="eastAsia" w:ascii="Times New Roman" w:hAnsi="Times New Roman" w:cs="Times New Roman"/>
                      <w:color w:val="auto"/>
                      <w:szCs w:val="21"/>
                      <w:lang w:val="en-US" w:eastAsia="zh-CN"/>
                    </w:rPr>
                    <w:t>2</w:t>
                  </w:r>
                  <w:r>
                    <w:rPr>
                      <w:rFonts w:hint="default" w:ascii="Times New Roman" w:hAnsi="Times New Roman" w:eastAsia="宋体" w:cs="Times New Roman"/>
                      <w:color w:val="auto"/>
                      <w:szCs w:val="21"/>
                    </w:rPr>
                    <w:t>5m</w:t>
                  </w:r>
                  <w:r>
                    <w:rPr>
                      <w:rFonts w:hint="default" w:ascii="Times New Roman" w:hAnsi="Times New Roman" w:eastAsia="宋体" w:cs="Times New Roman"/>
                      <w:color w:val="auto"/>
                      <w:szCs w:val="21"/>
                      <w:vertAlign w:val="superscript"/>
                    </w:rPr>
                    <w:t>3</w:t>
                  </w:r>
                  <w:r>
                    <w:rPr>
                      <w:rFonts w:hint="eastAsia" w:ascii="Times New Roman" w:hAnsi="Times New Roman" w:cs="Times New Roman"/>
                      <w:color w:val="auto"/>
                      <w:szCs w:val="21"/>
                      <w:vertAlign w:val="superscript"/>
                      <w:lang w:val="en-US" w:eastAsia="zh-CN"/>
                    </w:rPr>
                    <w:t xml:space="preserve"> </w:t>
                  </w:r>
                  <w:r>
                    <w:rPr>
                      <w:rFonts w:hint="default" w:ascii="Times New Roman" w:hAnsi="Times New Roman" w:eastAsia="宋体" w:cs="Times New Roman"/>
                      <w:color w:val="auto"/>
                      <w:szCs w:val="21"/>
                    </w:rPr>
                    <w:t>9</w:t>
                  </w:r>
                  <w:r>
                    <w:rPr>
                      <w:rFonts w:hint="eastAsia" w:ascii="Times New Roman" w:hAnsi="Times New Roman" w:cs="Times New Roman"/>
                      <w:color w:val="auto"/>
                      <w:szCs w:val="21"/>
                      <w:lang w:val="en-US" w:eastAsia="zh-CN"/>
                    </w:rPr>
                    <w:t>8</w:t>
                  </w:r>
                  <w:r>
                    <w:rPr>
                      <w:rFonts w:hint="default" w:ascii="Times New Roman" w:hAnsi="Times New Roman" w:eastAsia="宋体" w:cs="Times New Roman"/>
                      <w:color w:val="auto"/>
                      <w:szCs w:val="21"/>
                    </w:rPr>
                    <w:t>#汽油罐</w:t>
                  </w:r>
                  <w:r>
                    <w:rPr>
                      <w:rFonts w:hint="eastAsia" w:ascii="Times New Roman" w:hAnsi="Times New Roman" w:cs="Times New Roman"/>
                      <w:color w:val="auto"/>
                      <w:szCs w:val="21"/>
                      <w:lang w:eastAsia="zh-CN"/>
                    </w:rPr>
                    <w:t>、</w:t>
                  </w:r>
                  <w:r>
                    <w:rPr>
                      <w:rFonts w:hint="eastAsia" w:cs="Times New Roman"/>
                      <w:color w:val="auto"/>
                      <w:szCs w:val="21"/>
                      <w:lang w:val="en-US" w:eastAsia="zh-CN"/>
                    </w:rPr>
                    <w:t>1座</w:t>
                  </w:r>
                  <w:r>
                    <w:rPr>
                      <w:rFonts w:hint="eastAsia" w:ascii="Times New Roman" w:hAnsi="Times New Roman" w:cs="Times New Roman"/>
                      <w:color w:val="auto"/>
                      <w:szCs w:val="21"/>
                      <w:lang w:val="en-US" w:eastAsia="zh-CN"/>
                    </w:rPr>
                    <w:t>2</w:t>
                  </w:r>
                  <w:r>
                    <w:rPr>
                      <w:rFonts w:hint="default" w:ascii="Times New Roman" w:hAnsi="Times New Roman" w:eastAsia="宋体" w:cs="Times New Roman"/>
                      <w:color w:val="auto"/>
                      <w:szCs w:val="21"/>
                    </w:rPr>
                    <w:t>5m</w:t>
                  </w:r>
                  <w:r>
                    <w:rPr>
                      <w:rFonts w:hint="default" w:ascii="Times New Roman" w:hAnsi="Times New Roman" w:eastAsia="宋体" w:cs="Times New Roman"/>
                      <w:color w:val="auto"/>
                      <w:szCs w:val="21"/>
                      <w:vertAlign w:val="superscript"/>
                    </w:rPr>
                    <w:t>3</w:t>
                  </w:r>
                  <w:r>
                    <w:rPr>
                      <w:rFonts w:hint="eastAsia" w:ascii="Times New Roman" w:hAnsi="Times New Roman" w:cs="Times New Roman"/>
                      <w:color w:val="auto"/>
                      <w:szCs w:val="21"/>
                      <w:vertAlign w:val="superscript"/>
                      <w:lang w:val="en-US" w:eastAsia="zh-CN"/>
                    </w:rPr>
                    <w:t xml:space="preserve"> </w:t>
                  </w:r>
                  <w:r>
                    <w:rPr>
                      <w:rFonts w:hint="default" w:ascii="Times New Roman" w:hAnsi="Times New Roman" w:eastAsia="宋体" w:cs="Times New Roman"/>
                      <w:color w:val="auto"/>
                      <w:szCs w:val="21"/>
                    </w:rPr>
                    <w:t>0#柴油罐，总容积为</w:t>
                  </w:r>
                  <w:r>
                    <w:rPr>
                      <w:rFonts w:hint="eastAsia" w:ascii="Times New Roman" w:hAnsi="Times New Roman" w:cs="Times New Roman"/>
                      <w:color w:val="auto"/>
                      <w:szCs w:val="21"/>
                      <w:lang w:val="en-US" w:eastAsia="zh-CN"/>
                    </w:rPr>
                    <w:t>87</w:t>
                  </w:r>
                  <w:r>
                    <w:rPr>
                      <w:rFonts w:hint="default" w:ascii="Times New Roman" w:hAnsi="Times New Roman" w:eastAsia="宋体" w:cs="Times New Roman"/>
                      <w:color w:val="auto"/>
                      <w:szCs w:val="21"/>
                    </w:rPr>
                    <w:t>.5m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（柴油容积折半计算）</w:t>
                  </w:r>
                </w:p>
              </w:tc>
              <w:tc>
                <w:tcPr>
                  <w:tcW w:w="461" w:type="pct"/>
                  <w:tcBorders>
                    <w:top w:val="single" w:color="auto" w:sz="4" w:space="0"/>
                    <w:bottom w:val="single" w:color="auto" w:sz="4" w:space="0"/>
                  </w:tcBorders>
                  <w:noWrap w:val="0"/>
                  <w:vAlign w:val="center"/>
                </w:tcPr>
                <w:p w14:paraId="50CB8B24">
                  <w:pPr>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改扩建</w:t>
                  </w:r>
                  <w:r>
                    <w:rPr>
                      <w:rFonts w:hint="default"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lang w:val="en-US" w:eastAsia="zh-CN"/>
                    </w:rPr>
                    <w:t>1个9</w:t>
                  </w:r>
                  <w:r>
                    <w:rPr>
                      <w:rFonts w:hint="default" w:ascii="Times New Roman" w:hAnsi="Times New Roman" w:cs="Times New Roman"/>
                      <w:bCs/>
                      <w:color w:val="auto"/>
                      <w:szCs w:val="21"/>
                      <w:lang w:val="en-US" w:eastAsia="zh-CN"/>
                    </w:rPr>
                    <w:t>2</w:t>
                  </w:r>
                  <w:r>
                    <w:rPr>
                      <w:rFonts w:hint="default" w:ascii="Times New Roman" w:hAnsi="Times New Roman" w:eastAsia="宋体" w:cs="Times New Roman"/>
                      <w:bCs/>
                      <w:color w:val="auto"/>
                      <w:szCs w:val="21"/>
                      <w:lang w:val="en-US" w:eastAsia="zh-CN"/>
                    </w:rPr>
                    <w:t>#汽油罐变更为98#汽油罐</w:t>
                  </w:r>
                </w:p>
              </w:tc>
            </w:tr>
            <w:tr w14:paraId="34359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45DA8C5C">
                  <w:pPr>
                    <w:jc w:val="center"/>
                    <w:rPr>
                      <w:rFonts w:hint="default" w:ascii="Times New Roman" w:hAnsi="Times New Roman" w:eastAsia="宋体" w:cs="Times New Roman"/>
                      <w:color w:val="auto"/>
                      <w:szCs w:val="21"/>
                      <w:highlight w:val="yellow"/>
                    </w:rPr>
                  </w:pPr>
                </w:p>
              </w:tc>
              <w:tc>
                <w:tcPr>
                  <w:tcW w:w="702" w:type="pct"/>
                  <w:gridSpan w:val="2"/>
                  <w:tcBorders>
                    <w:bottom w:val="single" w:color="auto" w:sz="4" w:space="0"/>
                  </w:tcBorders>
                  <w:noWrap w:val="0"/>
                  <w:vAlign w:val="center"/>
                </w:tcPr>
                <w:p w14:paraId="470B0DD2">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加油区</w:t>
                  </w:r>
                </w:p>
              </w:tc>
              <w:tc>
                <w:tcPr>
                  <w:tcW w:w="1765" w:type="pct"/>
                  <w:tcBorders>
                    <w:top w:val="single" w:color="auto" w:sz="4" w:space="0"/>
                    <w:bottom w:val="single" w:color="auto" w:sz="4" w:space="0"/>
                  </w:tcBorders>
                  <w:noWrap w:val="0"/>
                  <w:vAlign w:val="center"/>
                </w:tcPr>
                <w:p w14:paraId="665A5F19">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加油区位于站区中间，</w:t>
                  </w:r>
                  <w:r>
                    <w:rPr>
                      <w:rFonts w:hint="default" w:ascii="Times New Roman" w:hAnsi="Times New Roman" w:eastAsia="宋体" w:cs="Times New Roman"/>
                      <w:color w:val="auto"/>
                      <w:szCs w:val="21"/>
                    </w:rPr>
                    <w:t>轻钢结构，建筑面积273m</w:t>
                  </w:r>
                  <w:r>
                    <w:rPr>
                      <w:rFonts w:hint="default" w:ascii="Times New Roman" w:hAnsi="Times New Roman" w:eastAsia="宋体" w:cs="Times New Roman"/>
                      <w:color w:val="auto"/>
                      <w:szCs w:val="21"/>
                      <w:vertAlign w:val="superscript"/>
                    </w:rPr>
                    <w:t>2</w:t>
                  </w:r>
                  <w:r>
                    <w:rPr>
                      <w:rFonts w:hint="default" w:ascii="Times New Roman" w:hAnsi="Times New Roman" w:eastAsia="宋体" w:cs="Times New Roman"/>
                      <w:color w:val="auto"/>
                      <w:szCs w:val="21"/>
                    </w:rPr>
                    <w:t>，罩棚高度为6.0m；罩棚下设置4个单柱加油岛，</w:t>
                  </w:r>
                  <w:r>
                    <w:rPr>
                      <w:rFonts w:hint="default" w:ascii="Times New Roman" w:hAnsi="Times New Roman" w:eastAsia="宋体" w:cs="Times New Roman"/>
                      <w:bCs/>
                      <w:color w:val="auto"/>
                      <w:szCs w:val="21"/>
                    </w:rPr>
                    <w:t>加油岛端部设有防撞柱</w:t>
                  </w:r>
                  <w:r>
                    <w:rPr>
                      <w:rFonts w:hint="default" w:ascii="Times New Roman" w:hAnsi="Times New Roman" w:cs="Times New Roman"/>
                      <w:bCs/>
                      <w:color w:val="auto"/>
                      <w:szCs w:val="21"/>
                      <w:lang w:eastAsia="zh-CN"/>
                    </w:rPr>
                    <w:t>，</w:t>
                  </w:r>
                  <w:r>
                    <w:rPr>
                      <w:rFonts w:hint="default" w:ascii="Times New Roman" w:hAnsi="Times New Roman" w:eastAsia="宋体" w:cs="Times New Roman"/>
                      <w:color w:val="auto"/>
                      <w:szCs w:val="21"/>
                    </w:rPr>
                    <w:t>配备2台四枪</w:t>
                  </w:r>
                  <w:r>
                    <w:rPr>
                      <w:rFonts w:hint="default" w:ascii="Times New Roman" w:hAnsi="Times New Roman" w:eastAsia="宋体" w:cs="Times New Roman"/>
                      <w:bCs/>
                      <w:color w:val="auto"/>
                      <w:szCs w:val="21"/>
                    </w:rPr>
                    <w:t>自封式</w:t>
                  </w:r>
                  <w:r>
                    <w:rPr>
                      <w:rFonts w:hint="default" w:ascii="Times New Roman" w:hAnsi="Times New Roman" w:eastAsia="宋体" w:cs="Times New Roman"/>
                      <w:color w:val="auto"/>
                      <w:szCs w:val="21"/>
                    </w:rPr>
                    <w:t>加油机和2台六枪</w:t>
                  </w:r>
                  <w:r>
                    <w:rPr>
                      <w:rFonts w:hint="default" w:ascii="Times New Roman" w:hAnsi="Times New Roman" w:eastAsia="宋体" w:cs="Times New Roman"/>
                      <w:bCs/>
                      <w:color w:val="auto"/>
                      <w:szCs w:val="21"/>
                    </w:rPr>
                    <w:t>自封式</w:t>
                  </w:r>
                  <w:r>
                    <w:rPr>
                      <w:rFonts w:hint="default" w:ascii="Times New Roman" w:hAnsi="Times New Roman" w:eastAsia="宋体" w:cs="Times New Roman"/>
                      <w:color w:val="auto"/>
                      <w:szCs w:val="21"/>
                    </w:rPr>
                    <w:t>加油机，</w:t>
                  </w:r>
                  <w:r>
                    <w:rPr>
                      <w:rFonts w:hint="default" w:ascii="Times New Roman" w:hAnsi="Times New Roman" w:eastAsia="宋体" w:cs="Times New Roman"/>
                      <w:bCs/>
                      <w:color w:val="auto"/>
                      <w:szCs w:val="21"/>
                    </w:rPr>
                    <w:t>其中92#汽油枪8把，95#汽油枪8把，0#柴油枪4把，加油软管上设安全拉断阀，汽油加油枪配套二次油气回收系统</w:t>
                  </w:r>
                </w:p>
              </w:tc>
              <w:tc>
                <w:tcPr>
                  <w:tcW w:w="1619" w:type="pct"/>
                  <w:tcBorders>
                    <w:top w:val="single" w:color="auto" w:sz="4" w:space="0"/>
                    <w:bottom w:val="single" w:color="auto" w:sz="4" w:space="0"/>
                  </w:tcBorders>
                  <w:noWrap w:val="0"/>
                  <w:vAlign w:val="center"/>
                </w:tcPr>
                <w:p w14:paraId="5ACE112C">
                  <w:pPr>
                    <w:jc w:val="center"/>
                    <w:rPr>
                      <w:rFonts w:hint="default" w:ascii="Times New Roman" w:hAnsi="Times New Roman" w:eastAsia="宋体" w:cs="Times New Roman"/>
                      <w:bCs/>
                      <w:color w:val="auto"/>
                      <w:szCs w:val="21"/>
                      <w:highlight w:val="yellow"/>
                    </w:rPr>
                  </w:pPr>
                  <w:r>
                    <w:rPr>
                      <w:rFonts w:hint="default" w:ascii="Times New Roman" w:hAnsi="Times New Roman" w:eastAsia="宋体" w:cs="Times New Roman"/>
                      <w:bCs/>
                      <w:color w:val="auto"/>
                      <w:szCs w:val="21"/>
                    </w:rPr>
                    <w:t>加油区位于站区中间，</w:t>
                  </w:r>
                  <w:r>
                    <w:rPr>
                      <w:rFonts w:hint="default" w:ascii="Times New Roman" w:hAnsi="Times New Roman" w:eastAsia="宋体" w:cs="Times New Roman"/>
                      <w:color w:val="auto"/>
                      <w:szCs w:val="21"/>
                    </w:rPr>
                    <w:t>轻钢结构，建筑面积273m</w:t>
                  </w:r>
                  <w:r>
                    <w:rPr>
                      <w:rFonts w:hint="default" w:ascii="Times New Roman" w:hAnsi="Times New Roman" w:eastAsia="宋体" w:cs="Times New Roman"/>
                      <w:color w:val="auto"/>
                      <w:szCs w:val="21"/>
                      <w:vertAlign w:val="superscript"/>
                    </w:rPr>
                    <w:t>2</w:t>
                  </w:r>
                  <w:r>
                    <w:rPr>
                      <w:rFonts w:hint="default" w:ascii="Times New Roman" w:hAnsi="Times New Roman" w:eastAsia="宋体" w:cs="Times New Roman"/>
                      <w:color w:val="auto"/>
                      <w:szCs w:val="21"/>
                    </w:rPr>
                    <w:t>，罩棚高度为6.0m；罩棚下设置4个单柱加油岛，</w:t>
                  </w:r>
                  <w:r>
                    <w:rPr>
                      <w:rFonts w:hint="default" w:ascii="Times New Roman" w:hAnsi="Times New Roman" w:eastAsia="宋体" w:cs="Times New Roman"/>
                      <w:bCs/>
                      <w:color w:val="auto"/>
                      <w:szCs w:val="21"/>
                    </w:rPr>
                    <w:t>加油岛端部设有防撞柱</w:t>
                  </w:r>
                  <w:r>
                    <w:rPr>
                      <w:rFonts w:hint="default" w:ascii="Times New Roman" w:hAnsi="Times New Roman" w:cs="Times New Roman"/>
                      <w:bCs/>
                      <w:color w:val="auto"/>
                      <w:szCs w:val="21"/>
                      <w:lang w:eastAsia="zh-CN"/>
                    </w:rPr>
                    <w:t>，</w:t>
                  </w:r>
                  <w:r>
                    <w:rPr>
                      <w:rFonts w:hint="default" w:ascii="Times New Roman" w:hAnsi="Times New Roman" w:eastAsia="宋体" w:cs="Times New Roman"/>
                      <w:color w:val="auto"/>
                      <w:szCs w:val="21"/>
                    </w:rPr>
                    <w:t>配备2台四枪</w:t>
                  </w:r>
                  <w:r>
                    <w:rPr>
                      <w:rFonts w:hint="default" w:ascii="Times New Roman" w:hAnsi="Times New Roman" w:eastAsia="宋体" w:cs="Times New Roman"/>
                      <w:bCs/>
                      <w:color w:val="auto"/>
                      <w:szCs w:val="21"/>
                    </w:rPr>
                    <w:t>自封式</w:t>
                  </w:r>
                  <w:r>
                    <w:rPr>
                      <w:rFonts w:hint="default" w:ascii="Times New Roman" w:hAnsi="Times New Roman" w:eastAsia="宋体" w:cs="Times New Roman"/>
                      <w:color w:val="auto"/>
                      <w:szCs w:val="21"/>
                    </w:rPr>
                    <w:t>加油机和2台六枪</w:t>
                  </w:r>
                  <w:r>
                    <w:rPr>
                      <w:rFonts w:hint="default" w:ascii="Times New Roman" w:hAnsi="Times New Roman" w:eastAsia="宋体" w:cs="Times New Roman"/>
                      <w:bCs/>
                      <w:color w:val="auto"/>
                      <w:szCs w:val="21"/>
                    </w:rPr>
                    <w:t>自封式</w:t>
                  </w:r>
                  <w:r>
                    <w:rPr>
                      <w:rFonts w:hint="default" w:ascii="Times New Roman" w:hAnsi="Times New Roman" w:eastAsia="宋体" w:cs="Times New Roman"/>
                      <w:color w:val="auto"/>
                      <w:szCs w:val="21"/>
                    </w:rPr>
                    <w:t>加油机，</w:t>
                  </w:r>
                  <w:r>
                    <w:rPr>
                      <w:rFonts w:hint="default" w:ascii="Times New Roman" w:hAnsi="Times New Roman" w:eastAsia="宋体" w:cs="Times New Roman"/>
                      <w:bCs/>
                      <w:color w:val="auto"/>
                      <w:szCs w:val="21"/>
                    </w:rPr>
                    <w:t>其中92#汽油枪8把，95#汽油枪</w:t>
                  </w:r>
                  <w:r>
                    <w:rPr>
                      <w:rFonts w:hint="default" w:ascii="Times New Roman" w:hAnsi="Times New Roman" w:eastAsia="宋体" w:cs="Times New Roman"/>
                      <w:bCs/>
                      <w:color w:val="auto"/>
                      <w:szCs w:val="21"/>
                      <w:lang w:val="en-US" w:eastAsia="zh-CN"/>
                    </w:rPr>
                    <w:t>4</w:t>
                  </w:r>
                  <w:r>
                    <w:rPr>
                      <w:rFonts w:hint="default" w:ascii="Times New Roman" w:hAnsi="Times New Roman" w:eastAsia="宋体" w:cs="Times New Roman"/>
                      <w:bCs/>
                      <w:color w:val="auto"/>
                      <w:szCs w:val="21"/>
                    </w:rPr>
                    <w:t>把，9</w:t>
                  </w:r>
                  <w:r>
                    <w:rPr>
                      <w:rFonts w:hint="default" w:ascii="Times New Roman" w:hAnsi="Times New Roman" w:eastAsia="宋体" w:cs="Times New Roman"/>
                      <w:bCs/>
                      <w:color w:val="auto"/>
                      <w:szCs w:val="21"/>
                      <w:lang w:val="en-US" w:eastAsia="zh-CN"/>
                    </w:rPr>
                    <w:t>8</w:t>
                  </w:r>
                  <w:r>
                    <w:rPr>
                      <w:rFonts w:hint="default" w:ascii="Times New Roman" w:hAnsi="Times New Roman" w:eastAsia="宋体" w:cs="Times New Roman"/>
                      <w:bCs/>
                      <w:color w:val="auto"/>
                      <w:szCs w:val="21"/>
                    </w:rPr>
                    <w:t>#汽油枪</w:t>
                  </w:r>
                  <w:r>
                    <w:rPr>
                      <w:rFonts w:hint="default" w:ascii="Times New Roman" w:hAnsi="Times New Roman" w:eastAsia="宋体" w:cs="Times New Roman"/>
                      <w:bCs/>
                      <w:color w:val="auto"/>
                      <w:szCs w:val="21"/>
                      <w:lang w:val="en-US" w:eastAsia="zh-CN"/>
                    </w:rPr>
                    <w:t>4</w:t>
                  </w:r>
                  <w:r>
                    <w:rPr>
                      <w:rFonts w:hint="default" w:ascii="Times New Roman" w:hAnsi="Times New Roman" w:eastAsia="宋体" w:cs="Times New Roman"/>
                      <w:bCs/>
                      <w:color w:val="auto"/>
                      <w:szCs w:val="21"/>
                    </w:rPr>
                    <w:t>把</w:t>
                  </w:r>
                  <w:r>
                    <w:rPr>
                      <w:rFonts w:hint="default"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rPr>
                    <w:t>0#柴油枪4把，加油软管上设安全拉断阀，汽油加油枪配套二次油气回收系统</w:t>
                  </w:r>
                </w:p>
              </w:tc>
              <w:tc>
                <w:tcPr>
                  <w:tcW w:w="461" w:type="pct"/>
                  <w:tcBorders>
                    <w:top w:val="single" w:color="auto" w:sz="4" w:space="0"/>
                    <w:bottom w:val="single" w:color="auto" w:sz="4" w:space="0"/>
                  </w:tcBorders>
                  <w:noWrap w:val="0"/>
                  <w:vAlign w:val="center"/>
                </w:tcPr>
                <w:p w14:paraId="0A7D5A9A">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4把95#汽油枪改为98#汽油枪</w:t>
                  </w:r>
                </w:p>
              </w:tc>
            </w:tr>
            <w:tr w14:paraId="59803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18799367">
                  <w:pPr>
                    <w:jc w:val="center"/>
                    <w:rPr>
                      <w:rFonts w:hint="default" w:ascii="Times New Roman" w:hAnsi="Times New Roman" w:eastAsia="宋体" w:cs="Times New Roman"/>
                      <w:color w:val="auto"/>
                      <w:szCs w:val="21"/>
                      <w:highlight w:val="yellow"/>
                    </w:rPr>
                  </w:pPr>
                </w:p>
              </w:tc>
              <w:tc>
                <w:tcPr>
                  <w:tcW w:w="702" w:type="pct"/>
                  <w:gridSpan w:val="2"/>
                  <w:tcBorders>
                    <w:bottom w:val="single" w:color="auto" w:sz="4" w:space="0"/>
                  </w:tcBorders>
                  <w:noWrap w:val="0"/>
                  <w:vAlign w:val="center"/>
                </w:tcPr>
                <w:p w14:paraId="3469E1A3">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卸油区</w:t>
                  </w:r>
                </w:p>
              </w:tc>
              <w:tc>
                <w:tcPr>
                  <w:tcW w:w="1765" w:type="pct"/>
                  <w:tcBorders>
                    <w:top w:val="single" w:color="auto" w:sz="4" w:space="0"/>
                    <w:bottom w:val="single" w:color="auto" w:sz="4" w:space="0"/>
                  </w:tcBorders>
                  <w:noWrap w:val="0"/>
                  <w:vAlign w:val="center"/>
                </w:tcPr>
                <w:p w14:paraId="1FF55333">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卸油区位于站区</w:t>
                  </w:r>
                  <w:r>
                    <w:rPr>
                      <w:rFonts w:hint="default" w:ascii="Times New Roman" w:hAnsi="Times New Roman" w:cs="Times New Roman"/>
                      <w:bCs/>
                      <w:color w:val="auto"/>
                      <w:szCs w:val="21"/>
                      <w:lang w:val="en-US" w:eastAsia="zh-CN"/>
                    </w:rPr>
                    <w:t>东侧</w:t>
                  </w:r>
                  <w:r>
                    <w:rPr>
                      <w:rFonts w:hint="default" w:ascii="Times New Roman" w:hAnsi="Times New Roman" w:eastAsia="宋体" w:cs="Times New Roman"/>
                      <w:bCs/>
                      <w:color w:val="auto"/>
                      <w:szCs w:val="21"/>
                    </w:rPr>
                    <w:t>，设置密闭卸油口箱，内设4个密闭卸油快速接头及1个卸油油气回收快速接头，卸油口设置一次油气回收系统</w:t>
                  </w:r>
                </w:p>
              </w:tc>
              <w:tc>
                <w:tcPr>
                  <w:tcW w:w="1619" w:type="pct"/>
                  <w:tcBorders>
                    <w:top w:val="single" w:color="auto" w:sz="4" w:space="0"/>
                    <w:bottom w:val="single" w:color="auto" w:sz="4" w:space="0"/>
                  </w:tcBorders>
                  <w:noWrap w:val="0"/>
                  <w:vAlign w:val="center"/>
                </w:tcPr>
                <w:p w14:paraId="693AD613">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依托现有工程</w:t>
                  </w:r>
                </w:p>
              </w:tc>
              <w:tc>
                <w:tcPr>
                  <w:tcW w:w="461" w:type="pct"/>
                  <w:tcBorders>
                    <w:top w:val="single" w:color="auto" w:sz="4" w:space="0"/>
                    <w:bottom w:val="single" w:color="auto" w:sz="4" w:space="0"/>
                  </w:tcBorders>
                  <w:noWrap w:val="0"/>
                  <w:vAlign w:val="center"/>
                </w:tcPr>
                <w:p w14:paraId="6A790867">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r>
            <w:tr w14:paraId="32923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16240BCE">
                  <w:pPr>
                    <w:jc w:val="center"/>
                    <w:rPr>
                      <w:rFonts w:hint="default" w:ascii="Times New Roman" w:hAnsi="Times New Roman" w:eastAsia="宋体" w:cs="Times New Roman"/>
                      <w:color w:val="auto"/>
                      <w:szCs w:val="21"/>
                      <w:highlight w:val="yellow"/>
                    </w:rPr>
                  </w:pPr>
                </w:p>
              </w:tc>
              <w:tc>
                <w:tcPr>
                  <w:tcW w:w="702" w:type="pct"/>
                  <w:gridSpan w:val="2"/>
                  <w:tcBorders>
                    <w:bottom w:val="single" w:color="auto" w:sz="4" w:space="0"/>
                  </w:tcBorders>
                  <w:noWrap w:val="0"/>
                  <w:vAlign w:val="center"/>
                </w:tcPr>
                <w:p w14:paraId="40D3A335">
                  <w:pPr>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洗车区</w:t>
                  </w:r>
                </w:p>
              </w:tc>
              <w:tc>
                <w:tcPr>
                  <w:tcW w:w="1765" w:type="pct"/>
                  <w:tcBorders>
                    <w:top w:val="single" w:color="auto" w:sz="4" w:space="0"/>
                    <w:bottom w:val="single" w:color="auto" w:sz="4" w:space="0"/>
                  </w:tcBorders>
                  <w:noWrap w:val="0"/>
                  <w:vAlign w:val="center"/>
                </w:tcPr>
                <w:p w14:paraId="71CEA935">
                  <w:pPr>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洗车区位于罩棚东北侧，设置1套汽车快洗装置</w:t>
                  </w:r>
                </w:p>
              </w:tc>
              <w:tc>
                <w:tcPr>
                  <w:tcW w:w="1619" w:type="pct"/>
                  <w:tcBorders>
                    <w:top w:val="single" w:color="auto" w:sz="4" w:space="0"/>
                    <w:bottom w:val="single" w:color="auto" w:sz="4" w:space="0"/>
                  </w:tcBorders>
                  <w:noWrap w:val="0"/>
                  <w:vAlign w:val="center"/>
                </w:tcPr>
                <w:p w14:paraId="20164436">
                  <w:pPr>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依托现有工程</w:t>
                  </w:r>
                </w:p>
              </w:tc>
              <w:tc>
                <w:tcPr>
                  <w:tcW w:w="461" w:type="pct"/>
                  <w:tcBorders>
                    <w:top w:val="single" w:color="auto" w:sz="4" w:space="0"/>
                    <w:bottom w:val="single" w:color="auto" w:sz="4" w:space="0"/>
                  </w:tcBorders>
                  <w:noWrap w:val="0"/>
                  <w:vAlign w:val="center"/>
                </w:tcPr>
                <w:p w14:paraId="5F31BD25">
                  <w:pPr>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color w:val="auto"/>
                      <w:szCs w:val="21"/>
                      <w:lang w:val="en-US" w:eastAsia="zh-CN"/>
                    </w:rPr>
                    <w:t>/</w:t>
                  </w:r>
                </w:p>
              </w:tc>
            </w:tr>
            <w:tr w14:paraId="19551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restart"/>
                  <w:tcBorders>
                    <w:top w:val="single" w:color="auto" w:sz="4" w:space="0"/>
                  </w:tcBorders>
                  <w:noWrap w:val="0"/>
                  <w:vAlign w:val="center"/>
                </w:tcPr>
                <w:p w14:paraId="67B0B70F">
                  <w:pPr>
                    <w:jc w:val="center"/>
                    <w:rPr>
                      <w:rFonts w:hint="default" w:ascii="Times New Roman" w:hAnsi="Times New Roman" w:eastAsia="宋体" w:cs="Times New Roman"/>
                      <w:color w:val="auto"/>
                      <w:szCs w:val="21"/>
                      <w:highlight w:val="yellow"/>
                    </w:rPr>
                  </w:pPr>
                  <w:r>
                    <w:rPr>
                      <w:rFonts w:hint="default" w:ascii="Times New Roman" w:hAnsi="Times New Roman" w:eastAsia="宋体" w:cs="Times New Roman"/>
                      <w:color w:val="auto"/>
                      <w:szCs w:val="21"/>
                    </w:rPr>
                    <w:t>辅助工程</w:t>
                  </w:r>
                </w:p>
              </w:tc>
              <w:tc>
                <w:tcPr>
                  <w:tcW w:w="702" w:type="pct"/>
                  <w:gridSpan w:val="2"/>
                  <w:tcBorders>
                    <w:bottom w:val="single" w:color="auto" w:sz="4" w:space="0"/>
                  </w:tcBorders>
                  <w:noWrap w:val="0"/>
                  <w:vAlign w:val="center"/>
                </w:tcPr>
                <w:p w14:paraId="1DB0689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站房</w:t>
                  </w:r>
                </w:p>
              </w:tc>
              <w:tc>
                <w:tcPr>
                  <w:tcW w:w="1765" w:type="pct"/>
                  <w:tcBorders>
                    <w:top w:val="single" w:color="auto" w:sz="4" w:space="0"/>
                    <w:bottom w:val="single" w:color="auto" w:sz="4" w:space="0"/>
                  </w:tcBorders>
                  <w:noWrap w:val="0"/>
                  <w:vAlign w:val="center"/>
                </w:tcPr>
                <w:p w14:paraId="36E1A197">
                  <w:pPr>
                    <w:jc w:val="center"/>
                    <w:rPr>
                      <w:rFonts w:hint="default" w:ascii="Times New Roman" w:hAnsi="Times New Roman" w:eastAsia="宋体" w:cs="Times New Roman"/>
                      <w:color w:val="auto"/>
                      <w:szCs w:val="21"/>
                      <w:highlight w:val="yellow"/>
                    </w:rPr>
                  </w:pPr>
                  <w:r>
                    <w:rPr>
                      <w:rFonts w:hint="default" w:ascii="Times New Roman" w:hAnsi="Times New Roman" w:eastAsia="宋体" w:cs="Times New Roman"/>
                      <w:color w:val="auto"/>
                      <w:szCs w:val="21"/>
                    </w:rPr>
                    <w:t>站房位于站区西侧，建筑面积668.8m</w:t>
                  </w:r>
                  <w:r>
                    <w:rPr>
                      <w:rFonts w:hint="default" w:ascii="Times New Roman" w:hAnsi="Times New Roman" w:eastAsia="宋体" w:cs="Times New Roman"/>
                      <w:color w:val="auto"/>
                      <w:szCs w:val="21"/>
                      <w:vertAlign w:val="superscript"/>
                    </w:rPr>
                    <w:t>2</w:t>
                  </w:r>
                  <w:r>
                    <w:rPr>
                      <w:rFonts w:hint="default" w:ascii="Times New Roman" w:hAnsi="Times New Roman" w:eastAsia="宋体" w:cs="Times New Roman"/>
                      <w:color w:val="auto"/>
                      <w:szCs w:val="21"/>
                    </w:rPr>
                    <w:t>，共3F，砖混结构，设置办公室、储藏室、休息室、便利店、配电室、柴油发电机室、卫生间等，采用防爆开关、防爆照明灯</w:t>
                  </w:r>
                </w:p>
              </w:tc>
              <w:tc>
                <w:tcPr>
                  <w:tcW w:w="1619" w:type="pct"/>
                  <w:tcBorders>
                    <w:top w:val="single" w:color="auto" w:sz="4" w:space="0"/>
                    <w:bottom w:val="single" w:color="auto" w:sz="4" w:space="0"/>
                  </w:tcBorders>
                  <w:noWrap w:val="0"/>
                  <w:vAlign w:val="center"/>
                </w:tcPr>
                <w:p w14:paraId="55A6AA19">
                  <w:pPr>
                    <w:jc w:val="center"/>
                    <w:rPr>
                      <w:rFonts w:hint="default" w:ascii="Times New Roman" w:hAnsi="Times New Roman" w:eastAsia="宋体" w:cs="Times New Roman"/>
                      <w:bCs/>
                      <w:color w:val="auto"/>
                      <w:szCs w:val="21"/>
                      <w:highlight w:val="yellow"/>
                    </w:rPr>
                  </w:pPr>
                  <w:r>
                    <w:rPr>
                      <w:rFonts w:hint="default" w:ascii="Times New Roman" w:hAnsi="Times New Roman" w:eastAsia="宋体" w:cs="Times New Roman"/>
                      <w:bCs/>
                      <w:color w:val="auto"/>
                      <w:szCs w:val="21"/>
                    </w:rPr>
                    <w:t>依托现有工程</w:t>
                  </w:r>
                </w:p>
              </w:tc>
              <w:tc>
                <w:tcPr>
                  <w:tcW w:w="461" w:type="pct"/>
                  <w:tcBorders>
                    <w:top w:val="single" w:color="auto" w:sz="4" w:space="0"/>
                    <w:bottom w:val="single" w:color="auto" w:sz="4" w:space="0"/>
                  </w:tcBorders>
                  <w:noWrap w:val="0"/>
                  <w:vAlign w:val="center"/>
                </w:tcPr>
                <w:p w14:paraId="4E67982B">
                  <w:pPr>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en-US" w:eastAsia="zh-CN"/>
                    </w:rPr>
                    <w:t>/</w:t>
                  </w:r>
                </w:p>
              </w:tc>
            </w:tr>
            <w:tr w14:paraId="0B81C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282D0986">
                  <w:pPr>
                    <w:jc w:val="center"/>
                    <w:rPr>
                      <w:rFonts w:hint="default" w:ascii="Times New Roman" w:hAnsi="Times New Roman" w:eastAsia="宋体" w:cs="Times New Roman"/>
                      <w:color w:val="auto"/>
                      <w:szCs w:val="21"/>
                      <w:highlight w:val="yellow"/>
                    </w:rPr>
                  </w:pPr>
                </w:p>
              </w:tc>
              <w:tc>
                <w:tcPr>
                  <w:tcW w:w="702" w:type="pct"/>
                  <w:gridSpan w:val="2"/>
                  <w:tcBorders>
                    <w:bottom w:val="single" w:color="auto" w:sz="4" w:space="0"/>
                  </w:tcBorders>
                  <w:noWrap w:val="0"/>
                  <w:vAlign w:val="center"/>
                </w:tcPr>
                <w:p w14:paraId="70C7873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工艺管线</w:t>
                  </w:r>
                </w:p>
              </w:tc>
              <w:tc>
                <w:tcPr>
                  <w:tcW w:w="1765" w:type="pct"/>
                  <w:tcBorders>
                    <w:top w:val="single" w:color="auto" w:sz="4" w:space="0"/>
                    <w:bottom w:val="single" w:color="auto" w:sz="4" w:space="0"/>
                  </w:tcBorders>
                  <w:noWrap w:val="0"/>
                  <w:vAlign w:val="center"/>
                </w:tcPr>
                <w:p w14:paraId="044426ED">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采用双层复合材料管道</w:t>
                  </w:r>
                </w:p>
              </w:tc>
              <w:tc>
                <w:tcPr>
                  <w:tcW w:w="1619" w:type="pct"/>
                  <w:tcBorders>
                    <w:top w:val="single" w:color="auto" w:sz="4" w:space="0"/>
                    <w:bottom w:val="single" w:color="auto" w:sz="4" w:space="0"/>
                  </w:tcBorders>
                  <w:noWrap w:val="0"/>
                  <w:vAlign w:val="center"/>
                </w:tcPr>
                <w:p w14:paraId="6D56A7F2">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tcBorders>
                    <w:top w:val="single" w:color="auto" w:sz="4" w:space="0"/>
                    <w:bottom w:val="single" w:color="auto" w:sz="4" w:space="0"/>
                  </w:tcBorders>
                  <w:noWrap w:val="0"/>
                  <w:vAlign w:val="center"/>
                </w:tcPr>
                <w:p w14:paraId="591362F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w:t>
                  </w:r>
                </w:p>
              </w:tc>
            </w:tr>
            <w:tr w14:paraId="5F26C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6E9A495A">
                  <w:pPr>
                    <w:jc w:val="center"/>
                    <w:rPr>
                      <w:rFonts w:hint="default" w:ascii="Times New Roman" w:hAnsi="Times New Roman" w:eastAsia="宋体" w:cs="Times New Roman"/>
                      <w:color w:val="auto"/>
                      <w:szCs w:val="21"/>
                      <w:highlight w:val="yellow"/>
                    </w:rPr>
                  </w:pPr>
                </w:p>
              </w:tc>
              <w:tc>
                <w:tcPr>
                  <w:tcW w:w="702" w:type="pct"/>
                  <w:gridSpan w:val="2"/>
                  <w:tcBorders>
                    <w:bottom w:val="single" w:color="auto" w:sz="4" w:space="0"/>
                  </w:tcBorders>
                  <w:noWrap w:val="0"/>
                  <w:vAlign w:val="center"/>
                </w:tcPr>
                <w:p w14:paraId="1241A8A6">
                  <w:pPr>
                    <w:pStyle w:val="93"/>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防雷</w:t>
                  </w:r>
                </w:p>
              </w:tc>
              <w:tc>
                <w:tcPr>
                  <w:tcW w:w="1765" w:type="pct"/>
                  <w:tcBorders>
                    <w:top w:val="single" w:color="auto" w:sz="4" w:space="0"/>
                    <w:bottom w:val="single" w:color="auto" w:sz="4" w:space="0"/>
                  </w:tcBorders>
                  <w:noWrap w:val="0"/>
                  <w:vAlign w:val="center"/>
                </w:tcPr>
                <w:p w14:paraId="5EDA80B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加油站按照设计规范已设置避雷、防雷设施</w:t>
                  </w:r>
                </w:p>
              </w:tc>
              <w:tc>
                <w:tcPr>
                  <w:tcW w:w="1619" w:type="pct"/>
                  <w:tcBorders>
                    <w:top w:val="single" w:color="auto" w:sz="4" w:space="0"/>
                    <w:bottom w:val="single" w:color="auto" w:sz="4" w:space="0"/>
                  </w:tcBorders>
                  <w:noWrap w:val="0"/>
                  <w:vAlign w:val="center"/>
                </w:tcPr>
                <w:p w14:paraId="302A3C3E">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tcBorders>
                    <w:top w:val="single" w:color="auto" w:sz="4" w:space="0"/>
                    <w:bottom w:val="single" w:color="auto" w:sz="4" w:space="0"/>
                  </w:tcBorders>
                  <w:noWrap w:val="0"/>
                  <w:vAlign w:val="center"/>
                </w:tcPr>
                <w:p w14:paraId="51A1C51F">
                  <w:pPr>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en-US" w:eastAsia="zh-CN"/>
                    </w:rPr>
                    <w:t>/</w:t>
                  </w:r>
                </w:p>
              </w:tc>
            </w:tr>
            <w:tr w14:paraId="6E06D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78D02BCC">
                  <w:pPr>
                    <w:jc w:val="center"/>
                    <w:rPr>
                      <w:rFonts w:hint="default" w:ascii="Times New Roman" w:hAnsi="Times New Roman" w:eastAsia="宋体" w:cs="Times New Roman"/>
                      <w:color w:val="auto"/>
                      <w:szCs w:val="21"/>
                      <w:highlight w:val="yellow"/>
                    </w:rPr>
                  </w:pPr>
                </w:p>
              </w:tc>
              <w:tc>
                <w:tcPr>
                  <w:tcW w:w="702" w:type="pct"/>
                  <w:gridSpan w:val="2"/>
                  <w:tcBorders>
                    <w:bottom w:val="single" w:color="auto" w:sz="4" w:space="0"/>
                  </w:tcBorders>
                  <w:noWrap w:val="0"/>
                  <w:vAlign w:val="center"/>
                </w:tcPr>
                <w:p w14:paraId="5FA8ADD5">
                  <w:pPr>
                    <w:pStyle w:val="93"/>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实体</w:t>
                  </w:r>
                </w:p>
                <w:p w14:paraId="53172DA9">
                  <w:pPr>
                    <w:pStyle w:val="93"/>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围墙</w:t>
                  </w:r>
                </w:p>
              </w:tc>
              <w:tc>
                <w:tcPr>
                  <w:tcW w:w="1765" w:type="pct"/>
                  <w:tcBorders>
                    <w:top w:val="single" w:color="auto" w:sz="4" w:space="0"/>
                    <w:bottom w:val="single" w:color="auto" w:sz="4" w:space="0"/>
                  </w:tcBorders>
                  <w:noWrap w:val="0"/>
                  <w:vAlign w:val="center"/>
                </w:tcPr>
                <w:p w14:paraId="4ECF4DA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加油站南侧、西侧、东侧有不低于2.2m的实体围</w:t>
                  </w:r>
                </w:p>
              </w:tc>
              <w:tc>
                <w:tcPr>
                  <w:tcW w:w="1619" w:type="pct"/>
                  <w:tcBorders>
                    <w:top w:val="single" w:color="auto" w:sz="4" w:space="0"/>
                    <w:bottom w:val="single" w:color="auto" w:sz="4" w:space="0"/>
                  </w:tcBorders>
                  <w:noWrap w:val="0"/>
                  <w:vAlign w:val="center"/>
                </w:tcPr>
                <w:p w14:paraId="5FE5E2AA">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tcBorders>
                    <w:top w:val="single" w:color="auto" w:sz="4" w:space="0"/>
                    <w:bottom w:val="single" w:color="auto" w:sz="4" w:space="0"/>
                  </w:tcBorders>
                  <w:noWrap w:val="0"/>
                  <w:vAlign w:val="center"/>
                </w:tcPr>
                <w:p w14:paraId="083D779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w:t>
                  </w:r>
                </w:p>
              </w:tc>
            </w:tr>
            <w:tr w14:paraId="63F03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restart"/>
                  <w:tcBorders>
                    <w:top w:val="single" w:color="auto" w:sz="4" w:space="0"/>
                  </w:tcBorders>
                  <w:noWrap w:val="0"/>
                  <w:vAlign w:val="center"/>
                </w:tcPr>
                <w:p w14:paraId="6F99697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公用工程</w:t>
                  </w:r>
                </w:p>
              </w:tc>
              <w:tc>
                <w:tcPr>
                  <w:tcW w:w="702" w:type="pct"/>
                  <w:gridSpan w:val="2"/>
                  <w:noWrap w:val="0"/>
                  <w:vAlign w:val="center"/>
                </w:tcPr>
                <w:p w14:paraId="1B8494F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给水</w:t>
                  </w:r>
                </w:p>
              </w:tc>
              <w:tc>
                <w:tcPr>
                  <w:tcW w:w="1765" w:type="pct"/>
                  <w:tcBorders>
                    <w:top w:val="single" w:color="auto" w:sz="4" w:space="0"/>
                  </w:tcBorders>
                  <w:noWrap w:val="0"/>
                  <w:vAlign w:val="center"/>
                </w:tcPr>
                <w:p w14:paraId="1CE01CA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由市政给水管网供给</w:t>
                  </w:r>
                </w:p>
              </w:tc>
              <w:tc>
                <w:tcPr>
                  <w:tcW w:w="1619" w:type="pct"/>
                  <w:tcBorders>
                    <w:top w:val="single" w:color="auto" w:sz="4" w:space="0"/>
                  </w:tcBorders>
                  <w:noWrap w:val="0"/>
                  <w:vAlign w:val="center"/>
                </w:tcPr>
                <w:p w14:paraId="2B512D44">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tcBorders>
                    <w:top w:val="single" w:color="auto" w:sz="4" w:space="0"/>
                  </w:tcBorders>
                  <w:noWrap w:val="0"/>
                  <w:vAlign w:val="center"/>
                </w:tcPr>
                <w:p w14:paraId="79568484">
                  <w:pPr>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en-US" w:eastAsia="zh-CN"/>
                    </w:rPr>
                    <w:t>/</w:t>
                  </w:r>
                </w:p>
              </w:tc>
            </w:tr>
            <w:tr w14:paraId="5095B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tcBorders>
                    <w:top w:val="single" w:color="auto" w:sz="4" w:space="0"/>
                  </w:tcBorders>
                  <w:noWrap w:val="0"/>
                  <w:vAlign w:val="center"/>
                </w:tcPr>
                <w:p w14:paraId="6450F201">
                  <w:pPr>
                    <w:jc w:val="center"/>
                    <w:rPr>
                      <w:rFonts w:hint="default" w:ascii="Times New Roman" w:hAnsi="Times New Roman" w:eastAsia="宋体" w:cs="Times New Roman"/>
                      <w:color w:val="auto"/>
                      <w:szCs w:val="21"/>
                    </w:rPr>
                  </w:pPr>
                </w:p>
              </w:tc>
              <w:tc>
                <w:tcPr>
                  <w:tcW w:w="702" w:type="pct"/>
                  <w:gridSpan w:val="2"/>
                  <w:noWrap w:val="0"/>
                  <w:vAlign w:val="center"/>
                </w:tcPr>
                <w:p w14:paraId="33B0D2F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供电</w:t>
                  </w:r>
                </w:p>
              </w:tc>
              <w:tc>
                <w:tcPr>
                  <w:tcW w:w="1765" w:type="pct"/>
                  <w:tcBorders>
                    <w:top w:val="single" w:color="auto" w:sz="4" w:space="0"/>
                  </w:tcBorders>
                  <w:noWrap w:val="0"/>
                  <w:vAlign w:val="center"/>
                </w:tcPr>
                <w:p w14:paraId="2887DD8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由市政供电系统接入。应急备用电源为1台24kW柴油发电机</w:t>
                  </w:r>
                </w:p>
              </w:tc>
              <w:tc>
                <w:tcPr>
                  <w:tcW w:w="1619" w:type="pct"/>
                  <w:tcBorders>
                    <w:top w:val="single" w:color="auto" w:sz="4" w:space="0"/>
                  </w:tcBorders>
                  <w:noWrap w:val="0"/>
                  <w:vAlign w:val="center"/>
                </w:tcPr>
                <w:p w14:paraId="327D3C8F">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tcBorders>
                    <w:top w:val="single" w:color="auto" w:sz="4" w:space="0"/>
                  </w:tcBorders>
                  <w:noWrap w:val="0"/>
                  <w:vAlign w:val="center"/>
                </w:tcPr>
                <w:p w14:paraId="4F03DF8E">
                  <w:pPr>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en-US" w:eastAsia="zh-CN"/>
                    </w:rPr>
                    <w:t>/</w:t>
                  </w:r>
                </w:p>
              </w:tc>
            </w:tr>
            <w:tr w14:paraId="773C4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6D6ABB81">
                  <w:pPr>
                    <w:jc w:val="center"/>
                    <w:rPr>
                      <w:rFonts w:hint="default" w:ascii="Times New Roman" w:hAnsi="Times New Roman" w:eastAsia="宋体" w:cs="Times New Roman"/>
                      <w:color w:val="auto"/>
                      <w:szCs w:val="21"/>
                      <w:highlight w:val="yellow"/>
                    </w:rPr>
                  </w:pPr>
                </w:p>
              </w:tc>
              <w:tc>
                <w:tcPr>
                  <w:tcW w:w="702" w:type="pct"/>
                  <w:gridSpan w:val="2"/>
                  <w:noWrap w:val="0"/>
                  <w:vAlign w:val="center"/>
                </w:tcPr>
                <w:p w14:paraId="2268A955">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排水</w:t>
                  </w:r>
                </w:p>
              </w:tc>
              <w:tc>
                <w:tcPr>
                  <w:tcW w:w="1765" w:type="pct"/>
                  <w:noWrap w:val="0"/>
                  <w:vAlign w:val="center"/>
                </w:tcPr>
                <w:p w14:paraId="3E032CF5">
                  <w:pPr>
                    <w:pStyle w:val="93"/>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采用雨、污分流制。</w:t>
                  </w:r>
                </w:p>
                <w:p w14:paraId="7A732392">
                  <w:pPr>
                    <w:pStyle w:val="93"/>
                    <w:spacing w:line="24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雨水：罩棚雨水、站房雨水经雨水斗收集，站区雨水（除</w:t>
                  </w:r>
                  <w:r>
                    <w:rPr>
                      <w:rFonts w:hint="eastAsia" w:cs="Times New Roman"/>
                      <w:color w:val="auto"/>
                      <w:szCs w:val="21"/>
                      <w:lang w:val="en-US" w:eastAsia="zh-CN"/>
                    </w:rPr>
                    <w:t>加油区</w:t>
                  </w:r>
                  <w:r>
                    <w:rPr>
                      <w:rFonts w:hint="default" w:ascii="Times New Roman" w:hAnsi="Times New Roman" w:eastAsia="宋体" w:cs="Times New Roman"/>
                      <w:color w:val="auto"/>
                      <w:szCs w:val="21"/>
                    </w:rPr>
                    <w:t>范围内的初期雨水）经截水沟收集排至市政雨水</w:t>
                  </w:r>
                  <w:r>
                    <w:rPr>
                      <w:rFonts w:hint="default" w:ascii="Times New Roman" w:hAnsi="Times New Roman" w:cs="Times New Roman"/>
                      <w:color w:val="auto"/>
                      <w:szCs w:val="21"/>
                      <w:lang w:val="en-US" w:eastAsia="zh-CN"/>
                    </w:rPr>
                    <w:t>管网</w:t>
                  </w:r>
                  <w:r>
                    <w:rPr>
                      <w:rFonts w:hint="default" w:ascii="Times New Roman" w:hAnsi="Times New Roman" w:eastAsia="宋体" w:cs="Times New Roman"/>
                      <w:color w:val="auto"/>
                      <w:szCs w:val="21"/>
                    </w:rPr>
                    <w:t>。</w:t>
                  </w:r>
                </w:p>
                <w:p w14:paraId="1125BE62">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污废水：生活污水由站内生化池处理；冲洗污水</w:t>
                  </w:r>
                  <w:r>
                    <w:rPr>
                      <w:rFonts w:hint="eastAsia" w:cs="Times New Roman"/>
                      <w:color w:val="auto"/>
                      <w:szCs w:val="21"/>
                      <w:lang w:eastAsia="zh-CN"/>
                    </w:rPr>
                    <w:t>、</w:t>
                  </w:r>
                  <w:r>
                    <w:rPr>
                      <w:rFonts w:hint="eastAsia" w:cs="Times New Roman"/>
                      <w:color w:val="auto"/>
                      <w:szCs w:val="21"/>
                      <w:lang w:val="en-US" w:eastAsia="zh-CN"/>
                    </w:rPr>
                    <w:t>洗车废水</w:t>
                  </w:r>
                  <w:r>
                    <w:rPr>
                      <w:rFonts w:hint="default" w:ascii="Times New Roman" w:hAnsi="Times New Roman" w:eastAsia="宋体" w:cs="Times New Roman"/>
                      <w:color w:val="auto"/>
                      <w:szCs w:val="21"/>
                    </w:rPr>
                    <w:t>和初期雨水经三段式隔油池处理。处理后的污废水一起排入市政污水管网，进入鸡冠石污水处理厂进一步处理达《城镇污水处理厂污染物排放标准》（GB18918-2002）一级A标准后，最终排入长江</w:t>
                  </w:r>
                </w:p>
              </w:tc>
              <w:tc>
                <w:tcPr>
                  <w:tcW w:w="1619" w:type="pct"/>
                  <w:noWrap w:val="0"/>
                  <w:vAlign w:val="center"/>
                </w:tcPr>
                <w:p w14:paraId="080B8777">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063BE83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w:t>
                  </w:r>
                </w:p>
              </w:tc>
            </w:tr>
            <w:tr w14:paraId="546A6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307289E1">
                  <w:pPr>
                    <w:jc w:val="center"/>
                    <w:rPr>
                      <w:rFonts w:hint="default" w:ascii="Times New Roman" w:hAnsi="Times New Roman" w:eastAsia="宋体" w:cs="Times New Roman"/>
                      <w:color w:val="auto"/>
                      <w:szCs w:val="21"/>
                      <w:highlight w:val="yellow"/>
                    </w:rPr>
                  </w:pPr>
                </w:p>
              </w:tc>
              <w:tc>
                <w:tcPr>
                  <w:tcW w:w="702" w:type="pct"/>
                  <w:gridSpan w:val="2"/>
                  <w:noWrap w:val="0"/>
                  <w:vAlign w:val="center"/>
                </w:tcPr>
                <w:p w14:paraId="718FE073">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消防</w:t>
                  </w:r>
                </w:p>
              </w:tc>
              <w:tc>
                <w:tcPr>
                  <w:tcW w:w="1765" w:type="pct"/>
                  <w:noWrap w:val="0"/>
                  <w:vAlign w:val="center"/>
                </w:tcPr>
                <w:p w14:paraId="4E99E82F">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设置有2台推车式干粉灭火器、2个手提式二氧化碳灭火器、18个手提式干粉灭火器，并配备了消防沙、灭火毯等</w:t>
                  </w:r>
                </w:p>
              </w:tc>
              <w:tc>
                <w:tcPr>
                  <w:tcW w:w="1619" w:type="pct"/>
                  <w:noWrap w:val="0"/>
                  <w:vAlign w:val="center"/>
                </w:tcPr>
                <w:p w14:paraId="3E9C7739">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35A673ED">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w:t>
                  </w:r>
                </w:p>
              </w:tc>
            </w:tr>
            <w:tr w14:paraId="1152E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3503EAD2">
                  <w:pPr>
                    <w:jc w:val="center"/>
                    <w:rPr>
                      <w:rFonts w:hint="default" w:ascii="Times New Roman" w:hAnsi="Times New Roman" w:eastAsia="宋体" w:cs="Times New Roman"/>
                      <w:color w:val="auto"/>
                      <w:szCs w:val="21"/>
                      <w:highlight w:val="yellow"/>
                    </w:rPr>
                  </w:pPr>
                </w:p>
              </w:tc>
              <w:tc>
                <w:tcPr>
                  <w:tcW w:w="702" w:type="pct"/>
                  <w:gridSpan w:val="2"/>
                  <w:noWrap w:val="0"/>
                  <w:vAlign w:val="center"/>
                </w:tcPr>
                <w:p w14:paraId="505B4F4F">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通风及空调</w:t>
                  </w:r>
                </w:p>
              </w:tc>
              <w:tc>
                <w:tcPr>
                  <w:tcW w:w="1765" w:type="pct"/>
                  <w:noWrap w:val="0"/>
                  <w:vAlign w:val="center"/>
                </w:tcPr>
                <w:p w14:paraId="47232C74">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办公设分体空调，设备房进行机械通风</w:t>
                  </w:r>
                </w:p>
              </w:tc>
              <w:tc>
                <w:tcPr>
                  <w:tcW w:w="1619" w:type="pct"/>
                  <w:noWrap w:val="0"/>
                  <w:vAlign w:val="center"/>
                </w:tcPr>
                <w:p w14:paraId="6D24FBBF">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0EDBC50C">
                  <w:pPr>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en-US" w:eastAsia="zh-CN"/>
                    </w:rPr>
                    <w:t>/</w:t>
                  </w:r>
                </w:p>
              </w:tc>
            </w:tr>
            <w:tr w14:paraId="71B5E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restart"/>
                  <w:tcBorders>
                    <w:top w:val="single" w:color="auto" w:sz="4" w:space="0"/>
                  </w:tcBorders>
                  <w:noWrap w:val="0"/>
                  <w:vAlign w:val="center"/>
                </w:tcPr>
                <w:p w14:paraId="554EB6E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环保</w:t>
                  </w:r>
                </w:p>
                <w:p w14:paraId="23E44B4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工程</w:t>
                  </w:r>
                </w:p>
              </w:tc>
              <w:tc>
                <w:tcPr>
                  <w:tcW w:w="291" w:type="pct"/>
                  <w:vMerge w:val="restart"/>
                  <w:noWrap w:val="0"/>
                  <w:vAlign w:val="center"/>
                </w:tcPr>
                <w:p w14:paraId="114C908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w:t>
                  </w:r>
                </w:p>
              </w:tc>
              <w:tc>
                <w:tcPr>
                  <w:tcW w:w="410" w:type="pct"/>
                  <w:noWrap w:val="0"/>
                  <w:vAlign w:val="center"/>
                </w:tcPr>
                <w:p w14:paraId="0C2479A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生活污水</w:t>
                  </w:r>
                </w:p>
              </w:tc>
              <w:tc>
                <w:tcPr>
                  <w:tcW w:w="1765" w:type="pct"/>
                  <w:noWrap w:val="0"/>
                  <w:vAlign w:val="center"/>
                </w:tcPr>
                <w:p w14:paraId="66139C4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生活污水经生化池处理达标后排入市政污水管网，生化池处理能力为</w:t>
                  </w:r>
                  <w:r>
                    <w:rPr>
                      <w:rFonts w:hint="eastAsia" w:cs="Times New Roman"/>
                      <w:color w:val="auto"/>
                      <w:szCs w:val="21"/>
                      <w:lang w:val="en-US" w:eastAsia="zh-CN"/>
                    </w:rPr>
                    <w:t>3</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/d，位于站区南侧</w:t>
                  </w:r>
                </w:p>
              </w:tc>
              <w:tc>
                <w:tcPr>
                  <w:tcW w:w="1619" w:type="pct"/>
                  <w:noWrap w:val="0"/>
                  <w:vAlign w:val="center"/>
                </w:tcPr>
                <w:p w14:paraId="745A0F79">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7A779265">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Cs w:val="21"/>
                      <w:lang w:val="en-US" w:eastAsia="zh-CN"/>
                    </w:rPr>
                    <w:t>/</w:t>
                  </w:r>
                </w:p>
              </w:tc>
            </w:tr>
            <w:tr w14:paraId="27326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59957F56">
                  <w:pPr>
                    <w:jc w:val="center"/>
                    <w:rPr>
                      <w:rFonts w:hint="default" w:ascii="Times New Roman" w:hAnsi="Times New Roman" w:eastAsia="宋体" w:cs="Times New Roman"/>
                      <w:color w:val="auto"/>
                      <w:szCs w:val="21"/>
                    </w:rPr>
                  </w:pPr>
                </w:p>
              </w:tc>
              <w:tc>
                <w:tcPr>
                  <w:tcW w:w="291" w:type="pct"/>
                  <w:vMerge w:val="continue"/>
                  <w:noWrap w:val="0"/>
                  <w:vAlign w:val="center"/>
                </w:tcPr>
                <w:p w14:paraId="18D8FE10">
                  <w:pPr>
                    <w:jc w:val="center"/>
                    <w:rPr>
                      <w:rFonts w:hint="default" w:ascii="Times New Roman" w:hAnsi="Times New Roman" w:eastAsia="宋体" w:cs="Times New Roman"/>
                      <w:color w:val="auto"/>
                      <w:szCs w:val="21"/>
                    </w:rPr>
                  </w:pPr>
                </w:p>
              </w:tc>
              <w:tc>
                <w:tcPr>
                  <w:tcW w:w="410" w:type="pct"/>
                  <w:noWrap w:val="0"/>
                  <w:vAlign w:val="center"/>
                </w:tcPr>
                <w:p w14:paraId="009E208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场地冲洗废水</w:t>
                  </w:r>
                </w:p>
              </w:tc>
              <w:tc>
                <w:tcPr>
                  <w:tcW w:w="1765" w:type="pct"/>
                  <w:noWrap w:val="0"/>
                  <w:vAlign w:val="center"/>
                </w:tcPr>
                <w:p w14:paraId="1C3743D8">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站内地面冲洗废水及含油雨水经</w:t>
                  </w:r>
                  <w:r>
                    <w:rPr>
                      <w:rFonts w:hint="eastAsia" w:cs="Times New Roman"/>
                      <w:bCs/>
                      <w:color w:val="auto"/>
                      <w:szCs w:val="21"/>
                      <w:lang w:val="en-US" w:eastAsia="zh-CN"/>
                    </w:rPr>
                    <w:t>截流沟</w:t>
                  </w:r>
                  <w:r>
                    <w:rPr>
                      <w:rFonts w:hint="default" w:ascii="Times New Roman" w:hAnsi="Times New Roman" w:eastAsia="宋体" w:cs="Times New Roman"/>
                      <w:bCs/>
                      <w:color w:val="auto"/>
                      <w:szCs w:val="21"/>
                    </w:rPr>
                    <w:t>引入</w:t>
                  </w:r>
                  <w:r>
                    <w:rPr>
                      <w:rFonts w:hint="default" w:ascii="Times New Roman" w:hAnsi="Times New Roman" w:eastAsia="宋体" w:cs="Times New Roman"/>
                      <w:bCs/>
                      <w:color w:val="auto"/>
                      <w:szCs w:val="21"/>
                    </w:rPr>
                    <w:t>1座三段式隔油池处理达标后排入市政污水管网，</w:t>
                  </w:r>
                  <w:r>
                    <w:rPr>
                      <w:rFonts w:hint="default" w:ascii="Times New Roman" w:hAnsi="Times New Roman" w:eastAsia="宋体" w:cs="Times New Roman"/>
                      <w:bCs/>
                      <w:color w:val="auto"/>
                      <w:szCs w:val="21"/>
                      <w:lang w:val="en-US" w:eastAsia="zh-CN"/>
                    </w:rPr>
                    <w:t>三段式</w:t>
                  </w:r>
                  <w:r>
                    <w:rPr>
                      <w:rFonts w:hint="default" w:ascii="Times New Roman" w:hAnsi="Times New Roman" w:eastAsia="宋体" w:cs="Times New Roman"/>
                      <w:bCs/>
                      <w:color w:val="auto"/>
                      <w:szCs w:val="21"/>
                    </w:rPr>
                    <w:t>隔油池处理能力为</w:t>
                  </w:r>
                  <w:r>
                    <w:rPr>
                      <w:rFonts w:hint="eastAsia" w:cs="Times New Roman"/>
                      <w:bCs/>
                      <w:color w:val="auto"/>
                      <w:szCs w:val="21"/>
                      <w:lang w:val="en-US" w:eastAsia="zh-CN"/>
                    </w:rPr>
                    <w:t>6</w:t>
                  </w:r>
                  <w:r>
                    <w:rPr>
                      <w:rFonts w:hint="default" w:ascii="Times New Roman" w:hAnsi="Times New Roman" w:eastAsia="宋体" w:cs="Times New Roman"/>
                      <w:bCs/>
                      <w:color w:val="auto"/>
                      <w:szCs w:val="21"/>
                    </w:rPr>
                    <w:t>m</w:t>
                  </w:r>
                  <w:r>
                    <w:rPr>
                      <w:rFonts w:hint="default" w:ascii="Times New Roman" w:hAnsi="Times New Roman" w:eastAsia="宋体" w:cs="Times New Roman"/>
                      <w:bCs/>
                      <w:color w:val="auto"/>
                      <w:szCs w:val="21"/>
                      <w:vertAlign w:val="superscript"/>
                    </w:rPr>
                    <w:t>3</w:t>
                  </w:r>
                  <w:r>
                    <w:rPr>
                      <w:rFonts w:hint="default" w:ascii="Times New Roman" w:hAnsi="Times New Roman" w:eastAsia="宋体" w:cs="Times New Roman"/>
                      <w:bCs/>
                      <w:color w:val="auto"/>
                      <w:szCs w:val="21"/>
                    </w:rPr>
                    <w:t>/d，</w:t>
                  </w:r>
                  <w:r>
                    <w:rPr>
                      <w:rFonts w:hint="default" w:ascii="Times New Roman" w:hAnsi="Times New Roman" w:eastAsia="宋体" w:cs="Times New Roman"/>
                      <w:bCs/>
                      <w:color w:val="auto"/>
                      <w:szCs w:val="21"/>
                    </w:rPr>
                    <w:t>位于站区</w:t>
                  </w:r>
                  <w:r>
                    <w:rPr>
                      <w:rFonts w:hint="eastAsia" w:cs="Times New Roman"/>
                      <w:bCs/>
                      <w:color w:val="auto"/>
                      <w:szCs w:val="21"/>
                      <w:lang w:val="en-US" w:eastAsia="zh-CN"/>
                    </w:rPr>
                    <w:t>东北</w:t>
                  </w:r>
                  <w:r>
                    <w:rPr>
                      <w:rFonts w:hint="default" w:ascii="Times New Roman" w:hAnsi="Times New Roman" w:eastAsia="宋体" w:cs="Times New Roman"/>
                      <w:bCs/>
                      <w:color w:val="auto"/>
                      <w:szCs w:val="21"/>
                    </w:rPr>
                    <w:t>侧</w:t>
                  </w:r>
                </w:p>
              </w:tc>
              <w:tc>
                <w:tcPr>
                  <w:tcW w:w="1619" w:type="pct"/>
                  <w:noWrap w:val="0"/>
                  <w:vAlign w:val="center"/>
                </w:tcPr>
                <w:p w14:paraId="6D47EB4A">
                  <w:pPr>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0B0D1250">
                  <w:pPr>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lang w:val="en-US" w:eastAsia="zh-CN"/>
                    </w:rPr>
                    <w:t>/</w:t>
                  </w:r>
                </w:p>
              </w:tc>
            </w:tr>
            <w:tr w14:paraId="4A089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28B52DB4">
                  <w:pPr>
                    <w:jc w:val="center"/>
                    <w:rPr>
                      <w:rFonts w:hint="default" w:ascii="Times New Roman" w:hAnsi="Times New Roman" w:eastAsia="宋体" w:cs="Times New Roman"/>
                      <w:color w:val="auto"/>
                    </w:rPr>
                  </w:pPr>
                </w:p>
              </w:tc>
              <w:tc>
                <w:tcPr>
                  <w:tcW w:w="291" w:type="pct"/>
                  <w:vMerge w:val="continue"/>
                  <w:noWrap w:val="0"/>
                  <w:vAlign w:val="center"/>
                </w:tcPr>
                <w:p w14:paraId="1406E5A2">
                  <w:pPr>
                    <w:jc w:val="center"/>
                    <w:rPr>
                      <w:rFonts w:hint="default" w:ascii="Times New Roman" w:hAnsi="Times New Roman" w:eastAsia="宋体" w:cs="Times New Roman"/>
                      <w:color w:val="auto"/>
                    </w:rPr>
                  </w:pPr>
                </w:p>
              </w:tc>
              <w:tc>
                <w:tcPr>
                  <w:tcW w:w="410" w:type="pct"/>
                  <w:noWrap w:val="0"/>
                  <w:vAlign w:val="center"/>
                </w:tcPr>
                <w:p w14:paraId="163F27D1">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洗车废水</w:t>
                  </w:r>
                </w:p>
              </w:tc>
              <w:tc>
                <w:tcPr>
                  <w:tcW w:w="1765" w:type="pct"/>
                  <w:noWrap w:val="0"/>
                  <w:vAlign w:val="center"/>
                </w:tcPr>
                <w:p w14:paraId="54F28F8C">
                  <w:pPr>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站内洗车废水经</w:t>
                  </w:r>
                  <w:r>
                    <w:rPr>
                      <w:rFonts w:hint="eastAsia" w:cs="Times New Roman"/>
                      <w:bCs/>
                      <w:color w:val="auto"/>
                      <w:szCs w:val="21"/>
                      <w:lang w:val="en-US" w:eastAsia="zh-CN"/>
                    </w:rPr>
                    <w:t>三段式隔油池</w:t>
                  </w:r>
                  <w:r>
                    <w:rPr>
                      <w:rFonts w:hint="default" w:ascii="Times New Roman" w:hAnsi="Times New Roman" w:eastAsia="宋体" w:cs="Times New Roman"/>
                      <w:bCs/>
                      <w:color w:val="auto"/>
                      <w:szCs w:val="21"/>
                      <w:lang w:val="en-US" w:eastAsia="zh-CN"/>
                    </w:rPr>
                    <w:t>处理达标后排入市政污水管网</w:t>
                  </w:r>
                </w:p>
              </w:tc>
              <w:tc>
                <w:tcPr>
                  <w:tcW w:w="1619" w:type="pct"/>
                  <w:noWrap w:val="0"/>
                  <w:vAlign w:val="center"/>
                </w:tcPr>
                <w:p w14:paraId="32097FC6">
                  <w:pPr>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rPr>
                    <w:t>依托现有工程</w:t>
                  </w:r>
                </w:p>
              </w:tc>
              <w:tc>
                <w:tcPr>
                  <w:tcW w:w="461" w:type="pct"/>
                  <w:noWrap w:val="0"/>
                  <w:vAlign w:val="center"/>
                </w:tcPr>
                <w:p w14:paraId="5E7A15F6">
                  <w:pPr>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color w:val="auto"/>
                      <w:szCs w:val="21"/>
                      <w:lang w:val="en-US" w:eastAsia="zh-CN"/>
                    </w:rPr>
                    <w:t>/</w:t>
                  </w:r>
                </w:p>
              </w:tc>
            </w:tr>
            <w:tr w14:paraId="6FA52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0D447552">
                  <w:pPr>
                    <w:jc w:val="center"/>
                    <w:rPr>
                      <w:rFonts w:hint="default" w:ascii="Times New Roman" w:hAnsi="Times New Roman" w:eastAsia="宋体" w:cs="Times New Roman"/>
                      <w:color w:val="auto"/>
                      <w:szCs w:val="21"/>
                    </w:rPr>
                  </w:pPr>
                </w:p>
              </w:tc>
              <w:tc>
                <w:tcPr>
                  <w:tcW w:w="291" w:type="pct"/>
                  <w:vMerge w:val="restart"/>
                  <w:noWrap w:val="0"/>
                  <w:vAlign w:val="center"/>
                </w:tcPr>
                <w:p w14:paraId="05AFCAFD">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w:t>
                  </w:r>
                </w:p>
              </w:tc>
              <w:tc>
                <w:tcPr>
                  <w:tcW w:w="410" w:type="pct"/>
                  <w:noWrap w:val="0"/>
                  <w:vAlign w:val="center"/>
                </w:tcPr>
                <w:p w14:paraId="4F600476">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油气回收系统</w:t>
                  </w:r>
                </w:p>
              </w:tc>
              <w:tc>
                <w:tcPr>
                  <w:tcW w:w="1765" w:type="pct"/>
                  <w:noWrap w:val="0"/>
                  <w:vAlign w:val="center"/>
                </w:tcPr>
                <w:p w14:paraId="7C26670E">
                  <w:pPr>
                    <w:snapToGrid w:val="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卸油区：汽油储油罐安装卸油油气回收系统（即一次油气回收系统），包括设置回气管线快速接头、油罐安装卸油防溢阀和浮球阀以及通气管顶部真空压力帽，卸油时，油罐内的油气由卸油油气回收管经快速接头排入油罐车；</w:t>
                  </w:r>
                </w:p>
                <w:p w14:paraId="41873E9A">
                  <w:pPr>
                    <w:snapToGrid w:val="0"/>
                    <w:jc w:val="left"/>
                    <w:rPr>
                      <w:rFonts w:hint="eastAsia" w:cs="Times New Roman"/>
                      <w:color w:val="auto"/>
                      <w:szCs w:val="21"/>
                      <w:lang w:eastAsia="zh-CN"/>
                    </w:rPr>
                  </w:pPr>
                  <w:r>
                    <w:rPr>
                      <w:rFonts w:hint="default" w:ascii="Times New Roman" w:hAnsi="Times New Roman" w:eastAsia="宋体" w:cs="Times New Roman"/>
                      <w:color w:val="auto"/>
                      <w:szCs w:val="21"/>
                    </w:rPr>
                    <w:t>加油区：采用具有油气回收功</w:t>
                  </w:r>
                  <w:r>
                    <w:rPr>
                      <w:rFonts w:hint="default" w:ascii="Times New Roman" w:hAnsi="Times New Roman" w:cs="Times New Roman"/>
                      <w:color w:val="auto"/>
                      <w:szCs w:val="21"/>
                      <w:lang w:eastAsia="zh-CN"/>
                    </w:rPr>
                    <w:t>能的</w:t>
                  </w:r>
                  <w:r>
                    <w:rPr>
                      <w:rFonts w:hint="default" w:ascii="Times New Roman" w:hAnsi="Times New Roman" w:eastAsia="宋体" w:cs="Times New Roman"/>
                      <w:color w:val="auto"/>
                      <w:szCs w:val="21"/>
                    </w:rPr>
                    <w:t>自封式税控加油机（即二次油气回收系统），加油时油气通过油气分离阀、油气过滤器后，通过加油机内油气回收泵将油气输回油罐</w:t>
                  </w:r>
                  <w:r>
                    <w:rPr>
                      <w:rFonts w:hint="eastAsia" w:cs="Times New Roman"/>
                      <w:color w:val="auto"/>
                      <w:szCs w:val="21"/>
                      <w:lang w:eastAsia="zh-CN"/>
                    </w:rPr>
                    <w:t>；</w:t>
                  </w:r>
                </w:p>
                <w:p w14:paraId="20309A0C">
                  <w:pPr>
                    <w:snapToGrid w:val="0"/>
                    <w:jc w:val="left"/>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油罐区：安装三次油气回收处理装置，通过冷凝方式将油气变为汽油回收至油罐内，未冷凝的油气通过膜过滤后排放。</w:t>
                  </w:r>
                </w:p>
                <w:p w14:paraId="6D1E4325">
                  <w:pPr>
                    <w:snapToGrid w:val="0"/>
                    <w:jc w:val="left"/>
                    <w:rPr>
                      <w:rFonts w:hint="eastAsia" w:cs="Times New Roman"/>
                      <w:color w:val="auto"/>
                      <w:szCs w:val="21"/>
                      <w:lang w:eastAsia="zh-CN"/>
                    </w:rPr>
                  </w:pPr>
                  <w:r>
                    <w:rPr>
                      <w:rFonts w:hint="default" w:ascii="Times New Roman" w:hAnsi="Times New Roman" w:eastAsia="宋体" w:cs="Times New Roman"/>
                      <w:color w:val="auto"/>
                      <w:kern w:val="2"/>
                      <w:sz w:val="21"/>
                      <w:szCs w:val="24"/>
                      <w:highlight w:val="none"/>
                      <w:lang w:val="en-US" w:eastAsia="zh-CN" w:bidi="ar-SA"/>
                    </w:rPr>
                    <w:t>安装了油气回收在线监测系统，并与当地生态环境主管部门联网</w:t>
                  </w:r>
                </w:p>
              </w:tc>
              <w:tc>
                <w:tcPr>
                  <w:tcW w:w="1619" w:type="pct"/>
                  <w:noWrap w:val="0"/>
                  <w:vAlign w:val="center"/>
                </w:tcPr>
                <w:p w14:paraId="239D1B82">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280730D0">
                  <w:pPr>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lang w:val="en-US" w:eastAsia="zh-CN"/>
                    </w:rPr>
                    <w:t>/</w:t>
                  </w:r>
                </w:p>
              </w:tc>
            </w:tr>
            <w:tr w14:paraId="3E695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1963D2EC">
                  <w:pPr>
                    <w:jc w:val="center"/>
                    <w:rPr>
                      <w:rFonts w:hint="default" w:ascii="Times New Roman" w:hAnsi="Times New Roman" w:eastAsia="宋体" w:cs="Times New Roman"/>
                      <w:color w:val="auto"/>
                      <w:szCs w:val="21"/>
                      <w:highlight w:val="yellow"/>
                    </w:rPr>
                  </w:pPr>
                </w:p>
              </w:tc>
              <w:tc>
                <w:tcPr>
                  <w:tcW w:w="291" w:type="pct"/>
                  <w:vMerge w:val="continue"/>
                  <w:noWrap w:val="0"/>
                  <w:vAlign w:val="center"/>
                </w:tcPr>
                <w:p w14:paraId="42600E48">
                  <w:pPr>
                    <w:snapToGrid w:val="0"/>
                    <w:jc w:val="center"/>
                    <w:rPr>
                      <w:rFonts w:hint="default" w:ascii="Times New Roman" w:hAnsi="Times New Roman" w:eastAsia="宋体" w:cs="Times New Roman"/>
                      <w:color w:val="auto"/>
                      <w:szCs w:val="21"/>
                      <w:highlight w:val="yellow"/>
                    </w:rPr>
                  </w:pPr>
                </w:p>
              </w:tc>
              <w:tc>
                <w:tcPr>
                  <w:tcW w:w="410" w:type="pct"/>
                  <w:noWrap w:val="0"/>
                  <w:vAlign w:val="center"/>
                </w:tcPr>
                <w:p w14:paraId="136CFE90">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通气放气管</w:t>
                  </w:r>
                </w:p>
              </w:tc>
              <w:tc>
                <w:tcPr>
                  <w:tcW w:w="1765" w:type="pct"/>
                  <w:noWrap w:val="0"/>
                  <w:vAlign w:val="center"/>
                </w:tcPr>
                <w:p w14:paraId="3933D5FE">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highlight w:val="none"/>
                    </w:rPr>
                    <w:t>油罐区共设置</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根DN50通气</w:t>
                  </w:r>
                  <w:r>
                    <w:rPr>
                      <w:rFonts w:hint="default" w:ascii="Times New Roman" w:hAnsi="Times New Roman" w:eastAsia="宋体" w:cs="Times New Roman"/>
                      <w:color w:val="auto"/>
                      <w:sz w:val="21"/>
                      <w:szCs w:val="21"/>
                      <w:highlight w:val="none"/>
                      <w:lang w:eastAsia="zh-CN"/>
                    </w:rPr>
                    <w:t>立管</w:t>
                  </w:r>
                  <w:r>
                    <w:rPr>
                      <w:rFonts w:hint="default" w:ascii="Times New Roman" w:hAnsi="Times New Roman" w:eastAsia="宋体" w:cs="Times New Roman"/>
                      <w:color w:val="auto"/>
                      <w:sz w:val="21"/>
                      <w:szCs w:val="21"/>
                      <w:highlight w:val="none"/>
                    </w:rPr>
                    <w:t>，位于油罐区</w:t>
                  </w:r>
                  <w:r>
                    <w:rPr>
                      <w:rFonts w:hint="default" w:ascii="Times New Roman" w:hAnsi="Times New Roman" w:eastAsia="宋体" w:cs="Times New Roman"/>
                      <w:color w:val="auto"/>
                      <w:sz w:val="21"/>
                      <w:szCs w:val="21"/>
                      <w:highlight w:val="none"/>
                      <w:lang w:val="en-US" w:eastAsia="zh-CN"/>
                    </w:rPr>
                    <w:t>中部</w:t>
                  </w:r>
                  <w:r>
                    <w:rPr>
                      <w:rFonts w:hint="default" w:ascii="Times New Roman" w:hAnsi="Times New Roman" w:eastAsia="宋体" w:cs="Times New Roman"/>
                      <w:color w:val="auto"/>
                      <w:sz w:val="21"/>
                      <w:szCs w:val="21"/>
                      <w:highlight w:val="none"/>
                    </w:rPr>
                    <w:t>，通气管口设有P/V呼吸阀和阻火器，其中92#</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95#</w:t>
                  </w:r>
                  <w:r>
                    <w:rPr>
                      <w:rFonts w:hint="default" w:ascii="Times New Roman" w:hAnsi="Times New Roman" w:eastAsia="宋体" w:cs="Times New Roman"/>
                      <w:color w:val="auto"/>
                      <w:sz w:val="21"/>
                      <w:szCs w:val="21"/>
                      <w:highlight w:val="none"/>
                      <w:lang w:val="en-US" w:eastAsia="zh-CN"/>
                    </w:rPr>
                    <w:t>和98#</w:t>
                  </w:r>
                  <w:r>
                    <w:rPr>
                      <w:rFonts w:hint="default" w:ascii="Times New Roman" w:hAnsi="Times New Roman" w:eastAsia="宋体" w:cs="Times New Roman"/>
                      <w:color w:val="auto"/>
                      <w:sz w:val="21"/>
                      <w:szCs w:val="21"/>
                      <w:highlight w:val="none"/>
                    </w:rPr>
                    <w:t>汽油罐</w:t>
                  </w:r>
                  <w:r>
                    <w:rPr>
                      <w:rFonts w:hint="default" w:ascii="Times New Roman" w:hAnsi="Times New Roman" w:cs="Times New Roman"/>
                      <w:color w:val="auto"/>
                      <w:sz w:val="21"/>
                      <w:szCs w:val="21"/>
                      <w:highlight w:val="none"/>
                      <w:lang w:eastAsia="zh-CN"/>
                    </w:rPr>
                    <w:t>共用</w:t>
                  </w:r>
                  <w:r>
                    <w:rPr>
                      <w:rFonts w:hint="default" w:ascii="Times New Roman" w:hAnsi="Times New Roman" w:eastAsia="宋体" w:cs="Times New Roman"/>
                      <w:color w:val="auto"/>
                      <w:sz w:val="21"/>
                      <w:szCs w:val="21"/>
                      <w:highlight w:val="none"/>
                    </w:rPr>
                    <w:t>1根，柴油罐1根，紧急放空阀1根，</w:t>
                  </w:r>
                  <w:r>
                    <w:rPr>
                      <w:rFonts w:hint="default" w:ascii="Times New Roman" w:hAnsi="Times New Roman" w:eastAsia="宋体" w:cs="Times New Roman"/>
                      <w:color w:val="auto"/>
                      <w:sz w:val="21"/>
                      <w:szCs w:val="21"/>
                      <w:highlight w:val="none"/>
                      <w:lang w:val="en-US" w:eastAsia="zh-CN"/>
                    </w:rPr>
                    <w:t>三次油气回收处理装置1根，</w:t>
                  </w:r>
                  <w:r>
                    <w:rPr>
                      <w:rFonts w:hint="default" w:ascii="Times New Roman" w:hAnsi="Times New Roman" w:eastAsia="宋体" w:cs="Times New Roman"/>
                      <w:color w:val="auto"/>
                      <w:sz w:val="21"/>
                      <w:szCs w:val="21"/>
                      <w:highlight w:val="none"/>
                    </w:rPr>
                    <w:t>高度≥4m</w:t>
                  </w:r>
                </w:p>
              </w:tc>
              <w:tc>
                <w:tcPr>
                  <w:tcW w:w="1619" w:type="pct"/>
                  <w:noWrap w:val="0"/>
                  <w:vAlign w:val="center"/>
                </w:tcPr>
                <w:p w14:paraId="1AB688EA">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72245538">
                  <w:pPr>
                    <w:jc w:val="center"/>
                    <w:rPr>
                      <w:rFonts w:hint="default" w:ascii="Times New Roman" w:hAnsi="Times New Roman" w:eastAsia="宋体" w:cs="Times New Roman"/>
                      <w:color w:val="auto"/>
                      <w:lang w:val="en-US"/>
                    </w:rPr>
                  </w:pPr>
                  <w:r>
                    <w:rPr>
                      <w:rFonts w:hint="default" w:ascii="Times New Roman" w:hAnsi="Times New Roman" w:eastAsia="宋体" w:cs="Times New Roman"/>
                      <w:color w:val="auto"/>
                      <w:szCs w:val="21"/>
                      <w:lang w:val="en-US" w:eastAsia="zh-CN"/>
                    </w:rPr>
                    <w:t>/</w:t>
                  </w:r>
                </w:p>
              </w:tc>
            </w:tr>
            <w:tr w14:paraId="28687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266669ED">
                  <w:pPr>
                    <w:jc w:val="center"/>
                    <w:rPr>
                      <w:rFonts w:hint="default" w:ascii="Times New Roman" w:hAnsi="Times New Roman" w:eastAsia="宋体" w:cs="Times New Roman"/>
                      <w:color w:val="auto"/>
                      <w:szCs w:val="21"/>
                      <w:highlight w:val="yellow"/>
                    </w:rPr>
                  </w:pPr>
                </w:p>
              </w:tc>
              <w:tc>
                <w:tcPr>
                  <w:tcW w:w="291" w:type="pct"/>
                  <w:vMerge w:val="continue"/>
                  <w:noWrap w:val="0"/>
                  <w:vAlign w:val="center"/>
                </w:tcPr>
                <w:p w14:paraId="15DFE304">
                  <w:pPr>
                    <w:snapToGrid w:val="0"/>
                    <w:jc w:val="center"/>
                    <w:rPr>
                      <w:rFonts w:hint="default" w:ascii="Times New Roman" w:hAnsi="Times New Roman" w:eastAsia="宋体" w:cs="Times New Roman"/>
                      <w:color w:val="auto"/>
                      <w:szCs w:val="21"/>
                      <w:highlight w:val="yellow"/>
                    </w:rPr>
                  </w:pPr>
                </w:p>
              </w:tc>
              <w:tc>
                <w:tcPr>
                  <w:tcW w:w="410" w:type="pct"/>
                  <w:noWrap w:val="0"/>
                  <w:vAlign w:val="center"/>
                </w:tcPr>
                <w:p w14:paraId="2BF6E1F2">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生化池臭气</w:t>
                  </w:r>
                </w:p>
              </w:tc>
              <w:tc>
                <w:tcPr>
                  <w:tcW w:w="1765" w:type="pct"/>
                  <w:noWrap w:val="0"/>
                  <w:vAlign w:val="center"/>
                </w:tcPr>
                <w:p w14:paraId="1407066E">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生化池加盖密闭，臭气通过管道引至地面绿化带吸收排放</w:t>
                  </w:r>
                </w:p>
              </w:tc>
              <w:tc>
                <w:tcPr>
                  <w:tcW w:w="1619" w:type="pct"/>
                  <w:noWrap w:val="0"/>
                  <w:vAlign w:val="center"/>
                </w:tcPr>
                <w:p w14:paraId="4C641423">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376F042C">
                  <w:pPr>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lang w:val="en-US" w:eastAsia="zh-CN"/>
                    </w:rPr>
                    <w:t>/</w:t>
                  </w:r>
                </w:p>
              </w:tc>
            </w:tr>
            <w:tr w14:paraId="7DFA5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5CE0FB6C">
                  <w:pPr>
                    <w:jc w:val="center"/>
                    <w:rPr>
                      <w:rFonts w:hint="default" w:ascii="Times New Roman" w:hAnsi="Times New Roman" w:eastAsia="宋体" w:cs="Times New Roman"/>
                      <w:color w:val="auto"/>
                      <w:szCs w:val="21"/>
                      <w:highlight w:val="yellow"/>
                    </w:rPr>
                  </w:pPr>
                </w:p>
              </w:tc>
              <w:tc>
                <w:tcPr>
                  <w:tcW w:w="291" w:type="pct"/>
                  <w:vMerge w:val="continue"/>
                  <w:noWrap w:val="0"/>
                  <w:vAlign w:val="center"/>
                </w:tcPr>
                <w:p w14:paraId="63887FDD">
                  <w:pPr>
                    <w:snapToGrid w:val="0"/>
                    <w:jc w:val="center"/>
                    <w:rPr>
                      <w:rFonts w:hint="default" w:ascii="Times New Roman" w:hAnsi="Times New Roman" w:eastAsia="宋体" w:cs="Times New Roman"/>
                      <w:color w:val="auto"/>
                      <w:szCs w:val="21"/>
                      <w:highlight w:val="yellow"/>
                    </w:rPr>
                  </w:pPr>
                </w:p>
              </w:tc>
              <w:tc>
                <w:tcPr>
                  <w:tcW w:w="410" w:type="pct"/>
                  <w:noWrap w:val="0"/>
                  <w:vAlign w:val="center"/>
                </w:tcPr>
                <w:p w14:paraId="5D49950B">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柴油发电机废气</w:t>
                  </w:r>
                </w:p>
              </w:tc>
              <w:tc>
                <w:tcPr>
                  <w:tcW w:w="1765" w:type="pct"/>
                  <w:noWrap w:val="0"/>
                  <w:vAlign w:val="center"/>
                </w:tcPr>
                <w:p w14:paraId="6B523A94">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柴油发电机废气经专用燃烧尾气管引至站房外排放</w:t>
                  </w:r>
                </w:p>
              </w:tc>
              <w:tc>
                <w:tcPr>
                  <w:tcW w:w="1619" w:type="pct"/>
                  <w:noWrap w:val="0"/>
                  <w:vAlign w:val="center"/>
                </w:tcPr>
                <w:p w14:paraId="1D7B5EFD">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07F5A12E">
                  <w:pPr>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lang w:val="en-US" w:eastAsia="zh-CN"/>
                    </w:rPr>
                    <w:t>/</w:t>
                  </w:r>
                </w:p>
              </w:tc>
            </w:tr>
            <w:tr w14:paraId="7C377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37296B65">
                  <w:pPr>
                    <w:jc w:val="center"/>
                    <w:rPr>
                      <w:rFonts w:hint="default" w:ascii="Times New Roman" w:hAnsi="Times New Roman" w:eastAsia="宋体" w:cs="Times New Roman"/>
                      <w:color w:val="auto"/>
                      <w:szCs w:val="21"/>
                      <w:highlight w:val="yellow"/>
                    </w:rPr>
                  </w:pPr>
                </w:p>
              </w:tc>
              <w:tc>
                <w:tcPr>
                  <w:tcW w:w="291" w:type="pct"/>
                  <w:vMerge w:val="restart"/>
                  <w:noWrap w:val="0"/>
                  <w:vAlign w:val="center"/>
                </w:tcPr>
                <w:p w14:paraId="22033671">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w:t>
                  </w:r>
                </w:p>
              </w:tc>
              <w:tc>
                <w:tcPr>
                  <w:tcW w:w="410" w:type="pct"/>
                  <w:noWrap w:val="0"/>
                  <w:vAlign w:val="center"/>
                </w:tcPr>
                <w:p w14:paraId="5759255D">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生活垃圾</w:t>
                  </w:r>
                </w:p>
              </w:tc>
              <w:tc>
                <w:tcPr>
                  <w:tcW w:w="1765" w:type="pct"/>
                  <w:noWrap w:val="0"/>
                  <w:vAlign w:val="center"/>
                </w:tcPr>
                <w:p w14:paraId="48E8E15B">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设置生活垃圾收集桶，收集后定期交由环卫部门统一清运处置</w:t>
                  </w:r>
                </w:p>
              </w:tc>
              <w:tc>
                <w:tcPr>
                  <w:tcW w:w="1619" w:type="pct"/>
                  <w:noWrap w:val="0"/>
                  <w:vAlign w:val="center"/>
                </w:tcPr>
                <w:p w14:paraId="5250DFE0">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06381AA5">
                  <w:pPr>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lang w:val="en-US" w:eastAsia="zh-CN"/>
                    </w:rPr>
                    <w:t>/</w:t>
                  </w:r>
                </w:p>
              </w:tc>
            </w:tr>
            <w:tr w14:paraId="4862F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4BC20C13">
                  <w:pPr>
                    <w:jc w:val="center"/>
                    <w:rPr>
                      <w:rFonts w:hint="default" w:ascii="Times New Roman" w:hAnsi="Times New Roman" w:eastAsia="宋体" w:cs="Times New Roman"/>
                      <w:color w:val="auto"/>
                      <w:szCs w:val="21"/>
                      <w:highlight w:val="yellow"/>
                    </w:rPr>
                  </w:pPr>
                </w:p>
              </w:tc>
              <w:tc>
                <w:tcPr>
                  <w:tcW w:w="291" w:type="pct"/>
                  <w:vMerge w:val="continue"/>
                  <w:noWrap w:val="0"/>
                  <w:vAlign w:val="center"/>
                </w:tcPr>
                <w:p w14:paraId="666DB308">
                  <w:pPr>
                    <w:snapToGrid w:val="0"/>
                    <w:jc w:val="center"/>
                    <w:rPr>
                      <w:rFonts w:hint="default" w:ascii="Times New Roman" w:hAnsi="Times New Roman" w:eastAsia="宋体" w:cs="Times New Roman"/>
                      <w:color w:val="auto"/>
                      <w:szCs w:val="21"/>
                    </w:rPr>
                  </w:pPr>
                </w:p>
              </w:tc>
              <w:tc>
                <w:tcPr>
                  <w:tcW w:w="410" w:type="pct"/>
                  <w:noWrap w:val="0"/>
                  <w:vAlign w:val="center"/>
                </w:tcPr>
                <w:p w14:paraId="5A5908C2">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危废暂存</w:t>
                  </w:r>
                </w:p>
              </w:tc>
              <w:tc>
                <w:tcPr>
                  <w:tcW w:w="1765" w:type="pct"/>
                  <w:noWrap w:val="0"/>
                  <w:vAlign w:val="center"/>
                </w:tcPr>
                <w:p w14:paraId="558386A1">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在站区南侧设置1个危废暂存箱，内设2个环保桶，并设置危险废物标识牌，用于临时暂存清罐废物、隔油池浮渣等危险废物。危险废物定期交由有相应资质单位进行处置</w:t>
                  </w:r>
                </w:p>
              </w:tc>
              <w:tc>
                <w:tcPr>
                  <w:tcW w:w="1619" w:type="pct"/>
                  <w:noWrap w:val="0"/>
                  <w:vAlign w:val="center"/>
                </w:tcPr>
                <w:p w14:paraId="4915C017">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4E085DE0">
                  <w:pPr>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lang w:val="en-US" w:eastAsia="zh-CN"/>
                    </w:rPr>
                    <w:t>/</w:t>
                  </w:r>
                </w:p>
              </w:tc>
            </w:tr>
            <w:tr w14:paraId="2D195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3D9EF9A1">
                  <w:pPr>
                    <w:jc w:val="center"/>
                    <w:rPr>
                      <w:rFonts w:hint="default" w:ascii="Times New Roman" w:hAnsi="Times New Roman" w:eastAsia="宋体" w:cs="Times New Roman"/>
                      <w:color w:val="auto"/>
                      <w:szCs w:val="21"/>
                      <w:highlight w:val="yellow"/>
                    </w:rPr>
                  </w:pPr>
                </w:p>
              </w:tc>
              <w:tc>
                <w:tcPr>
                  <w:tcW w:w="702" w:type="pct"/>
                  <w:gridSpan w:val="2"/>
                  <w:noWrap w:val="0"/>
                  <w:vAlign w:val="center"/>
                </w:tcPr>
                <w:p w14:paraId="0E8CA86D">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噪声</w:t>
                  </w:r>
                </w:p>
              </w:tc>
              <w:tc>
                <w:tcPr>
                  <w:tcW w:w="1765" w:type="pct"/>
                  <w:noWrap w:val="0"/>
                  <w:vAlign w:val="center"/>
                </w:tcPr>
                <w:p w14:paraId="58423F7E">
                  <w:pPr>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各类泵采取隔声、减振措施；加强设备维护与管理；进出口设置减速及严禁鸣笛等标志</w:t>
                  </w:r>
                </w:p>
              </w:tc>
              <w:tc>
                <w:tcPr>
                  <w:tcW w:w="1619" w:type="pct"/>
                  <w:noWrap w:val="0"/>
                  <w:vAlign w:val="center"/>
                </w:tcPr>
                <w:p w14:paraId="60D70937">
                  <w:pPr>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依托现有工程</w:t>
                  </w:r>
                </w:p>
              </w:tc>
              <w:tc>
                <w:tcPr>
                  <w:tcW w:w="461" w:type="pct"/>
                  <w:noWrap w:val="0"/>
                  <w:vAlign w:val="center"/>
                </w:tcPr>
                <w:p w14:paraId="42FAAA31">
                  <w:pPr>
                    <w:jc w:val="center"/>
                    <w:rPr>
                      <w:rFonts w:hint="default" w:ascii="Times New Roman" w:hAnsi="Times New Roman" w:eastAsia="宋体" w:cs="Times New Roman"/>
                      <w:bCs/>
                      <w:color w:val="auto"/>
                      <w:szCs w:val="21"/>
                    </w:rPr>
                  </w:pPr>
                  <w:r>
                    <w:rPr>
                      <w:rFonts w:hint="default" w:ascii="Times New Roman" w:hAnsi="Times New Roman" w:eastAsia="宋体" w:cs="Times New Roman"/>
                      <w:color w:val="auto"/>
                      <w:szCs w:val="21"/>
                      <w:lang w:val="en-US" w:eastAsia="zh-CN"/>
                    </w:rPr>
                    <w:t>/</w:t>
                  </w:r>
                </w:p>
              </w:tc>
            </w:tr>
            <w:tr w14:paraId="29BC4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1" w:type="pct"/>
                  <w:vMerge w:val="continue"/>
                  <w:noWrap w:val="0"/>
                  <w:vAlign w:val="center"/>
                </w:tcPr>
                <w:p w14:paraId="2A242EDC">
                  <w:pPr>
                    <w:jc w:val="center"/>
                    <w:rPr>
                      <w:rFonts w:hint="default" w:ascii="Times New Roman" w:hAnsi="Times New Roman" w:eastAsia="宋体" w:cs="Times New Roman"/>
                      <w:color w:val="auto"/>
                      <w:szCs w:val="21"/>
                      <w:highlight w:val="yellow"/>
                    </w:rPr>
                  </w:pPr>
                </w:p>
              </w:tc>
              <w:tc>
                <w:tcPr>
                  <w:tcW w:w="702" w:type="pct"/>
                  <w:gridSpan w:val="2"/>
                  <w:noWrap w:val="0"/>
                  <w:vAlign w:val="center"/>
                </w:tcPr>
                <w:p w14:paraId="4525BFE3">
                  <w:pPr>
                    <w:snapToGrid w:val="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 w:val="21"/>
                      <w:szCs w:val="21"/>
                      <w:highlight w:val="none"/>
                      <w:lang w:eastAsia="zh-CN"/>
                    </w:rPr>
                    <w:t>地下水</w:t>
                  </w:r>
                  <w:r>
                    <w:rPr>
                      <w:rFonts w:hint="eastAsia" w:cs="Times New Roman"/>
                      <w:color w:val="auto"/>
                      <w:sz w:val="21"/>
                      <w:szCs w:val="21"/>
                      <w:highlight w:val="none"/>
                      <w:lang w:val="en-US" w:eastAsia="zh-CN"/>
                    </w:rPr>
                    <w:t>及土壤</w:t>
                  </w:r>
                  <w:r>
                    <w:rPr>
                      <w:rFonts w:hint="eastAsia" w:ascii="Times New Roman" w:hAnsi="Times New Roman" w:eastAsia="宋体" w:cs="Times New Roman"/>
                      <w:color w:val="auto"/>
                      <w:sz w:val="21"/>
                      <w:szCs w:val="21"/>
                      <w:highlight w:val="none"/>
                      <w:lang w:eastAsia="zh-CN"/>
                    </w:rPr>
                    <w:t>污染防治措施</w:t>
                  </w:r>
                </w:p>
              </w:tc>
              <w:tc>
                <w:tcPr>
                  <w:tcW w:w="1765" w:type="pct"/>
                  <w:noWrap w:val="0"/>
                  <w:vAlign w:val="center"/>
                </w:tcPr>
                <w:p w14:paraId="4C1C7074">
                  <w:pPr>
                    <w:adjustRightInd w:val="0"/>
                    <w:snapToGrid w:val="0"/>
                    <w:spacing w:line="280" w:lineRule="exact"/>
                    <w:jc w:val="left"/>
                    <w:rPr>
                      <w:rFonts w:hint="default" w:ascii="Times New Roman" w:hAnsi="Times New Roman" w:eastAsia="宋体" w:cs="Times New Roman"/>
                      <w:color w:val="auto"/>
                      <w:szCs w:val="21"/>
                    </w:rPr>
                  </w:pPr>
                  <w:r>
                    <w:rPr>
                      <w:rFonts w:hint="eastAsia" w:ascii="Times New Roman" w:hAnsi="Times New Roman" w:eastAsia="宋体" w:cs="Times New Roman"/>
                      <w:bCs/>
                      <w:color w:val="auto"/>
                      <w:kern w:val="2"/>
                      <w:sz w:val="21"/>
                      <w:szCs w:val="21"/>
                      <w:highlight w:val="none"/>
                      <w:lang w:val="en-US" w:eastAsia="zh-CN" w:bidi="ar-SA"/>
                    </w:rPr>
                    <w:t>站区内各建（构）筑物进行了分区防渗；采用单层钢罐，油罐设有液位自动检测系统，具有油罐渗漏的监测功能和高液位报警功能；</w:t>
                  </w:r>
                  <w:r>
                    <w:rPr>
                      <w:rFonts w:hint="eastAsia"/>
                      <w:color w:val="auto"/>
                      <w:sz w:val="21"/>
                      <w:szCs w:val="21"/>
                      <w:highlight w:val="none"/>
                      <w:lang w:eastAsia="zh-CN"/>
                    </w:rPr>
                    <w:t>埋地输油管线采用</w:t>
                  </w:r>
                  <w:r>
                    <w:rPr>
                      <w:rFonts w:hint="eastAsia"/>
                      <w:color w:val="auto"/>
                      <w:sz w:val="21"/>
                      <w:szCs w:val="21"/>
                      <w:highlight w:val="none"/>
                      <w:lang w:val="en-US" w:eastAsia="zh-CN"/>
                    </w:rPr>
                    <w:t>双层复合管道，并设置泄漏检测井。</w:t>
                  </w:r>
                </w:p>
              </w:tc>
              <w:tc>
                <w:tcPr>
                  <w:tcW w:w="1619" w:type="pct"/>
                  <w:noWrap w:val="0"/>
                  <w:vAlign w:val="center"/>
                </w:tcPr>
                <w:p w14:paraId="63DEAD4C">
                  <w:pPr>
                    <w:adjustRightInd w:val="0"/>
                    <w:snapToGrid w:val="0"/>
                    <w:spacing w:line="280" w:lineRule="exact"/>
                    <w:jc w:val="left"/>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依托现有埋地输油管线和分区防渗措施；埋地罐区采用单层钢罐+防渗池的形式，对防渗池进行重点防渗处理，防渗池内设置观测井，油罐设有液位自动检测系统，具有油罐渗漏的监测功能和高液位报警功能。</w:t>
                  </w:r>
                </w:p>
                <w:p w14:paraId="130D23DA">
                  <w:pPr>
                    <w:adjustRightInd w:val="0"/>
                    <w:snapToGrid w:val="0"/>
                    <w:spacing w:line="280" w:lineRule="exact"/>
                    <w:jc w:val="left"/>
                    <w:rPr>
                      <w:rFonts w:hint="default" w:ascii="Times New Roman" w:hAnsi="Times New Roman" w:eastAsia="宋体" w:cs="Times New Roman"/>
                      <w:bCs/>
                      <w:color w:val="auto"/>
                      <w:szCs w:val="21"/>
                    </w:rPr>
                  </w:pPr>
                  <w:r>
                    <w:rPr>
                      <w:rFonts w:hint="eastAsia" w:ascii="Times New Roman" w:hAnsi="Times New Roman" w:eastAsia="宋体" w:cs="Times New Roman"/>
                      <w:bCs/>
                      <w:color w:val="auto"/>
                      <w:kern w:val="2"/>
                      <w:sz w:val="21"/>
                      <w:szCs w:val="21"/>
                      <w:highlight w:val="none"/>
                      <w:lang w:val="en-US" w:eastAsia="zh-CN" w:bidi="ar-SA"/>
                    </w:rPr>
                    <w:t>在罐区下游站区内设置一口地下水跟踪监测井。</w:t>
                  </w:r>
                </w:p>
              </w:tc>
              <w:tc>
                <w:tcPr>
                  <w:tcW w:w="461" w:type="pct"/>
                  <w:noWrap w:val="0"/>
                  <w:vAlign w:val="center"/>
                </w:tcPr>
                <w:p w14:paraId="313DCA06">
                  <w:pPr>
                    <w:jc w:val="center"/>
                    <w:rPr>
                      <w:rFonts w:hint="default" w:ascii="Times New Roman" w:hAnsi="Times New Roman" w:eastAsia="宋体" w:cs="Times New Roman"/>
                      <w:color w:val="auto"/>
                      <w:szCs w:val="21"/>
                      <w:lang w:val="en-US" w:eastAsia="zh-CN"/>
                    </w:rPr>
                  </w:pPr>
                  <w:r>
                    <w:rPr>
                      <w:rFonts w:hint="eastAsia" w:eastAsia="宋体"/>
                      <w:bCs/>
                      <w:color w:val="auto"/>
                      <w:sz w:val="21"/>
                      <w:szCs w:val="21"/>
                      <w:highlight w:val="none"/>
                      <w:lang w:val="en-US" w:eastAsia="zh-CN"/>
                    </w:rPr>
                    <w:t>对本次改造罐区进行防渗</w:t>
                  </w:r>
                </w:p>
              </w:tc>
            </w:tr>
            <w:tr w14:paraId="0EFCA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53" w:type="pct"/>
                  <w:gridSpan w:val="3"/>
                  <w:noWrap w:val="0"/>
                  <w:vAlign w:val="center"/>
                </w:tcPr>
                <w:p w14:paraId="393A238B">
                  <w:pPr>
                    <w:snapToGrid w:val="0"/>
                    <w:jc w:val="center"/>
                    <w:rPr>
                      <w:rFonts w:hint="eastAsia"/>
                      <w:color w:val="auto"/>
                      <w:sz w:val="21"/>
                      <w:szCs w:val="21"/>
                      <w:highlight w:val="none"/>
                      <w:lang w:eastAsia="zh-CN"/>
                    </w:rPr>
                  </w:pPr>
                  <w:r>
                    <w:rPr>
                      <w:rFonts w:hint="eastAsia"/>
                      <w:color w:val="auto"/>
                      <w:sz w:val="21"/>
                      <w:szCs w:val="21"/>
                      <w:highlight w:val="none"/>
                      <w:lang w:eastAsia="zh-CN"/>
                    </w:rPr>
                    <w:t>环境风险</w:t>
                  </w:r>
                </w:p>
              </w:tc>
              <w:tc>
                <w:tcPr>
                  <w:tcW w:w="1765" w:type="pct"/>
                  <w:noWrap w:val="0"/>
                  <w:vAlign w:val="center"/>
                </w:tcPr>
                <w:p w14:paraId="4C083943">
                  <w:pPr>
                    <w:pStyle w:val="6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油罐设置在防渗罐池内，设置通气立管，通气管高出地面大于4m，并安装阻火器。油罐人孔操作井、卸油口井均密封处理。油罐采用卸油防满溢措施。卸油接口装设快速接头及密封盖。</w:t>
                  </w:r>
                </w:p>
                <w:p w14:paraId="28A509D3">
                  <w:pPr>
                    <w:pStyle w:val="65"/>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储油罐设带有高液位报警功能的液位计，卸油时有专人监督和监控设施。</w:t>
                  </w:r>
                </w:p>
                <w:p w14:paraId="4E0BA470">
                  <w:pPr>
                    <w:pStyle w:val="6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卸油区和加油站设置环保沟，初期雨水通过环保沟收集进入三段式隔油池处理；事故状态下，消防水及场地清洗废水经环保沟收集进入三段式隔油池处理。</w:t>
                  </w:r>
                </w:p>
                <w:p w14:paraId="631F4034">
                  <w:pPr>
                    <w:snapToGrid w:val="0"/>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加油机底槽采用成品集油盆并填</w:t>
                  </w:r>
                  <w:r>
                    <w:rPr>
                      <w:rFonts w:hint="eastAsia" w:cs="Times New Roman"/>
                      <w:b w:val="0"/>
                      <w:bCs/>
                      <w:color w:val="auto"/>
                      <w:kern w:val="2"/>
                      <w:sz w:val="21"/>
                      <w:szCs w:val="21"/>
                      <w:highlight w:val="none"/>
                      <w:lang w:val="en-US" w:eastAsia="zh-CN" w:bidi="ar-SA"/>
                    </w:rPr>
                    <w:t>砂</w:t>
                  </w:r>
                  <w:r>
                    <w:rPr>
                      <w:rFonts w:hint="eastAsia" w:ascii="Times New Roman" w:hAnsi="Times New Roman" w:eastAsia="宋体" w:cs="Times New Roman"/>
                      <w:b w:val="0"/>
                      <w:bCs/>
                      <w:color w:val="auto"/>
                      <w:kern w:val="2"/>
                      <w:sz w:val="21"/>
                      <w:szCs w:val="21"/>
                      <w:highlight w:val="none"/>
                      <w:lang w:val="en-US" w:eastAsia="zh-CN" w:bidi="ar-SA"/>
                    </w:rPr>
                    <w:t>，定期对油品储存、输送、零售环节的设备、阀门、法兰盘、管道等进行检修、维护和保养。</w:t>
                  </w:r>
                </w:p>
              </w:tc>
              <w:tc>
                <w:tcPr>
                  <w:tcW w:w="1619" w:type="pct"/>
                  <w:noWrap w:val="0"/>
                  <w:vAlign w:val="center"/>
                </w:tcPr>
                <w:p w14:paraId="644AFD74">
                  <w:pPr>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对防渗池进行改造，并重新重点防渗，其他依托现有工程</w:t>
                  </w:r>
                </w:p>
              </w:tc>
              <w:tc>
                <w:tcPr>
                  <w:tcW w:w="461" w:type="pct"/>
                  <w:noWrap w:val="0"/>
                  <w:vAlign w:val="center"/>
                </w:tcPr>
                <w:p w14:paraId="7C54C1AD">
                  <w:pPr>
                    <w:jc w:val="center"/>
                    <w:rPr>
                      <w:rFonts w:hint="eastAsia" w:eastAsia="宋体"/>
                      <w:bCs/>
                      <w:color w:val="auto"/>
                      <w:sz w:val="21"/>
                      <w:szCs w:val="21"/>
                      <w:highlight w:val="none"/>
                      <w:lang w:val="en-US" w:eastAsia="zh-CN"/>
                    </w:rPr>
                  </w:pPr>
                  <w:r>
                    <w:rPr>
                      <w:rFonts w:hint="eastAsia" w:eastAsia="宋体"/>
                      <w:bCs/>
                      <w:color w:val="auto"/>
                      <w:sz w:val="21"/>
                      <w:szCs w:val="21"/>
                      <w:highlight w:val="none"/>
                      <w:lang w:val="en-US" w:eastAsia="zh-CN"/>
                    </w:rPr>
                    <w:t>/</w:t>
                  </w:r>
                </w:p>
              </w:tc>
            </w:tr>
          </w:tbl>
          <w:p w14:paraId="32A5585E">
            <w:pPr>
              <w:adjustRightInd w:val="0"/>
              <w:snapToGrid w:val="0"/>
              <w:spacing w:line="360" w:lineRule="auto"/>
              <w:rPr>
                <w:rFonts w:hint="default" w:ascii="Times New Roman" w:hAnsi="Times New Roman" w:eastAsia="宋体" w:cs="Times New Roman"/>
                <w:bCs/>
                <w:color w:val="auto"/>
                <w:sz w:val="24"/>
              </w:rPr>
            </w:pPr>
          </w:p>
          <w:p w14:paraId="09F867E2">
            <w:pPr>
              <w:adjustRightInd w:val="0"/>
              <w:snapToGrid w:val="0"/>
              <w:spacing w:line="360" w:lineRule="auto"/>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2.2.4主要生产设备</w:t>
            </w:r>
          </w:p>
          <w:p w14:paraId="58676072">
            <w:pPr>
              <w:pStyle w:val="62"/>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对照《产业结构调整指导目录（20</w:t>
            </w:r>
            <w:r>
              <w:rPr>
                <w:rFonts w:hint="default" w:ascii="Times New Roman" w:hAnsi="Times New Roman" w:cs="Times New Roman"/>
                <w:color w:val="auto"/>
                <w:sz w:val="24"/>
                <w:lang w:val="en-US" w:eastAsia="zh-CN"/>
              </w:rPr>
              <w:t>24</w:t>
            </w:r>
            <w:r>
              <w:rPr>
                <w:rFonts w:hint="default" w:ascii="Times New Roman" w:hAnsi="Times New Roman" w:eastAsia="宋体" w:cs="Times New Roman"/>
                <w:color w:val="auto"/>
                <w:sz w:val="24"/>
              </w:rPr>
              <w:t>年本）》、工信部《高耗能落后机电设备（产品）淘汰目录》及工信部工产业</w:t>
            </w:r>
            <w:r>
              <w:rPr>
                <w:rFonts w:hint="default" w:ascii="Times New Roman" w:hAnsi="Times New Roman" w:cs="Times New Roman"/>
                <w:color w:val="auto"/>
                <w:sz w:val="24"/>
                <w:lang w:eastAsia="zh-CN"/>
              </w:rPr>
              <w:t>〔2010〕122号</w:t>
            </w:r>
            <w:r>
              <w:rPr>
                <w:rFonts w:hint="default" w:ascii="Times New Roman" w:hAnsi="Times New Roman" w:eastAsia="宋体" w:cs="Times New Roman"/>
                <w:color w:val="auto"/>
                <w:sz w:val="24"/>
              </w:rPr>
              <w:t>《部分工业行业淘汰落后生产工艺装备和产品指导目录（2010年本）》，本项目所用设备不属于淘汰落后设备。</w:t>
            </w:r>
          </w:p>
          <w:p w14:paraId="48B43B09">
            <w:pPr>
              <w:pStyle w:val="62"/>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本项目主要生产设备、生产设施见表2.2-5。</w:t>
            </w:r>
          </w:p>
          <w:p w14:paraId="3F699CBF">
            <w:pPr>
              <w:pStyle w:val="26"/>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表2.2-5    本项目主要设备一览表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1970"/>
              <w:gridCol w:w="497"/>
              <w:gridCol w:w="1614"/>
              <w:gridCol w:w="1943"/>
              <w:gridCol w:w="2276"/>
            </w:tblGrid>
            <w:tr w14:paraId="7D95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vMerge w:val="restart"/>
                  <w:noWrap w:val="0"/>
                  <w:vAlign w:val="center"/>
                </w:tcPr>
                <w:p w14:paraId="1F5505A2">
                  <w:pPr>
                    <w:pStyle w:val="4"/>
                    <w:snapToGrid w:val="0"/>
                    <w:ind w:firstLine="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序号</w:t>
                  </w:r>
                </w:p>
              </w:tc>
              <w:tc>
                <w:tcPr>
                  <w:tcW w:w="1125" w:type="pct"/>
                  <w:vMerge w:val="restart"/>
                  <w:noWrap w:val="0"/>
                  <w:vAlign w:val="center"/>
                </w:tcPr>
                <w:p w14:paraId="07D92FAE">
                  <w:pPr>
                    <w:pStyle w:val="4"/>
                    <w:snapToGrid w:val="0"/>
                    <w:ind w:firstLine="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设备名称</w:t>
                  </w:r>
                </w:p>
              </w:tc>
              <w:tc>
                <w:tcPr>
                  <w:tcW w:w="284" w:type="pct"/>
                  <w:vMerge w:val="restart"/>
                  <w:noWrap w:val="0"/>
                  <w:vAlign w:val="center"/>
                </w:tcPr>
                <w:p w14:paraId="4F7330B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2032" w:type="pct"/>
                  <w:gridSpan w:val="2"/>
                  <w:noWrap w:val="0"/>
                  <w:vAlign w:val="center"/>
                </w:tcPr>
                <w:p w14:paraId="5B8FA80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数量</w:t>
                  </w:r>
                </w:p>
              </w:tc>
              <w:tc>
                <w:tcPr>
                  <w:tcW w:w="1300" w:type="pct"/>
                  <w:vMerge w:val="restart"/>
                  <w:noWrap w:val="0"/>
                  <w:vAlign w:val="center"/>
                </w:tcPr>
                <w:p w14:paraId="341EF3D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14:paraId="0F4F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vMerge w:val="continue"/>
                  <w:noWrap w:val="0"/>
                  <w:vAlign w:val="center"/>
                </w:tcPr>
                <w:p w14:paraId="133BDB72">
                  <w:pPr>
                    <w:pStyle w:val="4"/>
                    <w:snapToGrid w:val="0"/>
                    <w:ind w:firstLine="0"/>
                    <w:jc w:val="center"/>
                    <w:rPr>
                      <w:rFonts w:hint="default" w:ascii="Times New Roman" w:hAnsi="Times New Roman" w:eastAsia="宋体" w:cs="Times New Roman"/>
                      <w:bCs/>
                      <w:color w:val="auto"/>
                      <w:sz w:val="21"/>
                      <w:szCs w:val="21"/>
                    </w:rPr>
                  </w:pPr>
                </w:p>
              </w:tc>
              <w:tc>
                <w:tcPr>
                  <w:tcW w:w="1125" w:type="pct"/>
                  <w:vMerge w:val="continue"/>
                  <w:noWrap w:val="0"/>
                  <w:vAlign w:val="center"/>
                </w:tcPr>
                <w:p w14:paraId="399C32D2">
                  <w:pPr>
                    <w:pStyle w:val="4"/>
                    <w:snapToGrid w:val="0"/>
                    <w:ind w:firstLine="0"/>
                    <w:jc w:val="center"/>
                    <w:rPr>
                      <w:rFonts w:hint="default" w:ascii="Times New Roman" w:hAnsi="Times New Roman" w:eastAsia="宋体" w:cs="Times New Roman"/>
                      <w:bCs/>
                      <w:color w:val="auto"/>
                      <w:sz w:val="21"/>
                      <w:szCs w:val="21"/>
                    </w:rPr>
                  </w:pPr>
                </w:p>
              </w:tc>
              <w:tc>
                <w:tcPr>
                  <w:tcW w:w="284" w:type="pct"/>
                  <w:vMerge w:val="continue"/>
                  <w:noWrap w:val="0"/>
                  <w:vAlign w:val="center"/>
                </w:tcPr>
                <w:p w14:paraId="047837CF">
                  <w:pPr>
                    <w:jc w:val="center"/>
                    <w:rPr>
                      <w:rFonts w:hint="default" w:ascii="Times New Roman" w:hAnsi="Times New Roman" w:eastAsia="宋体" w:cs="Times New Roman"/>
                      <w:color w:val="auto"/>
                      <w:sz w:val="21"/>
                      <w:szCs w:val="21"/>
                    </w:rPr>
                  </w:pPr>
                </w:p>
              </w:tc>
              <w:tc>
                <w:tcPr>
                  <w:tcW w:w="922" w:type="pct"/>
                  <w:noWrap w:val="0"/>
                  <w:vAlign w:val="center"/>
                </w:tcPr>
                <w:p w14:paraId="097CFB0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现有工程</w:t>
                  </w:r>
                </w:p>
              </w:tc>
              <w:tc>
                <w:tcPr>
                  <w:tcW w:w="1109" w:type="pct"/>
                  <w:noWrap w:val="0"/>
                  <w:vAlign w:val="center"/>
                </w:tcPr>
                <w:p w14:paraId="4FC5291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改扩建后</w:t>
                  </w:r>
                </w:p>
              </w:tc>
              <w:tc>
                <w:tcPr>
                  <w:tcW w:w="1300" w:type="pct"/>
                  <w:vMerge w:val="continue"/>
                  <w:noWrap w:val="0"/>
                  <w:vAlign w:val="center"/>
                </w:tcPr>
                <w:p w14:paraId="069114E9">
                  <w:pPr>
                    <w:jc w:val="center"/>
                    <w:rPr>
                      <w:rFonts w:hint="default" w:ascii="Times New Roman" w:hAnsi="Times New Roman" w:eastAsia="宋体" w:cs="Times New Roman"/>
                      <w:color w:val="auto"/>
                      <w:sz w:val="21"/>
                      <w:szCs w:val="21"/>
                    </w:rPr>
                  </w:pPr>
                </w:p>
              </w:tc>
            </w:tr>
            <w:tr w14:paraId="5EDC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14:paraId="31200D7E">
                  <w:pPr>
                    <w:snapToGrid w:val="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1</w:t>
                  </w:r>
                </w:p>
              </w:tc>
              <w:tc>
                <w:tcPr>
                  <w:tcW w:w="1125" w:type="pct"/>
                  <w:tcBorders>
                    <w:top w:val="single" w:color="000000" w:sz="4" w:space="0"/>
                    <w:left w:val="nil"/>
                    <w:bottom w:val="single" w:color="000000" w:sz="4" w:space="0"/>
                    <w:right w:val="single" w:color="000000" w:sz="4" w:space="0"/>
                  </w:tcBorders>
                  <w:noWrap w:val="0"/>
                  <w:vAlign w:val="center"/>
                </w:tcPr>
                <w:p w14:paraId="43F630A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0#柴油储罐</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D86F40A">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座</w:t>
                  </w:r>
                </w:p>
              </w:tc>
              <w:tc>
                <w:tcPr>
                  <w:tcW w:w="922" w:type="pct"/>
                  <w:noWrap w:val="0"/>
                  <w:vAlign w:val="center"/>
                </w:tcPr>
                <w:p w14:paraId="5ED7BAA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15m</w:t>
                  </w:r>
                  <w:r>
                    <w:rPr>
                      <w:rFonts w:hint="default" w:ascii="Times New Roman" w:hAnsi="Times New Roman" w:eastAsia="宋体" w:cs="Times New Roman"/>
                      <w:color w:val="auto"/>
                      <w:sz w:val="21"/>
                      <w:szCs w:val="21"/>
                      <w:vertAlign w:val="superscript"/>
                    </w:rPr>
                    <w:t>3</w:t>
                  </w:r>
                </w:p>
              </w:tc>
              <w:tc>
                <w:tcPr>
                  <w:tcW w:w="1109" w:type="pct"/>
                  <w:noWrap w:val="0"/>
                  <w:vAlign w:val="center"/>
                </w:tcPr>
                <w:p w14:paraId="3F8A0C3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5m</w:t>
                  </w:r>
                  <w:r>
                    <w:rPr>
                      <w:rFonts w:hint="default" w:ascii="Times New Roman" w:hAnsi="Times New Roman" w:eastAsia="宋体" w:cs="Times New Roman"/>
                      <w:color w:val="auto"/>
                      <w:sz w:val="21"/>
                      <w:szCs w:val="21"/>
                      <w:vertAlign w:val="superscript"/>
                    </w:rPr>
                    <w:t>3</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5A369FEB">
                  <w:pPr>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highlight w:val="none"/>
                      <w:lang w:val="en-US" w:eastAsia="zh-CN"/>
                    </w:rPr>
                    <w:t>更换扩容</w:t>
                  </w:r>
                </w:p>
              </w:tc>
            </w:tr>
            <w:tr w14:paraId="16B9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14:paraId="629240ED">
                  <w:pPr>
                    <w:snapToGrid w:val="0"/>
                    <w:jc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2</w:t>
                  </w:r>
                </w:p>
              </w:tc>
              <w:tc>
                <w:tcPr>
                  <w:tcW w:w="1125" w:type="pct"/>
                  <w:tcBorders>
                    <w:top w:val="single" w:color="000000" w:sz="4" w:space="0"/>
                    <w:left w:val="nil"/>
                    <w:bottom w:val="single" w:color="000000" w:sz="4" w:space="0"/>
                    <w:right w:val="single" w:color="000000" w:sz="4" w:space="0"/>
                  </w:tcBorders>
                  <w:noWrap w:val="0"/>
                  <w:vAlign w:val="center"/>
                </w:tcPr>
                <w:p w14:paraId="500305C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92#汽油储罐</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FCB96A4">
                  <w:pPr>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座</w:t>
                  </w:r>
                </w:p>
              </w:tc>
              <w:tc>
                <w:tcPr>
                  <w:tcW w:w="922" w:type="pct"/>
                  <w:noWrap w:val="0"/>
                  <w:vAlign w:val="center"/>
                </w:tcPr>
                <w:p w14:paraId="534C519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15m</w:t>
                  </w:r>
                  <w:r>
                    <w:rPr>
                      <w:rFonts w:hint="default" w:ascii="Times New Roman" w:hAnsi="Times New Roman" w:eastAsia="宋体" w:cs="Times New Roman"/>
                      <w:color w:val="auto"/>
                      <w:sz w:val="21"/>
                      <w:szCs w:val="21"/>
                      <w:vertAlign w:val="superscript"/>
                    </w:rPr>
                    <w:t>3</w:t>
                  </w:r>
                </w:p>
              </w:tc>
              <w:tc>
                <w:tcPr>
                  <w:tcW w:w="1109" w:type="pct"/>
                  <w:noWrap w:val="0"/>
                  <w:vAlign w:val="center"/>
                </w:tcPr>
                <w:p w14:paraId="5D26690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5m</w:t>
                  </w:r>
                  <w:r>
                    <w:rPr>
                      <w:rFonts w:hint="default" w:ascii="Times New Roman" w:hAnsi="Times New Roman" w:eastAsia="宋体" w:cs="Times New Roman"/>
                      <w:color w:val="auto"/>
                      <w:sz w:val="21"/>
                      <w:szCs w:val="21"/>
                      <w:vertAlign w:val="superscript"/>
                    </w:rPr>
                    <w:t>3</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2E49A39C">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由2个储罐变更为1个</w:t>
                  </w:r>
                </w:p>
              </w:tc>
            </w:tr>
            <w:tr w14:paraId="59921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7C1FF6">
                  <w:pPr>
                    <w:snapToGrid w:val="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sz w:val="21"/>
                      <w:szCs w:val="21"/>
                      <w:lang w:bidi="ar"/>
                    </w:rPr>
                    <w:t>3</w:t>
                  </w:r>
                </w:p>
              </w:tc>
              <w:tc>
                <w:tcPr>
                  <w:tcW w:w="1125" w:type="pct"/>
                  <w:tcBorders>
                    <w:top w:val="single" w:color="000000" w:sz="4" w:space="0"/>
                    <w:left w:val="nil"/>
                    <w:bottom w:val="single" w:color="000000" w:sz="4" w:space="0"/>
                    <w:right w:val="single" w:color="000000" w:sz="4" w:space="0"/>
                  </w:tcBorders>
                  <w:shd w:val="clear" w:color="auto" w:fill="auto"/>
                  <w:noWrap w:val="0"/>
                  <w:vAlign w:val="center"/>
                </w:tcPr>
                <w:p w14:paraId="294B1FA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95#汽油储罐</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8F478">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eastAsia="zh-CN"/>
                    </w:rPr>
                    <w:t>座</w:t>
                  </w:r>
                </w:p>
              </w:tc>
              <w:tc>
                <w:tcPr>
                  <w:tcW w:w="922" w:type="pct"/>
                  <w:shd w:val="clear" w:color="auto" w:fill="auto"/>
                  <w:noWrap w:val="0"/>
                  <w:vAlign w:val="center"/>
                </w:tcPr>
                <w:p w14:paraId="46153B5C">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rPr>
                    <w:t>15m</w:t>
                  </w:r>
                  <w:r>
                    <w:rPr>
                      <w:rFonts w:hint="default" w:ascii="Times New Roman" w:hAnsi="Times New Roman" w:eastAsia="宋体" w:cs="Times New Roman"/>
                      <w:color w:val="auto"/>
                      <w:sz w:val="21"/>
                      <w:szCs w:val="21"/>
                      <w:vertAlign w:val="superscript"/>
                    </w:rPr>
                    <w:t>3</w:t>
                  </w:r>
                </w:p>
              </w:tc>
              <w:tc>
                <w:tcPr>
                  <w:tcW w:w="1109" w:type="pct"/>
                  <w:shd w:val="clear" w:color="auto" w:fill="auto"/>
                  <w:noWrap w:val="0"/>
                  <w:vAlign w:val="center"/>
                </w:tcPr>
                <w:p w14:paraId="3927D59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5m</w:t>
                  </w:r>
                  <w:r>
                    <w:rPr>
                      <w:rFonts w:hint="default" w:ascii="Times New Roman" w:hAnsi="Times New Roman" w:eastAsia="宋体" w:cs="Times New Roman"/>
                      <w:color w:val="auto"/>
                      <w:sz w:val="21"/>
                      <w:szCs w:val="21"/>
                      <w:vertAlign w:val="superscript"/>
                    </w:rPr>
                    <w:t>3</w:t>
                  </w:r>
                </w:p>
              </w:tc>
              <w:tc>
                <w:tcPr>
                  <w:tcW w:w="13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823DAA">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highlight w:val="none"/>
                      <w:lang w:val="en-US" w:eastAsia="zh-CN"/>
                    </w:rPr>
                    <w:t>更换扩容</w:t>
                  </w:r>
                </w:p>
              </w:tc>
            </w:tr>
            <w:tr w14:paraId="69E7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CD766">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4</w:t>
                  </w:r>
                </w:p>
              </w:tc>
              <w:tc>
                <w:tcPr>
                  <w:tcW w:w="1125" w:type="pct"/>
                  <w:tcBorders>
                    <w:top w:val="single" w:color="000000" w:sz="4" w:space="0"/>
                    <w:left w:val="nil"/>
                    <w:bottom w:val="single" w:color="000000" w:sz="4" w:space="0"/>
                    <w:right w:val="single" w:color="000000" w:sz="4" w:space="0"/>
                  </w:tcBorders>
                  <w:noWrap w:val="0"/>
                  <w:vAlign w:val="center"/>
                </w:tcPr>
                <w:p w14:paraId="2A81B65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#汽油储罐</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326ADEB0">
                  <w:pPr>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座</w:t>
                  </w:r>
                </w:p>
              </w:tc>
              <w:tc>
                <w:tcPr>
                  <w:tcW w:w="922" w:type="pct"/>
                  <w:noWrap w:val="0"/>
                  <w:vAlign w:val="center"/>
                </w:tcPr>
                <w:p w14:paraId="40F7FF91">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w:t>
                  </w:r>
                </w:p>
              </w:tc>
              <w:tc>
                <w:tcPr>
                  <w:tcW w:w="1109" w:type="pct"/>
                  <w:noWrap w:val="0"/>
                  <w:vAlign w:val="center"/>
                </w:tcPr>
                <w:p w14:paraId="6846331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5m</w:t>
                  </w:r>
                  <w:r>
                    <w:rPr>
                      <w:rFonts w:hint="default" w:ascii="Times New Roman" w:hAnsi="Times New Roman" w:eastAsia="宋体" w:cs="Times New Roman"/>
                      <w:color w:val="auto"/>
                      <w:sz w:val="21"/>
                      <w:szCs w:val="21"/>
                      <w:vertAlign w:val="superscript"/>
                    </w:rPr>
                    <w:t>3</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3252F93B">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一个92#汽油储罐变更为98#汽油储罐</w:t>
                  </w:r>
                </w:p>
              </w:tc>
            </w:tr>
            <w:tr w14:paraId="3C54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E9806">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5</w:t>
                  </w:r>
                </w:p>
              </w:tc>
              <w:tc>
                <w:tcPr>
                  <w:tcW w:w="1125" w:type="pct"/>
                  <w:tcBorders>
                    <w:top w:val="single" w:color="000000" w:sz="4" w:space="0"/>
                    <w:left w:val="nil"/>
                    <w:bottom w:val="single" w:color="000000" w:sz="4" w:space="0"/>
                    <w:right w:val="single" w:color="000000" w:sz="4" w:space="0"/>
                  </w:tcBorders>
                  <w:noWrap w:val="0"/>
                  <w:vAlign w:val="center"/>
                </w:tcPr>
                <w:p w14:paraId="3854D512">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液位仪</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53225A9">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套</w:t>
                  </w:r>
                </w:p>
              </w:tc>
              <w:tc>
                <w:tcPr>
                  <w:tcW w:w="922" w:type="pct"/>
                  <w:noWrap w:val="0"/>
                  <w:vAlign w:val="center"/>
                </w:tcPr>
                <w:p w14:paraId="23F93766">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1（带4个探棒）</w:t>
                  </w:r>
                </w:p>
              </w:tc>
              <w:tc>
                <w:tcPr>
                  <w:tcW w:w="1109" w:type="pct"/>
                  <w:noWrap w:val="0"/>
                  <w:vAlign w:val="center"/>
                </w:tcPr>
                <w:p w14:paraId="6E79E209">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1（带4个探棒）</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011672F3">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利旧</w:t>
                  </w:r>
                </w:p>
              </w:tc>
            </w:tr>
            <w:tr w14:paraId="4CDE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69264">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w:t>
                  </w:r>
                </w:p>
              </w:tc>
              <w:tc>
                <w:tcPr>
                  <w:tcW w:w="1125" w:type="pct"/>
                  <w:tcBorders>
                    <w:top w:val="single" w:color="000000" w:sz="4" w:space="0"/>
                    <w:left w:val="nil"/>
                    <w:bottom w:val="single" w:color="000000" w:sz="4" w:space="0"/>
                    <w:right w:val="single" w:color="000000" w:sz="4" w:space="0"/>
                  </w:tcBorders>
                  <w:noWrap w:val="0"/>
                  <w:vAlign w:val="center"/>
                </w:tcPr>
                <w:p w14:paraId="50B1232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加油机</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E24451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922" w:type="pct"/>
                  <w:noWrap w:val="0"/>
                  <w:vAlign w:val="center"/>
                </w:tcPr>
                <w:p w14:paraId="76FA83A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4（2台四枪加油机、2台六枪加油机）</w:t>
                  </w:r>
                </w:p>
              </w:tc>
              <w:tc>
                <w:tcPr>
                  <w:tcW w:w="1109" w:type="pct"/>
                  <w:noWrap w:val="0"/>
                  <w:vAlign w:val="center"/>
                </w:tcPr>
                <w:p w14:paraId="3B361D6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4（2台四枪加油机、2台六枪加油机）</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3ACB1CE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利旧</w:t>
                  </w:r>
                </w:p>
              </w:tc>
            </w:tr>
            <w:tr w14:paraId="13A9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753542">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w:t>
                  </w:r>
                </w:p>
              </w:tc>
              <w:tc>
                <w:tcPr>
                  <w:tcW w:w="1125" w:type="pct"/>
                  <w:tcBorders>
                    <w:top w:val="single" w:color="000000" w:sz="4" w:space="0"/>
                    <w:left w:val="nil"/>
                    <w:bottom w:val="single" w:color="000000" w:sz="4" w:space="0"/>
                    <w:right w:val="single" w:color="000000" w:sz="4" w:space="0"/>
                  </w:tcBorders>
                  <w:noWrap w:val="0"/>
                  <w:vAlign w:val="center"/>
                </w:tcPr>
                <w:p w14:paraId="07E48C2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柴油发电机</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F5B94B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台</w:t>
                  </w:r>
                </w:p>
              </w:tc>
              <w:tc>
                <w:tcPr>
                  <w:tcW w:w="922" w:type="pct"/>
                  <w:noWrap w:val="0"/>
                  <w:vAlign w:val="center"/>
                </w:tcPr>
                <w:p w14:paraId="1F7F692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109" w:type="pct"/>
                  <w:noWrap w:val="0"/>
                  <w:vAlign w:val="center"/>
                </w:tcPr>
                <w:p w14:paraId="3FCC0EC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50BF3D8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利旧</w:t>
                  </w:r>
                </w:p>
              </w:tc>
            </w:tr>
            <w:tr w14:paraId="495C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EB65D">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8</w:t>
                  </w:r>
                </w:p>
              </w:tc>
              <w:tc>
                <w:tcPr>
                  <w:tcW w:w="1125" w:type="pct"/>
                  <w:tcBorders>
                    <w:top w:val="single" w:color="000000" w:sz="4" w:space="0"/>
                    <w:left w:val="nil"/>
                    <w:bottom w:val="single" w:color="000000" w:sz="4" w:space="0"/>
                    <w:right w:val="single" w:color="000000" w:sz="4" w:space="0"/>
                  </w:tcBorders>
                  <w:noWrap w:val="0"/>
                  <w:vAlign w:val="center"/>
                </w:tcPr>
                <w:p w14:paraId="7FF2EF4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潜油泵</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BFDE14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套</w:t>
                  </w:r>
                </w:p>
              </w:tc>
              <w:tc>
                <w:tcPr>
                  <w:tcW w:w="922" w:type="pct"/>
                  <w:noWrap w:val="0"/>
                  <w:vAlign w:val="center"/>
                </w:tcPr>
                <w:p w14:paraId="2DDD584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109" w:type="pct"/>
                  <w:noWrap w:val="0"/>
                  <w:vAlign w:val="center"/>
                </w:tcPr>
                <w:p w14:paraId="01C4518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7B3D75E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利旧</w:t>
                  </w:r>
                </w:p>
              </w:tc>
            </w:tr>
            <w:tr w14:paraId="36FE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2BAAA">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rPr>
                    <w:t>9</w:t>
                  </w:r>
                </w:p>
              </w:tc>
              <w:tc>
                <w:tcPr>
                  <w:tcW w:w="1125" w:type="pct"/>
                  <w:tcBorders>
                    <w:top w:val="single" w:color="000000" w:sz="4" w:space="0"/>
                    <w:left w:val="nil"/>
                    <w:bottom w:val="single" w:color="000000" w:sz="4" w:space="0"/>
                    <w:right w:val="single" w:color="000000" w:sz="4" w:space="0"/>
                  </w:tcBorders>
                  <w:noWrap w:val="0"/>
                  <w:vAlign w:val="center"/>
                </w:tcPr>
                <w:p w14:paraId="354B698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2"/>
                      <w:sz w:val="21"/>
                      <w:szCs w:val="21"/>
                      <w:highlight w:val="none"/>
                      <w:lang w:val="en-US" w:eastAsia="zh-CN" w:bidi="ar-SA"/>
                    </w:rPr>
                    <w:t>一次油气回收系统</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0A39E837">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套</w:t>
                  </w:r>
                </w:p>
              </w:tc>
              <w:tc>
                <w:tcPr>
                  <w:tcW w:w="922" w:type="pct"/>
                  <w:noWrap w:val="0"/>
                  <w:vAlign w:val="center"/>
                </w:tcPr>
                <w:p w14:paraId="02BC4DB6">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2"/>
                      <w:sz w:val="21"/>
                      <w:szCs w:val="21"/>
                      <w:highlight w:val="none"/>
                      <w:lang w:val="en-US" w:eastAsia="zh-CN" w:bidi="ar-SA"/>
                    </w:rPr>
                    <w:t>1</w:t>
                  </w:r>
                </w:p>
              </w:tc>
              <w:tc>
                <w:tcPr>
                  <w:tcW w:w="1109" w:type="pct"/>
                  <w:noWrap w:val="0"/>
                  <w:vAlign w:val="center"/>
                </w:tcPr>
                <w:p w14:paraId="31BE5E4E">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2"/>
                      <w:sz w:val="21"/>
                      <w:szCs w:val="21"/>
                      <w:highlight w:val="none"/>
                      <w:lang w:val="en-US" w:eastAsia="zh-CN" w:bidi="ar-SA"/>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68AA66F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利旧</w:t>
                  </w:r>
                </w:p>
              </w:tc>
            </w:tr>
            <w:tr w14:paraId="5068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6C2F9">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bidi="ar"/>
                    </w:rPr>
                    <w:t>10</w:t>
                  </w:r>
                </w:p>
              </w:tc>
              <w:tc>
                <w:tcPr>
                  <w:tcW w:w="1125" w:type="pct"/>
                  <w:tcBorders>
                    <w:top w:val="single" w:color="000000" w:sz="4" w:space="0"/>
                    <w:left w:val="nil"/>
                    <w:bottom w:val="single" w:color="000000" w:sz="4" w:space="0"/>
                    <w:right w:val="single" w:color="000000" w:sz="4" w:space="0"/>
                  </w:tcBorders>
                  <w:noWrap w:val="0"/>
                  <w:vAlign w:val="center"/>
                </w:tcPr>
                <w:p w14:paraId="77727EF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二次</w:t>
                  </w:r>
                  <w:r>
                    <w:rPr>
                      <w:rFonts w:hint="default" w:ascii="Times New Roman" w:hAnsi="Times New Roman" w:eastAsia="宋体" w:cs="Times New Roman"/>
                      <w:color w:val="auto"/>
                      <w:sz w:val="21"/>
                      <w:szCs w:val="21"/>
                      <w:highlight w:val="none"/>
                    </w:rPr>
                    <w:t>油气回收系统</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FFDBDF3">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套</w:t>
                  </w:r>
                </w:p>
              </w:tc>
              <w:tc>
                <w:tcPr>
                  <w:tcW w:w="922" w:type="pct"/>
                  <w:noWrap w:val="0"/>
                  <w:vAlign w:val="center"/>
                </w:tcPr>
                <w:p w14:paraId="18BCC95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1</w:t>
                  </w:r>
                </w:p>
              </w:tc>
              <w:tc>
                <w:tcPr>
                  <w:tcW w:w="1109" w:type="pct"/>
                  <w:noWrap w:val="0"/>
                  <w:vAlign w:val="center"/>
                </w:tcPr>
                <w:p w14:paraId="0243A51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36AD7A2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利旧</w:t>
                  </w:r>
                </w:p>
              </w:tc>
            </w:tr>
            <w:tr w14:paraId="248F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718C2">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bidi="ar"/>
                    </w:rPr>
                    <w:t>11</w:t>
                  </w:r>
                </w:p>
              </w:tc>
              <w:tc>
                <w:tcPr>
                  <w:tcW w:w="1125" w:type="pct"/>
                  <w:tcBorders>
                    <w:top w:val="single" w:color="000000" w:sz="4" w:space="0"/>
                    <w:left w:val="nil"/>
                    <w:bottom w:val="single" w:color="000000" w:sz="4" w:space="0"/>
                    <w:right w:val="single" w:color="000000" w:sz="4" w:space="0"/>
                  </w:tcBorders>
                  <w:noWrap w:val="0"/>
                  <w:vAlign w:val="center"/>
                </w:tcPr>
                <w:p w14:paraId="0513DC5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三次油气回收处理系统</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CA5F77D">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套</w:t>
                  </w:r>
                </w:p>
              </w:tc>
              <w:tc>
                <w:tcPr>
                  <w:tcW w:w="922" w:type="pct"/>
                  <w:noWrap w:val="0"/>
                  <w:vAlign w:val="center"/>
                </w:tcPr>
                <w:p w14:paraId="1E6938E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1</w:t>
                  </w:r>
                </w:p>
              </w:tc>
              <w:tc>
                <w:tcPr>
                  <w:tcW w:w="1109" w:type="pct"/>
                  <w:noWrap w:val="0"/>
                  <w:vAlign w:val="center"/>
                </w:tcPr>
                <w:p w14:paraId="7202EA7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4BB4F3F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利旧</w:t>
                  </w:r>
                </w:p>
              </w:tc>
            </w:tr>
            <w:tr w14:paraId="236A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B17FB">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bidi="ar"/>
                    </w:rPr>
                    <w:t>12</w:t>
                  </w:r>
                </w:p>
              </w:tc>
              <w:tc>
                <w:tcPr>
                  <w:tcW w:w="1125" w:type="pct"/>
                  <w:tcBorders>
                    <w:top w:val="single" w:color="000000" w:sz="4" w:space="0"/>
                    <w:left w:val="nil"/>
                    <w:bottom w:val="single" w:color="000000" w:sz="4" w:space="0"/>
                    <w:right w:val="single" w:color="000000" w:sz="4" w:space="0"/>
                  </w:tcBorders>
                  <w:noWrap w:val="0"/>
                  <w:vAlign w:val="center"/>
                </w:tcPr>
                <w:p w14:paraId="55274E2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油气回收在线监测系统</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3C2D285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套</w:t>
                  </w:r>
                </w:p>
              </w:tc>
              <w:tc>
                <w:tcPr>
                  <w:tcW w:w="922" w:type="pct"/>
                  <w:noWrap w:val="0"/>
                  <w:vAlign w:val="center"/>
                </w:tcPr>
                <w:p w14:paraId="788926F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w:t>
                  </w:r>
                </w:p>
              </w:tc>
              <w:tc>
                <w:tcPr>
                  <w:tcW w:w="1109" w:type="pct"/>
                  <w:noWrap w:val="0"/>
                  <w:vAlign w:val="center"/>
                </w:tcPr>
                <w:p w14:paraId="6A4F42E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70161FC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利旧</w:t>
                  </w:r>
                </w:p>
              </w:tc>
            </w:tr>
            <w:tr w14:paraId="30C9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E0E7B">
                  <w:pPr>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highlight w:val="none"/>
                      <w:lang w:val="en-US" w:eastAsia="zh-CN" w:bidi="ar"/>
                    </w:rPr>
                    <w:t>13</w:t>
                  </w:r>
                </w:p>
              </w:tc>
              <w:tc>
                <w:tcPr>
                  <w:tcW w:w="1125" w:type="pct"/>
                  <w:tcBorders>
                    <w:top w:val="single" w:color="000000" w:sz="4" w:space="0"/>
                    <w:left w:val="nil"/>
                    <w:bottom w:val="single" w:color="000000" w:sz="4" w:space="0"/>
                    <w:right w:val="single" w:color="000000" w:sz="4" w:space="0"/>
                  </w:tcBorders>
                  <w:noWrap w:val="0"/>
                  <w:vAlign w:val="center"/>
                </w:tcPr>
                <w:p w14:paraId="3CB3149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视频监控系统</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192633E">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套</w:t>
                  </w:r>
                </w:p>
              </w:tc>
              <w:tc>
                <w:tcPr>
                  <w:tcW w:w="922" w:type="pct"/>
                  <w:noWrap w:val="0"/>
                  <w:vAlign w:val="center"/>
                </w:tcPr>
                <w:p w14:paraId="0B16F08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1</w:t>
                  </w:r>
                </w:p>
              </w:tc>
              <w:tc>
                <w:tcPr>
                  <w:tcW w:w="1109" w:type="pct"/>
                  <w:noWrap w:val="0"/>
                  <w:vAlign w:val="center"/>
                </w:tcPr>
                <w:p w14:paraId="3E3435E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4B3D68D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利旧</w:t>
                  </w:r>
                </w:p>
              </w:tc>
            </w:tr>
            <w:tr w14:paraId="104D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14:paraId="2170FB15">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1125" w:type="pct"/>
                  <w:tcBorders>
                    <w:top w:val="single" w:color="000000" w:sz="4" w:space="0"/>
                    <w:left w:val="nil"/>
                    <w:bottom w:val="single" w:color="000000" w:sz="4" w:space="0"/>
                    <w:right w:val="single" w:color="000000" w:sz="4" w:space="0"/>
                  </w:tcBorders>
                  <w:noWrap w:val="0"/>
                  <w:vAlign w:val="center"/>
                </w:tcPr>
                <w:p w14:paraId="51BF51E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洗车</w:t>
                  </w:r>
                  <w:r>
                    <w:rPr>
                      <w:rFonts w:hint="eastAsia" w:cs="Times New Roman"/>
                      <w:color w:val="auto"/>
                      <w:sz w:val="21"/>
                      <w:szCs w:val="21"/>
                      <w:highlight w:val="none"/>
                      <w:lang w:val="en-US" w:eastAsia="zh-CN"/>
                    </w:rPr>
                    <w:t>快洗装置</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0EEEB6B">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套</w:t>
                  </w:r>
                </w:p>
              </w:tc>
              <w:tc>
                <w:tcPr>
                  <w:tcW w:w="922" w:type="pct"/>
                  <w:noWrap w:val="0"/>
                  <w:vAlign w:val="center"/>
                </w:tcPr>
                <w:p w14:paraId="2DC163B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1</w:t>
                  </w:r>
                </w:p>
              </w:tc>
              <w:tc>
                <w:tcPr>
                  <w:tcW w:w="1109" w:type="pct"/>
                  <w:noWrap w:val="0"/>
                  <w:vAlign w:val="center"/>
                </w:tcPr>
                <w:p w14:paraId="757CFFC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1</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14:paraId="054C234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利旧</w:t>
                  </w:r>
                </w:p>
              </w:tc>
            </w:tr>
          </w:tbl>
          <w:p w14:paraId="55EC4A93">
            <w:pPr>
              <w:adjustRightInd w:val="0"/>
              <w:snapToGrid w:val="0"/>
              <w:spacing w:line="360" w:lineRule="auto"/>
              <w:jc w:val="left"/>
              <w:rPr>
                <w:rFonts w:hint="default" w:ascii="Times New Roman" w:hAnsi="Times New Roman" w:eastAsia="宋体" w:cs="Times New Roman"/>
                <w:b/>
                <w:color w:val="auto"/>
                <w:sz w:val="24"/>
                <w:szCs w:val="26"/>
              </w:rPr>
            </w:pPr>
          </w:p>
          <w:p w14:paraId="56B45C1D">
            <w:pPr>
              <w:adjustRightInd w:val="0"/>
              <w:snapToGrid w:val="0"/>
              <w:spacing w:line="360" w:lineRule="auto"/>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2.2.5主要原辅料</w:t>
            </w:r>
          </w:p>
          <w:p w14:paraId="454D7FB3">
            <w:pPr>
              <w:pStyle w:val="62"/>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本项目营运期为汽油、柴油的零售服务，汽油、柴油年销售量、主要原辅材料和能源消耗量见下表2.2-6。</w:t>
            </w:r>
          </w:p>
          <w:p w14:paraId="4AED6F91">
            <w:pPr>
              <w:pStyle w:val="26"/>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表2.2-6    汽油、柴油年销售量情况表以及原辅材料消耗量</w:t>
            </w:r>
          </w:p>
          <w:tbl>
            <w:tblPr>
              <w:tblStyle w:val="19"/>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17"/>
              <w:gridCol w:w="695"/>
              <w:gridCol w:w="874"/>
              <w:gridCol w:w="1272"/>
              <w:gridCol w:w="855"/>
              <w:gridCol w:w="1311"/>
              <w:gridCol w:w="2161"/>
            </w:tblGrid>
            <w:tr w14:paraId="0525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5" w:type="pct"/>
                  <w:vMerge w:val="restart"/>
                  <w:noWrap w:val="0"/>
                  <w:vAlign w:val="center"/>
                </w:tcPr>
                <w:p w14:paraId="100C3036">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序号</w:t>
                  </w:r>
                </w:p>
              </w:tc>
              <w:tc>
                <w:tcPr>
                  <w:tcW w:w="591" w:type="pct"/>
                  <w:vMerge w:val="restart"/>
                  <w:noWrap w:val="0"/>
                  <w:vAlign w:val="center"/>
                </w:tcPr>
                <w:p w14:paraId="65066DF1">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名称</w:t>
                  </w:r>
                </w:p>
              </w:tc>
              <w:tc>
                <w:tcPr>
                  <w:tcW w:w="404" w:type="pct"/>
                  <w:vMerge w:val="restart"/>
                  <w:noWrap w:val="0"/>
                  <w:vAlign w:val="center"/>
                </w:tcPr>
                <w:p w14:paraId="49B8A920">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w:t>
                  </w:r>
                </w:p>
              </w:tc>
              <w:tc>
                <w:tcPr>
                  <w:tcW w:w="1247" w:type="pct"/>
                  <w:gridSpan w:val="2"/>
                  <w:noWrap w:val="0"/>
                  <w:vAlign w:val="center"/>
                </w:tcPr>
                <w:p w14:paraId="38A5A26C">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现有工程</w:t>
                  </w:r>
                </w:p>
              </w:tc>
              <w:tc>
                <w:tcPr>
                  <w:tcW w:w="1258" w:type="pct"/>
                  <w:gridSpan w:val="2"/>
                  <w:noWrap w:val="0"/>
                  <w:vAlign w:val="center"/>
                </w:tcPr>
                <w:p w14:paraId="50127D39">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改扩建后</w:t>
                  </w:r>
                </w:p>
              </w:tc>
              <w:tc>
                <w:tcPr>
                  <w:tcW w:w="1253" w:type="pct"/>
                  <w:vMerge w:val="restart"/>
                  <w:noWrap w:val="0"/>
                  <w:vAlign w:val="center"/>
                </w:tcPr>
                <w:p w14:paraId="455CC662">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来源</w:t>
                  </w:r>
                </w:p>
              </w:tc>
            </w:tr>
            <w:tr w14:paraId="42DB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5" w:type="pct"/>
                  <w:vMerge w:val="continue"/>
                  <w:noWrap w:val="0"/>
                  <w:vAlign w:val="center"/>
                </w:tcPr>
                <w:p w14:paraId="6623735A">
                  <w:pPr>
                    <w:pStyle w:val="9"/>
                    <w:jc w:val="center"/>
                    <w:rPr>
                      <w:rFonts w:hint="default" w:ascii="Times New Roman" w:hAnsi="Times New Roman" w:eastAsia="宋体" w:cs="Times New Roman"/>
                      <w:color w:val="auto"/>
                      <w:szCs w:val="21"/>
                    </w:rPr>
                  </w:pPr>
                </w:p>
              </w:tc>
              <w:tc>
                <w:tcPr>
                  <w:tcW w:w="591" w:type="pct"/>
                  <w:vMerge w:val="continue"/>
                  <w:noWrap w:val="0"/>
                  <w:vAlign w:val="center"/>
                </w:tcPr>
                <w:p w14:paraId="5CA75268">
                  <w:pPr>
                    <w:pStyle w:val="9"/>
                    <w:jc w:val="center"/>
                    <w:rPr>
                      <w:rFonts w:hint="default" w:ascii="Times New Roman" w:hAnsi="Times New Roman" w:eastAsia="宋体" w:cs="Times New Roman"/>
                      <w:color w:val="auto"/>
                      <w:szCs w:val="21"/>
                    </w:rPr>
                  </w:pPr>
                </w:p>
              </w:tc>
              <w:tc>
                <w:tcPr>
                  <w:tcW w:w="404" w:type="pct"/>
                  <w:vMerge w:val="continue"/>
                  <w:noWrap w:val="0"/>
                  <w:vAlign w:val="center"/>
                </w:tcPr>
                <w:p w14:paraId="0FCABAD7">
                  <w:pPr>
                    <w:pStyle w:val="9"/>
                    <w:jc w:val="center"/>
                    <w:rPr>
                      <w:rFonts w:hint="default" w:ascii="Times New Roman" w:hAnsi="Times New Roman" w:eastAsia="宋体" w:cs="Times New Roman"/>
                      <w:color w:val="auto"/>
                      <w:szCs w:val="21"/>
                    </w:rPr>
                  </w:pPr>
                </w:p>
              </w:tc>
              <w:tc>
                <w:tcPr>
                  <w:tcW w:w="508" w:type="pct"/>
                  <w:noWrap w:val="0"/>
                  <w:vAlign w:val="center"/>
                </w:tcPr>
                <w:p w14:paraId="4FEF7BA1">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年用量</w:t>
                  </w:r>
                </w:p>
              </w:tc>
              <w:tc>
                <w:tcPr>
                  <w:tcW w:w="739" w:type="pct"/>
                  <w:noWrap w:val="0"/>
                  <w:vAlign w:val="center"/>
                </w:tcPr>
                <w:p w14:paraId="1FE32456">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最大储存量</w:t>
                  </w:r>
                </w:p>
              </w:tc>
              <w:tc>
                <w:tcPr>
                  <w:tcW w:w="497" w:type="pct"/>
                  <w:noWrap w:val="0"/>
                  <w:vAlign w:val="center"/>
                </w:tcPr>
                <w:p w14:paraId="7C4CCD53">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年用量</w:t>
                  </w:r>
                </w:p>
              </w:tc>
              <w:tc>
                <w:tcPr>
                  <w:tcW w:w="761" w:type="pct"/>
                  <w:noWrap w:val="0"/>
                  <w:vAlign w:val="center"/>
                </w:tcPr>
                <w:p w14:paraId="11923C6A">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最大储存量</w:t>
                  </w:r>
                </w:p>
              </w:tc>
              <w:tc>
                <w:tcPr>
                  <w:tcW w:w="1253" w:type="pct"/>
                  <w:vMerge w:val="continue"/>
                  <w:noWrap w:val="0"/>
                  <w:vAlign w:val="center"/>
                </w:tcPr>
                <w:p w14:paraId="392FE2D0">
                  <w:pPr>
                    <w:pStyle w:val="9"/>
                    <w:jc w:val="center"/>
                    <w:rPr>
                      <w:rFonts w:hint="default" w:ascii="Times New Roman" w:hAnsi="Times New Roman" w:eastAsia="宋体" w:cs="Times New Roman"/>
                      <w:color w:val="auto"/>
                      <w:szCs w:val="21"/>
                    </w:rPr>
                  </w:pPr>
                </w:p>
              </w:tc>
            </w:tr>
            <w:tr w14:paraId="1972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5" w:type="pct"/>
                  <w:noWrap w:val="0"/>
                  <w:vAlign w:val="center"/>
                </w:tcPr>
                <w:p w14:paraId="473BFF38">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591" w:type="pct"/>
                  <w:noWrap w:val="0"/>
                  <w:vAlign w:val="center"/>
                </w:tcPr>
                <w:p w14:paraId="5A350E6C">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0#柴油</w:t>
                  </w:r>
                </w:p>
              </w:tc>
              <w:tc>
                <w:tcPr>
                  <w:tcW w:w="404" w:type="pct"/>
                  <w:noWrap w:val="0"/>
                  <w:vAlign w:val="center"/>
                </w:tcPr>
                <w:p w14:paraId="21C5474E">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t</w:t>
                  </w:r>
                </w:p>
              </w:tc>
              <w:tc>
                <w:tcPr>
                  <w:tcW w:w="508" w:type="pct"/>
                  <w:noWrap w:val="0"/>
                  <w:vAlign w:val="center"/>
                </w:tcPr>
                <w:p w14:paraId="11EA57B2">
                  <w:pPr>
                    <w:keepNext w:val="0"/>
                    <w:keepLines w:val="0"/>
                    <w:widowControl/>
                    <w:suppressLineNumbers w:val="0"/>
                    <w:jc w:val="center"/>
                    <w:textAlignment w:val="bottom"/>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39" w:type="pct"/>
                  <w:noWrap w:val="0"/>
                  <w:vAlign w:val="center"/>
                </w:tcPr>
                <w:p w14:paraId="11F084E8">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11.34</w:t>
                  </w:r>
                </w:p>
              </w:tc>
              <w:tc>
                <w:tcPr>
                  <w:tcW w:w="497" w:type="pct"/>
                  <w:noWrap w:val="0"/>
                  <w:vAlign w:val="center"/>
                </w:tcPr>
                <w:p w14:paraId="567D2CF7">
                  <w:pPr>
                    <w:keepNext w:val="0"/>
                    <w:keepLines w:val="0"/>
                    <w:widowControl/>
                    <w:suppressLineNumbers w:val="0"/>
                    <w:jc w:val="center"/>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761" w:type="pct"/>
                  <w:noWrap w:val="0"/>
                  <w:vAlign w:val="center"/>
                </w:tcPr>
                <w:p w14:paraId="11A35DC9">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18.90</w:t>
                  </w:r>
                </w:p>
              </w:tc>
              <w:tc>
                <w:tcPr>
                  <w:tcW w:w="1253" w:type="pct"/>
                  <w:vMerge w:val="restart"/>
                  <w:noWrap w:val="0"/>
                  <w:vAlign w:val="center"/>
                </w:tcPr>
                <w:p w14:paraId="52A4048D">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中国石油天然气股份有限公司重庆销售分公司</w:t>
                  </w:r>
                </w:p>
              </w:tc>
            </w:tr>
            <w:tr w14:paraId="6828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5" w:type="pct"/>
                  <w:noWrap w:val="0"/>
                  <w:vAlign w:val="center"/>
                </w:tcPr>
                <w:p w14:paraId="18410C99">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591" w:type="pct"/>
                  <w:noWrap w:val="0"/>
                  <w:vAlign w:val="center"/>
                </w:tcPr>
                <w:p w14:paraId="38C829B0">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92#汽油</w:t>
                  </w:r>
                </w:p>
              </w:tc>
              <w:tc>
                <w:tcPr>
                  <w:tcW w:w="404" w:type="pct"/>
                  <w:noWrap w:val="0"/>
                  <w:vAlign w:val="center"/>
                </w:tcPr>
                <w:p w14:paraId="47575FBD">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t</w:t>
                  </w:r>
                </w:p>
              </w:tc>
              <w:tc>
                <w:tcPr>
                  <w:tcW w:w="508" w:type="pct"/>
                  <w:noWrap w:val="0"/>
                  <w:vAlign w:val="center"/>
                </w:tcPr>
                <w:p w14:paraId="04FA7A66">
                  <w:pPr>
                    <w:keepNext w:val="0"/>
                    <w:keepLines w:val="0"/>
                    <w:widowControl/>
                    <w:suppressLineNumbers w:val="0"/>
                    <w:jc w:val="center"/>
                    <w:textAlignment w:val="bottom"/>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1700</w:t>
                  </w:r>
                </w:p>
              </w:tc>
              <w:tc>
                <w:tcPr>
                  <w:tcW w:w="739" w:type="pct"/>
                  <w:noWrap w:val="0"/>
                  <w:vAlign w:val="center"/>
                </w:tcPr>
                <w:p w14:paraId="20CCCC1E">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18.49</w:t>
                  </w:r>
                </w:p>
              </w:tc>
              <w:tc>
                <w:tcPr>
                  <w:tcW w:w="497" w:type="pct"/>
                  <w:noWrap w:val="0"/>
                  <w:vAlign w:val="center"/>
                </w:tcPr>
                <w:p w14:paraId="71FCBCA8">
                  <w:pPr>
                    <w:keepNext w:val="0"/>
                    <w:keepLines w:val="0"/>
                    <w:widowControl/>
                    <w:suppressLineNumbers w:val="0"/>
                    <w:jc w:val="center"/>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2000</w:t>
                  </w:r>
                </w:p>
              </w:tc>
              <w:tc>
                <w:tcPr>
                  <w:tcW w:w="761" w:type="pct"/>
                  <w:noWrap w:val="0"/>
                  <w:vAlign w:val="center"/>
                </w:tcPr>
                <w:p w14:paraId="680CAE72">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15.41</w:t>
                  </w:r>
                </w:p>
              </w:tc>
              <w:tc>
                <w:tcPr>
                  <w:tcW w:w="1253" w:type="pct"/>
                  <w:vMerge w:val="continue"/>
                  <w:noWrap w:val="0"/>
                  <w:vAlign w:val="center"/>
                </w:tcPr>
                <w:p w14:paraId="1BAB2DD2">
                  <w:pPr>
                    <w:pStyle w:val="9"/>
                    <w:jc w:val="center"/>
                    <w:rPr>
                      <w:rFonts w:hint="default" w:ascii="Times New Roman" w:hAnsi="Times New Roman" w:eastAsia="宋体" w:cs="Times New Roman"/>
                      <w:color w:val="auto"/>
                      <w:szCs w:val="21"/>
                    </w:rPr>
                  </w:pPr>
                </w:p>
              </w:tc>
            </w:tr>
            <w:tr w14:paraId="2E1D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5" w:type="pct"/>
                  <w:noWrap w:val="0"/>
                  <w:vAlign w:val="center"/>
                </w:tcPr>
                <w:p w14:paraId="47C2241C">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w:t>
                  </w:r>
                </w:p>
              </w:tc>
              <w:tc>
                <w:tcPr>
                  <w:tcW w:w="591" w:type="pct"/>
                  <w:noWrap w:val="0"/>
                  <w:vAlign w:val="center"/>
                </w:tcPr>
                <w:p w14:paraId="5200CBFE">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95#汽油</w:t>
                  </w:r>
                </w:p>
              </w:tc>
              <w:tc>
                <w:tcPr>
                  <w:tcW w:w="404" w:type="pct"/>
                  <w:noWrap w:val="0"/>
                  <w:vAlign w:val="center"/>
                </w:tcPr>
                <w:p w14:paraId="2ECD624B">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t</w:t>
                  </w:r>
                </w:p>
              </w:tc>
              <w:tc>
                <w:tcPr>
                  <w:tcW w:w="508" w:type="pct"/>
                  <w:noWrap w:val="0"/>
                  <w:vAlign w:val="center"/>
                </w:tcPr>
                <w:p w14:paraId="10DCBA3B">
                  <w:pPr>
                    <w:keepNext w:val="0"/>
                    <w:keepLines w:val="0"/>
                    <w:widowControl/>
                    <w:suppressLineNumbers w:val="0"/>
                    <w:jc w:val="center"/>
                    <w:textAlignment w:val="bottom"/>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1300</w:t>
                  </w:r>
                </w:p>
              </w:tc>
              <w:tc>
                <w:tcPr>
                  <w:tcW w:w="739" w:type="pct"/>
                  <w:noWrap w:val="0"/>
                  <w:vAlign w:val="center"/>
                </w:tcPr>
                <w:p w14:paraId="5CE3F12C">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9.40</w:t>
                  </w:r>
                </w:p>
              </w:tc>
              <w:tc>
                <w:tcPr>
                  <w:tcW w:w="497" w:type="pct"/>
                  <w:noWrap w:val="0"/>
                  <w:vAlign w:val="center"/>
                </w:tcPr>
                <w:p w14:paraId="44A5A338">
                  <w:pPr>
                    <w:keepNext w:val="0"/>
                    <w:keepLines w:val="0"/>
                    <w:widowControl/>
                    <w:suppressLineNumbers w:val="0"/>
                    <w:jc w:val="center"/>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1500</w:t>
                  </w:r>
                </w:p>
              </w:tc>
              <w:tc>
                <w:tcPr>
                  <w:tcW w:w="761" w:type="pct"/>
                  <w:noWrap w:val="0"/>
                  <w:vAlign w:val="center"/>
                </w:tcPr>
                <w:p w14:paraId="359ED6FF">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15.66</w:t>
                  </w:r>
                </w:p>
              </w:tc>
              <w:tc>
                <w:tcPr>
                  <w:tcW w:w="1253" w:type="pct"/>
                  <w:vMerge w:val="continue"/>
                  <w:noWrap w:val="0"/>
                  <w:vAlign w:val="center"/>
                </w:tcPr>
                <w:p w14:paraId="27B27B31">
                  <w:pPr>
                    <w:pStyle w:val="9"/>
                    <w:jc w:val="center"/>
                    <w:rPr>
                      <w:rFonts w:hint="default" w:ascii="Times New Roman" w:hAnsi="Times New Roman" w:eastAsia="宋体" w:cs="Times New Roman"/>
                      <w:color w:val="auto"/>
                      <w:szCs w:val="21"/>
                    </w:rPr>
                  </w:pPr>
                </w:p>
              </w:tc>
            </w:tr>
            <w:tr w14:paraId="6913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5" w:type="pct"/>
                  <w:shd w:val="clear" w:color="auto" w:fill="auto"/>
                  <w:noWrap w:val="0"/>
                  <w:vAlign w:val="center"/>
                </w:tcPr>
                <w:p w14:paraId="7B3CC9E9">
                  <w:pPr>
                    <w:pStyle w:val="9"/>
                    <w:jc w:val="center"/>
                    <w:rPr>
                      <w:rFonts w:hint="default" w:ascii="Times New Roman" w:hAnsi="Times New Roman" w:eastAsia="宋体" w:cs="Times New Roman"/>
                      <w:color w:val="auto"/>
                      <w:kern w:val="44"/>
                      <w:sz w:val="21"/>
                      <w:szCs w:val="21"/>
                      <w:lang w:val="en-US" w:eastAsia="zh-CN" w:bidi="ar-SA"/>
                    </w:rPr>
                  </w:pPr>
                  <w:r>
                    <w:rPr>
                      <w:rFonts w:hint="default" w:ascii="Times New Roman" w:hAnsi="Times New Roman" w:eastAsia="宋体" w:cs="Times New Roman"/>
                      <w:color w:val="auto"/>
                      <w:szCs w:val="21"/>
                    </w:rPr>
                    <w:t>4</w:t>
                  </w:r>
                </w:p>
              </w:tc>
              <w:tc>
                <w:tcPr>
                  <w:tcW w:w="591" w:type="pct"/>
                  <w:noWrap w:val="0"/>
                  <w:vAlign w:val="center"/>
                </w:tcPr>
                <w:p w14:paraId="381C1DAE">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9</w:t>
                  </w:r>
                  <w:r>
                    <w:rPr>
                      <w:rFonts w:hint="default" w:ascii="Times New Roman" w:hAnsi="Times New Roman" w:eastAsia="宋体" w:cs="Times New Roman"/>
                      <w:color w:val="auto"/>
                      <w:kern w:val="0"/>
                      <w:szCs w:val="21"/>
                      <w:lang w:val="en-US" w:eastAsia="zh-CN"/>
                    </w:rPr>
                    <w:t>8</w:t>
                  </w:r>
                  <w:r>
                    <w:rPr>
                      <w:rFonts w:hint="default" w:ascii="Times New Roman" w:hAnsi="Times New Roman" w:eastAsia="宋体" w:cs="Times New Roman"/>
                      <w:color w:val="auto"/>
                      <w:kern w:val="0"/>
                      <w:szCs w:val="21"/>
                    </w:rPr>
                    <w:t>#汽油</w:t>
                  </w:r>
                </w:p>
              </w:tc>
              <w:tc>
                <w:tcPr>
                  <w:tcW w:w="404" w:type="pct"/>
                  <w:noWrap w:val="0"/>
                  <w:vAlign w:val="center"/>
                </w:tcPr>
                <w:p w14:paraId="5A4AF654">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t</w:t>
                  </w:r>
                </w:p>
              </w:tc>
              <w:tc>
                <w:tcPr>
                  <w:tcW w:w="508" w:type="pct"/>
                  <w:noWrap w:val="0"/>
                  <w:vAlign w:val="center"/>
                </w:tcPr>
                <w:p w14:paraId="2DCA8B09">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739" w:type="pct"/>
                  <w:noWrap w:val="0"/>
                  <w:vAlign w:val="center"/>
                </w:tcPr>
                <w:p w14:paraId="2357B9E1">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w:t>
                  </w:r>
                </w:p>
              </w:tc>
              <w:tc>
                <w:tcPr>
                  <w:tcW w:w="497" w:type="pct"/>
                  <w:noWrap w:val="0"/>
                  <w:vAlign w:val="center"/>
                </w:tcPr>
                <w:p w14:paraId="0970244C">
                  <w:pPr>
                    <w:keepNext w:val="0"/>
                    <w:keepLines w:val="0"/>
                    <w:widowControl/>
                    <w:suppressLineNumbers w:val="0"/>
                    <w:jc w:val="center"/>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761" w:type="pct"/>
                  <w:noWrap w:val="0"/>
                  <w:vAlign w:val="center"/>
                </w:tcPr>
                <w:p w14:paraId="46ACA667">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15.73</w:t>
                  </w:r>
                </w:p>
              </w:tc>
              <w:tc>
                <w:tcPr>
                  <w:tcW w:w="1253" w:type="pct"/>
                  <w:vMerge w:val="continue"/>
                  <w:noWrap w:val="0"/>
                  <w:vAlign w:val="center"/>
                </w:tcPr>
                <w:p w14:paraId="0ADA836A">
                  <w:pPr>
                    <w:pStyle w:val="9"/>
                    <w:jc w:val="center"/>
                    <w:rPr>
                      <w:rFonts w:hint="default" w:ascii="Times New Roman" w:hAnsi="Times New Roman" w:eastAsia="宋体" w:cs="Times New Roman"/>
                      <w:color w:val="auto"/>
                      <w:szCs w:val="21"/>
                    </w:rPr>
                  </w:pPr>
                </w:p>
              </w:tc>
            </w:tr>
            <w:tr w14:paraId="1F3E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5" w:type="pct"/>
                  <w:shd w:val="clear" w:color="auto" w:fill="auto"/>
                  <w:noWrap w:val="0"/>
                  <w:vAlign w:val="center"/>
                </w:tcPr>
                <w:p w14:paraId="7720EB3A">
                  <w:pPr>
                    <w:pStyle w:val="9"/>
                    <w:jc w:val="center"/>
                    <w:rPr>
                      <w:rFonts w:hint="default" w:ascii="Times New Roman" w:hAnsi="Times New Roman" w:eastAsia="宋体" w:cs="Times New Roman"/>
                      <w:color w:val="auto"/>
                      <w:kern w:val="44"/>
                      <w:sz w:val="21"/>
                      <w:szCs w:val="21"/>
                      <w:lang w:val="en-US" w:eastAsia="zh-CN" w:bidi="ar-SA"/>
                    </w:rPr>
                  </w:pPr>
                  <w:r>
                    <w:rPr>
                      <w:rFonts w:hint="default" w:ascii="Times New Roman" w:hAnsi="Times New Roman" w:eastAsia="宋体" w:cs="Times New Roman"/>
                      <w:color w:val="auto"/>
                      <w:szCs w:val="21"/>
                    </w:rPr>
                    <w:t>5</w:t>
                  </w:r>
                </w:p>
              </w:tc>
              <w:tc>
                <w:tcPr>
                  <w:tcW w:w="591" w:type="pct"/>
                  <w:noWrap w:val="0"/>
                  <w:vAlign w:val="center"/>
                </w:tcPr>
                <w:p w14:paraId="6C75D748">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电</w:t>
                  </w:r>
                </w:p>
              </w:tc>
              <w:tc>
                <w:tcPr>
                  <w:tcW w:w="404" w:type="pct"/>
                  <w:noWrap w:val="0"/>
                  <w:vAlign w:val="center"/>
                </w:tcPr>
                <w:p w14:paraId="153C9706">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万kW·h</w:t>
                  </w:r>
                </w:p>
              </w:tc>
              <w:tc>
                <w:tcPr>
                  <w:tcW w:w="508" w:type="pct"/>
                  <w:noWrap w:val="0"/>
                  <w:vAlign w:val="center"/>
                </w:tcPr>
                <w:p w14:paraId="2DD6E0F1">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w:t>
                  </w:r>
                </w:p>
              </w:tc>
              <w:tc>
                <w:tcPr>
                  <w:tcW w:w="739" w:type="pct"/>
                  <w:noWrap w:val="0"/>
                  <w:vAlign w:val="center"/>
                </w:tcPr>
                <w:p w14:paraId="6F37AD59">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497" w:type="pct"/>
                  <w:noWrap w:val="0"/>
                  <w:vAlign w:val="center"/>
                </w:tcPr>
                <w:p w14:paraId="77FAB6CB">
                  <w:pPr>
                    <w:pStyle w:val="9"/>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3</w:t>
                  </w:r>
                </w:p>
              </w:tc>
              <w:tc>
                <w:tcPr>
                  <w:tcW w:w="761" w:type="pct"/>
                  <w:noWrap w:val="0"/>
                  <w:vAlign w:val="center"/>
                </w:tcPr>
                <w:p w14:paraId="44610830">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1253" w:type="pct"/>
                  <w:noWrap w:val="0"/>
                  <w:vAlign w:val="center"/>
                </w:tcPr>
                <w:p w14:paraId="0694F488">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由市政供电管网引入</w:t>
                  </w:r>
                </w:p>
              </w:tc>
            </w:tr>
            <w:tr w14:paraId="3B64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5" w:type="pct"/>
                  <w:noWrap w:val="0"/>
                  <w:vAlign w:val="center"/>
                </w:tcPr>
                <w:p w14:paraId="61B6FDFA">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6</w:t>
                  </w:r>
                </w:p>
              </w:tc>
              <w:tc>
                <w:tcPr>
                  <w:tcW w:w="591" w:type="pct"/>
                  <w:noWrap w:val="0"/>
                  <w:vAlign w:val="center"/>
                </w:tcPr>
                <w:p w14:paraId="0D8BF09F">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新鲜水</w:t>
                  </w:r>
                </w:p>
              </w:tc>
              <w:tc>
                <w:tcPr>
                  <w:tcW w:w="404" w:type="pct"/>
                  <w:noWrap w:val="0"/>
                  <w:vAlign w:val="center"/>
                </w:tcPr>
                <w:p w14:paraId="004EFC31">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万m</w:t>
                  </w:r>
                  <w:r>
                    <w:rPr>
                      <w:rFonts w:hint="default" w:ascii="Times New Roman" w:hAnsi="Times New Roman" w:eastAsia="宋体" w:cs="Times New Roman"/>
                      <w:color w:val="auto"/>
                      <w:szCs w:val="21"/>
                      <w:vertAlign w:val="superscript"/>
                    </w:rPr>
                    <w:t>3</w:t>
                  </w:r>
                </w:p>
              </w:tc>
              <w:tc>
                <w:tcPr>
                  <w:tcW w:w="508" w:type="pct"/>
                  <w:noWrap w:val="0"/>
                  <w:vAlign w:val="center"/>
                </w:tcPr>
                <w:p w14:paraId="4AA2BFFC">
                  <w:pPr>
                    <w:pStyle w:val="9"/>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szCs w:val="21"/>
                    </w:rPr>
                    <w:t>0.1</w:t>
                  </w:r>
                  <w:r>
                    <w:rPr>
                      <w:rFonts w:hint="default" w:ascii="Times New Roman" w:hAnsi="Times New Roman" w:cs="Times New Roman"/>
                      <w:color w:val="auto"/>
                      <w:szCs w:val="21"/>
                      <w:lang w:val="en-US" w:eastAsia="zh-CN"/>
                    </w:rPr>
                    <w:t>978</w:t>
                  </w:r>
                </w:p>
              </w:tc>
              <w:tc>
                <w:tcPr>
                  <w:tcW w:w="739" w:type="pct"/>
                  <w:noWrap w:val="0"/>
                  <w:vAlign w:val="center"/>
                </w:tcPr>
                <w:p w14:paraId="07E5B5C7">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497" w:type="pct"/>
                  <w:noWrap w:val="0"/>
                  <w:vAlign w:val="center"/>
                </w:tcPr>
                <w:p w14:paraId="3B1ADC66">
                  <w:pPr>
                    <w:pStyle w:val="9"/>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0.</w:t>
                  </w:r>
                  <w:r>
                    <w:rPr>
                      <w:rFonts w:hint="default" w:ascii="Times New Roman" w:hAnsi="Times New Roman" w:cs="Times New Roman"/>
                      <w:color w:val="auto"/>
                      <w:szCs w:val="21"/>
                      <w:lang w:val="en-US" w:eastAsia="zh-CN"/>
                    </w:rPr>
                    <w:t>2029</w:t>
                  </w:r>
                </w:p>
              </w:tc>
              <w:tc>
                <w:tcPr>
                  <w:tcW w:w="761" w:type="pct"/>
                  <w:noWrap w:val="0"/>
                  <w:vAlign w:val="center"/>
                </w:tcPr>
                <w:p w14:paraId="479084C4">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c>
                <w:tcPr>
                  <w:tcW w:w="1253" w:type="pct"/>
                  <w:noWrap w:val="0"/>
                  <w:vAlign w:val="center"/>
                </w:tcPr>
                <w:p w14:paraId="585D8021">
                  <w:pPr>
                    <w:pStyle w:val="9"/>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由市政供水管网引入</w:t>
                  </w:r>
                </w:p>
              </w:tc>
            </w:tr>
            <w:tr w14:paraId="13FD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8"/>
                  <w:noWrap w:val="0"/>
                  <w:vAlign w:val="center"/>
                </w:tcPr>
                <w:p w14:paraId="6D696BC7">
                  <w:pPr>
                    <w:adjustRightInd w:val="0"/>
                    <w:snapToGrid w:val="0"/>
                    <w:ind w:left="420" w:hanging="420" w:hangingChars="200"/>
                    <w:rPr>
                      <w:rFonts w:hint="default" w:ascii="Times New Roman" w:hAnsi="Times New Roman" w:eastAsia="宋体" w:cs="Times New Roman"/>
                      <w:color w:val="auto"/>
                      <w:szCs w:val="22"/>
                    </w:rPr>
                  </w:pPr>
                  <w:r>
                    <w:rPr>
                      <w:rFonts w:hint="default" w:ascii="Times New Roman" w:hAnsi="Times New Roman" w:eastAsia="宋体" w:cs="Times New Roman"/>
                      <w:bCs/>
                      <w:color w:val="auto"/>
                      <w:szCs w:val="22"/>
                    </w:rPr>
                    <w:t>注：①</w:t>
                  </w:r>
                  <w:r>
                    <w:rPr>
                      <w:rFonts w:hint="default" w:ascii="Times New Roman" w:hAnsi="Times New Roman" w:eastAsia="宋体" w:cs="Times New Roman"/>
                      <w:color w:val="auto"/>
                      <w:szCs w:val="22"/>
                    </w:rPr>
                    <w:t>92#汽油密度为0.725g/mL、95#汽油密度为0.737g/mL</w:t>
                  </w:r>
                  <w:r>
                    <w:rPr>
                      <w:rFonts w:hint="default" w:ascii="Times New Roman" w:hAnsi="Times New Roman" w:cs="Times New Roman"/>
                      <w:color w:val="auto"/>
                      <w:szCs w:val="22"/>
                      <w:lang w:eastAsia="zh-CN"/>
                    </w:rPr>
                    <w:t>、98#汽油密度为0.74g/mL</w:t>
                  </w:r>
                  <w:r>
                    <w:rPr>
                      <w:rFonts w:hint="default" w:ascii="Times New Roman" w:hAnsi="Times New Roman" w:eastAsia="宋体" w:cs="Times New Roman"/>
                      <w:color w:val="auto"/>
                      <w:szCs w:val="22"/>
                    </w:rPr>
                    <w:t>、0#柴油密度为0.840g/mL；</w:t>
                  </w:r>
                </w:p>
                <w:p w14:paraId="051B0C0B">
                  <w:pPr>
                    <w:adjustRightInd w:val="0"/>
                    <w:snapToGrid w:val="0"/>
                    <w:ind w:left="420" w:leftChars="200"/>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2"/>
                    </w:rPr>
                    <w:t>②汽柴油充装系数为0.85，柴油充装系数0.90。</w:t>
                  </w:r>
                </w:p>
              </w:tc>
            </w:tr>
          </w:tbl>
          <w:p w14:paraId="7AE4B47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2.2.6水平衡</w:t>
            </w:r>
          </w:p>
          <w:p w14:paraId="7941AB24">
            <w:pPr>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本项目</w:t>
            </w:r>
            <w:r>
              <w:rPr>
                <w:rFonts w:hint="eastAsia" w:cs="Times New Roman"/>
                <w:bCs/>
                <w:color w:val="auto"/>
                <w:sz w:val="24"/>
                <w:highlight w:val="none"/>
                <w:lang w:eastAsia="zh-CN"/>
              </w:rPr>
              <w:t>不新增占地，本次改扩建仅涉及埋地油罐区，其他工程内容不变。站区场地冲洗水、初期雨水和洗车废水等产生量不变。</w:t>
            </w:r>
            <w:r>
              <w:rPr>
                <w:rFonts w:hint="default" w:ascii="Times New Roman" w:hAnsi="Times New Roman" w:eastAsia="宋体" w:cs="Times New Roman"/>
                <w:bCs/>
                <w:color w:val="auto"/>
                <w:sz w:val="24"/>
                <w:highlight w:val="none"/>
              </w:rPr>
              <w:t>生活污水主要是员工生活污水、驾乘人员产生的生活污水。加油</w:t>
            </w:r>
            <w:r>
              <w:rPr>
                <w:rFonts w:hint="default" w:ascii="Times New Roman" w:hAnsi="Times New Roman" w:cs="Times New Roman"/>
                <w:bCs/>
                <w:color w:val="auto"/>
                <w:sz w:val="24"/>
                <w:highlight w:val="none"/>
                <w:lang w:eastAsia="zh-CN"/>
              </w:rPr>
              <w:t>站</w:t>
            </w:r>
            <w:r>
              <w:rPr>
                <w:rFonts w:hint="default" w:ascii="Times New Roman" w:hAnsi="Times New Roman" w:eastAsia="宋体" w:cs="Times New Roman"/>
                <w:bCs/>
                <w:color w:val="auto"/>
                <w:sz w:val="24"/>
                <w:highlight w:val="none"/>
              </w:rPr>
              <w:t>扩建前后劳动定员不变，驾乘人员由</w:t>
            </w:r>
            <w:r>
              <w:rPr>
                <w:rFonts w:hint="default" w:ascii="Times New Roman" w:hAnsi="Times New Roman" w:cs="Times New Roman"/>
                <w:bCs/>
                <w:color w:val="auto"/>
                <w:sz w:val="24"/>
                <w:highlight w:val="none"/>
                <w:lang w:val="en-US" w:eastAsia="zh-CN"/>
              </w:rPr>
              <w:t>230</w:t>
            </w:r>
            <w:r>
              <w:rPr>
                <w:rFonts w:hint="default" w:ascii="Times New Roman" w:hAnsi="Times New Roman" w:eastAsia="宋体" w:cs="Times New Roman"/>
                <w:bCs/>
                <w:color w:val="auto"/>
                <w:sz w:val="24"/>
                <w:highlight w:val="none"/>
              </w:rPr>
              <w:t>人增加到</w:t>
            </w:r>
            <w:r>
              <w:rPr>
                <w:rFonts w:hint="default" w:ascii="Times New Roman" w:hAnsi="Times New Roman" w:cs="Times New Roman"/>
                <w:bCs/>
                <w:color w:val="auto"/>
                <w:sz w:val="24"/>
                <w:highlight w:val="none"/>
                <w:lang w:val="en-US" w:eastAsia="zh-CN"/>
              </w:rPr>
              <w:t>300</w:t>
            </w:r>
            <w:r>
              <w:rPr>
                <w:rFonts w:hint="default" w:ascii="Times New Roman" w:hAnsi="Times New Roman" w:eastAsia="宋体" w:cs="Times New Roman"/>
                <w:bCs/>
                <w:color w:val="auto"/>
                <w:sz w:val="24"/>
                <w:highlight w:val="none"/>
              </w:rPr>
              <w:t>人。污水排水量按用水量的</w:t>
            </w:r>
            <w:r>
              <w:rPr>
                <w:rFonts w:hint="default" w:ascii="Times New Roman" w:hAnsi="Times New Roman" w:eastAsia="宋体" w:cs="Times New Roman"/>
                <w:bCs/>
                <w:color w:val="auto"/>
                <w:sz w:val="24"/>
                <w:highlight w:val="none"/>
                <w:lang w:val="en-US" w:eastAsia="zh-CN"/>
              </w:rPr>
              <w:t>85</w:t>
            </w:r>
            <w:r>
              <w:rPr>
                <w:rFonts w:hint="default" w:ascii="Times New Roman" w:hAnsi="Times New Roman" w:eastAsia="宋体" w:cs="Times New Roman"/>
                <w:bCs/>
                <w:color w:val="auto"/>
                <w:sz w:val="24"/>
                <w:highlight w:val="none"/>
              </w:rPr>
              <w:t>%计算。本项目实施后营运期用水量、排水量情况详见表</w:t>
            </w:r>
            <w:r>
              <w:rPr>
                <w:rFonts w:hint="default" w:ascii="Times New Roman" w:hAnsi="Times New Roman" w:eastAsia="宋体" w:cs="Times New Roman"/>
                <w:bCs/>
                <w:color w:val="auto"/>
                <w:sz w:val="24"/>
                <w:highlight w:val="none"/>
                <w:lang w:val="en-US" w:eastAsia="zh-CN"/>
              </w:rPr>
              <w:t>2.2-7</w:t>
            </w:r>
            <w:r>
              <w:rPr>
                <w:rFonts w:hint="default" w:ascii="Times New Roman" w:hAnsi="Times New Roman" w:eastAsia="宋体" w:cs="Times New Roman"/>
                <w:bCs/>
                <w:color w:val="auto"/>
                <w:sz w:val="24"/>
                <w:highlight w:val="none"/>
              </w:rPr>
              <w:t>；本项目营运期水平衡见图2.</w:t>
            </w:r>
            <w:r>
              <w:rPr>
                <w:rFonts w:hint="default" w:ascii="Times New Roman" w:hAnsi="Times New Roman" w:eastAsia="宋体"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-1。</w:t>
            </w:r>
          </w:p>
          <w:p w14:paraId="5F9131B1">
            <w:pPr>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（1）生活用水</w:t>
            </w:r>
          </w:p>
          <w:p w14:paraId="32B3DA57">
            <w:pPr>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站内劳动定员</w:t>
            </w:r>
            <w:r>
              <w:rPr>
                <w:rFonts w:hint="default" w:ascii="Times New Roman" w:hAnsi="Times New Roman" w:eastAsia="宋体" w:cs="Times New Roman"/>
                <w:bCs/>
                <w:color w:val="auto"/>
                <w:sz w:val="24"/>
                <w:highlight w:val="none"/>
                <w:lang w:val="en-US" w:eastAsia="zh-CN"/>
              </w:rPr>
              <w:t>9</w:t>
            </w:r>
            <w:r>
              <w:rPr>
                <w:rFonts w:hint="default" w:ascii="Times New Roman" w:hAnsi="Times New Roman" w:eastAsia="宋体" w:cs="Times New Roman"/>
                <w:bCs/>
                <w:color w:val="auto"/>
                <w:sz w:val="24"/>
                <w:highlight w:val="none"/>
              </w:rPr>
              <w:t>人，职工仅在加油站设置的食堂内热饭，不会产生食堂废水，其用水量按50L/人·次计；驾乘人员按</w:t>
            </w:r>
            <w:r>
              <w:rPr>
                <w:rFonts w:hint="default" w:ascii="Times New Roman" w:hAnsi="Times New Roman" w:cs="Times New Roman"/>
                <w:bCs/>
                <w:color w:val="auto"/>
                <w:sz w:val="24"/>
                <w:highlight w:val="none"/>
                <w:lang w:val="en-US" w:eastAsia="zh-CN"/>
              </w:rPr>
              <w:t>300</w:t>
            </w:r>
            <w:r>
              <w:rPr>
                <w:rFonts w:hint="default" w:ascii="Times New Roman" w:hAnsi="Times New Roman" w:eastAsia="宋体" w:cs="Times New Roman"/>
                <w:bCs/>
                <w:color w:val="auto"/>
                <w:sz w:val="24"/>
                <w:highlight w:val="none"/>
              </w:rPr>
              <w:t>人/d计，按照20%需要去卫生间，其用水量按10L/人·次计，则员工用水为</w:t>
            </w:r>
            <w:r>
              <w:rPr>
                <w:rFonts w:hint="default" w:ascii="Times New Roman" w:hAnsi="Times New Roman" w:eastAsia="宋体" w:cs="Times New Roman"/>
                <w:bCs/>
                <w:color w:val="auto"/>
                <w:sz w:val="24"/>
                <w:highlight w:val="none"/>
                <w:lang w:val="en-US" w:eastAsia="zh-CN"/>
              </w:rPr>
              <w:t>0.45</w:t>
            </w:r>
            <w:r>
              <w:rPr>
                <w:rFonts w:hint="default" w:ascii="Times New Roman" w:hAnsi="Times New Roman" w:cs="Times New Roman"/>
                <w:bCs/>
                <w:color w:val="auto"/>
                <w:sz w:val="24"/>
                <w:highlight w:val="none"/>
                <w:lang w:val="en-US" w:eastAsia="zh-CN"/>
              </w:rPr>
              <w:t>0</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w:t>
            </w:r>
            <w:r>
              <w:rPr>
                <w:rFonts w:hint="default" w:ascii="Times New Roman" w:hAnsi="Times New Roman" w:eastAsia="宋体" w:cs="Times New Roman"/>
                <w:bCs/>
                <w:color w:val="auto"/>
                <w:sz w:val="24"/>
                <w:highlight w:val="none"/>
                <w:lang w:val="en-US" w:eastAsia="zh-CN"/>
              </w:rPr>
              <w:t>164.25</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/a）</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驾乘人员用水为</w:t>
            </w:r>
            <w:r>
              <w:rPr>
                <w:rFonts w:hint="default" w:ascii="Times New Roman" w:hAnsi="Times New Roman" w:cs="Times New Roman"/>
                <w:bCs/>
                <w:color w:val="auto"/>
                <w:sz w:val="24"/>
                <w:highlight w:val="none"/>
                <w:lang w:val="en-US" w:eastAsia="zh-CN"/>
              </w:rPr>
              <w:t>0.60</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w:t>
            </w:r>
            <w:r>
              <w:rPr>
                <w:rFonts w:hint="default" w:ascii="Times New Roman" w:hAnsi="Times New Roman" w:cs="Times New Roman"/>
                <w:bCs/>
                <w:color w:val="auto"/>
                <w:sz w:val="24"/>
                <w:highlight w:val="none"/>
                <w:lang w:val="en-US" w:eastAsia="zh-CN"/>
              </w:rPr>
              <w:t>219.0</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/a）。污水产生系数按0.</w:t>
            </w:r>
            <w:r>
              <w:rPr>
                <w:rFonts w:hint="default" w:ascii="Times New Roman" w:hAnsi="Times New Roman" w:eastAsia="宋体" w:cs="Times New Roman"/>
                <w:bCs/>
                <w:color w:val="auto"/>
                <w:sz w:val="24"/>
                <w:highlight w:val="none"/>
                <w:lang w:val="en-US" w:eastAsia="zh-CN"/>
              </w:rPr>
              <w:t>85</w:t>
            </w:r>
            <w:r>
              <w:rPr>
                <w:rFonts w:hint="default" w:ascii="Times New Roman" w:hAnsi="Times New Roman" w:eastAsia="宋体" w:cs="Times New Roman"/>
                <w:bCs/>
                <w:color w:val="auto"/>
                <w:sz w:val="24"/>
                <w:highlight w:val="none"/>
              </w:rPr>
              <w:t>计，员工生活污水产生量为</w:t>
            </w:r>
            <w:r>
              <w:rPr>
                <w:rFonts w:hint="default" w:ascii="Times New Roman" w:hAnsi="Times New Roman" w:eastAsia="宋体" w:cs="Times New Roman"/>
                <w:bCs/>
                <w:color w:val="auto"/>
                <w:sz w:val="24"/>
                <w:highlight w:val="none"/>
                <w:lang w:val="en-US" w:eastAsia="zh-CN"/>
              </w:rPr>
              <w:t>0.383</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 （</w:t>
            </w:r>
            <w:r>
              <w:rPr>
                <w:rFonts w:hint="default" w:ascii="Times New Roman" w:hAnsi="Times New Roman" w:eastAsia="宋体" w:cs="Times New Roman"/>
                <w:bCs/>
                <w:color w:val="auto"/>
                <w:sz w:val="24"/>
                <w:highlight w:val="none"/>
                <w:lang w:val="en-US" w:eastAsia="zh-CN"/>
              </w:rPr>
              <w:t>139.613</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/a），驾乘人员生活污水产生量</w:t>
            </w:r>
            <w:r>
              <w:rPr>
                <w:rFonts w:hint="default" w:ascii="Times New Roman" w:hAnsi="Times New Roman" w:eastAsia="宋体" w:cs="Times New Roman"/>
                <w:bCs/>
                <w:color w:val="auto"/>
                <w:sz w:val="24"/>
                <w:highlight w:val="none"/>
                <w:lang w:val="en-US" w:eastAsia="zh-CN"/>
              </w:rPr>
              <w:t>0.</w:t>
            </w:r>
            <w:r>
              <w:rPr>
                <w:rFonts w:hint="default" w:ascii="Times New Roman" w:hAnsi="Times New Roman" w:cs="Times New Roman"/>
                <w:bCs/>
                <w:color w:val="auto"/>
                <w:sz w:val="24"/>
                <w:highlight w:val="none"/>
                <w:lang w:val="en-US" w:eastAsia="zh-CN"/>
              </w:rPr>
              <w:t>510</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 （</w:t>
            </w:r>
            <w:r>
              <w:rPr>
                <w:rFonts w:hint="default" w:ascii="Times New Roman" w:hAnsi="Times New Roman" w:cs="Times New Roman"/>
                <w:bCs/>
                <w:color w:val="auto"/>
                <w:sz w:val="24"/>
                <w:highlight w:val="none"/>
                <w:lang w:val="en-US" w:eastAsia="zh-CN"/>
              </w:rPr>
              <w:t>186.15</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/a）。</w:t>
            </w:r>
          </w:p>
          <w:p w14:paraId="7A42E0AE">
            <w:pPr>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（2）场地冲洗用水</w:t>
            </w:r>
          </w:p>
          <w:p w14:paraId="0AE17B94">
            <w:pPr>
              <w:snapToGrid w:val="0"/>
              <w:spacing w:line="360" w:lineRule="auto"/>
              <w:ind w:firstLine="480" w:firstLineChars="200"/>
              <w:rPr>
                <w:rFonts w:hint="default" w:ascii="Times New Roman" w:hAnsi="Times New Roman" w:eastAsia="宋体" w:cs="Times New Roman"/>
                <w:bCs/>
                <w:color w:val="auto"/>
                <w:sz w:val="24"/>
                <w:highlight w:val="cyan"/>
              </w:rPr>
            </w:pPr>
            <w:r>
              <w:rPr>
                <w:rFonts w:hint="default" w:ascii="Times New Roman" w:hAnsi="Times New Roman" w:eastAsia="宋体" w:cs="Times New Roman"/>
                <w:color w:val="auto"/>
                <w:sz w:val="24"/>
                <w:szCs w:val="24"/>
                <w:highlight w:val="none"/>
                <w:lang w:val="en-US" w:eastAsia="zh-CN"/>
              </w:rPr>
              <w:t>本项目不新增占地，冲洗场地面积未增加，本项目不会新增场地冲洗废水。本项目实施后，</w:t>
            </w:r>
            <w:r>
              <w:rPr>
                <w:rFonts w:hint="default" w:ascii="Times New Roman" w:hAnsi="Times New Roman" w:eastAsia="宋体" w:cs="Times New Roman"/>
                <w:color w:val="auto"/>
                <w:sz w:val="24"/>
                <w:szCs w:val="24"/>
                <w:highlight w:val="none"/>
              </w:rPr>
              <w:t>根据项目实际情况并参照《建筑给排水设计规范》（GB50015-2003）中停车库地面冲洗水2</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3L/（m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·次</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，本次评价场地冲洗用水量按</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L/（m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·次</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计，冲洗面积约</w:t>
            </w:r>
            <w:r>
              <w:rPr>
                <w:rFonts w:hint="default" w:ascii="Times New Roman" w:hAnsi="Times New Roman" w:eastAsia="宋体" w:cs="Times New Roman"/>
                <w:color w:val="auto"/>
                <w:sz w:val="24"/>
                <w:szCs w:val="24"/>
                <w:highlight w:val="none"/>
                <w:lang w:val="en-US" w:eastAsia="zh-CN"/>
              </w:rPr>
              <w:t>1200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，每5d冲洗一次，则年用水量为</w:t>
            </w:r>
            <w:r>
              <w:rPr>
                <w:rFonts w:hint="default" w:ascii="Times New Roman" w:hAnsi="Times New Roman" w:eastAsia="宋体" w:cs="Times New Roman"/>
                <w:color w:val="auto"/>
                <w:sz w:val="24"/>
                <w:szCs w:val="24"/>
                <w:highlight w:val="none"/>
                <w:lang w:val="en-US" w:eastAsia="zh-CN"/>
              </w:rPr>
              <w:t>175.2</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/次），排污系数取0.9，则排水量约为</w:t>
            </w:r>
            <w:r>
              <w:rPr>
                <w:rFonts w:hint="default" w:ascii="Times New Roman" w:hAnsi="Times New Roman" w:eastAsia="宋体" w:cs="Times New Roman"/>
                <w:color w:val="auto"/>
                <w:sz w:val="24"/>
                <w:szCs w:val="24"/>
                <w:highlight w:val="none"/>
                <w:lang w:val="en-US" w:eastAsia="zh-CN"/>
              </w:rPr>
              <w:t>157.680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val="en-US" w:eastAsia="zh-CN"/>
              </w:rPr>
              <w:t>2.16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/次）。</w:t>
            </w:r>
          </w:p>
          <w:p w14:paraId="5A466B23">
            <w:pPr>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（3）洗车用水</w:t>
            </w:r>
          </w:p>
          <w:p w14:paraId="35AED5A0">
            <w:pPr>
              <w:numPr>
                <w:ilvl w:val="0"/>
                <w:numId w:val="0"/>
              </w:numPr>
              <w:snapToGrid w:val="0"/>
              <w:spacing w:line="360" w:lineRule="auto"/>
              <w:ind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eastAsia="宋体" w:cs="Times New Roman"/>
                <w:bCs/>
                <w:color w:val="auto"/>
                <w:sz w:val="24"/>
                <w:highlight w:val="none"/>
              </w:rPr>
              <w:t>本项目为小型车辆提供</w:t>
            </w:r>
            <w:r>
              <w:rPr>
                <w:rFonts w:hint="default" w:ascii="Times New Roman" w:hAnsi="Times New Roman" w:eastAsia="宋体" w:cs="Times New Roman"/>
                <w:bCs/>
                <w:color w:val="auto"/>
                <w:sz w:val="24"/>
                <w:highlight w:val="none"/>
                <w:lang w:val="en-US" w:eastAsia="zh-CN"/>
              </w:rPr>
              <w:t>自动</w:t>
            </w:r>
            <w:r>
              <w:rPr>
                <w:rFonts w:hint="default" w:ascii="Times New Roman" w:hAnsi="Times New Roman" w:eastAsia="宋体" w:cs="Times New Roman"/>
                <w:bCs/>
                <w:color w:val="auto"/>
                <w:sz w:val="24"/>
                <w:highlight w:val="none"/>
              </w:rPr>
              <w:t>洗车服务，</w:t>
            </w:r>
            <w:r>
              <w:rPr>
                <w:rFonts w:hint="default" w:ascii="Times New Roman" w:hAnsi="Times New Roman" w:eastAsia="宋体" w:cs="Times New Roman"/>
                <w:b w:val="0"/>
                <w:bCs/>
                <w:color w:val="auto"/>
                <w:sz w:val="24"/>
                <w:szCs w:val="24"/>
                <w:highlight w:val="none"/>
                <w:lang w:val="en-US" w:eastAsia="zh-CN"/>
              </w:rPr>
              <w:t>根据《重庆市城市生活用水定额》（2017年修订版），小型车清洗用量定额为40L/（辆</w:t>
            </w:r>
            <w:r>
              <w:rPr>
                <w:rFonts w:hint="default" w:ascii="Times New Roman" w:hAnsi="Times New Roman" w:eastAsia="宋体" w:cs="Times New Roman"/>
                <w:color w:val="auto"/>
                <w:sz w:val="24"/>
                <w:szCs w:val="24"/>
                <w:highlight w:val="none"/>
              </w:rPr>
              <w:t>·次</w:t>
            </w:r>
            <w:r>
              <w:rPr>
                <w:rFonts w:hint="default" w:ascii="Times New Roman" w:hAnsi="Times New Roman" w:eastAsia="宋体" w:cs="Times New Roman"/>
                <w:b w:val="0"/>
                <w:bCs/>
                <w:color w:val="auto"/>
                <w:sz w:val="24"/>
                <w:szCs w:val="24"/>
                <w:highlight w:val="none"/>
                <w:lang w:val="en-US" w:eastAsia="zh-CN"/>
              </w:rPr>
              <w:t>）</w:t>
            </w:r>
            <w:r>
              <w:rPr>
                <w:rFonts w:hint="default" w:ascii="Times New Roman" w:hAnsi="Times New Roman" w:eastAsia="宋体" w:cs="Times New Roman"/>
                <w:bCs/>
                <w:color w:val="auto"/>
                <w:sz w:val="24"/>
                <w:szCs w:val="20"/>
                <w:highlight w:val="none"/>
              </w:rPr>
              <w:t>，</w:t>
            </w:r>
            <w:r>
              <w:rPr>
                <w:rFonts w:hint="default" w:ascii="Times New Roman" w:hAnsi="Times New Roman" w:eastAsia="宋体" w:cs="Times New Roman"/>
                <w:bCs/>
                <w:color w:val="auto"/>
                <w:sz w:val="24"/>
                <w:highlight w:val="none"/>
              </w:rPr>
              <w:t>本项目设计的洗车辆为</w:t>
            </w:r>
            <w:r>
              <w:rPr>
                <w:rFonts w:hint="default" w:ascii="Times New Roman" w:hAnsi="Times New Roman" w:eastAsia="宋体" w:cs="Times New Roman"/>
                <w:bCs/>
                <w:color w:val="auto"/>
                <w:sz w:val="24"/>
                <w:highlight w:val="none"/>
                <w:lang w:val="en-US" w:eastAsia="zh-CN"/>
              </w:rPr>
              <w:t>1</w:t>
            </w:r>
            <w:r>
              <w:rPr>
                <w:rFonts w:hint="default" w:ascii="Times New Roman" w:hAnsi="Times New Roman" w:eastAsia="宋体" w:cs="Times New Roman"/>
                <w:bCs/>
                <w:color w:val="auto"/>
                <w:sz w:val="24"/>
                <w:highlight w:val="none"/>
              </w:rPr>
              <w:t>00辆/d，则项目洗车用水量</w:t>
            </w:r>
            <w:r>
              <w:rPr>
                <w:rFonts w:hint="default" w:ascii="Times New Roman" w:hAnsi="Times New Roman" w:eastAsia="宋体" w:cs="Times New Roman"/>
                <w:bCs/>
                <w:color w:val="auto"/>
                <w:sz w:val="24"/>
                <w:highlight w:val="none"/>
                <w:lang w:val="en-US" w:eastAsia="zh-CN"/>
              </w:rPr>
              <w:t>4</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/d，产污系数为0.9计，洗车废水产生量约</w:t>
            </w:r>
            <w:r>
              <w:rPr>
                <w:rFonts w:hint="default" w:ascii="Times New Roman" w:hAnsi="Times New Roman" w:eastAsia="宋体" w:cs="Times New Roman"/>
                <w:bCs/>
                <w:color w:val="auto"/>
                <w:sz w:val="24"/>
                <w:highlight w:val="none"/>
                <w:lang w:val="en-US" w:eastAsia="zh-CN"/>
              </w:rPr>
              <w:t>3.6</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/d。洗车废水经</w:t>
            </w:r>
            <w:r>
              <w:rPr>
                <w:rFonts w:hint="eastAsia" w:cs="Times New Roman"/>
                <w:bCs/>
                <w:color w:val="auto"/>
                <w:sz w:val="24"/>
                <w:highlight w:val="none"/>
                <w:lang w:val="en-US" w:eastAsia="zh-CN"/>
              </w:rPr>
              <w:t>三段式隔油池</w:t>
            </w:r>
            <w:r>
              <w:rPr>
                <w:rFonts w:hint="default" w:ascii="Times New Roman" w:hAnsi="Times New Roman" w:eastAsia="宋体" w:cs="Times New Roman"/>
                <w:bCs/>
                <w:color w:val="auto"/>
                <w:sz w:val="24"/>
                <w:highlight w:val="none"/>
              </w:rPr>
              <w:t>处理后</w:t>
            </w:r>
            <w:r>
              <w:rPr>
                <w:rFonts w:hint="default" w:ascii="Times New Roman" w:hAnsi="Times New Roman" w:eastAsia="宋体" w:cs="Times New Roman"/>
                <w:bCs/>
                <w:color w:val="auto"/>
                <w:sz w:val="24"/>
                <w:highlight w:val="none"/>
                <w:lang w:val="en-US" w:eastAsia="zh-CN"/>
              </w:rPr>
              <w:t>排入市政污水管网。</w:t>
            </w:r>
          </w:p>
          <w:p w14:paraId="4CB3F4EA">
            <w:pPr>
              <w:pStyle w:val="62"/>
              <w:spacing w:line="360" w:lineRule="auto"/>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（4）绿化用水</w:t>
            </w:r>
          </w:p>
          <w:p w14:paraId="50CEC7D4">
            <w:pPr>
              <w:pStyle w:val="62"/>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val="en-US" w:eastAsia="zh-CN"/>
              </w:rPr>
              <w:t>未新增绿化面积，本项目实施后，整个加油站绿化面积不变。</w:t>
            </w:r>
            <w:r>
              <w:rPr>
                <w:rFonts w:hint="default" w:ascii="Times New Roman" w:hAnsi="Times New Roman" w:eastAsia="宋体" w:cs="Times New Roman"/>
                <w:color w:val="auto"/>
                <w:sz w:val="24"/>
                <w:szCs w:val="24"/>
                <w:highlight w:val="none"/>
              </w:rPr>
              <w:t>本项目绿化面积约</w:t>
            </w:r>
            <w:r>
              <w:rPr>
                <w:rFonts w:hint="default"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，绿化用水量按2L/</w:t>
            </w:r>
            <w:r>
              <w:rPr>
                <w:rFonts w:hint="eastAsia" w:cs="Times New Roman"/>
                <w:i w:val="0"/>
                <w:iCs w:val="0"/>
                <w:color w:val="auto"/>
                <w:kern w:val="0"/>
                <w:sz w:val="24"/>
                <w:szCs w:val="24"/>
                <w:u w:val="none"/>
                <w:lang w:val="en-US" w:eastAsia="zh-CN" w:bidi="ar"/>
              </w:rPr>
              <w:t>（</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·次</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计，每7d浇水一次，则年用水量</w:t>
            </w:r>
            <w:r>
              <w:rPr>
                <w:rFonts w:hint="default" w:ascii="Times New Roman" w:hAnsi="Times New Roman" w:eastAsia="宋体" w:cs="Times New Roman"/>
                <w:color w:val="auto"/>
                <w:sz w:val="24"/>
                <w:szCs w:val="24"/>
                <w:highlight w:val="none"/>
                <w:lang w:val="en-US" w:eastAsia="zh-CN"/>
              </w:rPr>
              <w:t>约10.429</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val="en-US" w:eastAsia="zh-CN"/>
              </w:rPr>
              <w:t>0.2</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/次）。</w:t>
            </w:r>
          </w:p>
          <w:p w14:paraId="4D8CD34E">
            <w:pPr>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5</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初期雨水</w:t>
            </w:r>
          </w:p>
          <w:p w14:paraId="152E9032">
            <w:pPr>
              <w:snapToGrid w:val="0"/>
              <w:spacing w:line="360" w:lineRule="auto"/>
              <w:ind w:firstLine="480" w:firstLineChars="200"/>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 xml:space="preserve">初期雨水量按以下公式计算： </w:t>
            </w:r>
          </w:p>
          <w:p w14:paraId="635EEF0D">
            <w:pPr>
              <w:snapToGrid w:val="0"/>
              <w:spacing w:line="360" w:lineRule="auto"/>
              <w:ind w:firstLine="480" w:firstLineChars="200"/>
              <w:jc w:val="center"/>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Q=φ·q·F</w:t>
            </w:r>
          </w:p>
          <w:p w14:paraId="3D2B0A48">
            <w:pPr>
              <w:snapToGrid w:val="0"/>
              <w:spacing w:line="240" w:lineRule="auto"/>
              <w:ind w:firstLine="480" w:firstLineChars="200"/>
              <w:jc w:val="center"/>
              <w:rPr>
                <w:rFonts w:hint="default" w:ascii="Times New Roman" w:hAnsi="Times New Roman" w:eastAsia="宋体" w:cs="Times New Roman"/>
                <w:bCs/>
                <w:color w:val="auto"/>
                <w:sz w:val="24"/>
                <w:szCs w:val="20"/>
                <w:highlight w:val="none"/>
              </w:rPr>
            </w:pPr>
          </w:p>
          <w:p w14:paraId="11078F35">
            <w:pPr>
              <w:snapToGrid w:val="0"/>
              <w:spacing w:line="360" w:lineRule="auto"/>
              <w:ind w:firstLine="480" w:firstLineChars="200"/>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 xml:space="preserve">式中：Q——雨水流量，L/s； </w:t>
            </w:r>
          </w:p>
          <w:p w14:paraId="39ED7FFD">
            <w:pPr>
              <w:snapToGrid w:val="0"/>
              <w:spacing w:line="360" w:lineRule="auto"/>
              <w:ind w:firstLine="480" w:firstLineChars="200"/>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φ—径流系数，</w:t>
            </w:r>
            <w:r>
              <w:rPr>
                <w:rFonts w:hint="default" w:ascii="Times New Roman" w:hAnsi="Times New Roman" w:eastAsia="宋体" w:cs="Times New Roman"/>
                <w:bCs/>
                <w:color w:val="auto"/>
                <w:sz w:val="24"/>
                <w:szCs w:val="20"/>
                <w:highlight w:val="none"/>
                <w:lang w:val="en-US" w:eastAsia="zh-CN"/>
              </w:rPr>
              <w:t>本</w:t>
            </w:r>
            <w:r>
              <w:rPr>
                <w:rFonts w:hint="default" w:ascii="Times New Roman" w:hAnsi="Times New Roman" w:eastAsia="宋体" w:cs="Times New Roman"/>
                <w:bCs/>
                <w:color w:val="auto"/>
                <w:sz w:val="24"/>
                <w:szCs w:val="20"/>
                <w:highlight w:val="none"/>
              </w:rPr>
              <w:t xml:space="preserve">项目为混凝土路面，取值为 0.85~0.95，本评价取中间值0.9； </w:t>
            </w:r>
          </w:p>
          <w:p w14:paraId="56D8028C">
            <w:pPr>
              <w:snapToGrid w:val="0"/>
              <w:spacing w:line="360" w:lineRule="auto"/>
              <w:ind w:firstLine="480" w:firstLineChars="200"/>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q——设计暴雨强度，L/s·hm</w:t>
            </w:r>
            <w:r>
              <w:rPr>
                <w:rFonts w:hint="default" w:ascii="Times New Roman" w:hAnsi="Times New Roman" w:eastAsia="宋体" w:cs="Times New Roman"/>
                <w:bCs/>
                <w:color w:val="auto"/>
                <w:sz w:val="24"/>
                <w:szCs w:val="20"/>
                <w:highlight w:val="none"/>
                <w:vertAlign w:val="superscript"/>
              </w:rPr>
              <w:t>2</w:t>
            </w:r>
            <w:r>
              <w:rPr>
                <w:rFonts w:hint="default" w:ascii="Times New Roman" w:hAnsi="Times New Roman" w:eastAsia="宋体" w:cs="Times New Roman"/>
                <w:bCs/>
                <w:color w:val="auto"/>
                <w:sz w:val="24"/>
                <w:szCs w:val="20"/>
                <w:highlight w:val="none"/>
              </w:rPr>
              <w:t xml:space="preserve">； </w:t>
            </w:r>
          </w:p>
          <w:p w14:paraId="3FFB6237">
            <w:pPr>
              <w:snapToGrid w:val="0"/>
              <w:spacing w:line="360" w:lineRule="auto"/>
              <w:ind w:firstLine="480" w:firstLineChars="200"/>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F——汇水面积，hm</w:t>
            </w:r>
            <w:r>
              <w:rPr>
                <w:rFonts w:hint="default" w:ascii="Times New Roman" w:hAnsi="Times New Roman" w:eastAsia="宋体" w:cs="Times New Roman"/>
                <w:bCs/>
                <w:color w:val="auto"/>
                <w:sz w:val="24"/>
                <w:szCs w:val="20"/>
                <w:highlight w:val="none"/>
                <w:vertAlign w:val="superscript"/>
              </w:rPr>
              <w:t>2</w:t>
            </w:r>
            <w:r>
              <w:rPr>
                <w:rFonts w:hint="default" w:ascii="Times New Roman" w:hAnsi="Times New Roman" w:eastAsia="宋体" w:cs="Times New Roman"/>
                <w:bCs/>
                <w:color w:val="auto"/>
                <w:sz w:val="24"/>
                <w:szCs w:val="20"/>
                <w:highlight w:val="none"/>
              </w:rPr>
              <w:t xml:space="preserve">。 </w:t>
            </w:r>
          </w:p>
          <w:p w14:paraId="00344BA8">
            <w:pPr>
              <w:snapToGrid w:val="0"/>
              <w:spacing w:line="360" w:lineRule="auto"/>
              <w:ind w:firstLine="480" w:firstLineChars="200"/>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 xml:space="preserve">根据《重庆市暴雨强度修订公式与设计暴雨雨型》（渝建〔2017〕443 号） </w:t>
            </w:r>
          </w:p>
          <w:p w14:paraId="1D443428">
            <w:pPr>
              <w:snapToGrid w:val="0"/>
              <w:spacing w:line="360" w:lineRule="auto"/>
              <w:ind w:firstLine="480" w:firstLineChars="200"/>
              <w:jc w:val="both"/>
              <w:rPr>
                <w:rFonts w:hint="default" w:ascii="Times New Roman" w:hAnsi="Times New Roman" w:eastAsia="宋体" w:cs="Times New Roman"/>
                <w:bCs/>
                <w:color w:val="auto"/>
                <w:sz w:val="24"/>
                <w:highlight w:val="none"/>
                <w:lang w:eastAsia="zh-CN"/>
              </w:rPr>
            </w:pPr>
            <w:r>
              <w:rPr>
                <w:rFonts w:hint="default" w:ascii="Times New Roman" w:hAnsi="Times New Roman" w:eastAsia="宋体" w:cs="Times New Roman"/>
                <w:bCs/>
                <w:color w:val="auto"/>
                <w:sz w:val="24"/>
                <w:highlight w:val="none"/>
              </w:rPr>
              <w:t>推荐暴雨强度计算公式：</w:t>
            </w:r>
          </w:p>
          <w:p w14:paraId="2F1A1D48">
            <w:pPr>
              <w:snapToGrid w:val="0"/>
              <w:spacing w:line="360" w:lineRule="auto"/>
              <w:ind w:firstLine="480" w:firstLineChars="200"/>
              <w:jc w:val="center"/>
              <w:rPr>
                <w:rFonts w:hint="default" w:ascii="Times New Roman" w:hAnsi="Times New Roman" w:eastAsia="宋体" w:cs="Times New Roman"/>
                <w:bCs/>
                <w:color w:val="auto"/>
                <w:sz w:val="24"/>
                <w:highlight w:val="none"/>
                <w:lang w:eastAsia="zh-CN"/>
              </w:rPr>
            </w:pPr>
            <w:r>
              <w:rPr>
                <w:rFonts w:hint="default" w:ascii="Times New Roman" w:hAnsi="Times New Roman" w:eastAsia="宋体" w:cs="Times New Roman"/>
                <w:bCs/>
                <w:color w:val="auto"/>
                <w:sz w:val="24"/>
                <w:highlight w:val="none"/>
                <w:lang w:eastAsia="zh-CN"/>
              </w:rPr>
              <w:drawing>
                <wp:inline distT="0" distB="0" distL="114300" distR="114300">
                  <wp:extent cx="1709420" cy="478155"/>
                  <wp:effectExtent l="0" t="0" r="5080" b="17145"/>
                  <wp:docPr id="12" name="图片 4" descr="QQ20250213-18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QQ20250213-184853"/>
                          <pic:cNvPicPr>
                            <a:picLocks noChangeAspect="1"/>
                          </pic:cNvPicPr>
                        </pic:nvPicPr>
                        <pic:blipFill>
                          <a:blip r:embed="rId7"/>
                          <a:stretch>
                            <a:fillRect/>
                          </a:stretch>
                        </pic:blipFill>
                        <pic:spPr>
                          <a:xfrm>
                            <a:off x="0" y="0"/>
                            <a:ext cx="1709420" cy="478155"/>
                          </a:xfrm>
                          <a:prstGeom prst="rect">
                            <a:avLst/>
                          </a:prstGeom>
                          <a:noFill/>
                          <a:ln>
                            <a:noFill/>
                          </a:ln>
                        </pic:spPr>
                      </pic:pic>
                    </a:graphicData>
                  </a:graphic>
                </wp:inline>
              </w:drawing>
            </w:r>
          </w:p>
          <w:p w14:paraId="341BDE6D">
            <w:pPr>
              <w:snapToGrid w:val="0"/>
              <w:spacing w:line="360" w:lineRule="auto"/>
              <w:ind w:firstLine="480" w:firstLineChars="200"/>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 xml:space="preserve">式中： </w:t>
            </w:r>
          </w:p>
          <w:p w14:paraId="549D05B1">
            <w:pPr>
              <w:snapToGrid w:val="0"/>
              <w:spacing w:line="360" w:lineRule="auto"/>
              <w:ind w:firstLine="480" w:firstLineChars="200"/>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 xml:space="preserve">q—暴雨强度（L/s·公顷）。 </w:t>
            </w:r>
          </w:p>
          <w:p w14:paraId="491B136A">
            <w:pPr>
              <w:snapToGrid w:val="0"/>
              <w:spacing w:line="360" w:lineRule="auto"/>
              <w:ind w:firstLine="480" w:firstLineChars="200"/>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 xml:space="preserve">P—设计重现期（a），取值见《室外排水设计标准》（GB50014-2021），超大城市和特大城市中心城区重现期 3~5 年，评价取3年。 </w:t>
            </w:r>
          </w:p>
          <w:p w14:paraId="21EE5798">
            <w:pPr>
              <w:snapToGrid w:val="0"/>
              <w:spacing w:line="360" w:lineRule="auto"/>
              <w:ind w:firstLine="480" w:firstLineChars="200"/>
              <w:rPr>
                <w:rFonts w:hint="default" w:ascii="Times New Roman" w:hAnsi="Times New Roman" w:eastAsia="宋体" w:cs="Times New Roman"/>
                <w:bCs/>
                <w:color w:val="auto"/>
                <w:sz w:val="24"/>
                <w:szCs w:val="20"/>
                <w:highlight w:val="none"/>
              </w:rPr>
            </w:pPr>
            <w:r>
              <w:rPr>
                <w:rFonts w:hint="default" w:ascii="Times New Roman" w:hAnsi="Times New Roman" w:eastAsia="宋体" w:cs="Times New Roman"/>
                <w:bCs/>
                <w:color w:val="auto"/>
                <w:sz w:val="24"/>
                <w:szCs w:val="20"/>
                <w:highlight w:val="none"/>
              </w:rPr>
              <w:t xml:space="preserve">t—降雨历时（min），取值见《室外排水设计标准》（GB50014-2021），本项目场地平整，汇集较快，本评价取10min。 </w:t>
            </w:r>
          </w:p>
          <w:p w14:paraId="227768B0">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szCs w:val="20"/>
                <w:highlight w:val="none"/>
              </w:rPr>
              <w:t>设计雨水重现期地面采用3年，降雨历时10min，设计暴雨强度q=324.057L/s·hm</w:t>
            </w:r>
            <w:r>
              <w:rPr>
                <w:rFonts w:hint="default" w:ascii="Times New Roman" w:hAnsi="Times New Roman" w:eastAsia="宋体" w:cs="Times New Roman"/>
                <w:bCs/>
                <w:color w:val="auto"/>
                <w:sz w:val="24"/>
                <w:szCs w:val="20"/>
                <w:highlight w:val="none"/>
                <w:vertAlign w:val="superscript"/>
              </w:rPr>
              <w:t>2</w:t>
            </w:r>
            <w:r>
              <w:rPr>
                <w:rFonts w:hint="default" w:ascii="Times New Roman" w:hAnsi="Times New Roman" w:eastAsia="宋体" w:cs="Times New Roman"/>
                <w:bCs/>
                <w:color w:val="auto"/>
                <w:sz w:val="24"/>
                <w:szCs w:val="20"/>
                <w:highlight w:val="none"/>
              </w:rPr>
              <w:t>。加油站易受污染部分主要为加油区及卸油区，加油区设置有加油棚，经管道收集至雨水管网，不会受雨水冲刷，因此本次评价初期雨水集雨面积仅考虑卸油区，面积约75m</w:t>
            </w:r>
            <w:r>
              <w:rPr>
                <w:rFonts w:hint="default" w:ascii="Times New Roman" w:hAnsi="Times New Roman" w:eastAsia="宋体" w:cs="Times New Roman"/>
                <w:bCs/>
                <w:color w:val="auto"/>
                <w:sz w:val="24"/>
                <w:szCs w:val="20"/>
                <w:highlight w:val="none"/>
                <w:vertAlign w:val="superscript"/>
              </w:rPr>
              <w:t>2</w:t>
            </w:r>
            <w:r>
              <w:rPr>
                <w:rFonts w:hint="default" w:ascii="Times New Roman" w:hAnsi="Times New Roman" w:eastAsia="宋体" w:cs="Times New Roman"/>
                <w:bCs/>
                <w:color w:val="auto"/>
                <w:sz w:val="24"/>
                <w:szCs w:val="20"/>
                <w:highlight w:val="none"/>
              </w:rPr>
              <w:t>（5×15m）。经计算，拟建项目初期雨水量2.187L/s，暴雨持续时间按照10min计算，则一次雨水量约1.312m</w:t>
            </w:r>
            <w:r>
              <w:rPr>
                <w:rFonts w:hint="default" w:ascii="Times New Roman" w:hAnsi="Times New Roman" w:eastAsia="宋体" w:cs="Times New Roman"/>
                <w:bCs/>
                <w:color w:val="auto"/>
                <w:sz w:val="24"/>
                <w:szCs w:val="20"/>
                <w:highlight w:val="none"/>
                <w:vertAlign w:val="superscript"/>
              </w:rPr>
              <w:t>3</w:t>
            </w:r>
            <w:r>
              <w:rPr>
                <w:rFonts w:hint="default" w:ascii="Times New Roman" w:hAnsi="Times New Roman" w:eastAsia="宋体" w:cs="Times New Roman"/>
                <w:bCs/>
                <w:color w:val="auto"/>
                <w:sz w:val="24"/>
                <w:szCs w:val="20"/>
                <w:highlight w:val="none"/>
              </w:rPr>
              <w:t xml:space="preserve"> /次。由于初期雨水产生情况具有不确定性，评价仅计算出初期雨水的最大产生量以确定处理设施规模，不核算污染物产生及排放量。卸油区初期雨水通过</w:t>
            </w:r>
            <w:r>
              <w:rPr>
                <w:rFonts w:hint="eastAsia" w:cs="Times New Roman"/>
                <w:bCs/>
                <w:color w:val="auto"/>
                <w:sz w:val="24"/>
                <w:szCs w:val="20"/>
                <w:highlight w:val="none"/>
                <w:lang w:val="en-US" w:eastAsia="zh-CN"/>
              </w:rPr>
              <w:t>截流沟</w:t>
            </w:r>
            <w:r>
              <w:rPr>
                <w:rFonts w:hint="default" w:ascii="Times New Roman" w:hAnsi="Times New Roman" w:eastAsia="宋体" w:cs="Times New Roman"/>
                <w:bCs/>
                <w:color w:val="auto"/>
                <w:sz w:val="24"/>
                <w:szCs w:val="20"/>
                <w:highlight w:val="none"/>
              </w:rPr>
              <w:t>进入三段式隔油池处理后排</w:t>
            </w:r>
            <w:r>
              <w:rPr>
                <w:rFonts w:hint="default" w:ascii="Times New Roman" w:hAnsi="Times New Roman" w:eastAsia="宋体" w:cs="Times New Roman"/>
                <w:bCs/>
                <w:color w:val="auto"/>
                <w:sz w:val="24"/>
                <w:highlight w:val="none"/>
              </w:rPr>
              <w:t>入市政污水管网。</w:t>
            </w:r>
          </w:p>
          <w:p w14:paraId="361E3F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表2.</w:t>
            </w:r>
            <w:r>
              <w:rPr>
                <w:rFonts w:hint="eastAsia" w:cs="Times New Roman"/>
                <w:b/>
                <w:bCs/>
                <w:color w:val="auto"/>
                <w:sz w:val="24"/>
                <w:highlight w:val="none"/>
                <w:lang w:val="en-US" w:eastAsia="zh-CN"/>
              </w:rPr>
              <w:t xml:space="preserve">2-7 </w:t>
            </w:r>
            <w:r>
              <w:rPr>
                <w:rFonts w:hint="default" w:ascii="Times New Roman" w:hAnsi="Times New Roman" w:eastAsia="宋体" w:cs="Times New Roman"/>
                <w:b/>
                <w:bCs/>
                <w:color w:val="auto"/>
                <w:sz w:val="24"/>
                <w:highlight w:val="none"/>
              </w:rPr>
              <w:t xml:space="preserve"> </w:t>
            </w:r>
            <w:r>
              <w:rPr>
                <w:rFonts w:hint="eastAsia" w:ascii="Times New Roman" w:hAnsi="Times New Roman"/>
                <w:b/>
                <w:bCs/>
                <w:color w:val="auto"/>
                <w:sz w:val="24"/>
                <w:highlight w:val="none"/>
                <w:lang w:eastAsia="zh-CN"/>
              </w:rPr>
              <w:t>本项目实施后全站</w:t>
            </w:r>
            <w:r>
              <w:rPr>
                <w:rFonts w:hint="default" w:ascii="Times New Roman" w:hAnsi="Times New Roman" w:eastAsia="宋体" w:cs="Times New Roman"/>
                <w:b/>
                <w:bCs/>
                <w:color w:val="auto"/>
                <w:sz w:val="24"/>
                <w:highlight w:val="none"/>
              </w:rPr>
              <w:t>用水、排水量核算量</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2"/>
              <w:gridCol w:w="1214"/>
              <w:gridCol w:w="1632"/>
              <w:gridCol w:w="692"/>
              <w:gridCol w:w="1012"/>
              <w:gridCol w:w="692"/>
              <w:gridCol w:w="1012"/>
              <w:gridCol w:w="1420"/>
            </w:tblGrid>
            <w:tr w14:paraId="4A64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8" w:type="pct"/>
                  <w:vMerge w:val="restart"/>
                  <w:tcBorders>
                    <w:top w:val="single" w:color="000000" w:sz="4" w:space="0"/>
                    <w:left w:val="single" w:color="000000" w:sz="4" w:space="0"/>
                    <w:bottom w:val="single" w:color="000000" w:sz="4" w:space="0"/>
                    <w:right w:val="single" w:color="000000" w:sz="4" w:space="0"/>
                  </w:tcBorders>
                  <w:noWrap w:val="0"/>
                  <w:vAlign w:val="center"/>
                </w:tcPr>
                <w:p w14:paraId="22332D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名称</w:t>
                  </w:r>
                </w:p>
              </w:tc>
              <w:tc>
                <w:tcPr>
                  <w:tcW w:w="693" w:type="pct"/>
                  <w:vMerge w:val="restart"/>
                  <w:tcBorders>
                    <w:top w:val="single" w:color="000000" w:sz="4" w:space="0"/>
                    <w:left w:val="single" w:color="000000" w:sz="4" w:space="0"/>
                    <w:bottom w:val="single" w:color="000000" w:sz="4" w:space="0"/>
                    <w:right w:val="single" w:color="000000" w:sz="4" w:space="0"/>
                  </w:tcBorders>
                  <w:noWrap w:val="0"/>
                  <w:vAlign w:val="center"/>
                </w:tcPr>
                <w:p w14:paraId="0231EA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用水标准</w:t>
                  </w:r>
                </w:p>
              </w:tc>
              <w:tc>
                <w:tcPr>
                  <w:tcW w:w="930" w:type="pct"/>
                  <w:vMerge w:val="restart"/>
                  <w:tcBorders>
                    <w:top w:val="single" w:color="000000" w:sz="4" w:space="0"/>
                    <w:left w:val="single" w:color="000000" w:sz="4" w:space="0"/>
                    <w:bottom w:val="single" w:color="000000" w:sz="4" w:space="0"/>
                    <w:right w:val="single" w:color="000000" w:sz="4" w:space="0"/>
                  </w:tcBorders>
                  <w:noWrap w:val="0"/>
                  <w:vAlign w:val="center"/>
                </w:tcPr>
                <w:p w14:paraId="412BE3C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规模</w:t>
                  </w:r>
                </w:p>
              </w:tc>
              <w:tc>
                <w:tcPr>
                  <w:tcW w:w="973" w:type="pct"/>
                  <w:gridSpan w:val="2"/>
                  <w:tcBorders>
                    <w:top w:val="single" w:color="000000" w:sz="4" w:space="0"/>
                    <w:left w:val="single" w:color="000000" w:sz="4" w:space="0"/>
                    <w:bottom w:val="single" w:color="000000" w:sz="4" w:space="0"/>
                    <w:right w:val="single" w:color="000000" w:sz="4" w:space="0"/>
                  </w:tcBorders>
                  <w:noWrap w:val="0"/>
                  <w:vAlign w:val="center"/>
                </w:tcPr>
                <w:p w14:paraId="3821E8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用水量</w:t>
                  </w:r>
                </w:p>
              </w:tc>
              <w:tc>
                <w:tcPr>
                  <w:tcW w:w="973" w:type="pct"/>
                  <w:gridSpan w:val="2"/>
                  <w:tcBorders>
                    <w:top w:val="single" w:color="000000" w:sz="4" w:space="0"/>
                    <w:left w:val="single" w:color="000000" w:sz="4" w:space="0"/>
                    <w:bottom w:val="single" w:color="000000" w:sz="4" w:space="0"/>
                    <w:right w:val="single" w:color="000000" w:sz="4" w:space="0"/>
                  </w:tcBorders>
                  <w:noWrap w:val="0"/>
                  <w:vAlign w:val="center"/>
                </w:tcPr>
                <w:p w14:paraId="3CF357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废水量</w:t>
                  </w:r>
                </w:p>
              </w:tc>
              <w:tc>
                <w:tcPr>
                  <w:tcW w:w="809" w:type="pct"/>
                  <w:vMerge w:val="restart"/>
                  <w:tcBorders>
                    <w:top w:val="single" w:color="000000" w:sz="4" w:space="0"/>
                    <w:left w:val="single" w:color="000000" w:sz="4" w:space="0"/>
                    <w:bottom w:val="single" w:color="000000" w:sz="4" w:space="0"/>
                    <w:right w:val="single" w:color="000000" w:sz="4" w:space="0"/>
                  </w:tcBorders>
                  <w:noWrap w:val="0"/>
                  <w:vAlign w:val="center"/>
                </w:tcPr>
                <w:p w14:paraId="00C1990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去向</w:t>
                  </w:r>
                </w:p>
              </w:tc>
            </w:tr>
            <w:tr w14:paraId="01B6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E29266">
                  <w:pPr>
                    <w:jc w:val="center"/>
                    <w:rPr>
                      <w:rFonts w:hint="default" w:ascii="Times New Roman" w:hAnsi="Times New Roman" w:eastAsia="宋体" w:cs="Times New Roman"/>
                      <w:i w:val="0"/>
                      <w:iCs w:val="0"/>
                      <w:color w:val="auto"/>
                      <w:sz w:val="21"/>
                      <w:szCs w:val="21"/>
                      <w:highlight w:val="none"/>
                      <w:u w:val="none"/>
                    </w:rPr>
                  </w:pPr>
                </w:p>
              </w:tc>
              <w:tc>
                <w:tcPr>
                  <w:tcW w:w="6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E27A93">
                  <w:pPr>
                    <w:jc w:val="center"/>
                    <w:rPr>
                      <w:rFonts w:hint="default" w:ascii="Times New Roman" w:hAnsi="Times New Roman" w:eastAsia="宋体" w:cs="Times New Roman"/>
                      <w:i w:val="0"/>
                      <w:iCs w:val="0"/>
                      <w:color w:val="auto"/>
                      <w:sz w:val="21"/>
                      <w:szCs w:val="21"/>
                      <w:highlight w:val="none"/>
                      <w:u w:val="none"/>
                    </w:rPr>
                  </w:pPr>
                </w:p>
              </w:tc>
              <w:tc>
                <w:tcPr>
                  <w:tcW w:w="93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074DC4">
                  <w:pPr>
                    <w:jc w:val="center"/>
                    <w:rPr>
                      <w:rFonts w:hint="default" w:ascii="Times New Roman" w:hAnsi="Times New Roman" w:eastAsia="宋体" w:cs="Times New Roman"/>
                      <w:i w:val="0"/>
                      <w:iCs w:val="0"/>
                      <w:color w:val="auto"/>
                      <w:sz w:val="21"/>
                      <w:szCs w:val="21"/>
                      <w:highlight w:val="none"/>
                      <w:u w:val="none"/>
                    </w:rPr>
                  </w:pP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389EB9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/d</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4351F8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/a</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CAD92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/d</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3B6B91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m</w:t>
                  </w:r>
                  <w:r>
                    <w:rPr>
                      <w:rFonts w:hint="default"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iCs w:val="0"/>
                      <w:color w:val="auto"/>
                      <w:kern w:val="0"/>
                      <w:sz w:val="21"/>
                      <w:szCs w:val="21"/>
                      <w:highlight w:val="none"/>
                      <w:u w:val="none"/>
                      <w:lang w:val="en-US" w:eastAsia="zh-CN" w:bidi="ar"/>
                    </w:rPr>
                    <w:t>/a</w:t>
                  </w:r>
                </w:p>
              </w:tc>
              <w:tc>
                <w:tcPr>
                  <w:tcW w:w="8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216F75">
                  <w:pPr>
                    <w:jc w:val="center"/>
                    <w:rPr>
                      <w:rFonts w:hint="default" w:ascii="Times New Roman" w:hAnsi="Times New Roman" w:eastAsia="宋体" w:cs="Times New Roman"/>
                      <w:i w:val="0"/>
                      <w:iCs w:val="0"/>
                      <w:color w:val="auto"/>
                      <w:sz w:val="21"/>
                      <w:szCs w:val="21"/>
                      <w:highlight w:val="none"/>
                      <w:u w:val="none"/>
                    </w:rPr>
                  </w:pPr>
                </w:p>
              </w:tc>
            </w:tr>
            <w:tr w14:paraId="3863E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8" w:type="pct"/>
                  <w:tcBorders>
                    <w:top w:val="single" w:color="000000" w:sz="4" w:space="0"/>
                    <w:left w:val="single" w:color="000000" w:sz="4" w:space="0"/>
                    <w:bottom w:val="single" w:color="000000" w:sz="4" w:space="0"/>
                    <w:right w:val="single" w:color="000000" w:sz="4" w:space="0"/>
                  </w:tcBorders>
                  <w:noWrap w:val="0"/>
                  <w:vAlign w:val="center"/>
                </w:tcPr>
                <w:p w14:paraId="75A2740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员工生活</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7EECE8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50L/</w:t>
                  </w:r>
                  <w:r>
                    <w:rPr>
                      <w:rFonts w:hint="eastAsia"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人·d</w:t>
                  </w:r>
                  <w:r>
                    <w:rPr>
                      <w:rFonts w:hint="eastAsia" w:cs="Times New Roman"/>
                      <w:i w:val="0"/>
                      <w:iCs w:val="0"/>
                      <w:color w:val="auto"/>
                      <w:kern w:val="0"/>
                      <w:sz w:val="21"/>
                      <w:szCs w:val="21"/>
                      <w:u w:val="none"/>
                      <w:lang w:val="en-US" w:eastAsia="zh-CN" w:bidi="ar"/>
                    </w:rPr>
                    <w:t>）</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14:paraId="6003880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9人/d、365d/a</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723CDF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0.450</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7B4203F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164.250</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B64BAA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0.383</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5CB876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139.613</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14:paraId="66354C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生化池</w:t>
                  </w:r>
                </w:p>
              </w:tc>
            </w:tr>
            <w:tr w14:paraId="6F0F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8" w:type="pct"/>
                  <w:tcBorders>
                    <w:top w:val="single" w:color="000000" w:sz="4" w:space="0"/>
                    <w:left w:val="single" w:color="000000" w:sz="4" w:space="0"/>
                    <w:bottom w:val="single" w:color="000000" w:sz="4" w:space="0"/>
                    <w:right w:val="single" w:color="000000" w:sz="4" w:space="0"/>
                  </w:tcBorders>
                  <w:noWrap w:val="0"/>
                  <w:vAlign w:val="center"/>
                </w:tcPr>
                <w:p w14:paraId="0B24A49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驾乘人员</w:t>
                  </w:r>
                </w:p>
              </w:tc>
              <w:tc>
                <w:tcPr>
                  <w:tcW w:w="693" w:type="pct"/>
                  <w:tcBorders>
                    <w:top w:val="nil"/>
                    <w:left w:val="nil"/>
                    <w:bottom w:val="nil"/>
                    <w:right w:val="nil"/>
                  </w:tcBorders>
                  <w:noWrap/>
                  <w:vAlign w:val="center"/>
                </w:tcPr>
                <w:p w14:paraId="14F77119">
                  <w:pPr>
                    <w:keepNext w:val="0"/>
                    <w:keepLines w:val="0"/>
                    <w:widowControl/>
                    <w:suppressLineNumbers w:val="0"/>
                    <w:jc w:val="center"/>
                    <w:textAlignment w:val="bottom"/>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10L/人·次</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14:paraId="24396DA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i w:val="0"/>
                      <w:iCs w:val="0"/>
                      <w:color w:val="auto"/>
                      <w:kern w:val="0"/>
                      <w:sz w:val="21"/>
                      <w:szCs w:val="21"/>
                      <w:u w:val="none"/>
                      <w:lang w:val="en-US" w:eastAsia="zh-CN" w:bidi="ar"/>
                    </w:rPr>
                    <w:t>300</w:t>
                  </w:r>
                  <w:r>
                    <w:rPr>
                      <w:rFonts w:hint="default" w:ascii="Times New Roman" w:hAnsi="Times New Roman" w:eastAsia="宋体" w:cs="Times New Roman"/>
                      <w:i w:val="0"/>
                      <w:iCs w:val="0"/>
                      <w:color w:val="auto"/>
                      <w:kern w:val="0"/>
                      <w:sz w:val="21"/>
                      <w:szCs w:val="21"/>
                      <w:u w:val="none"/>
                      <w:lang w:val="en-US" w:eastAsia="zh-CN" w:bidi="ar"/>
                    </w:rPr>
                    <w:t>人/d*0.2、365d/a</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AF154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0.600</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54A401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219.000</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2856EC8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0.510</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74C6DB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186.150</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14:paraId="2C1BF7A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生化池</w:t>
                  </w:r>
                </w:p>
              </w:tc>
            </w:tr>
            <w:tr w14:paraId="5BC42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8" w:type="pct"/>
                  <w:tcBorders>
                    <w:top w:val="single" w:color="000000" w:sz="4" w:space="0"/>
                    <w:left w:val="single" w:color="000000" w:sz="4" w:space="0"/>
                    <w:bottom w:val="single" w:color="000000" w:sz="4" w:space="0"/>
                    <w:right w:val="single" w:color="000000" w:sz="4" w:space="0"/>
                  </w:tcBorders>
                  <w:noWrap w:val="0"/>
                  <w:vAlign w:val="center"/>
                </w:tcPr>
                <w:p w14:paraId="1CA42E5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洗车废水</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862419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cs="Times New Roman"/>
                      <w:i w:val="0"/>
                      <w:iCs w:val="0"/>
                      <w:color w:val="auto"/>
                      <w:kern w:val="0"/>
                      <w:sz w:val="21"/>
                      <w:szCs w:val="21"/>
                      <w:u w:val="none"/>
                      <w:lang w:val="en-US" w:eastAsia="zh-CN" w:bidi="ar"/>
                    </w:rPr>
                    <w:t>40</w:t>
                  </w:r>
                  <w:r>
                    <w:rPr>
                      <w:rFonts w:hint="default" w:ascii="Times New Roman" w:hAnsi="Times New Roman" w:eastAsia="宋体" w:cs="Times New Roman"/>
                      <w:i w:val="0"/>
                      <w:iCs w:val="0"/>
                      <w:color w:val="auto"/>
                      <w:kern w:val="0"/>
                      <w:sz w:val="21"/>
                      <w:szCs w:val="21"/>
                      <w:u w:val="none"/>
                      <w:lang w:val="en-US" w:eastAsia="zh-CN" w:bidi="ar"/>
                    </w:rPr>
                    <w:t>L/车·次</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14:paraId="6BA1AF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100</w:t>
                  </w:r>
                  <w:r>
                    <w:rPr>
                      <w:rFonts w:hint="default" w:ascii="Times New Roman" w:hAnsi="Times New Roman" w:cs="Times New Roman"/>
                      <w:i w:val="0"/>
                      <w:iCs w:val="0"/>
                      <w:color w:val="auto"/>
                      <w:kern w:val="0"/>
                      <w:sz w:val="21"/>
                      <w:szCs w:val="21"/>
                      <w:u w:val="none"/>
                      <w:lang w:val="en-US" w:eastAsia="zh-CN" w:bidi="ar"/>
                    </w:rPr>
                    <w:t>辆</w:t>
                  </w:r>
                  <w:r>
                    <w:rPr>
                      <w:rFonts w:hint="default" w:ascii="Times New Roman" w:hAnsi="Times New Roman" w:eastAsia="宋体" w:cs="Times New Roman"/>
                      <w:i w:val="0"/>
                      <w:iCs w:val="0"/>
                      <w:color w:val="auto"/>
                      <w:kern w:val="0"/>
                      <w:sz w:val="21"/>
                      <w:szCs w:val="21"/>
                      <w:u w:val="none"/>
                      <w:lang w:val="en-US" w:eastAsia="zh-CN" w:bidi="ar"/>
                    </w:rPr>
                    <w:t>/d，365</w:t>
                  </w:r>
                  <w:r>
                    <w:rPr>
                      <w:rFonts w:hint="default" w:ascii="Times New Roman" w:hAnsi="Times New Roman" w:cs="Times New Roman"/>
                      <w:i w:val="0"/>
                      <w:iCs w:val="0"/>
                      <w:color w:val="auto"/>
                      <w:kern w:val="0"/>
                      <w:sz w:val="21"/>
                      <w:szCs w:val="21"/>
                      <w:u w:val="none"/>
                      <w:lang w:val="en-US" w:eastAsia="zh-CN" w:bidi="ar"/>
                    </w:rPr>
                    <w:t>d</w:t>
                  </w:r>
                  <w:r>
                    <w:rPr>
                      <w:rFonts w:hint="default" w:ascii="Times New Roman" w:hAnsi="Times New Roman" w:eastAsia="宋体" w:cs="Times New Roman"/>
                      <w:i w:val="0"/>
                      <w:iCs w:val="0"/>
                      <w:color w:val="auto"/>
                      <w:kern w:val="0"/>
                      <w:sz w:val="21"/>
                      <w:szCs w:val="21"/>
                      <w:u w:val="none"/>
                      <w:lang w:val="en-US" w:eastAsia="zh-CN" w:bidi="ar"/>
                    </w:rPr>
                    <w:t>/a</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04DF6DB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4.000</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165DC3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1460.000</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558C893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3.600</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0B80F6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1314.000</w:t>
                  </w:r>
                </w:p>
              </w:tc>
              <w:tc>
                <w:tcPr>
                  <w:tcW w:w="809" w:type="pct"/>
                  <w:tcBorders>
                    <w:top w:val="single" w:color="000000" w:sz="4" w:space="0"/>
                    <w:left w:val="single" w:color="000000" w:sz="4" w:space="0"/>
                    <w:bottom w:val="nil"/>
                    <w:right w:val="single" w:color="000000" w:sz="4" w:space="0"/>
                  </w:tcBorders>
                  <w:noWrap w:val="0"/>
                  <w:vAlign w:val="center"/>
                </w:tcPr>
                <w:p w14:paraId="2259416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eastAsia" w:cs="Times New Roman"/>
                      <w:i w:val="0"/>
                      <w:iCs w:val="0"/>
                      <w:color w:val="auto"/>
                      <w:kern w:val="0"/>
                      <w:sz w:val="21"/>
                      <w:szCs w:val="21"/>
                      <w:u w:val="none"/>
                      <w:lang w:val="en-US" w:eastAsia="zh-CN" w:bidi="ar"/>
                    </w:rPr>
                    <w:t>三段式隔油池</w:t>
                  </w:r>
                </w:p>
              </w:tc>
            </w:tr>
            <w:tr w14:paraId="4F94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618" w:type="pct"/>
                  <w:tcBorders>
                    <w:top w:val="single" w:color="000000" w:sz="4" w:space="0"/>
                    <w:left w:val="single" w:color="000000" w:sz="4" w:space="0"/>
                    <w:bottom w:val="single" w:color="000000" w:sz="4" w:space="0"/>
                    <w:right w:val="single" w:color="000000" w:sz="4" w:space="0"/>
                  </w:tcBorders>
                  <w:noWrap w:val="0"/>
                  <w:vAlign w:val="center"/>
                </w:tcPr>
                <w:p w14:paraId="354A26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场地冲洗废水</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8D890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2L/</w:t>
                  </w:r>
                  <w:r>
                    <w:rPr>
                      <w:rFonts w:hint="eastAsia"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·次</w:t>
                  </w:r>
                  <w:r>
                    <w:rPr>
                      <w:rFonts w:hint="eastAsia" w:cs="Times New Roman"/>
                      <w:i w:val="0"/>
                      <w:iCs w:val="0"/>
                      <w:color w:val="auto"/>
                      <w:kern w:val="0"/>
                      <w:sz w:val="21"/>
                      <w:szCs w:val="21"/>
                      <w:u w:val="none"/>
                      <w:lang w:val="en-US" w:eastAsia="zh-CN" w:bidi="ar"/>
                    </w:rPr>
                    <w:t>）</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14:paraId="4B7A29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1次/5d、365d/a</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FF35C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2.400</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01EB02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175.200</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6E5086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2.160</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573730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157.680</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14:paraId="7192D1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三段式隔油池</w:t>
                  </w:r>
                </w:p>
              </w:tc>
            </w:tr>
            <w:tr w14:paraId="3C2B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8" w:type="pct"/>
                  <w:tcBorders>
                    <w:top w:val="single" w:color="000000" w:sz="4" w:space="0"/>
                    <w:left w:val="single" w:color="000000" w:sz="4" w:space="0"/>
                    <w:bottom w:val="single" w:color="000000" w:sz="4" w:space="0"/>
                    <w:right w:val="single" w:color="000000" w:sz="4" w:space="0"/>
                  </w:tcBorders>
                  <w:noWrap w:val="0"/>
                  <w:vAlign w:val="center"/>
                </w:tcPr>
                <w:p w14:paraId="554BFF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绿化用水</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5146173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2L/</w:t>
                  </w:r>
                  <w:r>
                    <w:rPr>
                      <w:rFonts w:hint="eastAsia"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m</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·次</w:t>
                  </w:r>
                  <w:r>
                    <w:rPr>
                      <w:rFonts w:hint="eastAsia" w:cs="Times New Roman"/>
                      <w:i w:val="0"/>
                      <w:iCs w:val="0"/>
                      <w:color w:val="auto"/>
                      <w:kern w:val="0"/>
                      <w:sz w:val="21"/>
                      <w:szCs w:val="21"/>
                      <w:u w:val="none"/>
                      <w:lang w:val="en-US" w:eastAsia="zh-CN" w:bidi="ar"/>
                    </w:rPr>
                    <w:t>）</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14:paraId="65A72ED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1次/7d、365d/a</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14223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0.200</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2AE8A10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10.429</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140978F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6B7A49C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14:paraId="3C18F8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u w:val="none"/>
                      <w:lang w:val="en-US" w:eastAsia="zh-CN" w:bidi="ar"/>
                    </w:rPr>
                    <w:t>/</w:t>
                  </w:r>
                </w:p>
              </w:tc>
            </w:tr>
            <w:tr w14:paraId="58E0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8" w:type="pct"/>
                  <w:tcBorders>
                    <w:top w:val="single" w:color="000000" w:sz="4" w:space="0"/>
                    <w:left w:val="single" w:color="000000" w:sz="4" w:space="0"/>
                    <w:bottom w:val="single" w:color="000000" w:sz="4" w:space="0"/>
                    <w:right w:val="single" w:color="000000" w:sz="4" w:space="0"/>
                  </w:tcBorders>
                  <w:noWrap w:val="0"/>
                  <w:vAlign w:val="center"/>
                </w:tcPr>
                <w:p w14:paraId="52894F6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初期</w:t>
                  </w:r>
                </w:p>
                <w:p w14:paraId="525DCF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雨水</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4F4E89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14:paraId="5A88520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B8C8A7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u w:val="none"/>
                      <w:lang w:val="en-US" w:eastAsia="zh-CN" w:bidi="ar"/>
                    </w:rPr>
                    <w:t>/</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6660842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725B1D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1.312</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4C2E4E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w:t>
                  </w:r>
                </w:p>
              </w:tc>
              <w:tc>
                <w:tcPr>
                  <w:tcW w:w="809" w:type="pct"/>
                  <w:tcBorders>
                    <w:top w:val="single" w:color="000000" w:sz="4" w:space="0"/>
                    <w:left w:val="single" w:color="000000" w:sz="4" w:space="0"/>
                    <w:bottom w:val="nil"/>
                    <w:right w:val="single" w:color="000000" w:sz="4" w:space="0"/>
                  </w:tcBorders>
                  <w:noWrap w:val="0"/>
                  <w:vAlign w:val="center"/>
                </w:tcPr>
                <w:p w14:paraId="51B2B34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三段式隔油池</w:t>
                  </w:r>
                </w:p>
              </w:tc>
            </w:tr>
            <w:tr w14:paraId="1634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243" w:type="pct"/>
                  <w:gridSpan w:val="3"/>
                  <w:tcBorders>
                    <w:top w:val="single" w:color="000000" w:sz="4" w:space="0"/>
                    <w:left w:val="single" w:color="000000" w:sz="4" w:space="0"/>
                    <w:bottom w:val="single" w:color="000000" w:sz="4" w:space="0"/>
                    <w:right w:val="single" w:color="000000" w:sz="4" w:space="0"/>
                  </w:tcBorders>
                  <w:noWrap w:val="0"/>
                  <w:vAlign w:val="center"/>
                </w:tcPr>
                <w:p w14:paraId="17E4C5B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31F421B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7.650 </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0CE7C0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2028.879 </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14:paraId="42EA10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cs="Times New Roman"/>
                      <w:i w:val="0"/>
                      <w:iCs w:val="0"/>
                      <w:color w:val="auto"/>
                      <w:kern w:val="0"/>
                      <w:sz w:val="21"/>
                      <w:szCs w:val="21"/>
                      <w:u w:val="none"/>
                      <w:lang w:val="en-US" w:eastAsia="zh-CN" w:bidi="ar"/>
                    </w:rPr>
                    <w:t>6.653</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577" w:type="pct"/>
                  <w:tcBorders>
                    <w:top w:val="single" w:color="000000" w:sz="4" w:space="0"/>
                    <w:left w:val="single" w:color="000000" w:sz="4" w:space="0"/>
                    <w:bottom w:val="single" w:color="000000" w:sz="4" w:space="0"/>
                    <w:right w:val="single" w:color="000000" w:sz="4" w:space="0"/>
                  </w:tcBorders>
                  <w:noWrap w:val="0"/>
                  <w:vAlign w:val="center"/>
                </w:tcPr>
                <w:p w14:paraId="026E8F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1797.443 </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14:paraId="5ED4F7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w:t>
                  </w:r>
                </w:p>
              </w:tc>
            </w:tr>
            <w:tr w14:paraId="6640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14:paraId="3B7F6E37">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2"/>
                      <w:szCs w:val="21"/>
                      <w:highlight w:val="none"/>
                    </w:rPr>
                    <w:t>注</w:t>
                  </w:r>
                  <w:r>
                    <w:rPr>
                      <w:rFonts w:hint="default" w:ascii="Times New Roman" w:hAnsi="Times New Roman" w:eastAsia="宋体" w:cs="Times New Roman"/>
                      <w:color w:val="auto"/>
                      <w:sz w:val="21"/>
                      <w:szCs w:val="21"/>
                      <w:highlight w:val="none"/>
                    </w:rPr>
                    <w:t>：卸油区和加油区清洁平均5天1次；由于初期雨水产生情况具有不确定性，评价仅计算出初期雨水的最大产生量以确定处理设施规模，不核算污染物产生及排放量</w:t>
                  </w:r>
                  <w:r>
                    <w:rPr>
                      <w:rFonts w:hint="default" w:ascii="Times New Roman" w:hAnsi="Times New Roman" w:eastAsia="宋体" w:cs="Times New Roman"/>
                      <w:color w:val="auto"/>
                      <w:sz w:val="21"/>
                      <w:szCs w:val="21"/>
                      <w:highlight w:val="none"/>
                      <w:lang w:eastAsia="zh-CN"/>
                    </w:rPr>
                    <w:t>。</w:t>
                  </w:r>
                </w:p>
              </w:tc>
            </w:tr>
          </w:tbl>
          <w:p w14:paraId="07E302EE">
            <w:pPr>
              <w:widowControl/>
              <w:jc w:val="both"/>
              <w:rPr>
                <w:rFonts w:hint="default" w:ascii="Times New Roman" w:hAnsi="Times New Roman" w:eastAsia="宋体" w:cs="Times New Roman"/>
                <w:b/>
                <w:bCs/>
                <w:color w:val="auto"/>
                <w:kern w:val="44"/>
                <w:sz w:val="24"/>
                <w:highlight w:val="none"/>
                <w:lang w:eastAsia="zh-CN"/>
              </w:rPr>
            </w:pPr>
          </w:p>
          <w:p w14:paraId="48567255">
            <w:pPr>
              <w:widowControl/>
              <w:jc w:val="center"/>
              <w:rPr>
                <w:rFonts w:hint="eastAsia" w:ascii="Times New Roman" w:hAnsi="Times New Roman" w:eastAsia="宋体" w:cs="Times New Roman"/>
                <w:b/>
                <w:bCs/>
                <w:color w:val="auto"/>
                <w:kern w:val="44"/>
                <w:sz w:val="24"/>
                <w:highlight w:val="none"/>
                <w:lang w:eastAsia="zh-CN"/>
              </w:rPr>
            </w:pPr>
            <w:r>
              <w:rPr>
                <w:rFonts w:hint="eastAsia" w:ascii="Times New Roman" w:hAnsi="Times New Roman" w:eastAsia="宋体" w:cs="Times New Roman"/>
                <w:b/>
                <w:bCs/>
                <w:color w:val="auto"/>
                <w:kern w:val="44"/>
                <w:sz w:val="24"/>
                <w:highlight w:val="none"/>
                <w:lang w:eastAsia="zh-CN"/>
              </w:rPr>
              <w:drawing>
                <wp:inline distT="0" distB="0" distL="114300" distR="114300">
                  <wp:extent cx="5544820" cy="2787650"/>
                  <wp:effectExtent l="0" t="0" r="17780" b="12700"/>
                  <wp:docPr id="2" name="图片 2" descr="174952966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9529661516"/>
                          <pic:cNvPicPr>
                            <a:picLocks noChangeAspect="1"/>
                          </pic:cNvPicPr>
                        </pic:nvPicPr>
                        <pic:blipFill>
                          <a:blip r:embed="rId8"/>
                          <a:srcRect l="3497" t="4157" r="3721" b="4157"/>
                          <a:stretch>
                            <a:fillRect/>
                          </a:stretch>
                        </pic:blipFill>
                        <pic:spPr>
                          <a:xfrm>
                            <a:off x="0" y="0"/>
                            <a:ext cx="5544820" cy="2787650"/>
                          </a:xfrm>
                          <a:prstGeom prst="rect">
                            <a:avLst/>
                          </a:prstGeom>
                        </pic:spPr>
                      </pic:pic>
                    </a:graphicData>
                  </a:graphic>
                </wp:inline>
              </w:drawing>
            </w:r>
          </w:p>
          <w:p w14:paraId="6FDF2854">
            <w:pPr>
              <w:widowControl/>
              <w:jc w:val="center"/>
              <w:rPr>
                <w:rFonts w:hint="default" w:ascii="Times New Roman" w:hAnsi="Times New Roman" w:eastAsia="宋体" w:cs="Times New Roman"/>
                <w:b/>
                <w:bCs/>
                <w:color w:val="auto"/>
                <w:kern w:val="44"/>
                <w:sz w:val="24"/>
                <w:highlight w:val="none"/>
              </w:rPr>
            </w:pPr>
          </w:p>
          <w:p w14:paraId="52456AB7">
            <w:pPr>
              <w:widowControl/>
              <w:jc w:val="center"/>
              <w:rPr>
                <w:rFonts w:hint="default" w:ascii="Times New Roman" w:hAnsi="Times New Roman" w:eastAsia="宋体" w:cs="Times New Roman"/>
                <w:b/>
                <w:bCs/>
                <w:color w:val="auto"/>
                <w:kern w:val="44"/>
                <w:sz w:val="24"/>
                <w:highlight w:val="none"/>
              </w:rPr>
            </w:pPr>
            <w:r>
              <w:rPr>
                <w:rFonts w:hint="default" w:ascii="Times New Roman" w:hAnsi="Times New Roman" w:eastAsia="宋体" w:cs="Times New Roman"/>
                <w:b/>
                <w:bCs/>
                <w:color w:val="auto"/>
                <w:kern w:val="44"/>
                <w:sz w:val="24"/>
                <w:highlight w:val="none"/>
              </w:rPr>
              <w:t xml:space="preserve">图2.3-1 </w:t>
            </w:r>
            <w:r>
              <w:rPr>
                <w:rFonts w:hint="eastAsia" w:ascii="Times New Roman" w:hAnsi="Times New Roman"/>
                <w:b/>
                <w:bCs/>
                <w:color w:val="auto"/>
                <w:sz w:val="24"/>
                <w:highlight w:val="none"/>
                <w:lang w:eastAsia="zh-CN"/>
              </w:rPr>
              <w:t>本项目实施后全站</w:t>
            </w:r>
            <w:r>
              <w:rPr>
                <w:rFonts w:hint="default" w:ascii="Times New Roman" w:hAnsi="Times New Roman" w:eastAsia="宋体" w:cs="Times New Roman"/>
                <w:b/>
                <w:bCs/>
                <w:color w:val="auto"/>
                <w:kern w:val="44"/>
                <w:sz w:val="24"/>
                <w:highlight w:val="none"/>
              </w:rPr>
              <w:t>水平衡图    单位：m</w:t>
            </w:r>
            <w:r>
              <w:rPr>
                <w:rFonts w:hint="default" w:ascii="Times New Roman" w:hAnsi="Times New Roman" w:eastAsia="宋体" w:cs="Times New Roman"/>
                <w:b/>
                <w:bCs/>
                <w:color w:val="auto"/>
                <w:kern w:val="44"/>
                <w:sz w:val="24"/>
                <w:highlight w:val="none"/>
                <w:vertAlign w:val="superscript"/>
              </w:rPr>
              <w:t>3</w:t>
            </w:r>
            <w:r>
              <w:rPr>
                <w:rFonts w:hint="default" w:ascii="Times New Roman" w:hAnsi="Times New Roman" w:eastAsia="宋体" w:cs="Times New Roman"/>
                <w:b/>
                <w:bCs/>
                <w:color w:val="auto"/>
                <w:kern w:val="44"/>
                <w:sz w:val="24"/>
                <w:highlight w:val="none"/>
              </w:rPr>
              <w:t>/d</w:t>
            </w:r>
          </w:p>
          <w:p w14:paraId="4AC5CA1F">
            <w:pPr>
              <w:widowControl/>
              <w:jc w:val="center"/>
              <w:rPr>
                <w:rFonts w:hint="default" w:ascii="Times New Roman" w:hAnsi="Times New Roman" w:eastAsia="宋体" w:cs="Times New Roman"/>
                <w:b/>
                <w:bCs/>
                <w:color w:val="auto"/>
                <w:kern w:val="44"/>
                <w:sz w:val="24"/>
                <w:highlight w:val="none"/>
                <w:lang w:val="en-US" w:eastAsia="zh-CN"/>
              </w:rPr>
            </w:pPr>
          </w:p>
          <w:p w14:paraId="4F44F36F">
            <w:pPr>
              <w:adjustRightInd w:val="0"/>
              <w:snapToGrid w:val="0"/>
              <w:spacing w:line="360" w:lineRule="auto"/>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2.3总平面布置</w:t>
            </w:r>
          </w:p>
          <w:p w14:paraId="00A2741C">
            <w:pPr>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渝中加油站位于</w:t>
            </w:r>
            <w:r>
              <w:rPr>
                <w:rFonts w:hint="default" w:ascii="Times New Roman" w:hAnsi="Times New Roman" w:eastAsia="宋体" w:cs="Times New Roman"/>
                <w:bCs/>
                <w:color w:val="auto"/>
                <w:kern w:val="0"/>
                <w:sz w:val="24"/>
              </w:rPr>
              <w:t>重庆市九龙坡区谢家湾菜袁路，北侧</w:t>
            </w:r>
            <w:r>
              <w:rPr>
                <w:rFonts w:hint="eastAsia" w:cs="Times New Roman"/>
                <w:bCs/>
                <w:color w:val="auto"/>
                <w:kern w:val="0"/>
                <w:sz w:val="24"/>
                <w:lang w:eastAsia="zh-CN"/>
              </w:rPr>
              <w:t>紧邻</w:t>
            </w:r>
            <w:r>
              <w:rPr>
                <w:rFonts w:hint="default" w:ascii="Times New Roman" w:hAnsi="Times New Roman" w:eastAsia="宋体" w:cs="Times New Roman"/>
                <w:bCs/>
                <w:color w:val="auto"/>
                <w:kern w:val="0"/>
                <w:sz w:val="24"/>
              </w:rPr>
              <w:t>菜袁路，西侧为渝中花园小区，南侧为绿地，东侧为黄沙溪立交匝道。</w:t>
            </w:r>
            <w:r>
              <w:rPr>
                <w:rFonts w:hint="default" w:ascii="Times New Roman" w:hAnsi="Times New Roman" w:eastAsia="宋体" w:cs="Times New Roman"/>
                <w:bCs/>
                <w:color w:val="auto"/>
                <w:sz w:val="24"/>
              </w:rPr>
              <w:t>加油站主要分区为加油区、油罐区、卸油区、站房等。</w:t>
            </w:r>
          </w:p>
          <w:p w14:paraId="1AAC90AB">
            <w:pPr>
              <w:snapToGrid w:val="0"/>
              <w:spacing w:line="360" w:lineRule="auto"/>
              <w:ind w:firstLine="480" w:firstLineChars="200"/>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rPr>
              <w:t>加油罩棚位于站区中部，设4个加油岛，分别</w:t>
            </w:r>
            <w:r>
              <w:rPr>
                <w:rFonts w:hint="default" w:ascii="Times New Roman" w:hAnsi="Times New Roman" w:cs="Times New Roman"/>
                <w:snapToGrid w:val="0"/>
                <w:color w:val="auto"/>
                <w:kern w:val="0"/>
                <w:sz w:val="24"/>
                <w:lang w:eastAsia="zh-CN"/>
              </w:rPr>
              <w:t>设置</w:t>
            </w:r>
            <w:r>
              <w:rPr>
                <w:rFonts w:hint="default" w:ascii="Times New Roman" w:hAnsi="Times New Roman" w:eastAsia="宋体" w:cs="Times New Roman"/>
                <w:snapToGrid w:val="0"/>
                <w:color w:val="auto"/>
                <w:kern w:val="0"/>
                <w:sz w:val="24"/>
              </w:rPr>
              <w:t>2台四枪加油机和2台六枪加油机；罩棚</w:t>
            </w:r>
            <w:r>
              <w:rPr>
                <w:rFonts w:hint="default" w:ascii="Times New Roman" w:hAnsi="Times New Roman" w:cs="Times New Roman"/>
                <w:snapToGrid w:val="0"/>
                <w:color w:val="auto"/>
                <w:kern w:val="0"/>
                <w:sz w:val="24"/>
                <w:lang w:val="en-US" w:eastAsia="zh-CN"/>
              </w:rPr>
              <w:t>东南</w:t>
            </w:r>
            <w:r>
              <w:rPr>
                <w:rFonts w:hint="default" w:ascii="Times New Roman" w:hAnsi="Times New Roman" w:eastAsia="宋体" w:cs="Times New Roman"/>
                <w:snapToGrid w:val="0"/>
                <w:color w:val="auto"/>
                <w:kern w:val="0"/>
                <w:sz w:val="24"/>
              </w:rPr>
              <w:t>侧为储罐区，储罐区附近依照规范要求设置了</w:t>
            </w:r>
            <w:r>
              <w:rPr>
                <w:rFonts w:hint="eastAsia" w:cs="Times New Roman"/>
                <w:snapToGrid w:val="0"/>
                <w:color w:val="auto"/>
                <w:kern w:val="0"/>
                <w:sz w:val="24"/>
                <w:lang w:eastAsia="zh-CN"/>
              </w:rPr>
              <w:t>消防沙</w:t>
            </w:r>
            <w:r>
              <w:rPr>
                <w:rFonts w:hint="default" w:ascii="Times New Roman" w:hAnsi="Times New Roman" w:eastAsia="宋体" w:cs="Times New Roman"/>
                <w:snapToGrid w:val="0"/>
                <w:color w:val="auto"/>
                <w:kern w:val="0"/>
                <w:sz w:val="24"/>
              </w:rPr>
              <w:t>池及消防器材箱；罩棚西</w:t>
            </w:r>
            <w:r>
              <w:rPr>
                <w:rFonts w:hint="default" w:ascii="Times New Roman" w:hAnsi="Times New Roman" w:cs="Times New Roman"/>
                <w:snapToGrid w:val="0"/>
                <w:color w:val="auto"/>
                <w:kern w:val="0"/>
                <w:sz w:val="24"/>
                <w:lang w:val="en-US" w:eastAsia="zh-CN"/>
              </w:rPr>
              <w:t>南</w:t>
            </w:r>
            <w:r>
              <w:rPr>
                <w:rFonts w:hint="default" w:ascii="Times New Roman" w:hAnsi="Times New Roman" w:eastAsia="宋体" w:cs="Times New Roman"/>
                <w:snapToGrid w:val="0"/>
                <w:color w:val="auto"/>
                <w:kern w:val="0"/>
                <w:sz w:val="24"/>
              </w:rPr>
              <w:t>侧为站房和辅助用房，设有办公室、营业执照、便利店等；</w:t>
            </w:r>
            <w:r>
              <w:rPr>
                <w:rFonts w:hint="default" w:ascii="Times New Roman" w:hAnsi="Times New Roman" w:eastAsia="宋体" w:cs="Times New Roman"/>
                <w:snapToGrid w:val="0"/>
                <w:color w:val="auto"/>
                <w:kern w:val="0"/>
                <w:sz w:val="24"/>
                <w:lang w:val="en-US" w:eastAsia="zh-CN"/>
              </w:rPr>
              <w:t>洗车区位于站区东北侧，设置一套</w:t>
            </w:r>
            <w:r>
              <w:rPr>
                <w:rFonts w:hint="default" w:ascii="Times New Roman" w:hAnsi="Times New Roman" w:eastAsia="宋体" w:cs="Times New Roman"/>
                <w:bCs/>
                <w:color w:val="auto"/>
                <w:sz w:val="24"/>
                <w:szCs w:val="26"/>
                <w:lang w:val="en-US" w:eastAsia="zh-CN"/>
              </w:rPr>
              <w:t>汽车快洗装置；</w:t>
            </w:r>
            <w:r>
              <w:rPr>
                <w:rFonts w:hint="default" w:ascii="Times New Roman" w:hAnsi="Times New Roman" w:eastAsia="宋体" w:cs="Times New Roman"/>
                <w:snapToGrid w:val="0"/>
                <w:color w:val="auto"/>
                <w:kern w:val="0"/>
                <w:sz w:val="24"/>
              </w:rPr>
              <w:t>罩棚北侧为绿化带，绿化带两侧是加油站进出口（独立设置）</w:t>
            </w:r>
            <w:r>
              <w:rPr>
                <w:rFonts w:hint="default" w:ascii="Times New Roman" w:hAnsi="Times New Roman" w:eastAsia="宋体" w:cs="Times New Roman"/>
                <w:snapToGrid w:val="0"/>
                <w:color w:val="auto"/>
                <w:kern w:val="0"/>
                <w:sz w:val="24"/>
                <w:lang w:eastAsia="zh-CN"/>
              </w:rPr>
              <w:t>，</w:t>
            </w:r>
            <w:r>
              <w:rPr>
                <w:rFonts w:hint="default" w:ascii="Times New Roman" w:hAnsi="Times New Roman" w:eastAsia="宋体" w:cs="Times New Roman"/>
                <w:snapToGrid w:val="0"/>
                <w:color w:val="auto"/>
                <w:kern w:val="0"/>
                <w:sz w:val="24"/>
                <w:lang w:val="en-US" w:eastAsia="zh-CN"/>
              </w:rPr>
              <w:t>于加油站进出口分别设置</w:t>
            </w:r>
            <w:r>
              <w:rPr>
                <w:rFonts w:hint="eastAsia" w:cs="Times New Roman"/>
                <w:snapToGrid w:val="0"/>
                <w:color w:val="auto"/>
                <w:kern w:val="0"/>
                <w:sz w:val="24"/>
                <w:lang w:val="en-US" w:eastAsia="zh-CN"/>
              </w:rPr>
              <w:t>截流沟</w:t>
            </w:r>
            <w:r>
              <w:rPr>
                <w:rFonts w:hint="default" w:ascii="Times New Roman" w:hAnsi="Times New Roman" w:eastAsia="宋体" w:cs="Times New Roman"/>
                <w:snapToGrid w:val="0"/>
                <w:color w:val="auto"/>
                <w:kern w:val="0"/>
                <w:sz w:val="24"/>
                <w:lang w:val="en-US" w:eastAsia="zh-CN"/>
              </w:rPr>
              <w:t>，用于拦截站内废水</w:t>
            </w:r>
            <w:r>
              <w:rPr>
                <w:rFonts w:hint="default" w:ascii="Times New Roman" w:hAnsi="Times New Roman" w:eastAsia="宋体" w:cs="Times New Roman"/>
                <w:snapToGrid w:val="0"/>
                <w:color w:val="auto"/>
                <w:kern w:val="0"/>
                <w:sz w:val="24"/>
              </w:rPr>
              <w:t>；</w:t>
            </w:r>
            <w:r>
              <w:rPr>
                <w:rFonts w:hint="default" w:ascii="Times New Roman" w:hAnsi="Times New Roman" w:cs="Times New Roman"/>
                <w:snapToGrid w:val="0"/>
                <w:color w:val="auto"/>
                <w:kern w:val="0"/>
                <w:sz w:val="24"/>
                <w:lang w:val="en-US" w:eastAsia="zh-CN"/>
              </w:rPr>
              <w:t>站区南侧</w:t>
            </w:r>
            <w:r>
              <w:rPr>
                <w:rFonts w:hint="default" w:ascii="Times New Roman" w:hAnsi="Times New Roman" w:eastAsia="宋体" w:cs="Times New Roman"/>
                <w:snapToGrid w:val="0"/>
                <w:color w:val="auto"/>
                <w:kern w:val="0"/>
                <w:sz w:val="24"/>
              </w:rPr>
              <w:t>设置生化池，生活污水经生化池处理后向南接入市政管网；</w:t>
            </w:r>
            <w:r>
              <w:rPr>
                <w:rFonts w:hint="eastAsia" w:cs="Times New Roman"/>
                <w:snapToGrid w:val="0"/>
                <w:color w:val="auto"/>
                <w:kern w:val="0"/>
                <w:sz w:val="24"/>
                <w:lang w:val="en-US" w:eastAsia="zh-CN"/>
              </w:rPr>
              <w:t>站区东北侧设</w:t>
            </w:r>
            <w:r>
              <w:rPr>
                <w:rFonts w:hint="default" w:ascii="Times New Roman" w:hAnsi="Times New Roman" w:eastAsia="宋体" w:cs="Times New Roman"/>
                <w:snapToGrid w:val="0"/>
                <w:color w:val="auto"/>
                <w:kern w:val="0"/>
                <w:sz w:val="24"/>
              </w:rPr>
              <w:t>有三段式隔油池和</w:t>
            </w:r>
            <w:r>
              <w:rPr>
                <w:rFonts w:hint="default" w:ascii="Times New Roman" w:hAnsi="Times New Roman" w:eastAsia="宋体" w:cs="Times New Roman"/>
                <w:snapToGrid w:val="0"/>
                <w:color w:val="auto"/>
                <w:kern w:val="0"/>
                <w:sz w:val="24"/>
                <w:lang w:val="en-US" w:eastAsia="zh-CN"/>
              </w:rPr>
              <w:t>地面冲洗废水</w:t>
            </w:r>
            <w:r>
              <w:rPr>
                <w:rFonts w:hint="default" w:ascii="Times New Roman" w:hAnsi="Times New Roman" w:eastAsia="宋体" w:cs="Times New Roman"/>
                <w:snapToGrid w:val="0"/>
                <w:color w:val="auto"/>
                <w:kern w:val="0"/>
                <w:sz w:val="24"/>
              </w:rPr>
              <w:t>通过自流方式</w:t>
            </w:r>
            <w:r>
              <w:rPr>
                <w:rFonts w:hint="eastAsia" w:cs="Times New Roman"/>
                <w:snapToGrid w:val="0"/>
                <w:color w:val="auto"/>
                <w:kern w:val="0"/>
                <w:sz w:val="24"/>
                <w:lang w:val="en-US" w:eastAsia="zh-CN"/>
              </w:rPr>
              <w:t>同</w:t>
            </w:r>
            <w:r>
              <w:rPr>
                <w:rFonts w:hint="default" w:ascii="Times New Roman" w:hAnsi="Times New Roman" w:eastAsia="宋体" w:cs="Times New Roman"/>
                <w:snapToGrid w:val="0"/>
                <w:color w:val="auto"/>
                <w:kern w:val="0"/>
                <w:sz w:val="24"/>
                <w:lang w:val="en-US" w:eastAsia="zh-CN"/>
              </w:rPr>
              <w:t>洗车废水</w:t>
            </w:r>
            <w:r>
              <w:rPr>
                <w:rFonts w:hint="default" w:ascii="Times New Roman" w:hAnsi="Times New Roman" w:eastAsia="宋体" w:cs="Times New Roman"/>
                <w:snapToGrid w:val="0"/>
                <w:color w:val="auto"/>
                <w:kern w:val="0"/>
                <w:sz w:val="24"/>
              </w:rPr>
              <w:t>进入加油站</w:t>
            </w:r>
            <w:r>
              <w:rPr>
                <w:rFonts w:hint="eastAsia" w:cs="Times New Roman"/>
                <w:snapToGrid w:val="0"/>
                <w:color w:val="auto"/>
                <w:kern w:val="0"/>
                <w:sz w:val="24"/>
                <w:lang w:val="en-US" w:eastAsia="zh-CN"/>
              </w:rPr>
              <w:t>东北</w:t>
            </w:r>
            <w:r>
              <w:rPr>
                <w:rFonts w:hint="default" w:ascii="Times New Roman" w:hAnsi="Times New Roman" w:eastAsia="宋体" w:cs="Times New Roman"/>
                <w:snapToGrid w:val="0"/>
                <w:color w:val="auto"/>
                <w:kern w:val="0"/>
                <w:sz w:val="24"/>
              </w:rPr>
              <w:t>侧的三段式隔油池，该区域地势较低，含油废水</w:t>
            </w:r>
            <w:r>
              <w:rPr>
                <w:rFonts w:hint="eastAsia" w:cs="Times New Roman"/>
                <w:snapToGrid w:val="0"/>
                <w:color w:val="auto"/>
                <w:kern w:val="0"/>
                <w:sz w:val="24"/>
                <w:lang w:eastAsia="zh-CN"/>
              </w:rPr>
              <w:t>、</w:t>
            </w:r>
            <w:r>
              <w:rPr>
                <w:rFonts w:hint="eastAsia" w:cs="Times New Roman"/>
                <w:snapToGrid w:val="0"/>
                <w:color w:val="auto"/>
                <w:kern w:val="0"/>
                <w:sz w:val="24"/>
                <w:lang w:val="en-US" w:eastAsia="zh-CN"/>
              </w:rPr>
              <w:t>洗车废水</w:t>
            </w:r>
            <w:r>
              <w:rPr>
                <w:rFonts w:hint="default" w:ascii="Times New Roman" w:hAnsi="Times New Roman" w:eastAsia="宋体" w:cs="Times New Roman"/>
                <w:snapToGrid w:val="0"/>
                <w:color w:val="auto"/>
                <w:kern w:val="0"/>
                <w:sz w:val="24"/>
              </w:rPr>
              <w:t>经</w:t>
            </w:r>
            <w:r>
              <w:rPr>
                <w:rFonts w:hint="eastAsia" w:cs="Times New Roman"/>
                <w:snapToGrid w:val="0"/>
                <w:color w:val="auto"/>
                <w:kern w:val="0"/>
                <w:sz w:val="24"/>
                <w:lang w:val="en-US" w:eastAsia="zh-CN"/>
              </w:rPr>
              <w:t>三段式</w:t>
            </w:r>
            <w:r>
              <w:rPr>
                <w:rFonts w:hint="default" w:ascii="Times New Roman" w:hAnsi="Times New Roman" w:eastAsia="宋体" w:cs="Times New Roman"/>
                <w:snapToGrid w:val="0"/>
                <w:color w:val="auto"/>
                <w:kern w:val="0"/>
                <w:sz w:val="24"/>
              </w:rPr>
              <w:t>隔油池处理后向南接入市政管网。综上所述，加油站平面布局合理。</w:t>
            </w:r>
          </w:p>
          <w:p w14:paraId="06C08FDE">
            <w:pPr>
              <w:adjustRightInd w:val="0"/>
              <w:snapToGrid w:val="0"/>
              <w:spacing w:line="360" w:lineRule="auto"/>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
                <w:color w:val="auto"/>
                <w:sz w:val="28"/>
                <w:szCs w:val="26"/>
              </w:rPr>
              <w:t>2.4劳动定员及工作制度</w:t>
            </w:r>
          </w:p>
          <w:p w14:paraId="5750B1F8">
            <w:pPr>
              <w:adjustRightInd w:val="0"/>
              <w:snapToGrid w:val="0"/>
              <w:spacing w:line="360" w:lineRule="auto"/>
              <w:ind w:firstLine="480" w:firstLineChars="200"/>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bCs/>
                <w:color w:val="auto"/>
                <w:sz w:val="24"/>
                <w:szCs w:val="26"/>
              </w:rPr>
              <w:t>本次扩建项目所需员工从原有员工中调配，不新增劳动定员，劳动定员</w:t>
            </w:r>
            <w:r>
              <w:rPr>
                <w:rFonts w:hint="default" w:ascii="Times New Roman" w:hAnsi="Times New Roman" w:eastAsia="宋体" w:cs="Times New Roman"/>
                <w:bCs/>
                <w:color w:val="auto"/>
                <w:sz w:val="24"/>
                <w:szCs w:val="26"/>
                <w:lang w:val="en-US" w:eastAsia="zh-CN"/>
              </w:rPr>
              <w:t>9</w:t>
            </w:r>
            <w:r>
              <w:rPr>
                <w:rFonts w:hint="default" w:ascii="Times New Roman" w:hAnsi="Times New Roman" w:eastAsia="宋体" w:cs="Times New Roman"/>
                <w:bCs/>
                <w:color w:val="auto"/>
                <w:sz w:val="24"/>
                <w:szCs w:val="26"/>
              </w:rPr>
              <w:t>人；全年365天24小时营业，三班制，每班8h。</w:t>
            </w:r>
            <w:r>
              <w:rPr>
                <w:rFonts w:hint="eastAsia"/>
                <w:bCs/>
                <w:color w:val="auto"/>
                <w:sz w:val="24"/>
                <w:szCs w:val="26"/>
                <w:highlight w:val="none"/>
                <w:lang w:eastAsia="zh-CN"/>
              </w:rPr>
              <w:t>汽车自动快洗仅昼间运行，每天一班制。</w:t>
            </w:r>
          </w:p>
          <w:p w14:paraId="32883B4E">
            <w:pPr>
              <w:pStyle w:val="73"/>
              <w:spacing w:line="360" w:lineRule="auto"/>
              <w:rPr>
                <w:rFonts w:hint="default" w:ascii="Times New Roman" w:hAnsi="Times New Roman" w:eastAsia="宋体" w:cs="Times New Roman"/>
                <w:bCs w:val="0"/>
                <w:color w:val="auto"/>
                <w:sz w:val="28"/>
                <w:szCs w:val="26"/>
              </w:rPr>
            </w:pPr>
            <w:r>
              <w:rPr>
                <w:rFonts w:hint="default" w:ascii="Times New Roman" w:hAnsi="Times New Roman" w:eastAsia="宋体" w:cs="Times New Roman"/>
                <w:bCs w:val="0"/>
                <w:color w:val="auto"/>
                <w:sz w:val="28"/>
                <w:szCs w:val="26"/>
              </w:rPr>
              <w:t>2.5主要技术经济指标</w:t>
            </w:r>
          </w:p>
          <w:p w14:paraId="0B7AADAA">
            <w:pPr>
              <w:pStyle w:val="62"/>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本项目主要技术经济指标见表2.5-1。</w:t>
            </w:r>
          </w:p>
          <w:p w14:paraId="7C2E4696">
            <w:pPr>
              <w:pStyle w:val="26"/>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表2.5-1    项目主要技术经济指标</w:t>
            </w:r>
          </w:p>
          <w:tbl>
            <w:tblPr>
              <w:tblStyle w:val="19"/>
              <w:tblW w:w="499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933"/>
              <w:gridCol w:w="1869"/>
              <w:gridCol w:w="1086"/>
              <w:gridCol w:w="1243"/>
              <w:gridCol w:w="3606"/>
            </w:tblGrid>
            <w:tr w14:paraId="1AB989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tblHeader/>
                <w:jc w:val="center"/>
              </w:trPr>
              <w:tc>
                <w:tcPr>
                  <w:tcW w:w="534" w:type="pct"/>
                  <w:noWrap w:val="0"/>
                  <w:vAlign w:val="center"/>
                </w:tcPr>
                <w:p w14:paraId="761FE26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序号</w:t>
                  </w:r>
                </w:p>
              </w:tc>
              <w:tc>
                <w:tcPr>
                  <w:tcW w:w="1069" w:type="pct"/>
                  <w:noWrap w:val="0"/>
                  <w:vAlign w:val="center"/>
                </w:tcPr>
                <w:p w14:paraId="4745D3E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指标名称</w:t>
                  </w:r>
                </w:p>
              </w:tc>
              <w:tc>
                <w:tcPr>
                  <w:tcW w:w="621" w:type="pct"/>
                  <w:noWrap w:val="0"/>
                  <w:vAlign w:val="center"/>
                </w:tcPr>
                <w:p w14:paraId="2494262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单位</w:t>
                  </w:r>
                </w:p>
              </w:tc>
              <w:tc>
                <w:tcPr>
                  <w:tcW w:w="711" w:type="pct"/>
                  <w:noWrap w:val="0"/>
                  <w:vAlign w:val="center"/>
                </w:tcPr>
                <w:p w14:paraId="4A3AEAD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指标值</w:t>
                  </w:r>
                </w:p>
              </w:tc>
              <w:tc>
                <w:tcPr>
                  <w:tcW w:w="2063" w:type="pct"/>
                  <w:noWrap w:val="0"/>
                  <w:vAlign w:val="center"/>
                </w:tcPr>
                <w:p w14:paraId="30CE4154">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备注</w:t>
                  </w:r>
                </w:p>
              </w:tc>
            </w:tr>
            <w:tr w14:paraId="3ECCD2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0799688E">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p>
              </w:tc>
              <w:tc>
                <w:tcPr>
                  <w:tcW w:w="1069" w:type="pct"/>
                  <w:noWrap w:val="0"/>
                  <w:vAlign w:val="center"/>
                </w:tcPr>
                <w:p w14:paraId="0D160F63">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油罐</w:t>
                  </w:r>
                </w:p>
              </w:tc>
              <w:tc>
                <w:tcPr>
                  <w:tcW w:w="621" w:type="pct"/>
                  <w:noWrap w:val="0"/>
                  <w:vAlign w:val="center"/>
                </w:tcPr>
                <w:p w14:paraId="11E619E7">
                  <w:pPr>
                    <w:jc w:val="center"/>
                    <w:rPr>
                      <w:rFonts w:hint="eastAsia" w:ascii="Times New Roman" w:hAnsi="Times New Roman" w:eastAsia="宋体" w:cs="Times New Roman"/>
                      <w:color w:val="auto"/>
                      <w:kern w:val="0"/>
                      <w:szCs w:val="21"/>
                      <w:lang w:eastAsia="zh-CN"/>
                    </w:rPr>
                  </w:pPr>
                  <w:r>
                    <w:rPr>
                      <w:rFonts w:hint="eastAsia" w:cs="Times New Roman"/>
                      <w:color w:val="auto"/>
                      <w:kern w:val="0"/>
                      <w:szCs w:val="21"/>
                      <w:lang w:eastAsia="zh-CN"/>
                    </w:rPr>
                    <w:t>座</w:t>
                  </w:r>
                </w:p>
              </w:tc>
              <w:tc>
                <w:tcPr>
                  <w:tcW w:w="711" w:type="pct"/>
                  <w:noWrap w:val="0"/>
                  <w:vAlign w:val="center"/>
                </w:tcPr>
                <w:p w14:paraId="075456B9">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w:t>
                  </w:r>
                </w:p>
              </w:tc>
              <w:tc>
                <w:tcPr>
                  <w:tcW w:w="2063" w:type="pct"/>
                  <w:noWrap w:val="0"/>
                  <w:vAlign w:val="center"/>
                </w:tcPr>
                <w:p w14:paraId="5C1819B2">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总容积87.5m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（柴油容积折半计算）</w:t>
                  </w:r>
                </w:p>
              </w:tc>
            </w:tr>
            <w:tr w14:paraId="195551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438387B7">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1.1</w:t>
                  </w:r>
                </w:p>
              </w:tc>
              <w:tc>
                <w:tcPr>
                  <w:tcW w:w="1069" w:type="pct"/>
                  <w:noWrap w:val="0"/>
                  <w:vAlign w:val="center"/>
                </w:tcPr>
                <w:p w14:paraId="334E2364">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其中：0#柴油</w:t>
                  </w:r>
                </w:p>
              </w:tc>
              <w:tc>
                <w:tcPr>
                  <w:tcW w:w="621" w:type="pct"/>
                  <w:noWrap w:val="0"/>
                  <w:vAlign w:val="center"/>
                </w:tcPr>
                <w:p w14:paraId="6745B82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m</w:t>
                  </w:r>
                  <w:r>
                    <w:rPr>
                      <w:rFonts w:hint="default" w:ascii="Times New Roman" w:hAnsi="Times New Roman" w:eastAsia="宋体" w:cs="Times New Roman"/>
                      <w:color w:val="auto"/>
                      <w:kern w:val="0"/>
                      <w:szCs w:val="21"/>
                      <w:vertAlign w:val="superscript"/>
                    </w:rPr>
                    <w:t>3</w:t>
                  </w:r>
                </w:p>
              </w:tc>
              <w:tc>
                <w:tcPr>
                  <w:tcW w:w="711" w:type="pct"/>
                  <w:noWrap w:val="0"/>
                  <w:vAlign w:val="center"/>
                </w:tcPr>
                <w:p w14:paraId="54A09D9F">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w:t>
                  </w:r>
                </w:p>
              </w:tc>
              <w:tc>
                <w:tcPr>
                  <w:tcW w:w="2063" w:type="pct"/>
                  <w:noWrap w:val="0"/>
                  <w:vAlign w:val="center"/>
                </w:tcPr>
                <w:p w14:paraId="764CC900">
                  <w:pPr>
                    <w:tabs>
                      <w:tab w:val="left" w:pos="612"/>
                    </w:tabs>
                    <w:jc w:val="center"/>
                    <w:rPr>
                      <w:rFonts w:hint="default" w:ascii="Times New Roman" w:hAnsi="Times New Roman" w:eastAsia="宋体" w:cs="Times New Roman"/>
                      <w:color w:val="auto"/>
                      <w:szCs w:val="21"/>
                    </w:rPr>
                  </w:pPr>
                </w:p>
              </w:tc>
            </w:tr>
            <w:tr w14:paraId="623EBF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65DB8FCE">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1.2</w:t>
                  </w:r>
                </w:p>
              </w:tc>
              <w:tc>
                <w:tcPr>
                  <w:tcW w:w="1069" w:type="pct"/>
                  <w:noWrap w:val="0"/>
                  <w:vAlign w:val="center"/>
                </w:tcPr>
                <w:p w14:paraId="067249D0">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92#汽油</w:t>
                  </w:r>
                </w:p>
              </w:tc>
              <w:tc>
                <w:tcPr>
                  <w:tcW w:w="621" w:type="pct"/>
                  <w:noWrap w:val="0"/>
                  <w:vAlign w:val="center"/>
                </w:tcPr>
                <w:p w14:paraId="452EF26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m</w:t>
                  </w:r>
                  <w:r>
                    <w:rPr>
                      <w:rFonts w:hint="default" w:ascii="Times New Roman" w:hAnsi="Times New Roman" w:eastAsia="宋体" w:cs="Times New Roman"/>
                      <w:color w:val="auto"/>
                      <w:kern w:val="0"/>
                      <w:szCs w:val="21"/>
                      <w:vertAlign w:val="superscript"/>
                    </w:rPr>
                    <w:t>3</w:t>
                  </w:r>
                </w:p>
              </w:tc>
              <w:tc>
                <w:tcPr>
                  <w:tcW w:w="711" w:type="pct"/>
                  <w:noWrap w:val="0"/>
                  <w:vAlign w:val="center"/>
                </w:tcPr>
                <w:p w14:paraId="78476F06">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w:t>
                  </w:r>
                </w:p>
              </w:tc>
              <w:tc>
                <w:tcPr>
                  <w:tcW w:w="2063" w:type="pct"/>
                  <w:noWrap w:val="0"/>
                  <w:vAlign w:val="center"/>
                </w:tcPr>
                <w:p w14:paraId="21F72322">
                  <w:pPr>
                    <w:tabs>
                      <w:tab w:val="left" w:pos="612"/>
                    </w:tabs>
                    <w:jc w:val="center"/>
                    <w:rPr>
                      <w:rFonts w:hint="default" w:ascii="Times New Roman" w:hAnsi="Times New Roman" w:eastAsia="宋体" w:cs="Times New Roman"/>
                      <w:color w:val="auto"/>
                      <w:szCs w:val="21"/>
                    </w:rPr>
                  </w:pPr>
                </w:p>
              </w:tc>
            </w:tr>
            <w:tr w14:paraId="2232A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6CDF5687">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1.3</w:t>
                  </w:r>
                </w:p>
              </w:tc>
              <w:tc>
                <w:tcPr>
                  <w:tcW w:w="1069" w:type="pct"/>
                  <w:noWrap w:val="0"/>
                  <w:vAlign w:val="center"/>
                </w:tcPr>
                <w:p w14:paraId="2A503463">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95#汽油</w:t>
                  </w:r>
                </w:p>
              </w:tc>
              <w:tc>
                <w:tcPr>
                  <w:tcW w:w="621" w:type="pct"/>
                  <w:noWrap w:val="0"/>
                  <w:vAlign w:val="center"/>
                </w:tcPr>
                <w:p w14:paraId="02CE19D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m</w:t>
                  </w:r>
                  <w:r>
                    <w:rPr>
                      <w:rFonts w:hint="default" w:ascii="Times New Roman" w:hAnsi="Times New Roman" w:eastAsia="宋体" w:cs="Times New Roman"/>
                      <w:color w:val="auto"/>
                      <w:kern w:val="0"/>
                      <w:szCs w:val="21"/>
                      <w:vertAlign w:val="superscript"/>
                    </w:rPr>
                    <w:t>3</w:t>
                  </w:r>
                </w:p>
              </w:tc>
              <w:tc>
                <w:tcPr>
                  <w:tcW w:w="711" w:type="pct"/>
                  <w:noWrap w:val="0"/>
                  <w:vAlign w:val="center"/>
                </w:tcPr>
                <w:p w14:paraId="691AE78C">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w:t>
                  </w:r>
                </w:p>
              </w:tc>
              <w:tc>
                <w:tcPr>
                  <w:tcW w:w="2063" w:type="pct"/>
                  <w:noWrap w:val="0"/>
                  <w:vAlign w:val="center"/>
                </w:tcPr>
                <w:p w14:paraId="2CD48F55">
                  <w:pPr>
                    <w:tabs>
                      <w:tab w:val="left" w:pos="612"/>
                    </w:tabs>
                    <w:jc w:val="center"/>
                    <w:rPr>
                      <w:rFonts w:hint="default" w:ascii="Times New Roman" w:hAnsi="Times New Roman" w:eastAsia="宋体" w:cs="Times New Roman"/>
                      <w:color w:val="auto"/>
                      <w:szCs w:val="21"/>
                    </w:rPr>
                  </w:pPr>
                </w:p>
              </w:tc>
            </w:tr>
            <w:tr w14:paraId="54865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25CEFF31">
                  <w:pPr>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1.4</w:t>
                  </w:r>
                </w:p>
              </w:tc>
              <w:tc>
                <w:tcPr>
                  <w:tcW w:w="1069" w:type="pct"/>
                  <w:noWrap w:val="0"/>
                  <w:vAlign w:val="center"/>
                </w:tcPr>
                <w:p w14:paraId="15838C37">
                  <w:pPr>
                    <w:tabs>
                      <w:tab w:val="left" w:pos="612"/>
                    </w:tabs>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9</w:t>
                  </w:r>
                  <w:r>
                    <w:rPr>
                      <w:rFonts w:hint="default" w:ascii="Times New Roman" w:hAnsi="Times New Roman" w:eastAsia="宋体" w:cs="Times New Roman"/>
                      <w:color w:val="auto"/>
                      <w:szCs w:val="21"/>
                      <w:lang w:val="en-US" w:eastAsia="zh-CN"/>
                    </w:rPr>
                    <w:t>8</w:t>
                  </w:r>
                  <w:r>
                    <w:rPr>
                      <w:rFonts w:hint="default" w:ascii="Times New Roman" w:hAnsi="Times New Roman" w:eastAsia="宋体" w:cs="Times New Roman"/>
                      <w:color w:val="auto"/>
                      <w:szCs w:val="21"/>
                    </w:rPr>
                    <w:t>#汽油</w:t>
                  </w:r>
                </w:p>
              </w:tc>
              <w:tc>
                <w:tcPr>
                  <w:tcW w:w="621" w:type="pct"/>
                  <w:noWrap w:val="0"/>
                  <w:vAlign w:val="center"/>
                </w:tcPr>
                <w:p w14:paraId="632ACB8B">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m</w:t>
                  </w:r>
                  <w:r>
                    <w:rPr>
                      <w:rFonts w:hint="default" w:ascii="Times New Roman" w:hAnsi="Times New Roman" w:eastAsia="宋体" w:cs="Times New Roman"/>
                      <w:color w:val="auto"/>
                      <w:kern w:val="0"/>
                      <w:szCs w:val="21"/>
                      <w:vertAlign w:val="superscript"/>
                    </w:rPr>
                    <w:t>3</w:t>
                  </w:r>
                </w:p>
              </w:tc>
              <w:tc>
                <w:tcPr>
                  <w:tcW w:w="711" w:type="pct"/>
                  <w:noWrap w:val="0"/>
                  <w:vAlign w:val="center"/>
                </w:tcPr>
                <w:p w14:paraId="38A77552">
                  <w:pPr>
                    <w:tabs>
                      <w:tab w:val="left" w:pos="612"/>
                    </w:tabs>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25</w:t>
                  </w:r>
                </w:p>
              </w:tc>
              <w:tc>
                <w:tcPr>
                  <w:tcW w:w="2063" w:type="pct"/>
                  <w:noWrap w:val="0"/>
                  <w:vAlign w:val="center"/>
                </w:tcPr>
                <w:p w14:paraId="6D075C3E">
                  <w:pPr>
                    <w:tabs>
                      <w:tab w:val="left" w:pos="612"/>
                    </w:tabs>
                    <w:jc w:val="center"/>
                    <w:rPr>
                      <w:rFonts w:hint="default" w:ascii="Times New Roman" w:hAnsi="Times New Roman" w:eastAsia="宋体" w:cs="Times New Roman"/>
                      <w:color w:val="auto"/>
                      <w:szCs w:val="21"/>
                    </w:rPr>
                  </w:pPr>
                </w:p>
              </w:tc>
            </w:tr>
            <w:tr w14:paraId="16AD13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2AFEDBD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1069" w:type="pct"/>
                  <w:noWrap w:val="0"/>
                  <w:vAlign w:val="center"/>
                </w:tcPr>
                <w:p w14:paraId="6EE2998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项目占地面积</w:t>
                  </w:r>
                </w:p>
              </w:tc>
              <w:tc>
                <w:tcPr>
                  <w:tcW w:w="621" w:type="pct"/>
                  <w:noWrap w:val="0"/>
                  <w:vAlign w:val="center"/>
                </w:tcPr>
                <w:p w14:paraId="5B59F34A">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m</w:t>
                  </w:r>
                  <w:r>
                    <w:rPr>
                      <w:rFonts w:hint="default" w:ascii="Times New Roman" w:hAnsi="Times New Roman" w:eastAsia="宋体" w:cs="Times New Roman"/>
                      <w:color w:val="auto"/>
                      <w:kern w:val="0"/>
                      <w:szCs w:val="21"/>
                      <w:vertAlign w:val="superscript"/>
                    </w:rPr>
                    <w:t>2</w:t>
                  </w:r>
                </w:p>
              </w:tc>
              <w:tc>
                <w:tcPr>
                  <w:tcW w:w="711" w:type="pct"/>
                  <w:noWrap w:val="0"/>
                  <w:vAlign w:val="center"/>
                </w:tcPr>
                <w:p w14:paraId="0B8553B8">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w:t>
                  </w:r>
                </w:p>
              </w:tc>
              <w:tc>
                <w:tcPr>
                  <w:tcW w:w="2063" w:type="pct"/>
                  <w:noWrap w:val="0"/>
                  <w:vAlign w:val="center"/>
                </w:tcPr>
                <w:p w14:paraId="2D40E534">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在原罐区改造，不新增占地</w:t>
                  </w:r>
                </w:p>
              </w:tc>
            </w:tr>
            <w:tr w14:paraId="6A3ED0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5AD560E8">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w:t>
                  </w:r>
                </w:p>
              </w:tc>
              <w:tc>
                <w:tcPr>
                  <w:tcW w:w="1069" w:type="pct"/>
                  <w:noWrap w:val="0"/>
                  <w:vAlign w:val="center"/>
                </w:tcPr>
                <w:p w14:paraId="7E5C4284">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劳动定员</w:t>
                  </w:r>
                </w:p>
              </w:tc>
              <w:tc>
                <w:tcPr>
                  <w:tcW w:w="621" w:type="pct"/>
                  <w:noWrap w:val="0"/>
                  <w:vAlign w:val="center"/>
                </w:tcPr>
                <w:p w14:paraId="6B84C8AD">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人</w:t>
                  </w:r>
                </w:p>
              </w:tc>
              <w:tc>
                <w:tcPr>
                  <w:tcW w:w="711" w:type="pct"/>
                  <w:noWrap w:val="0"/>
                  <w:vAlign w:val="center"/>
                </w:tcPr>
                <w:p w14:paraId="5A617F95">
                  <w:pPr>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kern w:val="0"/>
                      <w:szCs w:val="21"/>
                      <w:lang w:val="en-US" w:eastAsia="zh-CN"/>
                    </w:rPr>
                    <w:t>9</w:t>
                  </w:r>
                </w:p>
              </w:tc>
              <w:tc>
                <w:tcPr>
                  <w:tcW w:w="2063" w:type="pct"/>
                  <w:noWrap w:val="0"/>
                  <w:vAlign w:val="center"/>
                </w:tcPr>
                <w:p w14:paraId="20540D65">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不新增定员</w:t>
                  </w:r>
                </w:p>
              </w:tc>
            </w:tr>
            <w:tr w14:paraId="2EDE6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5AD8CDE5">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w:t>
                  </w:r>
                </w:p>
              </w:tc>
              <w:tc>
                <w:tcPr>
                  <w:tcW w:w="1069" w:type="pct"/>
                  <w:noWrap w:val="0"/>
                  <w:vAlign w:val="center"/>
                </w:tcPr>
                <w:p w14:paraId="11718AF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生产制度</w:t>
                  </w:r>
                </w:p>
              </w:tc>
              <w:tc>
                <w:tcPr>
                  <w:tcW w:w="2313" w:type="dxa"/>
                  <w:gridSpan w:val="2"/>
                  <w:noWrap w:val="0"/>
                  <w:vAlign w:val="center"/>
                </w:tcPr>
                <w:p w14:paraId="095237C3">
                  <w:pPr>
                    <w:spacing w:line="240" w:lineRule="atLeast"/>
                    <w:jc w:val="center"/>
                    <w:rPr>
                      <w:rFonts w:hint="default" w:ascii="Times New Roman" w:hAnsi="Times New Roman" w:eastAsia="宋体" w:cs="Times New Roman"/>
                      <w:color w:val="auto"/>
                      <w:szCs w:val="21"/>
                    </w:rPr>
                  </w:pPr>
                  <w:r>
                    <w:rPr>
                      <w:rFonts w:hint="eastAsia"/>
                      <w:color w:val="auto"/>
                      <w:sz w:val="21"/>
                      <w:szCs w:val="21"/>
                      <w:highlight w:val="none"/>
                      <w:lang w:eastAsia="zh-CN"/>
                    </w:rPr>
                    <w:t>三</w:t>
                  </w:r>
                  <w:r>
                    <w:rPr>
                      <w:rFonts w:hint="eastAsia"/>
                      <w:color w:val="auto"/>
                      <w:sz w:val="21"/>
                      <w:szCs w:val="21"/>
                      <w:highlight w:val="none"/>
                    </w:rPr>
                    <w:t>班制</w:t>
                  </w:r>
                  <w:r>
                    <w:rPr>
                      <w:rFonts w:hint="eastAsia"/>
                      <w:color w:val="auto"/>
                      <w:sz w:val="21"/>
                      <w:szCs w:val="21"/>
                      <w:highlight w:val="none"/>
                      <w:lang w:eastAsia="zh-CN"/>
                    </w:rPr>
                    <w:t>，每班</w:t>
                  </w:r>
                  <w:r>
                    <w:rPr>
                      <w:rFonts w:hint="eastAsia"/>
                      <w:color w:val="auto"/>
                      <w:sz w:val="21"/>
                      <w:szCs w:val="21"/>
                      <w:highlight w:val="none"/>
                      <w:lang w:val="en-US" w:eastAsia="zh-CN"/>
                    </w:rPr>
                    <w:t>8h</w:t>
                  </w:r>
                </w:p>
              </w:tc>
              <w:tc>
                <w:tcPr>
                  <w:tcW w:w="3584" w:type="dxa"/>
                  <w:noWrap w:val="0"/>
                  <w:vAlign w:val="center"/>
                </w:tcPr>
                <w:p w14:paraId="5F259F5A">
                  <w:pPr>
                    <w:spacing w:line="240" w:lineRule="atLeast"/>
                    <w:jc w:val="center"/>
                    <w:rPr>
                      <w:rFonts w:hint="default" w:ascii="Times New Roman" w:hAnsi="Times New Roman" w:eastAsia="宋体" w:cs="Times New Roman"/>
                      <w:color w:val="auto"/>
                      <w:szCs w:val="21"/>
                    </w:rPr>
                  </w:pPr>
                  <w:r>
                    <w:rPr>
                      <w:rFonts w:hint="eastAsia"/>
                      <w:color w:val="auto"/>
                      <w:kern w:val="2"/>
                      <w:sz w:val="21"/>
                      <w:szCs w:val="21"/>
                      <w:highlight w:val="none"/>
                      <w:lang w:val="en-US" w:eastAsia="zh-CN" w:bidi="ar-SA"/>
                    </w:rPr>
                    <w:t>汽车自动快洗仅昼间运行，每天一班制</w:t>
                  </w:r>
                </w:p>
              </w:tc>
            </w:tr>
            <w:tr w14:paraId="54167E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77BF910B">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w:t>
                  </w:r>
                </w:p>
              </w:tc>
              <w:tc>
                <w:tcPr>
                  <w:tcW w:w="1069" w:type="pct"/>
                  <w:noWrap w:val="0"/>
                  <w:vAlign w:val="center"/>
                </w:tcPr>
                <w:p w14:paraId="56E1202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工作日</w:t>
                  </w:r>
                </w:p>
              </w:tc>
              <w:tc>
                <w:tcPr>
                  <w:tcW w:w="621" w:type="pct"/>
                  <w:noWrap w:val="0"/>
                  <w:vAlign w:val="center"/>
                </w:tcPr>
                <w:p w14:paraId="6ACF67B6">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d</w:t>
                  </w:r>
                </w:p>
              </w:tc>
              <w:tc>
                <w:tcPr>
                  <w:tcW w:w="711" w:type="pct"/>
                  <w:noWrap w:val="0"/>
                  <w:vAlign w:val="center"/>
                </w:tcPr>
                <w:p w14:paraId="1F11315F">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365</w:t>
                  </w:r>
                </w:p>
              </w:tc>
              <w:tc>
                <w:tcPr>
                  <w:tcW w:w="2063" w:type="pct"/>
                  <w:noWrap w:val="0"/>
                  <w:vAlign w:val="center"/>
                </w:tcPr>
                <w:p w14:paraId="400FAA06">
                  <w:pPr>
                    <w:jc w:val="center"/>
                    <w:rPr>
                      <w:rFonts w:hint="default" w:ascii="Times New Roman" w:hAnsi="Times New Roman" w:eastAsia="宋体" w:cs="Times New Roman"/>
                      <w:color w:val="auto"/>
                      <w:kern w:val="0"/>
                      <w:szCs w:val="21"/>
                    </w:rPr>
                  </w:pPr>
                </w:p>
              </w:tc>
            </w:tr>
            <w:tr w14:paraId="3E3FA2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592DFE0A">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w:t>
                  </w:r>
                </w:p>
              </w:tc>
              <w:tc>
                <w:tcPr>
                  <w:tcW w:w="1069" w:type="pct"/>
                  <w:noWrap w:val="0"/>
                  <w:vAlign w:val="center"/>
                </w:tcPr>
                <w:p w14:paraId="2C9097C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建设周期</w:t>
                  </w:r>
                </w:p>
              </w:tc>
              <w:tc>
                <w:tcPr>
                  <w:tcW w:w="621" w:type="pct"/>
                  <w:noWrap w:val="0"/>
                  <w:vAlign w:val="center"/>
                </w:tcPr>
                <w:p w14:paraId="5867B49B">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月</w:t>
                  </w:r>
                </w:p>
              </w:tc>
              <w:tc>
                <w:tcPr>
                  <w:tcW w:w="711" w:type="pct"/>
                  <w:noWrap w:val="0"/>
                  <w:vAlign w:val="center"/>
                </w:tcPr>
                <w:p w14:paraId="50ACEB44">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w:t>
                  </w:r>
                </w:p>
              </w:tc>
              <w:tc>
                <w:tcPr>
                  <w:tcW w:w="2063" w:type="pct"/>
                  <w:noWrap w:val="0"/>
                  <w:vAlign w:val="center"/>
                </w:tcPr>
                <w:p w14:paraId="3F672807">
                  <w:pPr>
                    <w:jc w:val="center"/>
                    <w:rPr>
                      <w:rFonts w:hint="default" w:ascii="Times New Roman" w:hAnsi="Times New Roman" w:eastAsia="宋体" w:cs="Times New Roman"/>
                      <w:color w:val="auto"/>
                      <w:kern w:val="0"/>
                      <w:szCs w:val="21"/>
                    </w:rPr>
                  </w:pPr>
                </w:p>
              </w:tc>
            </w:tr>
            <w:tr w14:paraId="458609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4C7F7F8B">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w:t>
                  </w:r>
                </w:p>
              </w:tc>
              <w:tc>
                <w:tcPr>
                  <w:tcW w:w="1069" w:type="pct"/>
                  <w:noWrap w:val="0"/>
                  <w:vAlign w:val="center"/>
                </w:tcPr>
                <w:p w14:paraId="3E82248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总投资</w:t>
                  </w:r>
                </w:p>
              </w:tc>
              <w:tc>
                <w:tcPr>
                  <w:tcW w:w="621" w:type="pct"/>
                  <w:noWrap w:val="0"/>
                  <w:vAlign w:val="center"/>
                </w:tcPr>
                <w:p w14:paraId="3C632DB6">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万元</w:t>
                  </w:r>
                </w:p>
              </w:tc>
              <w:tc>
                <w:tcPr>
                  <w:tcW w:w="711" w:type="pct"/>
                  <w:noWrap w:val="0"/>
                  <w:vAlign w:val="center"/>
                </w:tcPr>
                <w:p w14:paraId="0ADD11DA">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50</w:t>
                  </w:r>
                </w:p>
              </w:tc>
              <w:tc>
                <w:tcPr>
                  <w:tcW w:w="2063" w:type="pct"/>
                  <w:noWrap w:val="0"/>
                  <w:vAlign w:val="center"/>
                </w:tcPr>
                <w:p w14:paraId="3FC73900">
                  <w:pPr>
                    <w:jc w:val="center"/>
                    <w:rPr>
                      <w:rFonts w:hint="default" w:ascii="Times New Roman" w:hAnsi="Times New Roman" w:eastAsia="宋体" w:cs="Times New Roman"/>
                      <w:color w:val="auto"/>
                      <w:kern w:val="0"/>
                      <w:szCs w:val="21"/>
                    </w:rPr>
                  </w:pPr>
                </w:p>
              </w:tc>
            </w:tr>
            <w:tr w14:paraId="4948AB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534" w:type="pct"/>
                  <w:noWrap w:val="0"/>
                  <w:vAlign w:val="center"/>
                </w:tcPr>
                <w:p w14:paraId="7055960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8</w:t>
                  </w:r>
                </w:p>
              </w:tc>
              <w:tc>
                <w:tcPr>
                  <w:tcW w:w="1069" w:type="pct"/>
                  <w:noWrap w:val="0"/>
                  <w:vAlign w:val="center"/>
                </w:tcPr>
                <w:p w14:paraId="040A907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环保投资</w:t>
                  </w:r>
                </w:p>
              </w:tc>
              <w:tc>
                <w:tcPr>
                  <w:tcW w:w="621" w:type="pct"/>
                  <w:noWrap w:val="0"/>
                  <w:vAlign w:val="center"/>
                </w:tcPr>
                <w:p w14:paraId="07940A70">
                  <w:pPr>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万元</w:t>
                  </w:r>
                </w:p>
              </w:tc>
              <w:tc>
                <w:tcPr>
                  <w:tcW w:w="711" w:type="pct"/>
                  <w:noWrap w:val="0"/>
                  <w:vAlign w:val="center"/>
                </w:tcPr>
                <w:p w14:paraId="0B9BDED3">
                  <w:pPr>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kern w:val="0"/>
                      <w:szCs w:val="21"/>
                      <w:lang w:val="en-US" w:eastAsia="zh-CN"/>
                    </w:rPr>
                    <w:t>4</w:t>
                  </w:r>
                  <w:r>
                    <w:rPr>
                      <w:rFonts w:hint="default" w:ascii="Times New Roman" w:hAnsi="Times New Roman" w:eastAsia="宋体" w:cs="Times New Roman"/>
                      <w:color w:val="auto"/>
                      <w:kern w:val="0"/>
                      <w:szCs w:val="21"/>
                    </w:rPr>
                    <w:t>.45</w:t>
                  </w:r>
                </w:p>
              </w:tc>
              <w:tc>
                <w:tcPr>
                  <w:tcW w:w="2063" w:type="pct"/>
                  <w:noWrap w:val="0"/>
                  <w:vAlign w:val="center"/>
                </w:tcPr>
                <w:p w14:paraId="57BD847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占总投资的</w:t>
                  </w:r>
                  <w:r>
                    <w:rPr>
                      <w:rFonts w:hint="default" w:ascii="Times New Roman" w:hAnsi="Times New Roman" w:cs="Times New Roman"/>
                      <w:color w:val="auto"/>
                      <w:kern w:val="0"/>
                      <w:szCs w:val="21"/>
                      <w:lang w:val="en-US" w:eastAsia="zh-CN"/>
                    </w:rPr>
                    <w:t>8</w:t>
                  </w:r>
                  <w:r>
                    <w:rPr>
                      <w:rFonts w:hint="default" w:ascii="Times New Roman" w:hAnsi="Times New Roman" w:eastAsia="宋体" w:cs="Times New Roman"/>
                      <w:color w:val="auto"/>
                      <w:kern w:val="0"/>
                      <w:szCs w:val="21"/>
                      <w:lang w:val="en-US" w:eastAsia="zh-CN"/>
                    </w:rPr>
                    <w:t>.9</w:t>
                  </w:r>
                  <w:r>
                    <w:rPr>
                      <w:rFonts w:hint="default" w:ascii="Times New Roman" w:hAnsi="Times New Roman" w:eastAsia="宋体" w:cs="Times New Roman"/>
                      <w:color w:val="auto"/>
                      <w:kern w:val="0"/>
                      <w:szCs w:val="21"/>
                    </w:rPr>
                    <w:t>%</w:t>
                  </w:r>
                </w:p>
              </w:tc>
            </w:tr>
          </w:tbl>
          <w:p w14:paraId="2F65F60F">
            <w:pPr>
              <w:adjustRightInd w:val="0"/>
              <w:snapToGrid w:val="0"/>
              <w:spacing w:line="460" w:lineRule="exact"/>
              <w:jc w:val="left"/>
              <w:rPr>
                <w:rFonts w:hint="default" w:ascii="Times New Roman" w:hAnsi="Times New Roman" w:eastAsia="宋体" w:cs="Times New Roman"/>
                <w:bCs/>
                <w:color w:val="auto"/>
                <w:szCs w:val="21"/>
                <w:highlight w:val="yellow"/>
              </w:rPr>
            </w:pPr>
          </w:p>
        </w:tc>
      </w:tr>
      <w:tr w14:paraId="1529E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9" w:type="pct"/>
            <w:noWrap w:val="0"/>
            <w:vAlign w:val="center"/>
          </w:tcPr>
          <w:p w14:paraId="5B258F04">
            <w:pPr>
              <w:pStyle w:val="16"/>
              <w:adjustRightInd w:val="0"/>
              <w:snapToGrid w:val="0"/>
              <w:spacing w:before="0" w:beforeAutospacing="0" w:after="0" w:afterAutospacing="0" w:line="360" w:lineRule="auto"/>
              <w:jc w:val="center"/>
              <w:rPr>
                <w:rFonts w:hint="default" w:ascii="Times New Roman" w:hAnsi="Times New Roman" w:eastAsia="宋体" w:cs="Times New Roman"/>
                <w:color w:val="auto"/>
                <w:sz w:val="26"/>
                <w:szCs w:val="26"/>
                <w:highlight w:val="yellow"/>
              </w:rPr>
            </w:pPr>
            <w:r>
              <w:rPr>
                <w:rFonts w:hint="default" w:ascii="Times New Roman" w:hAnsi="Times New Roman" w:eastAsia="宋体" w:cs="Times New Roman"/>
                <w:color w:val="auto"/>
                <w:szCs w:val="26"/>
              </w:rPr>
              <w:t>工艺流程和产排污环节</w:t>
            </w:r>
          </w:p>
        </w:tc>
        <w:tc>
          <w:tcPr>
            <w:tcW w:w="4660" w:type="pct"/>
            <w:noWrap w:val="0"/>
            <w:vAlign w:val="top"/>
          </w:tcPr>
          <w:p w14:paraId="7B8945D5">
            <w:pPr>
              <w:adjustRightInd w:val="0"/>
              <w:snapToGrid w:val="0"/>
              <w:spacing w:line="360" w:lineRule="auto"/>
              <w:jc w:val="left"/>
              <w:rPr>
                <w:rFonts w:hint="default" w:ascii="Times New Roman" w:hAnsi="Times New Roman" w:eastAsia="宋体" w:cs="Times New Roman"/>
                <w:b/>
                <w:color w:val="auto"/>
                <w:sz w:val="28"/>
                <w:szCs w:val="26"/>
              </w:rPr>
            </w:pPr>
            <w:r>
              <w:rPr>
                <w:rFonts w:hint="default" w:ascii="Times New Roman" w:hAnsi="Times New Roman" w:eastAsia="宋体" w:cs="Times New Roman"/>
                <w:b/>
                <w:color w:val="auto"/>
                <w:sz w:val="28"/>
                <w:szCs w:val="26"/>
              </w:rPr>
              <w:t>2.6本项目施工期主要工艺流程及产排污环节</w:t>
            </w:r>
          </w:p>
          <w:p w14:paraId="1E2DFE22">
            <w:pPr>
              <w:snapToGrid w:val="0"/>
              <w:spacing w:line="360" w:lineRule="auto"/>
              <w:ind w:firstLine="480" w:firstLineChars="200"/>
              <w:rPr>
                <w:rFonts w:hint="eastAsia" w:cs="Times New Roman"/>
                <w:bCs/>
                <w:color w:val="auto"/>
                <w:sz w:val="24"/>
                <w:lang w:eastAsia="zh-CN"/>
              </w:rPr>
            </w:pPr>
            <w:r>
              <w:rPr>
                <w:rFonts w:hint="default" w:ascii="Times New Roman" w:hAnsi="Times New Roman" w:eastAsia="宋体" w:cs="Times New Roman"/>
                <w:bCs/>
                <w:color w:val="auto"/>
                <w:sz w:val="24"/>
              </w:rPr>
              <w:t>本项目施工期主要为埋地油罐的拆除和更换，再进行设备调试。本项目</w:t>
            </w:r>
            <w:r>
              <w:rPr>
                <w:rFonts w:hint="eastAsia" w:cs="Times New Roman"/>
                <w:bCs/>
                <w:color w:val="auto"/>
                <w:sz w:val="24"/>
                <w:lang w:eastAsia="zh-CN"/>
              </w:rPr>
              <w:t>施工</w:t>
            </w:r>
            <w:r>
              <w:rPr>
                <w:rFonts w:hint="default" w:ascii="Times New Roman" w:hAnsi="Times New Roman" w:eastAsia="宋体" w:cs="Times New Roman"/>
                <w:bCs/>
                <w:color w:val="auto"/>
                <w:sz w:val="24"/>
              </w:rPr>
              <w:t>工艺流程及排污环节见图2.6-1</w:t>
            </w:r>
            <w:r>
              <w:rPr>
                <w:rFonts w:hint="eastAsia" w:cs="Times New Roman"/>
                <w:bCs/>
                <w:color w:val="auto"/>
                <w:sz w:val="24"/>
                <w:lang w:eastAsia="zh-CN"/>
              </w:rPr>
              <w:t>。</w:t>
            </w:r>
          </w:p>
          <w:p w14:paraId="566BBF72">
            <w:pPr>
              <w:snapToGrid w:val="0"/>
              <w:spacing w:line="460" w:lineRule="atLeast"/>
              <w:jc w:val="center"/>
              <w:rPr>
                <w:rFonts w:hint="default" w:ascii="Times New Roman" w:hAnsi="Times New Roman" w:eastAsia="宋体" w:cs="Times New Roman"/>
                <w:color w:val="auto"/>
              </w:rPr>
            </w:pPr>
            <w:r>
              <w:rPr>
                <w:rFonts w:hint="default" w:ascii="Times New Roman" w:hAnsi="Times New Roman" w:eastAsia="宋体" w:cs="Times New Roman"/>
                <w:color w:val="auto"/>
              </w:rPr>
              <w:object>
                <v:shape id="_x0000_i1025" o:spt="75" type="#_x0000_t75" style="height:72.4pt;width:435.1pt;" o:ole="t" filled="f" o:preferrelative="t" stroked="f" coordsize="21600,21600">
                  <v:path/>
                  <v:fill on="f" focussize="0,0"/>
                  <v:stroke on="f"/>
                  <v:imagedata r:id="rId10" o:title=""/>
                  <o:lock v:ext="edit" aspectratio="t"/>
                  <w10:wrap type="none"/>
                  <w10:anchorlock/>
                </v:shape>
                <o:OLEObject Type="Embed" ProgID="Visio.Drawing.15" ShapeID="_x0000_i1025" DrawAspect="Content" ObjectID="_1468075725" r:id="rId9">
                  <o:LockedField>false</o:LockedField>
                </o:OLEObject>
              </w:object>
            </w:r>
          </w:p>
          <w:p w14:paraId="6033D18E">
            <w:pPr>
              <w:snapToGrid w:val="0"/>
              <w:spacing w:line="460" w:lineRule="atLeast"/>
              <w:jc w:val="center"/>
              <w:rPr>
                <w:rFonts w:hint="default" w:ascii="Times New Roman" w:hAnsi="Times New Roman" w:eastAsia="宋体" w:cs="Times New Roman"/>
                <w:bCs/>
                <w:color w:val="auto"/>
                <w:sz w:val="24"/>
              </w:rPr>
            </w:pPr>
            <w:r>
              <w:rPr>
                <w:rFonts w:hint="default" w:ascii="Times New Roman" w:hAnsi="Times New Roman" w:eastAsia="宋体" w:cs="Times New Roman"/>
                <w:b/>
                <w:bCs/>
                <w:color w:val="auto"/>
                <w:sz w:val="26"/>
                <w:szCs w:val="26"/>
                <w:u w:val="none"/>
              </w:rPr>
              <w:t>图2.6-1    施工期工艺流程及产污环节</w:t>
            </w:r>
          </w:p>
          <w:p w14:paraId="3F1D1DA2">
            <w:pPr>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加油站油罐拆除施工前需先备好消防器材并做好应急准备。</w:t>
            </w:r>
          </w:p>
          <w:p w14:paraId="25FD4676">
            <w:pPr>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油罐拆除：原有埋地油罐委托专业单位进行拆除。油罐拆除前需先对油罐进行清洗及清污处理，施工前检测罐内油气浓度，清除罐内残余油品，断开所有连接油罐的管线；清扫孔下方设置储污油槽，污油排入储污油槽进行收集；施工人员在检测罐内有毒有害气体与可燃气体浓度符合安全要求的情况下进罐进行清污作业，需佩戴防毒面具；清理出油罐污泥后，在罐底铺沙，防止拆除过程中罐基渗透的油蒸发成可燃性气体。清理后的油罐无杂物、无油污，清扫罐内后通风，检测原油罐内的有毒有害气体、可燃气体浓度，符合安全要求后，进行拆除作业。拆油罐前须先注满水，防止罐内残余气体在拆除过程中发生燃烧爆炸等危险。</w:t>
            </w:r>
          </w:p>
          <w:p w14:paraId="5750DCC1">
            <w:pPr>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建设过程中使用的机械设备将会产生施工噪声；施工期废水主要来源于施工人员生活污水及施工机械冲洗废水，生活污水依托加油站现有生化池处理，含油废水依托现有三段式隔油池处理；拆除作业期间产生的含油污泥交相应有资质单位处理；现有工程油罐委托专业单位进行拆除，拆除油罐及含油废物在拆除过程完成后立即由有相应资质的单位清运处置。</w:t>
            </w:r>
          </w:p>
          <w:p w14:paraId="7093F6A2">
            <w:pPr>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highlight w:val="none"/>
                <w:lang w:val="en-US" w:eastAsia="zh-CN"/>
              </w:rPr>
              <w:t>本项目施工期油罐拆除过程应严格落实安评要求的安全措施；整个施工期间严禁明火作业、严禁现场吸烟，做好静电消除等安全措施。</w:t>
            </w:r>
          </w:p>
          <w:p w14:paraId="050A6DD1">
            <w:pPr>
              <w:snapToGrid w:val="0"/>
              <w:spacing w:line="360" w:lineRule="auto"/>
              <w:rPr>
                <w:rFonts w:hint="default" w:ascii="Times New Roman" w:hAnsi="Times New Roman" w:eastAsia="宋体" w:cs="Times New Roman"/>
                <w:b/>
                <w:color w:val="auto"/>
                <w:sz w:val="28"/>
                <w:szCs w:val="26"/>
              </w:rPr>
            </w:pPr>
            <w:r>
              <w:rPr>
                <w:rFonts w:hint="default" w:ascii="Times New Roman" w:hAnsi="Times New Roman" w:eastAsia="宋体" w:cs="Times New Roman"/>
                <w:b/>
                <w:color w:val="auto"/>
                <w:sz w:val="28"/>
                <w:szCs w:val="26"/>
              </w:rPr>
              <w:t>2.7本项目运营期主要工艺流程及产排污环节</w:t>
            </w:r>
          </w:p>
          <w:p w14:paraId="4509EDBF">
            <w:pPr>
              <w:pStyle w:val="62"/>
              <w:spacing w:line="360" w:lineRule="auto"/>
              <w:ind w:firstLine="0" w:firstLineChars="0"/>
              <w:rPr>
                <w:rFonts w:hint="default" w:ascii="Times New Roman" w:hAnsi="Times New Roman" w:eastAsia="宋体" w:cs="Times New Roman"/>
                <w:b/>
                <w:bCs w:val="0"/>
                <w:color w:val="auto"/>
              </w:rPr>
            </w:pPr>
            <w:r>
              <w:rPr>
                <w:rFonts w:hint="default" w:ascii="Times New Roman" w:hAnsi="Times New Roman" w:eastAsia="宋体" w:cs="Times New Roman"/>
                <w:b/>
                <w:bCs w:val="0"/>
                <w:color w:val="auto"/>
              </w:rPr>
              <w:t>2.7.1运营期工艺流程</w:t>
            </w:r>
          </w:p>
          <w:p w14:paraId="3EB255DB">
            <w:pPr>
              <w:pStyle w:val="6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本项目为加油站项目，运营期间主要为过往车辆加油。加油站</w:t>
            </w:r>
            <w:r>
              <w:rPr>
                <w:rFonts w:hint="default" w:ascii="Times New Roman" w:hAnsi="Times New Roman" w:cs="Times New Roman"/>
                <w:color w:val="auto"/>
                <w:sz w:val="24"/>
                <w:szCs w:val="24"/>
                <w:highlight w:val="none"/>
                <w:lang w:val="en-US" w:eastAsia="zh-CN"/>
              </w:rPr>
              <w:t>工艺流程与现有工程一致</w:t>
            </w:r>
            <w:r>
              <w:rPr>
                <w:rFonts w:hint="default" w:ascii="Times New Roman" w:hAnsi="Times New Roman" w:cs="Times New Roman"/>
                <w:color w:val="auto"/>
                <w:sz w:val="24"/>
                <w:szCs w:val="24"/>
                <w:highlight w:val="none"/>
              </w:rPr>
              <w:t>，主要包括成品油进站卸油、储油和给过往车辆加油等过程。首先由油罐车将油料卸载至站内的油罐，采用加油机计量将油料加入车辆油箱。储油罐用于储存油料，从而保证加油站不会出现脱销现象。</w:t>
            </w:r>
          </w:p>
          <w:p w14:paraId="72523334">
            <w:pPr>
              <w:pStyle w:val="62"/>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2" w:firstLineChars="200"/>
              <w:textAlignment w:val="auto"/>
              <w:rPr>
                <w:rFonts w:hint="default" w:ascii="Times New Roman" w:hAnsi="Times New Roman" w:cs="Times New Roman"/>
                <w:b/>
                <w:bCs w:val="0"/>
                <w:color w:val="auto"/>
                <w:sz w:val="24"/>
                <w:szCs w:val="24"/>
                <w:highlight w:val="none"/>
              </w:rPr>
            </w:pPr>
            <w:r>
              <w:rPr>
                <w:rFonts w:hint="default" w:ascii="Times New Roman" w:hAnsi="Times New Roman" w:cs="Times New Roman"/>
                <w:b/>
                <w:bCs w:val="0"/>
                <w:color w:val="auto"/>
                <w:sz w:val="24"/>
                <w:szCs w:val="24"/>
                <w:highlight w:val="none"/>
              </w:rPr>
              <w:t>汽油加油工艺流程说明</w:t>
            </w:r>
          </w:p>
          <w:p w14:paraId="7D1377A4">
            <w:pPr>
              <w:pStyle w:val="62"/>
              <w:ind w:firstLine="130" w:firstLineChars="5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object>
                <v:shape id="_x0000_i1026" o:spt="75" type="#_x0000_t75" style="height:274.95pt;width:409.6pt;" o:ole="t" filled="f" o:preferrelative="t" stroked="f" coordsize="21600,21600">
                  <v:path/>
                  <v:fill on="f" focussize="0,0"/>
                  <v:stroke on="f"/>
                  <v:imagedata r:id="rId12" o:title=""/>
                  <o:lock v:ext="edit" aspectratio="t"/>
                  <w10:wrap type="none"/>
                  <w10:anchorlock/>
                </v:shape>
                <o:OLEObject Type="Embed" ProgID="Visio.Drawing.15" ShapeID="_x0000_i1026" DrawAspect="Content" ObjectID="_1468075726" r:id="rId11">
                  <o:LockedField>false</o:LockedField>
                </o:OLEObject>
              </w:object>
            </w:r>
          </w:p>
          <w:p w14:paraId="4AAF73BE">
            <w:pPr>
              <w:pStyle w:val="62"/>
              <w:spacing w:line="240" w:lineRule="auto"/>
              <w:ind w:firstLine="522"/>
              <w:jc w:val="center"/>
              <w:rPr>
                <w:rFonts w:hint="default" w:ascii="Times New Roman" w:hAnsi="Times New Roman" w:cs="Times New Roman"/>
                <w:b/>
                <w:color w:val="auto"/>
                <w:sz w:val="24"/>
                <w:szCs w:val="24"/>
                <w:highlight w:val="none"/>
                <w:u w:val="single"/>
              </w:rPr>
            </w:pPr>
            <w:r>
              <w:rPr>
                <w:rFonts w:hint="default" w:ascii="Times New Roman" w:hAnsi="Times New Roman" w:cs="Times New Roman"/>
                <w:b/>
                <w:color w:val="auto"/>
                <w:sz w:val="24"/>
                <w:szCs w:val="24"/>
                <w:highlight w:val="none"/>
                <w:u w:val="none"/>
              </w:rPr>
              <w:t>图2.</w:t>
            </w:r>
            <w:r>
              <w:rPr>
                <w:rFonts w:hint="default" w:ascii="Times New Roman" w:hAnsi="Times New Roman" w:cs="Times New Roman"/>
                <w:b/>
                <w:color w:val="auto"/>
                <w:sz w:val="24"/>
                <w:szCs w:val="24"/>
                <w:highlight w:val="none"/>
                <w:u w:val="none"/>
                <w:lang w:val="en-US" w:eastAsia="zh-CN"/>
              </w:rPr>
              <w:t>7</w:t>
            </w:r>
            <w:r>
              <w:rPr>
                <w:rFonts w:hint="default" w:ascii="Times New Roman" w:hAnsi="Times New Roman" w:cs="Times New Roman"/>
                <w:b/>
                <w:color w:val="auto"/>
                <w:sz w:val="24"/>
                <w:szCs w:val="24"/>
                <w:highlight w:val="none"/>
                <w:u w:val="none"/>
              </w:rPr>
              <w:t>-1  运营期汽油工艺流程及产污环节</w:t>
            </w:r>
          </w:p>
          <w:p w14:paraId="56AE2854">
            <w:pPr>
              <w:pStyle w:val="6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b/>
                <w:bCs w:val="0"/>
                <w:color w:val="auto"/>
                <w:sz w:val="24"/>
                <w:szCs w:val="24"/>
                <w:highlight w:val="none"/>
              </w:rPr>
            </w:pPr>
            <w:r>
              <w:rPr>
                <w:rFonts w:hint="default" w:ascii="Times New Roman" w:hAnsi="Times New Roman" w:cs="Times New Roman"/>
                <w:b/>
                <w:bCs w:val="0"/>
                <w:color w:val="auto"/>
                <w:sz w:val="24"/>
                <w:szCs w:val="24"/>
                <w:highlight w:val="none"/>
                <w:lang w:val="en-US" w:eastAsia="zh-CN"/>
              </w:rPr>
              <w:t>①</w:t>
            </w:r>
            <w:r>
              <w:rPr>
                <w:rFonts w:hint="default" w:ascii="Times New Roman" w:hAnsi="Times New Roman" w:cs="Times New Roman"/>
                <w:b/>
                <w:bCs w:val="0"/>
                <w:color w:val="auto"/>
                <w:sz w:val="24"/>
                <w:szCs w:val="24"/>
                <w:highlight w:val="none"/>
              </w:rPr>
              <w:t>卸油过程</w:t>
            </w:r>
          </w:p>
          <w:p w14:paraId="5A377894">
            <w:pPr>
              <w:pStyle w:val="6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首先通过油罐车将汽油运至场地内，再通过密闭卸油点把汽油卸至埋地卧式油罐。项目埋地油罐安装卸油油气回收系统（即一次油气回收系统）装置，对汽油进行卸油时产生的油气进行回收。卸油油气回收系统主要工作原理为在油罐车卸油过程中，储油车内压力减小，地下储罐内压力增加，地下储罐与油罐车内的压力差，使卸油过程中挥发的油气通过管线密闭回到油罐车内，运回储油库进行处理，从而达到油气收集的目的。加油站和油罐车均安装卸油回气快速接头，油罐车同时配备带快速接头的软管。卸油过程罐车与埋地油罐内油气气压基本平衡，气液等体积置换，卸油过程管道密闭，卸油油气回收效率可达95%。</w:t>
            </w:r>
          </w:p>
          <w:p w14:paraId="70063350">
            <w:pPr>
              <w:pStyle w:val="6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②储油</w:t>
            </w:r>
          </w:p>
          <w:p w14:paraId="719A6C36">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 xml:space="preserve">成品油在储油罐内静置储存过程中，储油罐内的温度昼夜有规律地变化。白天温度升高，热量使油气膨胀，压力增高，造成油气的挥发；晚间温度降低，罐内气体压力降低，吸入新鲜空气，为平衡蒸汽压，油气从液相中蒸发，直至油液面上的气体达到新的饱和蒸汽压，造成油气的挥发（此过程为“小呼吸”）。上述过程昼夜交替进行，产生油气挥发物排放。采用储油油气回收系统将埋地油罐随大气压和气温变化产生正压时排放的油气回收至储罐。 </w:t>
            </w:r>
          </w:p>
          <w:p w14:paraId="09320FC0">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t>加油站设置4个单层卧式钢罐，并置于防渗池内，每座油罐均有阻隔防爆技术、液位计，用于预防油罐爆炸事故和溢油事故；安装三次油气回收</w:t>
            </w:r>
            <w:r>
              <w:rPr>
                <w:rFonts w:hint="default" w:ascii="Times New Roman" w:hAnsi="Times New Roman" w:cs="Times New Roman"/>
                <w:color w:val="auto"/>
                <w:kern w:val="0"/>
                <w:sz w:val="24"/>
                <w:szCs w:val="24"/>
                <w:highlight w:val="none"/>
                <w:lang w:val="en-US" w:eastAsia="zh-CN" w:bidi="ar"/>
              </w:rPr>
              <w:t>处理</w:t>
            </w:r>
            <w:r>
              <w:rPr>
                <w:rFonts w:hint="default" w:ascii="Times New Roman" w:hAnsi="Times New Roman" w:eastAsia="宋体" w:cs="Times New Roman"/>
                <w:color w:val="auto"/>
                <w:kern w:val="0"/>
                <w:sz w:val="24"/>
                <w:szCs w:val="24"/>
                <w:highlight w:val="none"/>
                <w:lang w:val="en-US" w:eastAsia="zh-CN" w:bidi="ar"/>
              </w:rPr>
              <w:t>装置，储油罐安装通气管，高出地面4m以上，管口设置呼吸阀，油罐带有液位仪系统，进行液位监测。</w:t>
            </w:r>
          </w:p>
          <w:p w14:paraId="46D54580">
            <w:pPr>
              <w:pStyle w:val="62"/>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cs="Times New Roman"/>
                <w:b/>
                <w:bCs w:val="0"/>
                <w:color w:val="auto"/>
                <w:sz w:val="24"/>
                <w:szCs w:val="24"/>
                <w:highlight w:val="none"/>
              </w:rPr>
            </w:pPr>
            <w:r>
              <w:rPr>
                <w:rFonts w:hint="default" w:ascii="Times New Roman" w:hAnsi="Times New Roman" w:cs="Times New Roman"/>
                <w:b/>
                <w:bCs w:val="0"/>
                <w:color w:val="auto"/>
                <w:sz w:val="24"/>
                <w:szCs w:val="24"/>
                <w:highlight w:val="none"/>
                <w:lang w:val="en-US" w:eastAsia="zh-CN"/>
              </w:rPr>
              <w:t>③</w:t>
            </w:r>
            <w:r>
              <w:rPr>
                <w:rFonts w:hint="default" w:ascii="Times New Roman" w:hAnsi="Times New Roman" w:cs="Times New Roman"/>
                <w:b/>
                <w:bCs w:val="0"/>
                <w:color w:val="auto"/>
                <w:sz w:val="24"/>
                <w:szCs w:val="24"/>
                <w:highlight w:val="none"/>
              </w:rPr>
              <w:t>加油</w:t>
            </w:r>
          </w:p>
          <w:p w14:paraId="44FDAAEA">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本站采用一泵多机（枪）的配套加油工艺，埋地油罐装设潜油泵，通过潜油泵把油品从储油罐抽出，经过加油机的油气分离器、计量器，再经加油枪加到汽车油箱中，加油流量不应大于50L/min。加油枪具有自闭功能，每条枪均配有拉断阀，当异常情况出现时，拉断阀自动关闭，油品不会外泄，可以保证加油过程的安全性。加油机底部供油管道上设置剪切阀，当加油机被撞或起火时，剪切阀能自动关闭。 </w:t>
            </w:r>
          </w:p>
          <w:p w14:paraId="28B25118">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本项目设置了加油油气回收管线，当加油油气回收系统启用时可将汽车油箱中的油气通过真空泵回收到埋地油罐内，基本杜绝了加油过程中的油气排放。</w:t>
            </w:r>
          </w:p>
          <w:p w14:paraId="2B5450DC">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④油气回收装置</w:t>
            </w:r>
          </w:p>
          <w:p w14:paraId="11EAF991">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加油站设置了一次油气回收、二次油气回收系统和三次油气回收处理系统。</w:t>
            </w:r>
          </w:p>
          <w:p w14:paraId="5C596A9C">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一次油气回收：当装油品罐车进入站内卸油区，先将油气回收系统的快速接头连接在罐车和地埋罐呼吸孔上，再将卸油管道与地埋罐入油口连接。开启罐车卸油阀门，油品自流进入油罐，油品将油罐上层空间内的油气层通过油气回收快速管进入罐车，再由罐车运送至储油库集中回收变成汽油。卸油一次油气回收系统回收效率为 95%。</w:t>
            </w:r>
          </w:p>
          <w:p w14:paraId="589D0BA5">
            <w:pPr>
              <w:pStyle w:val="62"/>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二次油气回收：是指将车辆加油时产生的油气密闭回收至埋地油罐的过程。加油的时候，在油品进入汽车油箱过程中产生的油气通过加油枪的回收管返回进入地埋油罐，油气回收动力来自加油机内设的小型真空泵。加油二次油气回收系统回收效率为90%</w:t>
            </w:r>
          </w:p>
          <w:p w14:paraId="7B0209F1">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三次油气回收：由于二次油气回收过程回收到地下罐的油气体积经常比出油量大（气液比＞</w:t>
            </w:r>
            <w:r>
              <w:rPr>
                <w:rFonts w:hint="default"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），以及由于小呼吸等因素造成罐压上升，此时油气将通过储罐呼吸阀排放，为防止污染，在呼吸阀前端加装油气回收装置，对这部分油气的处理称为三次油气回收。</w:t>
            </w:r>
            <w:r>
              <w:rPr>
                <w:rFonts w:ascii="Times New Roman" w:hAnsi="Times New Roman"/>
                <w:color w:val="auto"/>
                <w:kern w:val="0"/>
                <w:sz w:val="24"/>
                <w:lang w:bidi="ar"/>
              </w:rPr>
              <w:t>通过在储油罐通气管排放油气之前安装1台冷凝器+</w:t>
            </w:r>
            <w:r>
              <w:rPr>
                <w:rFonts w:hint="eastAsia" w:ascii="Times New Roman" w:hAnsi="Times New Roman"/>
                <w:color w:val="auto"/>
                <w:kern w:val="0"/>
                <w:sz w:val="24"/>
                <w:lang w:eastAsia="zh-CN" w:bidi="ar"/>
              </w:rPr>
              <w:t>集液管</w:t>
            </w:r>
            <w:r>
              <w:rPr>
                <w:rFonts w:ascii="Times New Roman" w:hAnsi="Times New Roman"/>
                <w:color w:val="auto"/>
                <w:kern w:val="0"/>
                <w:sz w:val="24"/>
                <w:lang w:bidi="ar"/>
              </w:rPr>
              <w:t>+</w:t>
            </w:r>
            <w:r>
              <w:rPr>
                <w:rFonts w:hint="eastAsia" w:ascii="Times New Roman" w:hAnsi="Times New Roman"/>
                <w:color w:val="auto"/>
                <w:kern w:val="0"/>
                <w:sz w:val="24"/>
                <w:lang w:bidi="ar"/>
              </w:rPr>
              <w:t>渗透膜处理</w:t>
            </w:r>
            <w:r>
              <w:rPr>
                <w:rFonts w:ascii="Times New Roman" w:hAnsi="Times New Roman"/>
                <w:color w:val="auto"/>
                <w:kern w:val="0"/>
                <w:sz w:val="24"/>
                <w:lang w:bidi="ar"/>
              </w:rPr>
              <w:t>装置。设备启动后冷凝系统运行，当冷凝箱温度降低到设定值时，压缩机停止运行。当地下储罐压力超过预设的压力值时自动运行，</w:t>
            </w:r>
            <w:r>
              <w:rPr>
                <w:rFonts w:hint="eastAsia" w:ascii="Times New Roman" w:hAnsi="Times New Roman"/>
                <w:color w:val="auto"/>
                <w:kern w:val="0"/>
                <w:sz w:val="24"/>
                <w:lang w:bidi="ar"/>
              </w:rPr>
              <w:t>油气从增压泵进气口吸入，经增压泵增压形成高浓度的油气，</w:t>
            </w:r>
            <w:r>
              <w:rPr>
                <w:rFonts w:hint="eastAsia"/>
                <w:color w:val="auto"/>
                <w:kern w:val="0"/>
                <w:sz w:val="24"/>
                <w:lang w:eastAsia="zh-CN" w:bidi="ar"/>
              </w:rPr>
              <w:t>再经过</w:t>
            </w:r>
            <w:r>
              <w:rPr>
                <w:rFonts w:hint="eastAsia" w:ascii="Times New Roman" w:hAnsi="Times New Roman"/>
                <w:color w:val="auto"/>
                <w:kern w:val="0"/>
                <w:sz w:val="24"/>
                <w:lang w:bidi="ar"/>
              </w:rPr>
              <w:t>冷凝器把高浓度的油气迅速降温液化，液态油</w:t>
            </w:r>
            <w:r>
              <w:rPr>
                <w:rFonts w:hint="eastAsia" w:ascii="Times New Roman" w:hAnsi="Times New Roman"/>
                <w:color w:val="auto"/>
                <w:kern w:val="0"/>
                <w:sz w:val="24"/>
                <w:lang w:eastAsia="zh-CN" w:bidi="ar"/>
              </w:rPr>
              <w:t>在集液管内收集后，通过管道</w:t>
            </w:r>
            <w:r>
              <w:rPr>
                <w:rFonts w:hint="eastAsia" w:ascii="Times New Roman" w:hAnsi="Times New Roman"/>
                <w:color w:val="auto"/>
                <w:kern w:val="0"/>
                <w:sz w:val="24"/>
                <w:lang w:bidi="ar"/>
              </w:rPr>
              <w:t>回到油罐，剩余的油气混合物进入膜组件进行分离，利用高分子渗透膜的选择透过性，油气通过渗透膜时油气中的有机分子会在膜表面溶解，渗透侧形成的高浓度有机气体经真空泵抽回至油气处理装置回油口进入地下储罐进行下一个循环。经过膜分离后的气体经通气立管排放到环境。</w:t>
            </w:r>
            <w:r>
              <w:rPr>
                <w:rFonts w:hint="eastAsia" w:ascii="宋体" w:hAnsi="宋体" w:eastAsia="宋体" w:cs="宋体"/>
                <w:color w:val="auto"/>
                <w:kern w:val="0"/>
                <w:sz w:val="24"/>
                <w:szCs w:val="24"/>
                <w:highlight w:val="none"/>
                <w:lang w:val="en-US" w:eastAsia="zh-CN" w:bidi="ar"/>
              </w:rPr>
              <w:t>三次油气回收系统回收效率为</w:t>
            </w:r>
            <w:r>
              <w:rPr>
                <w:rFonts w:hint="default"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0</w:t>
            </w:r>
            <w:r>
              <w:rPr>
                <w:rFonts w:hint="default"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snapToGrid w:val="0"/>
                <w:color w:val="auto"/>
                <w:kern w:val="0"/>
                <w:sz w:val="24"/>
                <w:szCs w:val="24"/>
                <w:highlight w:val="none"/>
                <w:lang w:val="en-US" w:eastAsia="zh-CN" w:bidi="ar-SA"/>
              </w:rPr>
              <w:t>。</w:t>
            </w:r>
          </w:p>
          <w:p w14:paraId="582D421C">
            <w:pPr>
              <w:pStyle w:val="62"/>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default" w:ascii="Times New Roman" w:hAnsi="Times New Roman" w:eastAsia="宋体" w:cs="Times New Roman"/>
                <w:snapToGrid w:val="0"/>
                <w:color w:val="auto"/>
                <w:kern w:val="0"/>
                <w:sz w:val="24"/>
                <w:szCs w:val="24"/>
                <w:highlight w:val="none"/>
                <w:lang w:val="en-US" w:eastAsia="zh-CN" w:bidi="ar-SA"/>
              </w:rPr>
              <w:t>三次油气回收处理装置位于油罐区南侧，回收系统设置有在线监测系统。同时，通气管满足高出地面4m以上要求。</w:t>
            </w:r>
          </w:p>
          <w:p w14:paraId="5D68FB0B">
            <w:pPr>
              <w:widowControl/>
              <w:snapToGrid w:val="0"/>
              <w:spacing w:before="60" w:after="160" w:line="360" w:lineRule="auto"/>
              <w:ind w:right="113" w:firstLine="480" w:firstLineChars="200"/>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汽油油气回收系统见图2.</w:t>
            </w:r>
            <w:r>
              <w:rPr>
                <w:rFonts w:hint="default" w:ascii="Times New Roman" w:hAnsi="Times New Roman" w:cs="Times New Roman"/>
                <w:color w:val="auto"/>
                <w:kern w:val="0"/>
                <w:sz w:val="24"/>
                <w:lang w:val="en-US" w:eastAsia="zh-CN" w:bidi="ar"/>
              </w:rPr>
              <w:t>7-2</w:t>
            </w:r>
            <w:r>
              <w:rPr>
                <w:rFonts w:hint="default" w:ascii="Times New Roman" w:hAnsi="Times New Roman" w:cs="Times New Roman"/>
                <w:color w:val="auto"/>
                <w:kern w:val="0"/>
                <w:sz w:val="24"/>
                <w:lang w:bidi="ar"/>
              </w:rPr>
              <w:t>。</w:t>
            </w:r>
          </w:p>
          <w:p w14:paraId="1B0BC2A8">
            <w:pPr>
              <w:snapToGrid w:val="0"/>
              <w:spacing w:line="460" w:lineRule="atLeast"/>
              <w:ind w:firstLine="420" w:firstLineChars="200"/>
              <w:jc w:val="center"/>
              <w:rPr>
                <w:rFonts w:hint="default" w:ascii="Times New Roman" w:hAnsi="Times New Roman" w:cs="Times New Roman"/>
                <w:b/>
                <w:bCs/>
                <w:color w:val="auto"/>
                <w:sz w:val="24"/>
              </w:rPr>
            </w:pPr>
            <w:r>
              <w:rPr>
                <w:rFonts w:hint="default" w:ascii="Times New Roman" w:hAnsi="Times New Roman" w:cs="Times New Roman"/>
                <w:bCs/>
                <w:color w:val="auto"/>
                <w:szCs w:val="20"/>
              </w:rPr>
              <w:drawing>
                <wp:inline distT="0" distB="0" distL="114300" distR="114300">
                  <wp:extent cx="2580005" cy="1587500"/>
                  <wp:effectExtent l="0" t="0" r="10795" b="1270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3"/>
                          <a:stretch>
                            <a:fillRect/>
                          </a:stretch>
                        </pic:blipFill>
                        <pic:spPr>
                          <a:xfrm>
                            <a:off x="0" y="0"/>
                            <a:ext cx="2580005" cy="1587500"/>
                          </a:xfrm>
                          <a:prstGeom prst="rect">
                            <a:avLst/>
                          </a:prstGeom>
                          <a:noFill/>
                          <a:ln>
                            <a:noFill/>
                          </a:ln>
                        </pic:spPr>
                      </pic:pic>
                    </a:graphicData>
                  </a:graphic>
                </wp:inline>
              </w:drawing>
            </w:r>
          </w:p>
          <w:p w14:paraId="68665C9B">
            <w:pPr>
              <w:pStyle w:val="62"/>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napToGrid w:val="0"/>
                <w:color w:val="auto"/>
                <w:kern w:val="0"/>
                <w:sz w:val="24"/>
                <w:szCs w:val="24"/>
                <w:highlight w:val="none"/>
                <w:lang w:val="en-US" w:eastAsia="zh-CN" w:bidi="ar-SA"/>
              </w:rPr>
            </w:pPr>
            <w:r>
              <w:rPr>
                <w:rFonts w:hint="default" w:ascii="Times New Roman" w:hAnsi="Times New Roman" w:cs="Times New Roman"/>
                <w:b/>
                <w:bCs/>
                <w:color w:val="auto"/>
                <w:sz w:val="24"/>
              </w:rPr>
              <w:t>图2.</w:t>
            </w:r>
            <w:r>
              <w:rPr>
                <w:rFonts w:hint="default" w:ascii="Times New Roman" w:hAnsi="Times New Roman" w:cs="Times New Roman"/>
                <w:b/>
                <w:bCs/>
                <w:color w:val="auto"/>
                <w:sz w:val="24"/>
                <w:lang w:val="en-US" w:eastAsia="zh-CN"/>
              </w:rPr>
              <w:t>7-2</w:t>
            </w:r>
            <w:r>
              <w:rPr>
                <w:rFonts w:hint="default" w:ascii="Times New Roman" w:hAnsi="Times New Roman" w:cs="Times New Roman"/>
                <w:b/>
                <w:bCs/>
                <w:color w:val="auto"/>
                <w:sz w:val="24"/>
              </w:rPr>
              <w:t xml:space="preserve"> 一次、二次、三次油气回收系统示意图</w:t>
            </w:r>
          </w:p>
          <w:p w14:paraId="7D27FC02">
            <w:pPr>
              <w:pStyle w:val="62"/>
              <w:rPr>
                <w:rFonts w:hint="default" w:ascii="Times New Roman" w:hAnsi="Times New Roman" w:cs="Times New Roman"/>
                <w:b/>
                <w:bCs w:val="0"/>
                <w:color w:val="auto"/>
                <w:sz w:val="24"/>
                <w:szCs w:val="24"/>
                <w:highlight w:val="none"/>
              </w:rPr>
            </w:pPr>
            <w:r>
              <w:rPr>
                <w:rFonts w:hint="default" w:ascii="Times New Roman" w:hAnsi="Times New Roman" w:cs="Times New Roman"/>
                <w:b/>
                <w:bCs w:val="0"/>
                <w:color w:val="auto"/>
                <w:sz w:val="24"/>
                <w:szCs w:val="24"/>
                <w:highlight w:val="none"/>
              </w:rPr>
              <w:t>（</w:t>
            </w:r>
            <w:r>
              <w:rPr>
                <w:rFonts w:hint="default" w:ascii="Times New Roman" w:hAnsi="Times New Roman" w:cs="Times New Roman"/>
                <w:b/>
                <w:bCs w:val="0"/>
                <w:color w:val="auto"/>
                <w:sz w:val="24"/>
                <w:szCs w:val="24"/>
                <w:highlight w:val="none"/>
                <w:lang w:val="en-US" w:eastAsia="zh-CN"/>
              </w:rPr>
              <w:t>2</w:t>
            </w:r>
            <w:r>
              <w:rPr>
                <w:rFonts w:hint="default" w:ascii="Times New Roman" w:hAnsi="Times New Roman" w:cs="Times New Roman"/>
                <w:b/>
                <w:bCs w:val="0"/>
                <w:color w:val="auto"/>
                <w:sz w:val="24"/>
                <w:szCs w:val="24"/>
                <w:highlight w:val="none"/>
              </w:rPr>
              <w:t>）柴油加油工艺流程说明</w:t>
            </w:r>
          </w:p>
          <w:p w14:paraId="6BE96ADD">
            <w:pPr>
              <w:pStyle w:val="62"/>
              <w:tabs>
                <w:tab w:val="left" w:pos="625"/>
              </w:tabs>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卸油过程：油罐车将柴油运至场地内再通过密闭卸油点把柴油卸至埋地卧式油罐中。在油罐车卸油过程中，储油车内压力减小，地下储罐内压力增加，地下储罐与油罐车内的压力差，使卸油过程中地下油罐内部上空通过排气管和油罐车上空通过呼吸控制阀挥发油气。</w:t>
            </w:r>
          </w:p>
          <w:p w14:paraId="7AEA9429">
            <w:pPr>
              <w:pStyle w:val="62"/>
              <w:tabs>
                <w:tab w:val="left" w:pos="625"/>
              </w:tabs>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加油过程：油通过潜污泵从埋地油罐输送至加油机，然后通过加油机配套的加油枪给过往车辆加油。加油过程中通过计量器进行计量，加油车辆油罐随着柴油的注入，车辆油罐内产生的油气逸散至大气中。</w:t>
            </w:r>
          </w:p>
          <w:p w14:paraId="26500728">
            <w:pPr>
              <w:pStyle w:val="62"/>
              <w:tabs>
                <w:tab w:val="left" w:pos="625"/>
              </w:tabs>
              <w:rPr>
                <w:rFonts w:hint="default" w:ascii="Times New Roman" w:hAnsi="Times New Roman" w:cs="Times New Roman"/>
                <w:color w:val="auto"/>
                <w:sz w:val="24"/>
                <w:szCs w:val="24"/>
                <w:highlight w:val="none"/>
              </w:rPr>
            </w:pPr>
          </w:p>
          <w:p w14:paraId="503D7EEB">
            <w:pPr>
              <w:pStyle w:val="62"/>
              <w:ind w:firstLine="120" w:firstLineChars="50"/>
              <w:jc w:val="center"/>
              <w:rPr>
                <w:rFonts w:hint="default" w:ascii="Times New Roman" w:hAnsi="Times New Roman" w:cs="Times New Roman"/>
                <w:b/>
                <w:color w:val="auto"/>
                <w:sz w:val="24"/>
                <w:szCs w:val="24"/>
                <w:highlight w:val="none"/>
                <w:u w:val="none"/>
              </w:rPr>
            </w:pPr>
            <w:r>
              <w:rPr>
                <w:rFonts w:hint="default" w:ascii="Times New Roman" w:hAnsi="Times New Roman" w:cs="Times New Roman"/>
                <w:color w:val="auto"/>
                <w:sz w:val="24"/>
                <w:szCs w:val="24"/>
                <w:highlight w:val="none"/>
              </w:rPr>
              <w:object>
                <v:shape id="_x0000_i1027" o:spt="75" type="#_x0000_t75" style="height:141.25pt;width:432.25pt;" o:ole="t" filled="f" o:preferrelative="t" stroked="f" coordsize="21600,21600">
                  <v:path/>
                  <v:fill on="f" focussize="0,0"/>
                  <v:stroke on="f"/>
                  <v:imagedata r:id="rId15" o:title=""/>
                  <o:lock v:ext="edit" aspectratio="t"/>
                  <w10:wrap type="none"/>
                  <w10:anchorlock/>
                </v:shape>
                <o:OLEObject Type="Embed" ProgID="Visio.Drawing.15" ShapeID="_x0000_i1027" DrawAspect="Content" ObjectID="_1468075727" r:id="rId14">
                  <o:LockedField>false</o:LockedField>
                </o:OLEObject>
              </w:object>
            </w:r>
            <w:r>
              <w:rPr>
                <w:rFonts w:hint="default" w:ascii="Times New Roman" w:hAnsi="Times New Roman" w:cs="Times New Roman"/>
                <w:b/>
                <w:color w:val="auto"/>
                <w:sz w:val="24"/>
                <w:szCs w:val="24"/>
                <w:highlight w:val="none"/>
                <w:u w:val="none"/>
              </w:rPr>
              <w:t>图2.</w:t>
            </w:r>
            <w:r>
              <w:rPr>
                <w:rFonts w:hint="default" w:ascii="Times New Roman" w:hAnsi="Times New Roman" w:cs="Times New Roman"/>
                <w:b/>
                <w:color w:val="auto"/>
                <w:sz w:val="24"/>
                <w:szCs w:val="24"/>
                <w:highlight w:val="none"/>
                <w:u w:val="none"/>
                <w:lang w:val="en-US" w:eastAsia="zh-CN"/>
              </w:rPr>
              <w:t>7</w:t>
            </w:r>
            <w:r>
              <w:rPr>
                <w:rFonts w:hint="default" w:ascii="Times New Roman" w:hAnsi="Times New Roman" w:cs="Times New Roman"/>
                <w:b/>
                <w:color w:val="auto"/>
                <w:sz w:val="24"/>
                <w:szCs w:val="24"/>
                <w:highlight w:val="none"/>
                <w:u w:val="none"/>
              </w:rPr>
              <w:t>-</w:t>
            </w:r>
            <w:r>
              <w:rPr>
                <w:rFonts w:hint="default" w:ascii="Times New Roman" w:hAnsi="Times New Roman" w:cs="Times New Roman"/>
                <w:b/>
                <w:color w:val="auto"/>
                <w:sz w:val="24"/>
                <w:szCs w:val="24"/>
                <w:highlight w:val="none"/>
                <w:u w:val="none"/>
                <w:lang w:val="en-US" w:eastAsia="zh-CN"/>
              </w:rPr>
              <w:t>3</w:t>
            </w:r>
            <w:r>
              <w:rPr>
                <w:rFonts w:hint="default" w:ascii="Times New Roman" w:hAnsi="Times New Roman" w:cs="Times New Roman"/>
                <w:b/>
                <w:color w:val="auto"/>
                <w:sz w:val="24"/>
                <w:szCs w:val="24"/>
                <w:highlight w:val="none"/>
                <w:u w:val="none"/>
              </w:rPr>
              <w:t xml:space="preserve">  运营期柴油工艺流程及产污环节</w:t>
            </w:r>
          </w:p>
          <w:p w14:paraId="740F278E">
            <w:pPr>
              <w:pStyle w:val="62"/>
              <w:rPr>
                <w:rFonts w:hint="default" w:ascii="Times New Roman" w:hAnsi="Times New Roman" w:cs="Times New Roman"/>
                <w:b/>
                <w:bCs w:val="0"/>
                <w:color w:val="auto"/>
                <w:sz w:val="24"/>
                <w:szCs w:val="24"/>
                <w:highlight w:val="none"/>
              </w:rPr>
            </w:pPr>
            <w:r>
              <w:rPr>
                <w:rFonts w:hint="default" w:ascii="Times New Roman" w:hAnsi="Times New Roman" w:cs="Times New Roman"/>
                <w:b/>
                <w:bCs w:val="0"/>
                <w:color w:val="auto"/>
                <w:sz w:val="24"/>
                <w:szCs w:val="24"/>
                <w:highlight w:val="none"/>
              </w:rPr>
              <w:t>（3）清罐</w:t>
            </w:r>
          </w:p>
          <w:p w14:paraId="17745336">
            <w:pPr>
              <w:pStyle w:val="6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加油站大概每5年需进行一次油罐清洗作业，保证输出油品质量和防止油罐腐蚀。清罐由专业资质公司进行，首先排除罐内存油，然后再用通风排除罐内油气并测定油气浓度到安全范围，接着人员进罐清扫油污、水</w:t>
            </w:r>
            <w:r>
              <w:rPr>
                <w:rFonts w:hint="default" w:ascii="Times New Roman" w:hAnsi="Times New Roman" w:cs="Times New Roman"/>
                <w:color w:val="auto"/>
                <w:sz w:val="24"/>
                <w:szCs w:val="24"/>
                <w:highlight w:val="none"/>
                <w:lang w:eastAsia="zh-CN"/>
              </w:rPr>
              <w:t>及其他</w:t>
            </w:r>
            <w:r>
              <w:rPr>
                <w:rFonts w:hint="default" w:ascii="Times New Roman" w:hAnsi="Times New Roman" w:cs="Times New Roman"/>
                <w:color w:val="auto"/>
                <w:sz w:val="24"/>
                <w:szCs w:val="24"/>
                <w:highlight w:val="none"/>
              </w:rPr>
              <w:t>沉淀物，人工用290~490kpa高压水冲洗罐内油污和浮锈，同时尽快排除冲洗污水并用拖布擦净，然后再通风干燥除湿，人工用铜制工具除去局部锈蚀，最后进行质量检查验收。清罐产生的清罐废物用塑料桶盛装，清罐废物转运均采用联单制管理，当日交具有危险废物处理资质的单位进行妥善处理。</w:t>
            </w:r>
          </w:p>
          <w:p w14:paraId="038083A4">
            <w:pPr>
              <w:pStyle w:val="62"/>
              <w:rPr>
                <w:rFonts w:hint="default" w:ascii="Times New Roman" w:hAnsi="Times New Roman" w:cs="Times New Roman"/>
                <w:color w:val="auto"/>
                <w:sz w:val="24"/>
                <w:szCs w:val="24"/>
                <w:highlight w:val="none"/>
              </w:rPr>
            </w:pPr>
          </w:p>
          <w:p w14:paraId="26724926">
            <w:pPr>
              <w:pStyle w:val="62"/>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mc:AlternateContent>
                <mc:Choice Requires="wps">
                  <w:drawing>
                    <wp:inline distT="0" distB="0" distL="114300" distR="114300">
                      <wp:extent cx="5043170" cy="1595755"/>
                      <wp:effectExtent l="0" t="0" r="0" b="0"/>
                      <wp:docPr id="5" name="文本框 5"/>
                      <wp:cNvGraphicFramePr/>
                      <a:graphic xmlns:a="http://schemas.openxmlformats.org/drawingml/2006/main">
                        <a:graphicData uri="http://schemas.microsoft.com/office/word/2010/wordprocessingShape">
                          <wps:wsp>
                            <wps:cNvSpPr txBox="1">
                              <a:spLocks noRot="1"/>
                            </wps:cNvSpPr>
                            <wps:spPr>
                              <a:xfrm>
                                <a:off x="0" y="0"/>
                                <a:ext cx="5043170" cy="1595755"/>
                              </a:xfrm>
                              <a:prstGeom prst="rect">
                                <a:avLst/>
                              </a:prstGeom>
                              <a:noFill/>
                              <a:ln>
                                <a:noFill/>
                              </a:ln>
                            </wps:spPr>
                            <wps:txbx>
                              <w:txbxContent>
                                <w:p w14:paraId="138661E2">
                                  <w:r>
                                    <w:object>
                                      <v:shape id="_x0000_i1028" o:spt="75" type="#_x0000_t75" style="height:126.15pt;width:407.45pt;" o:ole="t" filled="f" o:preferrelative="t" stroked="f" coordsize="21600,21600">
                                        <v:path/>
                                        <v:fill on="f" focussize="0,0"/>
                                        <v:stroke on="f"/>
                                        <v:imagedata r:id="rId17" o:title=""/>
                                        <o:lock v:ext="edit" aspectratio="t"/>
                                        <w10:wrap type="none"/>
                                        <w10:anchorlock/>
                                      </v:shape>
                                      <o:OLEObject Type="Embed" ProgID="Visio.Drawing.15" ShapeID="_x0000_i1028" DrawAspect="Content" ObjectID="_1468075728" r:id="rId16">
                                        <o:LockedField>false</o:LockedField>
                                      </o:OLEObject>
                                    </w:object>
                                  </w:r>
                                </w:p>
                              </w:txbxContent>
                            </wps:txbx>
                            <wps:bodyPr wrap="none" upright="1">
                              <a:spAutoFit/>
                            </wps:bodyPr>
                          </wps:wsp>
                        </a:graphicData>
                      </a:graphic>
                    </wp:inline>
                  </w:drawing>
                </mc:Choice>
                <mc:Fallback>
                  <w:pict>
                    <v:shape id="_x0000_s1026" o:spid="_x0000_s1026" o:spt="202" type="#_x0000_t202" style="height:125.65pt;width:397.1pt;mso-wrap-style:none;" filled="f" stroked="f" coordsize="21600,21600" o:gfxdata="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N6VZrUAAAABQEAAA8AAAAAAAAAAQAgAAAAIgAA&#10;AGRycy9kb3ducmV2LnhtbFBLAQIUABQAAAAIAIdO4kB83Ws80wEAAJgDAAAOAAAAAAAAAAEAIAAA&#10;ACMBAABkcnMvZTJvRG9jLnhtbFBLBQYAAAAABgAGAFkBAABoBQAAAAA=&#10;">
                      <v:fill on="f" focussize="0,0"/>
                      <v:stroke on="f"/>
                      <v:imagedata o:title=""/>
                      <o:lock v:ext="edit" rotation="t" aspectratio="f"/>
                      <v:textbox style="mso-fit-shape-to-text:t;">
                        <w:txbxContent>
                          <w:p w14:paraId="138661E2">
                            <w:r>
                              <w:object>
                                <v:shape id="_x0000_i1028" o:spt="75" type="#_x0000_t75" style="height:126.15pt;width:407.45pt;" o:ole="t" filled="f" o:preferrelative="t" stroked="f" coordsize="21600,21600">
                                  <v:path/>
                                  <v:fill on="f" focussize="0,0"/>
                                  <v:stroke on="f"/>
                                  <v:imagedata r:id="rId17" o:title=""/>
                                  <o:lock v:ext="edit" aspectratio="t"/>
                                  <w10:wrap type="none"/>
                                  <w10:anchorlock/>
                                </v:shape>
                                <o:OLEObject Type="Embed" ProgID="Visio.Drawing.15" ShapeID="_x0000_i1028" DrawAspect="Content" ObjectID="_1468075729" r:id="rId18">
                                  <o:LockedField>false</o:LockedField>
                                </o:OLEObject>
                              </w:object>
                            </w:r>
                          </w:p>
                        </w:txbxContent>
                      </v:textbox>
                      <w10:wrap type="none"/>
                      <w10:anchorlock/>
                    </v:shape>
                  </w:pict>
                </mc:Fallback>
              </mc:AlternateContent>
            </w:r>
          </w:p>
          <w:p w14:paraId="6E9B890F">
            <w:pPr>
              <w:pStyle w:val="62"/>
              <w:ind w:firstLine="522"/>
              <w:jc w:val="center"/>
              <w:rPr>
                <w:rFonts w:hint="default" w:ascii="Times New Roman" w:hAnsi="Times New Roman" w:cs="Times New Roman"/>
                <w:b/>
                <w:color w:val="auto"/>
                <w:sz w:val="24"/>
                <w:szCs w:val="24"/>
                <w:highlight w:val="none"/>
                <w:u w:val="none"/>
              </w:rPr>
            </w:pPr>
            <w:r>
              <w:rPr>
                <w:rFonts w:hint="default" w:ascii="Times New Roman" w:hAnsi="Times New Roman" w:cs="Times New Roman"/>
                <w:b/>
                <w:color w:val="auto"/>
                <w:sz w:val="24"/>
                <w:szCs w:val="24"/>
                <w:highlight w:val="none"/>
                <w:u w:val="none"/>
              </w:rPr>
              <w:t>图2.</w:t>
            </w:r>
            <w:r>
              <w:rPr>
                <w:rFonts w:hint="default" w:ascii="Times New Roman" w:hAnsi="Times New Roman" w:cs="Times New Roman"/>
                <w:b/>
                <w:color w:val="auto"/>
                <w:sz w:val="24"/>
                <w:szCs w:val="24"/>
                <w:highlight w:val="none"/>
                <w:u w:val="none"/>
                <w:lang w:val="en-US" w:eastAsia="zh-CN"/>
              </w:rPr>
              <w:t>7</w:t>
            </w:r>
            <w:r>
              <w:rPr>
                <w:rFonts w:hint="default" w:ascii="Times New Roman" w:hAnsi="Times New Roman" w:cs="Times New Roman"/>
                <w:b/>
                <w:color w:val="auto"/>
                <w:sz w:val="24"/>
                <w:szCs w:val="24"/>
                <w:highlight w:val="none"/>
                <w:u w:val="none"/>
              </w:rPr>
              <w:t>-</w:t>
            </w:r>
            <w:r>
              <w:rPr>
                <w:rFonts w:hint="default" w:ascii="Times New Roman" w:hAnsi="Times New Roman" w:cs="Times New Roman"/>
                <w:b/>
                <w:color w:val="auto"/>
                <w:sz w:val="24"/>
                <w:szCs w:val="24"/>
                <w:highlight w:val="none"/>
                <w:u w:val="none"/>
                <w:lang w:val="en-US" w:eastAsia="zh-CN"/>
              </w:rPr>
              <w:t>4</w:t>
            </w:r>
            <w:r>
              <w:rPr>
                <w:rFonts w:hint="default" w:ascii="Times New Roman" w:hAnsi="Times New Roman" w:cs="Times New Roman"/>
                <w:b/>
                <w:color w:val="auto"/>
                <w:sz w:val="24"/>
                <w:szCs w:val="24"/>
                <w:highlight w:val="none"/>
                <w:u w:val="none"/>
              </w:rPr>
              <w:t xml:space="preserve">  清罐工艺流程及产污环节</w:t>
            </w:r>
          </w:p>
        </w:tc>
      </w:tr>
      <w:tr w14:paraId="2E3AF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noWrap w:val="0"/>
            <w:vAlign w:val="center"/>
          </w:tcPr>
          <w:p w14:paraId="5806F5ED">
            <w:pPr>
              <w:pStyle w:val="16"/>
              <w:adjustRightInd w:val="0"/>
              <w:snapToGrid w:val="0"/>
              <w:spacing w:before="0" w:beforeAutospacing="0" w:after="0" w:afterAutospacing="0" w:line="360" w:lineRule="auto"/>
              <w:jc w:val="center"/>
              <w:rPr>
                <w:rFonts w:hint="default" w:ascii="Times New Roman" w:hAnsi="Times New Roman" w:eastAsia="宋体" w:cs="Times New Roman"/>
                <w:color w:val="auto"/>
                <w:sz w:val="26"/>
                <w:szCs w:val="26"/>
                <w:highlight w:val="yellow"/>
              </w:rPr>
            </w:pPr>
            <w:r>
              <w:rPr>
                <w:rFonts w:hint="default" w:ascii="Times New Roman" w:hAnsi="Times New Roman" w:eastAsia="宋体" w:cs="Times New Roman"/>
                <w:bCs/>
                <w:color w:val="auto"/>
                <w:kern w:val="2"/>
                <w:szCs w:val="26"/>
              </w:rPr>
              <w:t>与项目有关的原有环境污染问题</w:t>
            </w:r>
          </w:p>
        </w:tc>
        <w:tc>
          <w:tcPr>
            <w:tcW w:w="4660" w:type="pct"/>
            <w:noWrap w:val="0"/>
            <w:vAlign w:val="top"/>
          </w:tcPr>
          <w:p w14:paraId="78A6D1AE">
            <w:pPr>
              <w:adjustRightInd w:val="0"/>
              <w:snapToGrid w:val="0"/>
              <w:spacing w:line="360" w:lineRule="auto"/>
              <w:rPr>
                <w:rFonts w:hint="default" w:ascii="Times New Roman" w:hAnsi="Times New Roman" w:eastAsia="宋体" w:cs="Times New Roman"/>
                <w:b/>
                <w:bCs/>
                <w:color w:val="auto"/>
                <w:sz w:val="28"/>
                <w:szCs w:val="26"/>
              </w:rPr>
            </w:pPr>
            <w:r>
              <w:rPr>
                <w:rFonts w:hint="default" w:ascii="Times New Roman" w:hAnsi="Times New Roman" w:eastAsia="宋体" w:cs="Times New Roman"/>
                <w:b/>
                <w:bCs/>
                <w:color w:val="auto"/>
                <w:sz w:val="28"/>
                <w:szCs w:val="26"/>
              </w:rPr>
              <w:t>2.8与本项目有关的原有污染情况及主要环境问题</w:t>
            </w:r>
          </w:p>
          <w:p w14:paraId="55595DF6">
            <w:pPr>
              <w:adjustRightInd w:val="0"/>
              <w:snapToGrid w:val="0"/>
              <w:spacing w:line="360" w:lineRule="auto"/>
              <w:rPr>
                <w:rFonts w:hint="default" w:ascii="Times New Roman" w:hAnsi="Times New Roman" w:eastAsia="宋体" w:cs="Times New Roman"/>
                <w:b/>
                <w:bCs/>
                <w:color w:val="auto"/>
                <w:sz w:val="24"/>
                <w:szCs w:val="26"/>
              </w:rPr>
            </w:pPr>
            <w:r>
              <w:rPr>
                <w:rFonts w:hint="default" w:ascii="Times New Roman" w:hAnsi="Times New Roman" w:eastAsia="宋体" w:cs="Times New Roman"/>
                <w:b/>
                <w:bCs/>
                <w:color w:val="auto"/>
                <w:sz w:val="24"/>
                <w:szCs w:val="26"/>
              </w:rPr>
              <w:t>2.8.1现有工程环保手续办理情况</w:t>
            </w:r>
          </w:p>
          <w:p w14:paraId="5365FF01">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（1）环保手续履行情况</w:t>
            </w:r>
          </w:p>
          <w:p w14:paraId="29FFBAB2">
            <w:pPr>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cs="Times New Roman"/>
                <w:bCs/>
                <w:color w:val="auto"/>
                <w:sz w:val="24"/>
                <w:szCs w:val="26"/>
                <w:lang w:val="en-US" w:eastAsia="zh-CN"/>
              </w:rPr>
              <w:t>现有工程</w:t>
            </w:r>
            <w:r>
              <w:rPr>
                <w:rFonts w:hint="default" w:ascii="Times New Roman" w:hAnsi="Times New Roman" w:eastAsia="宋体" w:cs="Times New Roman"/>
                <w:bCs/>
                <w:color w:val="auto"/>
                <w:sz w:val="24"/>
                <w:szCs w:val="26"/>
              </w:rPr>
              <w:t>于2002年履行环评手续，2003年建成投产，2004年取得竣工环境保护验收批文（</w:t>
            </w:r>
            <w:r>
              <w:rPr>
                <w:rFonts w:hint="default" w:ascii="Times New Roman" w:hAnsi="Times New Roman" w:eastAsia="宋体" w:cs="Times New Roman"/>
                <w:bCs/>
                <w:color w:val="auto"/>
                <w:sz w:val="24"/>
              </w:rPr>
              <w:t>渝（九）环验〔2004〕10号</w:t>
            </w:r>
            <w:r>
              <w:rPr>
                <w:rFonts w:hint="default" w:ascii="Times New Roman" w:hAnsi="Times New Roman" w:eastAsia="宋体" w:cs="Times New Roman"/>
                <w:bCs/>
                <w:color w:val="auto"/>
                <w:sz w:val="24"/>
                <w:szCs w:val="26"/>
              </w:rPr>
              <w:t>）。</w:t>
            </w:r>
            <w:r>
              <w:rPr>
                <w:rFonts w:hint="default" w:ascii="Times New Roman" w:hAnsi="Times New Roman" w:cs="Times New Roman"/>
                <w:bCs/>
                <w:color w:val="auto"/>
                <w:sz w:val="24"/>
                <w:szCs w:val="20"/>
              </w:rPr>
              <w:t>根据《固定污染源排污许可分类管理名录》（2019版），加油站属于简化管</w:t>
            </w:r>
            <w:r>
              <w:rPr>
                <w:rFonts w:hint="default" w:ascii="Times New Roman" w:hAnsi="Times New Roman" w:cs="Times New Roman"/>
                <w:bCs/>
                <w:color w:val="auto"/>
                <w:sz w:val="24"/>
              </w:rPr>
              <w:t>理，</w:t>
            </w:r>
            <w:r>
              <w:rPr>
                <w:rFonts w:hint="default" w:ascii="Times New Roman" w:hAnsi="Times New Roman" w:cs="Times New Roman"/>
                <w:bCs/>
                <w:color w:val="auto"/>
                <w:sz w:val="24"/>
                <w:szCs w:val="24"/>
                <w:highlight w:val="none"/>
                <w:lang w:val="en-US" w:eastAsia="zh-CN"/>
              </w:rPr>
              <w:t>2020年6月建设单位首次申请了排污许可证（证书编号：</w:t>
            </w:r>
            <w:r>
              <w:rPr>
                <w:rFonts w:hint="default" w:ascii="Times New Roman" w:hAnsi="Times New Roman" w:eastAsia="宋体" w:cs="Times New Roman"/>
                <w:bCs/>
                <w:color w:val="auto"/>
                <w:sz w:val="24"/>
              </w:rPr>
              <w:t>91500000778487059G001Q</w:t>
            </w:r>
            <w:r>
              <w:rPr>
                <w:rFonts w:hint="default" w:ascii="Times New Roman" w:hAnsi="Times New Roman" w:cs="Times New Roman"/>
                <w:bCs/>
                <w:color w:val="auto"/>
                <w:sz w:val="24"/>
                <w:szCs w:val="24"/>
                <w:highlight w:val="none"/>
                <w:lang w:val="en-US" w:eastAsia="zh-CN"/>
              </w:rPr>
              <w:t>），2024年12月建设单位重新申请了排污许可证，有效期为2024年12月24日—2029年12月23日。</w:t>
            </w:r>
            <w:r>
              <w:rPr>
                <w:rFonts w:hint="default" w:ascii="Times New Roman" w:hAnsi="Times New Roman" w:cs="Times New Roman"/>
                <w:bCs/>
                <w:color w:val="auto"/>
                <w:sz w:val="24"/>
              </w:rPr>
              <w:t>2020年至今，</w:t>
            </w:r>
            <w:r>
              <w:rPr>
                <w:rFonts w:hint="default" w:ascii="Times New Roman" w:hAnsi="Times New Roman" w:cs="Times New Roman"/>
                <w:bCs/>
                <w:color w:val="auto"/>
                <w:sz w:val="24"/>
                <w:lang w:eastAsia="zh-CN"/>
              </w:rPr>
              <w:t>渝中加油站</w:t>
            </w:r>
            <w:r>
              <w:rPr>
                <w:rFonts w:hint="default" w:ascii="Times New Roman" w:hAnsi="Times New Roman" w:cs="Times New Roman"/>
                <w:bCs/>
                <w:color w:val="auto"/>
                <w:sz w:val="24"/>
              </w:rPr>
              <w:t>均按照要求提交了年度排污许可执行报告。</w:t>
            </w:r>
          </w:p>
          <w:p w14:paraId="6A4E6132">
            <w:pPr>
              <w:pStyle w:val="91"/>
              <w:spacing w:line="360" w:lineRule="auto"/>
              <w:ind w:firstLine="48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（2）突发环境</w:t>
            </w:r>
            <w:r>
              <w:rPr>
                <w:rFonts w:hint="default" w:ascii="Times New Roman" w:hAnsi="Times New Roman" w:cs="Times New Roman"/>
                <w:bCs/>
                <w:color w:val="auto"/>
                <w:sz w:val="24"/>
                <w:szCs w:val="26"/>
                <w:lang w:eastAsia="zh-CN"/>
              </w:rPr>
              <w:t>事件</w:t>
            </w:r>
            <w:r>
              <w:rPr>
                <w:rFonts w:hint="default" w:ascii="Times New Roman" w:hAnsi="Times New Roman" w:eastAsia="宋体" w:cs="Times New Roman"/>
                <w:bCs/>
                <w:color w:val="auto"/>
                <w:sz w:val="24"/>
                <w:szCs w:val="26"/>
              </w:rPr>
              <w:t>风险评估及应急预案修订情况</w:t>
            </w:r>
          </w:p>
          <w:p w14:paraId="1194D708">
            <w:pPr>
              <w:pStyle w:val="91"/>
              <w:spacing w:line="360" w:lineRule="auto"/>
              <w:ind w:firstLine="48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szCs w:val="24"/>
              </w:rPr>
              <w:t>现有工程于202</w:t>
            </w:r>
            <w:r>
              <w:rPr>
                <w:rFonts w:hint="default" w:ascii="Times New Roman" w:hAnsi="Times New Roman" w:cs="Times New Roman"/>
                <w:bCs/>
                <w:color w:val="auto"/>
                <w:sz w:val="24"/>
                <w:szCs w:val="24"/>
                <w:lang w:val="en-US" w:eastAsia="zh-CN"/>
              </w:rPr>
              <w:t>3</w:t>
            </w:r>
            <w:r>
              <w:rPr>
                <w:rFonts w:hint="default" w:ascii="Times New Roman" w:hAnsi="Times New Roman" w:eastAsia="宋体" w:cs="Times New Roman"/>
                <w:bCs/>
                <w:color w:val="auto"/>
                <w:sz w:val="24"/>
                <w:szCs w:val="24"/>
              </w:rPr>
              <w:t>年</w:t>
            </w:r>
            <w:r>
              <w:rPr>
                <w:rFonts w:hint="default" w:ascii="Times New Roman" w:hAnsi="Times New Roman" w:cs="Times New Roman"/>
                <w:bCs/>
                <w:color w:val="auto"/>
                <w:sz w:val="24"/>
                <w:szCs w:val="24"/>
                <w:lang w:val="en-US" w:eastAsia="zh-CN"/>
              </w:rPr>
              <w:t>7</w:t>
            </w:r>
            <w:r>
              <w:rPr>
                <w:rFonts w:hint="default" w:ascii="Times New Roman" w:hAnsi="Times New Roman" w:eastAsia="宋体" w:cs="Times New Roman"/>
                <w:bCs/>
                <w:color w:val="auto"/>
                <w:sz w:val="24"/>
                <w:szCs w:val="24"/>
              </w:rPr>
              <w:t>月</w:t>
            </w:r>
            <w:r>
              <w:rPr>
                <w:rFonts w:hint="eastAsia" w:cs="Times New Roman"/>
                <w:bCs/>
                <w:color w:val="auto"/>
                <w:sz w:val="24"/>
                <w:szCs w:val="24"/>
                <w:lang w:eastAsia="zh-CN"/>
              </w:rPr>
              <w:t>修编</w:t>
            </w:r>
            <w:r>
              <w:rPr>
                <w:rFonts w:hint="default" w:ascii="Times New Roman" w:hAnsi="Times New Roman" w:eastAsia="宋体" w:cs="Times New Roman"/>
                <w:bCs/>
                <w:color w:val="auto"/>
                <w:sz w:val="24"/>
                <w:szCs w:val="24"/>
              </w:rPr>
              <w:t>了《中国石油天然气股份有限公司重庆销售分公司渝中加油站突发环境事件应急预案》和《中国石油天然气股份有限公司重庆销售分公司渝中加油站突发环境事件风险评估报告》。现有工程投运至今，定期开展应急演练并形成影音、文字等台账记录备查。</w:t>
            </w:r>
          </w:p>
          <w:p w14:paraId="7C433555">
            <w:pPr>
              <w:adjustRightInd w:val="0"/>
              <w:snapToGrid w:val="0"/>
              <w:spacing w:line="360" w:lineRule="auto"/>
              <w:rPr>
                <w:rFonts w:hint="default" w:ascii="Times New Roman" w:hAnsi="Times New Roman" w:eastAsia="宋体" w:cs="Times New Roman"/>
                <w:b/>
                <w:bCs/>
                <w:color w:val="auto"/>
                <w:sz w:val="24"/>
                <w:szCs w:val="26"/>
              </w:rPr>
            </w:pPr>
            <w:r>
              <w:rPr>
                <w:rFonts w:hint="default" w:ascii="Times New Roman" w:hAnsi="Times New Roman" w:eastAsia="宋体" w:cs="Times New Roman"/>
                <w:b/>
                <w:bCs/>
                <w:color w:val="auto"/>
                <w:sz w:val="24"/>
                <w:szCs w:val="26"/>
              </w:rPr>
              <w:t>2.8.</w:t>
            </w:r>
            <w:r>
              <w:rPr>
                <w:rFonts w:hint="default" w:ascii="Times New Roman" w:hAnsi="Times New Roman" w:cs="Times New Roman"/>
                <w:b/>
                <w:bCs/>
                <w:color w:val="auto"/>
                <w:sz w:val="24"/>
                <w:szCs w:val="26"/>
                <w:lang w:val="en-US" w:eastAsia="zh-CN"/>
              </w:rPr>
              <w:t>2</w:t>
            </w:r>
            <w:r>
              <w:rPr>
                <w:rFonts w:hint="default" w:ascii="Times New Roman" w:hAnsi="Times New Roman" w:eastAsia="宋体" w:cs="Times New Roman"/>
                <w:b/>
                <w:bCs/>
                <w:color w:val="auto"/>
                <w:sz w:val="24"/>
              </w:rPr>
              <w:t>现有工程生产工艺及产排污环节</w:t>
            </w:r>
          </w:p>
          <w:p w14:paraId="5E1F00B2">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rPr>
              <w:t>现有工程加油站卸油、加油、清罐等工艺流程与本项目一致，具体见2.7。</w:t>
            </w:r>
          </w:p>
          <w:p w14:paraId="6A580758">
            <w:pPr>
              <w:adjustRightInd w:val="0"/>
              <w:snapToGrid w:val="0"/>
              <w:spacing w:line="360" w:lineRule="auto"/>
              <w:rPr>
                <w:rFonts w:hint="default" w:ascii="Times New Roman" w:hAnsi="Times New Roman" w:eastAsia="宋体" w:cs="Times New Roman"/>
                <w:b/>
                <w:bCs/>
                <w:color w:val="auto"/>
                <w:sz w:val="24"/>
                <w:szCs w:val="26"/>
              </w:rPr>
            </w:pPr>
            <w:r>
              <w:rPr>
                <w:rFonts w:hint="default" w:ascii="Times New Roman" w:hAnsi="Times New Roman" w:eastAsia="宋体" w:cs="Times New Roman"/>
                <w:b/>
                <w:bCs/>
                <w:color w:val="auto"/>
                <w:sz w:val="24"/>
                <w:szCs w:val="26"/>
              </w:rPr>
              <w:t>2.8.</w:t>
            </w:r>
            <w:r>
              <w:rPr>
                <w:rFonts w:hint="default" w:ascii="Times New Roman" w:hAnsi="Times New Roman" w:cs="Times New Roman"/>
                <w:b/>
                <w:bCs/>
                <w:color w:val="auto"/>
                <w:sz w:val="24"/>
                <w:szCs w:val="26"/>
                <w:lang w:val="en-US" w:eastAsia="zh-CN"/>
              </w:rPr>
              <w:t>3</w:t>
            </w:r>
            <w:r>
              <w:rPr>
                <w:rFonts w:hint="default" w:ascii="Times New Roman" w:hAnsi="Times New Roman" w:eastAsia="宋体" w:cs="Times New Roman"/>
                <w:b/>
                <w:bCs/>
                <w:color w:val="auto"/>
                <w:sz w:val="24"/>
                <w:szCs w:val="26"/>
              </w:rPr>
              <w:t>现有工程主要污染防治设施及污染物排放情况</w:t>
            </w:r>
          </w:p>
          <w:p w14:paraId="51E663BC">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rPr>
              <w:t>由于加油站建设</w:t>
            </w:r>
            <w:r>
              <w:rPr>
                <w:rFonts w:hint="default" w:ascii="Times New Roman" w:hAnsi="Times New Roman" w:eastAsia="宋体" w:cs="Times New Roman"/>
                <w:color w:val="auto"/>
                <w:sz w:val="24"/>
              </w:rPr>
              <w:t>运行时间</w:t>
            </w:r>
            <w:r>
              <w:rPr>
                <w:rFonts w:hint="default" w:ascii="Times New Roman" w:hAnsi="Times New Roman" w:eastAsia="宋体" w:cs="Times New Roman"/>
                <w:bCs/>
                <w:color w:val="auto"/>
                <w:sz w:val="24"/>
              </w:rPr>
              <w:t>较久，现有工程产排污主要依据加油站现状建设内容和环保设施进行产排污核算。</w:t>
            </w:r>
          </w:p>
          <w:p w14:paraId="373D895D">
            <w:pPr>
              <w:adjustRightInd w:val="0"/>
              <w:snapToGrid w:val="0"/>
              <w:spacing w:line="360" w:lineRule="auto"/>
              <w:ind w:firstLine="482" w:firstLineChars="200"/>
              <w:rPr>
                <w:rFonts w:hint="default" w:ascii="Times New Roman" w:hAnsi="Times New Roman" w:eastAsia="宋体" w:cs="Times New Roman"/>
                <w:b/>
                <w:bCs w:val="0"/>
                <w:color w:val="auto"/>
                <w:sz w:val="24"/>
                <w:szCs w:val="26"/>
              </w:rPr>
            </w:pPr>
            <w:r>
              <w:rPr>
                <w:rFonts w:hint="default" w:ascii="Times New Roman" w:hAnsi="Times New Roman" w:eastAsia="宋体" w:cs="Times New Roman"/>
                <w:b/>
                <w:bCs w:val="0"/>
                <w:color w:val="auto"/>
                <w:sz w:val="24"/>
                <w:szCs w:val="26"/>
              </w:rPr>
              <w:t>（1）废气</w:t>
            </w:r>
          </w:p>
          <w:p w14:paraId="21190FB8">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现有工程项目年销售柴油量</w:t>
            </w:r>
            <w:r>
              <w:rPr>
                <w:rFonts w:hint="default" w:ascii="Times New Roman" w:hAnsi="Times New Roman" w:eastAsia="宋体" w:cs="Times New Roman"/>
                <w:bCs/>
                <w:color w:val="auto"/>
                <w:sz w:val="24"/>
                <w:szCs w:val="24"/>
                <w:lang w:val="en-US" w:eastAsia="zh-CN"/>
              </w:rPr>
              <w:t>300</w:t>
            </w:r>
            <w:r>
              <w:rPr>
                <w:rFonts w:hint="default" w:ascii="Times New Roman" w:hAnsi="Times New Roman" w:eastAsia="宋体" w:cs="Times New Roman"/>
                <w:bCs/>
                <w:color w:val="auto"/>
                <w:sz w:val="24"/>
                <w:szCs w:val="24"/>
              </w:rPr>
              <w:t>t，</w:t>
            </w:r>
            <w:r>
              <w:rPr>
                <w:rFonts w:hint="default" w:ascii="Times New Roman" w:hAnsi="Times New Roman" w:eastAsia="宋体" w:cs="Times New Roman"/>
                <w:bCs/>
                <w:color w:val="auto"/>
                <w:sz w:val="24"/>
                <w:szCs w:val="26"/>
              </w:rPr>
              <w:t>汽油量</w:t>
            </w:r>
            <w:r>
              <w:rPr>
                <w:rFonts w:hint="default" w:ascii="Times New Roman" w:hAnsi="Times New Roman" w:cs="Times New Roman"/>
                <w:bCs/>
                <w:color w:val="auto"/>
                <w:sz w:val="24"/>
                <w:szCs w:val="26"/>
                <w:lang w:val="en-US" w:eastAsia="zh-CN"/>
              </w:rPr>
              <w:t>30</w:t>
            </w:r>
            <w:r>
              <w:rPr>
                <w:rFonts w:hint="default" w:ascii="Times New Roman" w:hAnsi="Times New Roman" w:eastAsia="宋体" w:cs="Times New Roman"/>
                <w:bCs/>
                <w:color w:val="auto"/>
                <w:sz w:val="24"/>
                <w:szCs w:val="26"/>
                <w:lang w:val="en-US" w:eastAsia="zh-CN"/>
              </w:rPr>
              <w:t>00</w:t>
            </w:r>
            <w:r>
              <w:rPr>
                <w:rFonts w:hint="default" w:ascii="Times New Roman" w:hAnsi="Times New Roman" w:eastAsia="宋体" w:cs="Times New Roman"/>
                <w:bCs/>
                <w:color w:val="auto"/>
                <w:sz w:val="24"/>
                <w:szCs w:val="26"/>
              </w:rPr>
              <w:t>t，根据《散装液态石油产品损耗》（GB11085-1989）中关于A类地区油气损耗率，经油气回收系统收集处理后的油气总排放量约</w:t>
            </w:r>
            <w:r>
              <w:rPr>
                <w:rFonts w:hint="eastAsia" w:cs="Times New Roman"/>
                <w:bCs/>
                <w:color w:val="auto"/>
                <w:sz w:val="24"/>
                <w:szCs w:val="26"/>
                <w:lang w:val="en-US" w:eastAsia="zh-CN"/>
              </w:rPr>
              <w:t>1.635</w:t>
            </w:r>
            <w:r>
              <w:rPr>
                <w:rFonts w:hint="default" w:ascii="Times New Roman" w:hAnsi="Times New Roman" w:eastAsia="宋体" w:cs="Times New Roman"/>
                <w:bCs/>
                <w:color w:val="auto"/>
                <w:sz w:val="24"/>
                <w:szCs w:val="26"/>
              </w:rPr>
              <w:t>t/a。</w:t>
            </w:r>
          </w:p>
          <w:p w14:paraId="4D961EF3">
            <w:pPr>
              <w:pStyle w:val="7"/>
              <w:spacing w:before="0" w:after="0" w:line="360" w:lineRule="auto"/>
              <w:ind w:right="0" w:firstLine="480" w:firstLineChars="200"/>
              <w:rPr>
                <w:rFonts w:hint="default" w:ascii="Times New Roman" w:hAnsi="Times New Roman" w:eastAsia="宋体" w:cs="Times New Roman"/>
                <w:bCs/>
                <w:color w:val="auto"/>
                <w:kern w:val="2"/>
                <w:sz w:val="24"/>
                <w:szCs w:val="26"/>
              </w:rPr>
            </w:pPr>
            <w:r>
              <w:rPr>
                <w:rFonts w:hint="default" w:ascii="Times New Roman" w:hAnsi="Times New Roman" w:eastAsia="宋体" w:cs="Times New Roman"/>
                <w:bCs/>
                <w:color w:val="auto"/>
                <w:kern w:val="2"/>
                <w:sz w:val="24"/>
                <w:szCs w:val="26"/>
              </w:rPr>
              <w:t>①柴油油气</w:t>
            </w:r>
          </w:p>
          <w:p w14:paraId="2D987A53">
            <w:pPr>
              <w:pStyle w:val="7"/>
              <w:spacing w:before="0" w:after="0" w:line="360" w:lineRule="auto"/>
              <w:ind w:right="0" w:firstLine="480" w:firstLineChars="200"/>
              <w:rPr>
                <w:rFonts w:hint="default" w:ascii="Times New Roman" w:hAnsi="Times New Roman" w:eastAsia="宋体" w:cs="Times New Roman"/>
                <w:bCs/>
                <w:color w:val="auto"/>
                <w:kern w:val="2"/>
                <w:sz w:val="24"/>
                <w:szCs w:val="26"/>
              </w:rPr>
            </w:pPr>
            <w:r>
              <w:rPr>
                <w:rFonts w:hint="default" w:ascii="Times New Roman" w:hAnsi="Times New Roman" w:eastAsia="宋体" w:cs="Times New Roman"/>
                <w:bCs/>
                <w:color w:val="auto"/>
                <w:kern w:val="2"/>
                <w:sz w:val="24"/>
                <w:szCs w:val="26"/>
              </w:rPr>
              <w:t>现有工程年销售柴油量为</w:t>
            </w:r>
            <w:r>
              <w:rPr>
                <w:rFonts w:hint="default" w:ascii="Times New Roman" w:hAnsi="Times New Roman" w:cs="Times New Roman"/>
                <w:bCs/>
                <w:color w:val="auto"/>
                <w:kern w:val="2"/>
                <w:sz w:val="24"/>
                <w:szCs w:val="26"/>
                <w:lang w:val="en-US" w:eastAsia="zh-CN"/>
              </w:rPr>
              <w:t>3</w:t>
            </w:r>
            <w:r>
              <w:rPr>
                <w:rFonts w:hint="default" w:ascii="Times New Roman" w:hAnsi="Times New Roman" w:eastAsia="宋体" w:cs="Times New Roman"/>
                <w:bCs/>
                <w:color w:val="auto"/>
                <w:kern w:val="2"/>
                <w:sz w:val="24"/>
                <w:szCs w:val="26"/>
                <w:lang w:val="en-US" w:eastAsia="zh-CN"/>
              </w:rPr>
              <w:t>00</w:t>
            </w:r>
            <w:r>
              <w:rPr>
                <w:rFonts w:hint="default" w:ascii="Times New Roman" w:hAnsi="Times New Roman" w:eastAsia="宋体" w:cs="Times New Roman"/>
                <w:bCs/>
                <w:color w:val="auto"/>
                <w:kern w:val="2"/>
                <w:sz w:val="24"/>
                <w:szCs w:val="26"/>
              </w:rPr>
              <w:t>t，</w:t>
            </w:r>
            <w:r>
              <w:rPr>
                <w:rFonts w:hint="eastAsia"/>
                <w:bCs/>
                <w:color w:val="auto"/>
                <w:sz w:val="24"/>
                <w:szCs w:val="24"/>
                <w:highlight w:val="none"/>
              </w:rPr>
              <w:t>根据《散装液态石油产品损耗》（GB11085-1989），A 类地区的柴油卸油时会产生0.05%的油气；由于柴油的蒸汽压太低，约为汽油蒸汽压的0.0075倍，因此油罐呼吸排放蒸发量不予考虑，柴油呼吸损耗产生的油气直接由阻火器（起呼吸阀作用，并同时能阻燃、阻火）排放；另汽车加油过程中因加油箱都是敞开式，会向外逸散油气，当加油流速较快时会有油气产生，柴油会产生0.0</w:t>
            </w:r>
            <w:r>
              <w:rPr>
                <w:bCs/>
                <w:color w:val="auto"/>
                <w:sz w:val="24"/>
                <w:szCs w:val="24"/>
                <w:highlight w:val="none"/>
              </w:rPr>
              <w:t>8</w:t>
            </w:r>
            <w:r>
              <w:rPr>
                <w:rFonts w:hint="eastAsia"/>
                <w:bCs/>
                <w:color w:val="auto"/>
                <w:sz w:val="24"/>
                <w:szCs w:val="24"/>
                <w:highlight w:val="none"/>
              </w:rPr>
              <w:t>%的油气排放。</w:t>
            </w:r>
            <w:r>
              <w:rPr>
                <w:rFonts w:hint="default" w:ascii="Times New Roman" w:hAnsi="Times New Roman" w:eastAsia="宋体" w:cs="Times New Roman"/>
                <w:bCs/>
                <w:color w:val="auto"/>
                <w:kern w:val="2"/>
                <w:sz w:val="24"/>
                <w:szCs w:val="26"/>
              </w:rPr>
              <w:t>经计算原工程柴油油气损耗量结果下表2.8-1。</w:t>
            </w:r>
          </w:p>
          <w:p w14:paraId="3CF91558">
            <w:pPr>
              <w:pStyle w:val="7"/>
              <w:tabs>
                <w:tab w:val="left" w:pos="3935"/>
                <w:tab w:val="left" w:pos="6335"/>
              </w:tabs>
              <w:spacing w:before="0" w:after="0" w:line="240" w:lineRule="auto"/>
              <w:ind w:right="0"/>
              <w:jc w:val="center"/>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表2.8-1    柴现有工程油气损耗量预测     单位：t/a</w:t>
            </w:r>
          </w:p>
          <w:tbl>
            <w:tblPr>
              <w:tblStyle w:val="19"/>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18"/>
              <w:gridCol w:w="3644"/>
              <w:gridCol w:w="2822"/>
            </w:tblGrid>
            <w:tr w14:paraId="3383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9" w:type="dxa"/>
                  <w:vMerge w:val="restart"/>
                  <w:tcBorders>
                    <w:tl2br w:val="single" w:color="auto" w:sz="4" w:space="0"/>
                  </w:tcBorders>
                  <w:noWrap w:val="0"/>
                  <w:vAlign w:val="center"/>
                </w:tcPr>
                <w:p w14:paraId="3DD66410">
                  <w:pPr>
                    <w:pStyle w:val="59"/>
                    <w:ind w:firstLine="1050" w:firstLineChars="50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项目</w:t>
                  </w:r>
                </w:p>
                <w:p w14:paraId="39DBC48E">
                  <w:pPr>
                    <w:pStyle w:val="59"/>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损耗类型</w:t>
                  </w:r>
                </w:p>
              </w:tc>
              <w:tc>
                <w:tcPr>
                  <w:tcW w:w="6684" w:type="dxa"/>
                  <w:gridSpan w:val="2"/>
                  <w:noWrap w:val="0"/>
                  <w:vAlign w:val="center"/>
                </w:tcPr>
                <w:p w14:paraId="4DD18310">
                  <w:pPr>
                    <w:pStyle w:val="59"/>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柴油</w:t>
                  </w:r>
                </w:p>
              </w:tc>
            </w:tr>
            <w:tr w14:paraId="3AB2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9" w:type="dxa"/>
                  <w:vMerge w:val="continue"/>
                  <w:tcBorders>
                    <w:tl2br w:val="single" w:color="auto" w:sz="4" w:space="0"/>
                  </w:tcBorders>
                  <w:noWrap w:val="0"/>
                  <w:vAlign w:val="center"/>
                </w:tcPr>
                <w:p w14:paraId="6E5555DA">
                  <w:pPr>
                    <w:rPr>
                      <w:rFonts w:hint="default" w:ascii="Times New Roman" w:hAnsi="Times New Roman" w:eastAsia="宋体" w:cs="Times New Roman"/>
                      <w:color w:val="auto"/>
                      <w:szCs w:val="22"/>
                    </w:rPr>
                  </w:pPr>
                </w:p>
              </w:tc>
              <w:tc>
                <w:tcPr>
                  <w:tcW w:w="3772" w:type="dxa"/>
                  <w:noWrap w:val="0"/>
                  <w:vAlign w:val="center"/>
                </w:tcPr>
                <w:p w14:paraId="005C4182">
                  <w:pPr>
                    <w:pStyle w:val="59"/>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损耗率</w:t>
                  </w:r>
                </w:p>
              </w:tc>
              <w:tc>
                <w:tcPr>
                  <w:tcW w:w="2912" w:type="dxa"/>
                  <w:noWrap w:val="0"/>
                  <w:vAlign w:val="center"/>
                </w:tcPr>
                <w:p w14:paraId="6D035E2A">
                  <w:pPr>
                    <w:pStyle w:val="59"/>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损耗量（t/a）</w:t>
                  </w:r>
                </w:p>
              </w:tc>
            </w:tr>
            <w:tr w14:paraId="4E7D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9" w:type="dxa"/>
                  <w:noWrap w:val="0"/>
                  <w:vAlign w:val="center"/>
                </w:tcPr>
                <w:p w14:paraId="7A5171BA">
                  <w:pPr>
                    <w:pStyle w:val="59"/>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卸油损耗</w:t>
                  </w:r>
                </w:p>
              </w:tc>
              <w:tc>
                <w:tcPr>
                  <w:tcW w:w="3772" w:type="dxa"/>
                  <w:noWrap w:val="0"/>
                  <w:vAlign w:val="center"/>
                </w:tcPr>
                <w:p w14:paraId="5A9454E1">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21"/>
                      <w:szCs w:val="22"/>
                    </w:rPr>
                  </w:pPr>
                  <w:r>
                    <w:rPr>
                      <w:rFonts w:hint="default" w:ascii="Times New Roman" w:hAnsi="Times New Roman" w:eastAsia="宋体" w:cs="Times New Roman"/>
                      <w:i w:val="0"/>
                      <w:iCs w:val="0"/>
                      <w:color w:val="auto"/>
                      <w:kern w:val="0"/>
                      <w:sz w:val="21"/>
                      <w:szCs w:val="21"/>
                      <w:u w:val="none"/>
                      <w:lang w:val="en-US" w:eastAsia="zh-CN" w:bidi="ar"/>
                    </w:rPr>
                    <w:t>0.05%</w:t>
                  </w:r>
                </w:p>
              </w:tc>
              <w:tc>
                <w:tcPr>
                  <w:tcW w:w="2912" w:type="dxa"/>
                  <w:noWrap w:val="0"/>
                  <w:vAlign w:val="center"/>
                </w:tcPr>
                <w:p w14:paraId="1C248D35">
                  <w:pPr>
                    <w:keepNext w:val="0"/>
                    <w:keepLines w:val="0"/>
                    <w:widowControl/>
                    <w:suppressLineNumbers w:val="0"/>
                    <w:jc w:val="center"/>
                    <w:textAlignment w:val="center"/>
                    <w:rPr>
                      <w:rFonts w:hint="default" w:ascii="Times New Roman" w:hAnsi="Times New Roman" w:eastAsia="宋体" w:cs="Times New Roman"/>
                      <w:color w:val="auto"/>
                      <w:szCs w:val="22"/>
                    </w:rPr>
                  </w:pPr>
                  <w:r>
                    <w:rPr>
                      <w:rFonts w:hint="default" w:ascii="Times New Roman" w:hAnsi="Times New Roman" w:eastAsia="宋体" w:cs="Times New Roman"/>
                      <w:i w:val="0"/>
                      <w:iCs w:val="0"/>
                      <w:color w:val="auto"/>
                      <w:kern w:val="0"/>
                      <w:sz w:val="21"/>
                      <w:szCs w:val="21"/>
                      <w:u w:val="none"/>
                      <w:lang w:val="en-US" w:eastAsia="zh-CN" w:bidi="ar"/>
                    </w:rPr>
                    <w:t xml:space="preserve">0.150 </w:t>
                  </w:r>
                </w:p>
              </w:tc>
            </w:tr>
            <w:tr w14:paraId="4DFB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9" w:type="dxa"/>
                  <w:noWrap w:val="0"/>
                  <w:vAlign w:val="center"/>
                </w:tcPr>
                <w:p w14:paraId="34CD9E82">
                  <w:pPr>
                    <w:pStyle w:val="59"/>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加油损耗</w:t>
                  </w:r>
                </w:p>
              </w:tc>
              <w:tc>
                <w:tcPr>
                  <w:tcW w:w="3772" w:type="dxa"/>
                  <w:noWrap w:val="0"/>
                  <w:vAlign w:val="center"/>
                </w:tcPr>
                <w:p w14:paraId="1A3EDA63">
                  <w:pPr>
                    <w:keepNext w:val="0"/>
                    <w:keepLines w:val="0"/>
                    <w:widowControl/>
                    <w:suppressLineNumbers w:val="0"/>
                    <w:spacing w:line="240" w:lineRule="auto"/>
                    <w:jc w:val="center"/>
                    <w:textAlignment w:val="bottom"/>
                    <w:rPr>
                      <w:rFonts w:hint="default" w:ascii="Times New Roman" w:hAnsi="Times New Roman" w:eastAsia="宋体" w:cs="Times New Roman"/>
                      <w:color w:val="auto"/>
                      <w:sz w:val="21"/>
                      <w:szCs w:val="22"/>
                    </w:rPr>
                  </w:pPr>
                  <w:r>
                    <w:rPr>
                      <w:rFonts w:hint="default" w:ascii="Times New Roman" w:hAnsi="Times New Roman" w:eastAsia="宋体" w:cs="Times New Roman"/>
                      <w:i w:val="0"/>
                      <w:iCs w:val="0"/>
                      <w:color w:val="auto"/>
                      <w:kern w:val="0"/>
                      <w:sz w:val="21"/>
                      <w:szCs w:val="21"/>
                      <w:u w:val="none"/>
                      <w:lang w:val="en-US" w:eastAsia="zh-CN" w:bidi="ar"/>
                    </w:rPr>
                    <w:t>0.08%</w:t>
                  </w:r>
                </w:p>
              </w:tc>
              <w:tc>
                <w:tcPr>
                  <w:tcW w:w="2912" w:type="dxa"/>
                  <w:noWrap w:val="0"/>
                  <w:vAlign w:val="center"/>
                </w:tcPr>
                <w:p w14:paraId="7F643CCF">
                  <w:pPr>
                    <w:keepNext w:val="0"/>
                    <w:keepLines w:val="0"/>
                    <w:widowControl/>
                    <w:suppressLineNumbers w:val="0"/>
                    <w:jc w:val="center"/>
                    <w:textAlignment w:val="center"/>
                    <w:rPr>
                      <w:rFonts w:hint="default" w:ascii="Times New Roman" w:hAnsi="Times New Roman" w:eastAsia="宋体" w:cs="Times New Roman"/>
                      <w:color w:val="auto"/>
                      <w:szCs w:val="22"/>
                    </w:rPr>
                  </w:pPr>
                  <w:r>
                    <w:rPr>
                      <w:rFonts w:hint="default" w:ascii="Times New Roman" w:hAnsi="Times New Roman" w:eastAsia="宋体" w:cs="Times New Roman"/>
                      <w:i w:val="0"/>
                      <w:iCs w:val="0"/>
                      <w:color w:val="auto"/>
                      <w:kern w:val="0"/>
                      <w:sz w:val="21"/>
                      <w:szCs w:val="21"/>
                      <w:u w:val="none"/>
                      <w:lang w:val="en-US" w:eastAsia="zh-CN" w:bidi="ar"/>
                    </w:rPr>
                    <w:t xml:space="preserve">0.240 </w:t>
                  </w:r>
                </w:p>
              </w:tc>
            </w:tr>
            <w:tr w14:paraId="4360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49" w:type="dxa"/>
                  <w:noWrap w:val="0"/>
                  <w:vAlign w:val="center"/>
                </w:tcPr>
                <w:p w14:paraId="4ED8C8CB">
                  <w:pPr>
                    <w:pStyle w:val="59"/>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合计</w:t>
                  </w:r>
                </w:p>
              </w:tc>
              <w:tc>
                <w:tcPr>
                  <w:tcW w:w="3772" w:type="dxa"/>
                  <w:noWrap w:val="0"/>
                  <w:vAlign w:val="center"/>
                </w:tcPr>
                <w:p w14:paraId="27A22A89">
                  <w:pPr>
                    <w:pStyle w:val="59"/>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w:t>
                  </w:r>
                </w:p>
              </w:tc>
              <w:tc>
                <w:tcPr>
                  <w:tcW w:w="2912" w:type="dxa"/>
                  <w:shd w:val="clear" w:color="auto" w:fill="auto"/>
                  <w:noWrap w:val="0"/>
                  <w:vAlign w:val="center"/>
                </w:tcPr>
                <w:p w14:paraId="201A8D8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0.390</w:t>
                  </w:r>
                </w:p>
              </w:tc>
            </w:tr>
          </w:tbl>
          <w:p w14:paraId="65022316">
            <w:pPr>
              <w:pStyle w:val="7"/>
              <w:spacing w:before="0" w:after="0" w:line="360" w:lineRule="auto"/>
              <w:ind w:right="0" w:firstLine="480" w:firstLineChars="200"/>
              <w:rPr>
                <w:rFonts w:hint="default" w:ascii="Times New Roman" w:hAnsi="Times New Roman" w:eastAsia="宋体" w:cs="Times New Roman"/>
                <w:color w:val="auto"/>
                <w:sz w:val="24"/>
                <w:szCs w:val="26"/>
              </w:rPr>
            </w:pPr>
          </w:p>
          <w:p w14:paraId="4EE45717">
            <w:pPr>
              <w:pStyle w:val="7"/>
              <w:spacing w:before="0" w:after="0" w:line="360" w:lineRule="auto"/>
              <w:ind w:right="0" w:firstLine="480" w:firstLineChars="200"/>
              <w:rPr>
                <w:rFonts w:hint="default" w:ascii="Times New Roman" w:hAnsi="Times New Roman" w:eastAsia="宋体" w:cs="Times New Roman"/>
                <w:color w:val="auto"/>
                <w:sz w:val="24"/>
                <w:szCs w:val="26"/>
                <w:lang w:bidi="ar"/>
              </w:rPr>
            </w:pPr>
            <w:r>
              <w:rPr>
                <w:rFonts w:hint="default" w:ascii="Times New Roman" w:hAnsi="Times New Roman" w:eastAsia="宋体" w:cs="Times New Roman"/>
                <w:color w:val="auto"/>
                <w:sz w:val="24"/>
                <w:szCs w:val="26"/>
              </w:rPr>
              <w:t>由表</w:t>
            </w:r>
            <w:r>
              <w:rPr>
                <w:rFonts w:hint="default" w:ascii="Times New Roman" w:hAnsi="Times New Roman" w:eastAsia="宋体" w:cs="Times New Roman"/>
                <w:color w:val="auto"/>
                <w:sz w:val="24"/>
                <w:szCs w:val="26"/>
                <w:lang w:bidi="ar"/>
              </w:rPr>
              <w:t>2.8-1可知，该加油站现有工程柴油损耗量约为0.</w:t>
            </w:r>
            <w:r>
              <w:rPr>
                <w:rFonts w:hint="default" w:ascii="Times New Roman" w:hAnsi="Times New Roman" w:cs="Times New Roman"/>
                <w:color w:val="auto"/>
                <w:sz w:val="24"/>
                <w:szCs w:val="26"/>
                <w:lang w:val="en-US" w:eastAsia="zh-CN" w:bidi="ar"/>
              </w:rPr>
              <w:t>390</w:t>
            </w:r>
            <w:r>
              <w:rPr>
                <w:rFonts w:hint="default" w:ascii="Times New Roman" w:hAnsi="Times New Roman" w:eastAsia="宋体" w:cs="Times New Roman"/>
                <w:color w:val="auto"/>
                <w:sz w:val="24"/>
                <w:szCs w:val="26"/>
                <w:lang w:bidi="ar"/>
              </w:rPr>
              <w:t>t/a。</w:t>
            </w:r>
          </w:p>
          <w:p w14:paraId="33D5FA2F">
            <w:pPr>
              <w:pStyle w:val="7"/>
              <w:spacing w:before="0" w:after="0" w:line="360" w:lineRule="auto"/>
              <w:ind w:right="0" w:firstLine="480" w:firstLineChars="200"/>
              <w:rPr>
                <w:rFonts w:hint="default" w:ascii="Times New Roman" w:hAnsi="Times New Roman" w:eastAsia="宋体" w:cs="Times New Roman"/>
                <w:color w:val="auto"/>
                <w:sz w:val="24"/>
                <w:szCs w:val="26"/>
                <w:lang w:bidi="ar"/>
              </w:rPr>
            </w:pPr>
            <w:r>
              <w:rPr>
                <w:rFonts w:hint="default" w:ascii="Times New Roman" w:hAnsi="Times New Roman" w:eastAsia="宋体" w:cs="Times New Roman"/>
                <w:color w:val="auto"/>
                <w:sz w:val="24"/>
                <w:szCs w:val="26"/>
                <w:lang w:bidi="ar"/>
              </w:rPr>
              <w:t>②汽油油气</w:t>
            </w:r>
          </w:p>
          <w:p w14:paraId="6E1FD558">
            <w:pPr>
              <w:pStyle w:val="7"/>
              <w:spacing w:before="0" w:after="0" w:line="360" w:lineRule="auto"/>
              <w:ind w:right="0" w:firstLine="480" w:firstLineChars="200"/>
              <w:rPr>
                <w:rFonts w:hint="default" w:ascii="Times New Roman" w:hAnsi="Times New Roman" w:eastAsia="宋体" w:cs="Times New Roman"/>
                <w:color w:val="auto"/>
                <w:sz w:val="24"/>
                <w:szCs w:val="26"/>
                <w:lang w:bidi="ar"/>
              </w:rPr>
            </w:pPr>
            <w:r>
              <w:rPr>
                <w:rFonts w:hint="default" w:ascii="Times New Roman" w:hAnsi="Times New Roman" w:eastAsia="宋体" w:cs="Times New Roman"/>
                <w:color w:val="auto"/>
                <w:sz w:val="24"/>
                <w:szCs w:val="26"/>
                <w:lang w:bidi="ar"/>
              </w:rPr>
              <w:t>现有工程针对汽油设置有卸油油气回收系统（即一次油气回收系统）装置，同时安装集中式加油油气回收系统（即二次油气回收系统）</w:t>
            </w:r>
            <w:r>
              <w:rPr>
                <w:rFonts w:hint="default" w:ascii="Times New Roman" w:hAnsi="Times New Roman" w:cs="Times New Roman"/>
                <w:color w:val="auto"/>
                <w:sz w:val="24"/>
                <w:szCs w:val="26"/>
                <w:lang w:eastAsia="zh-CN" w:bidi="ar"/>
              </w:rPr>
              <w:t>和三次油气回收处理装置</w:t>
            </w:r>
            <w:r>
              <w:rPr>
                <w:rFonts w:hint="eastAsia" w:cs="Times New Roman"/>
                <w:color w:val="auto"/>
                <w:sz w:val="24"/>
                <w:szCs w:val="26"/>
                <w:lang w:eastAsia="zh-CN" w:bidi="ar"/>
              </w:rPr>
              <w:t>（处理工艺为冷凝</w:t>
            </w:r>
            <w:r>
              <w:rPr>
                <w:rFonts w:hint="eastAsia" w:cs="Times New Roman"/>
                <w:color w:val="auto"/>
                <w:sz w:val="24"/>
                <w:szCs w:val="26"/>
                <w:lang w:val="en-US" w:eastAsia="zh-CN" w:bidi="ar"/>
              </w:rPr>
              <w:t>+膜过滤</w:t>
            </w:r>
            <w:r>
              <w:rPr>
                <w:rFonts w:hint="eastAsia" w:cs="Times New Roman"/>
                <w:color w:val="auto"/>
                <w:sz w:val="24"/>
                <w:szCs w:val="26"/>
                <w:lang w:eastAsia="zh-CN" w:bidi="ar"/>
              </w:rPr>
              <w:t>）</w:t>
            </w:r>
            <w:r>
              <w:rPr>
                <w:rFonts w:hint="default" w:ascii="Times New Roman" w:hAnsi="Times New Roman" w:eastAsia="宋体" w:cs="Times New Roman"/>
                <w:color w:val="auto"/>
                <w:sz w:val="24"/>
                <w:szCs w:val="26"/>
                <w:lang w:bidi="ar"/>
              </w:rPr>
              <w:t>。</w:t>
            </w:r>
          </w:p>
          <w:p w14:paraId="2543CBC4">
            <w:pPr>
              <w:pStyle w:val="7"/>
              <w:spacing w:before="0" w:after="0" w:line="360" w:lineRule="auto"/>
              <w:ind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现有工程</w:t>
            </w:r>
            <w:r>
              <w:rPr>
                <w:rFonts w:hint="default" w:ascii="Times New Roman" w:hAnsi="Times New Roman" w:eastAsia="宋体" w:cs="Times New Roman"/>
                <w:color w:val="auto"/>
                <w:sz w:val="24"/>
                <w:szCs w:val="24"/>
              </w:rPr>
              <w:t>年销售汽油量约</w:t>
            </w:r>
            <w:r>
              <w:rPr>
                <w:rFonts w:hint="default" w:ascii="Times New Roman" w:hAnsi="Times New Roman" w:cs="Times New Roman"/>
                <w:color w:val="auto"/>
                <w:sz w:val="24"/>
                <w:szCs w:val="24"/>
                <w:lang w:val="en-US" w:eastAsia="zh-CN"/>
              </w:rPr>
              <w:t>3000</w:t>
            </w:r>
            <w:r>
              <w:rPr>
                <w:rFonts w:hint="default" w:ascii="Times New Roman" w:hAnsi="Times New Roman" w:eastAsia="宋体" w:cs="Times New Roman"/>
                <w:color w:val="auto"/>
                <w:sz w:val="24"/>
                <w:szCs w:val="24"/>
              </w:rPr>
              <w:t>t。根据《散装液态石油产品损耗》（GB 11085-89）中关于四川地区油气损耗率，项目卸油</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加油</w:t>
            </w:r>
            <w:r>
              <w:rPr>
                <w:rFonts w:hint="eastAsia" w:cs="Times New Roman"/>
                <w:color w:val="auto"/>
                <w:sz w:val="24"/>
                <w:szCs w:val="24"/>
                <w:lang w:eastAsia="zh-CN"/>
              </w:rPr>
              <w:t>和储油</w:t>
            </w:r>
            <w:r>
              <w:rPr>
                <w:rFonts w:hint="default" w:ascii="Times New Roman" w:hAnsi="Times New Roman" w:eastAsia="宋体" w:cs="Times New Roman"/>
                <w:color w:val="auto"/>
                <w:sz w:val="24"/>
                <w:szCs w:val="24"/>
              </w:rPr>
              <w:t>过程的汽油油气损耗量、回收量、排放量情况见下表2.8-2。</w:t>
            </w:r>
          </w:p>
          <w:p w14:paraId="04370082">
            <w:pPr>
              <w:pStyle w:val="7"/>
              <w:tabs>
                <w:tab w:val="left" w:pos="3935"/>
                <w:tab w:val="left" w:pos="6335"/>
              </w:tabs>
              <w:spacing w:before="0" w:after="0" w:line="240" w:lineRule="auto"/>
              <w:ind w:right="0"/>
              <w:jc w:val="center"/>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表2.8-2    现有工程汽油油气产生量和排放量    单位：t/a</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9"/>
              <w:gridCol w:w="1286"/>
              <w:gridCol w:w="1562"/>
              <w:gridCol w:w="1536"/>
              <w:gridCol w:w="1464"/>
              <w:gridCol w:w="1619"/>
            </w:tblGrid>
            <w:tr w14:paraId="04C8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36" w:type="pct"/>
                  <w:vMerge w:val="restart"/>
                  <w:tcBorders>
                    <w:top w:val="single" w:color="000000" w:sz="4" w:space="0"/>
                    <w:left w:val="single" w:color="000000" w:sz="4" w:space="0"/>
                    <w:right w:val="single" w:color="000000" w:sz="4" w:space="0"/>
                  </w:tcBorders>
                  <w:noWrap w:val="0"/>
                  <w:vAlign w:val="center"/>
                  <mc:AlternateContent>
                    <mc:Choice Requires="wpsCustomData">
                      <wpsCustomData:diagonals>
                        <wpsCustomData:diagonal from="10000" to="30000">
                          <wpsCustomData:border w:val="single" w:color="000000" w:sz="4" w:space="0"/>
                        </wpsCustomData:diagonal>
                      </wpsCustomData:diagonals>
                    </mc:Choice>
                  </mc:AlternateContent>
                </w:tcPr>
                <w:p w14:paraId="289ABF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i w:val="0"/>
                      <w:iCs w:val="0"/>
                      <w:color w:val="auto"/>
                      <w:sz w:val="21"/>
                      <w:szCs w:val="21"/>
                      <w:u w:val="none"/>
                    </w:rPr>
                  </w:pPr>
                </w:p>
                <w:p w14:paraId="266687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i w:val="0"/>
                      <w:iCs w:val="0"/>
                      <w:color w:val="auto"/>
                      <w:sz w:val="21"/>
                      <w:szCs w:val="21"/>
                      <w:u w:val="none"/>
                    </w:rPr>
                  </w:pPr>
                </w:p>
                <w:p w14:paraId="0656455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cs="Times New Roman"/>
                      <w:i w:val="0"/>
                      <w:iCs w:val="0"/>
                      <w:color w:val="auto"/>
                      <w:sz w:val="21"/>
                      <w:szCs w:val="21"/>
                      <w:u w:val="none"/>
                      <w:lang w:eastAsia="zh-CN"/>
                    </w:rPr>
                  </w:pPr>
                  <w:r>
                    <w:rPr>
                      <w:rFonts w:hint="eastAsia" w:cs="Times New Roman"/>
                      <w:i w:val="0"/>
                      <w:iCs w:val="0"/>
                      <w:color w:val="auto"/>
                      <w:sz w:val="21"/>
                      <w:szCs w:val="21"/>
                      <w:u w:val="none"/>
                      <w:lang w:eastAsia="zh-CN"/>
                    </w:rPr>
                    <w:t>损耗</w:t>
                  </w:r>
                </w:p>
                <w:p w14:paraId="1696E4D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cs="Times New Roman"/>
                      <w:i w:val="0"/>
                      <w:iCs w:val="0"/>
                      <w:color w:val="auto"/>
                      <w:sz w:val="21"/>
                      <w:szCs w:val="21"/>
                      <w:u w:val="none"/>
                      <w:lang w:eastAsia="zh-CN"/>
                    </w:rPr>
                  </w:pPr>
                  <w:r>
                    <w:rPr>
                      <w:rFonts w:hint="eastAsia" w:cs="Times New Roman"/>
                      <w:i w:val="0"/>
                      <w:iCs w:val="0"/>
                      <w:color w:val="auto"/>
                      <w:sz w:val="21"/>
                      <w:szCs w:val="21"/>
                      <w:u w:val="none"/>
                      <w:lang w:eastAsia="zh-CN"/>
                    </w:rPr>
                    <w:t>类型</w:t>
                  </w:r>
                </w:p>
                <w:p w14:paraId="572AAA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mc:AlternateContent>
                      <mc:Choice Requires="wpsCustomData">
                        <wpsCustomData:diagonalParaType/>
                      </mc:Choice>
                    </mc:AlternateContent>
                    <w:rPr>
                      <w:rFonts w:hint="eastAsia" w:ascii="Times New Roman" w:hAnsi="Times New Roman" w:eastAsia="宋体" w:cs="Times New Roman"/>
                      <w:i w:val="0"/>
                      <w:iCs w:val="0"/>
                      <w:color w:val="auto"/>
                      <w:sz w:val="21"/>
                      <w:szCs w:val="21"/>
                      <w:u w:val="none"/>
                      <w:lang w:eastAsia="zh-CN"/>
                    </w:rPr>
                  </w:pPr>
                  <w:r>
                    <w:rPr>
                      <w:rFonts w:hint="eastAsia" w:cs="Times New Roman"/>
                      <w:i w:val="0"/>
                      <w:iCs w:val="0"/>
                      <w:color w:val="auto"/>
                      <w:sz w:val="21"/>
                      <w:szCs w:val="21"/>
                      <w:u w:val="none"/>
                      <w:lang w:eastAsia="zh-CN"/>
                    </w:rPr>
                    <w:t>型</w:t>
                  </w:r>
                </w:p>
                <w:p w14:paraId="5F566F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cs="Times New Roman"/>
                      <w:i w:val="0"/>
                      <w:iCs w:val="0"/>
                      <w:color w:val="auto"/>
                      <w:sz w:val="21"/>
                      <w:szCs w:val="21"/>
                      <w:u w:val="none"/>
                      <w:lang w:eastAsia="zh-CN"/>
                    </w:rPr>
                  </w:pPr>
                </w:p>
                <w:p w14:paraId="42E2A9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宋体" w:cs="Times New Roman"/>
                      <w:i w:val="0"/>
                      <w:iCs w:val="0"/>
                      <w:color w:val="auto"/>
                      <w:sz w:val="21"/>
                      <w:szCs w:val="21"/>
                      <w:u w:val="none"/>
                      <w:lang w:eastAsia="zh-CN"/>
                    </w:rPr>
                  </w:pPr>
                  <w:r>
                    <w:rPr>
                      <w:rFonts w:hint="eastAsia" w:cs="Times New Roman"/>
                      <w:i w:val="0"/>
                      <w:iCs w:val="0"/>
                      <w:color w:val="auto"/>
                      <w:sz w:val="21"/>
                      <w:szCs w:val="21"/>
                      <w:u w:val="none"/>
                      <w:lang w:eastAsia="zh-CN"/>
                    </w:rPr>
                    <w:t>项目</w:t>
                  </w:r>
                </w:p>
              </w:tc>
              <w:tc>
                <w:tcPr>
                  <w:tcW w:w="734" w:type="pct"/>
                  <w:vMerge w:val="restart"/>
                  <w:tcBorders>
                    <w:top w:val="single" w:color="000000" w:sz="4" w:space="0"/>
                    <w:left w:val="single" w:color="000000" w:sz="4" w:space="0"/>
                    <w:bottom w:val="single" w:color="000000" w:sz="4" w:space="0"/>
                    <w:right w:val="single" w:color="000000" w:sz="4" w:space="0"/>
                  </w:tcBorders>
                  <w:noWrap w:val="0"/>
                  <w:vAlign w:val="center"/>
                </w:tcPr>
                <w:p w14:paraId="176578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损耗率</w:t>
                  </w:r>
                </w:p>
              </w:tc>
              <w:tc>
                <w:tcPr>
                  <w:tcW w:w="892" w:type="pct"/>
                  <w:vMerge w:val="restart"/>
                  <w:tcBorders>
                    <w:top w:val="single" w:color="000000" w:sz="4" w:space="0"/>
                    <w:left w:val="single" w:color="000000" w:sz="4" w:space="0"/>
                    <w:bottom w:val="single" w:color="000000" w:sz="4" w:space="0"/>
                    <w:right w:val="single" w:color="000000" w:sz="4" w:space="0"/>
                  </w:tcBorders>
                  <w:noWrap w:val="0"/>
                  <w:vAlign w:val="center"/>
                </w:tcPr>
                <w:p w14:paraId="63FFDF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油气产生量</w:t>
                  </w:r>
                </w:p>
              </w:tc>
              <w:tc>
                <w:tcPr>
                  <w:tcW w:w="1713" w:type="pct"/>
                  <w:gridSpan w:val="2"/>
                  <w:tcBorders>
                    <w:top w:val="single" w:color="000000" w:sz="4" w:space="0"/>
                    <w:left w:val="single" w:color="000000" w:sz="4" w:space="0"/>
                    <w:bottom w:val="single" w:color="000000" w:sz="4" w:space="0"/>
                    <w:right w:val="single" w:color="000000" w:sz="4" w:space="0"/>
                  </w:tcBorders>
                  <w:noWrap w:val="0"/>
                  <w:vAlign w:val="center"/>
                </w:tcPr>
                <w:p w14:paraId="67C0BF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油气回收系统</w:t>
                  </w:r>
                </w:p>
              </w:tc>
              <w:tc>
                <w:tcPr>
                  <w:tcW w:w="924" w:type="pct"/>
                  <w:vMerge w:val="restart"/>
                  <w:tcBorders>
                    <w:top w:val="single" w:color="000000" w:sz="4" w:space="0"/>
                    <w:left w:val="single" w:color="000000" w:sz="4" w:space="0"/>
                    <w:bottom w:val="single" w:color="000000" w:sz="4" w:space="0"/>
                    <w:right w:val="single" w:color="000000" w:sz="4" w:space="0"/>
                  </w:tcBorders>
                  <w:noWrap w:val="0"/>
                  <w:vAlign w:val="center"/>
                </w:tcPr>
                <w:p w14:paraId="22990B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油气无组织排放量</w:t>
                  </w:r>
                </w:p>
              </w:tc>
            </w:tr>
            <w:tr w14:paraId="0915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6" w:type="pct"/>
                  <w:vMerge w:val="continue"/>
                  <w:tcBorders>
                    <w:left w:val="single" w:color="000000" w:sz="4" w:space="0"/>
                    <w:bottom w:val="single" w:color="000000" w:sz="4" w:space="0"/>
                    <w:right w:val="single" w:color="000000" w:sz="4" w:space="0"/>
                  </w:tcBorders>
                  <w:noWrap w:val="0"/>
                  <w:vAlign w:val="center"/>
                </w:tcPr>
                <w:p w14:paraId="258EC7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auto"/>
                      <w:sz w:val="21"/>
                      <w:szCs w:val="21"/>
                      <w:u w:val="none"/>
                    </w:rPr>
                  </w:pPr>
                </w:p>
              </w:tc>
              <w:tc>
                <w:tcPr>
                  <w:tcW w:w="73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6FDB85">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auto"/>
                      <w:sz w:val="21"/>
                      <w:szCs w:val="21"/>
                      <w:u w:val="none"/>
                    </w:rPr>
                  </w:pPr>
                </w:p>
              </w:tc>
              <w:tc>
                <w:tcPr>
                  <w:tcW w:w="8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AB7AA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auto"/>
                      <w:sz w:val="21"/>
                      <w:szCs w:val="21"/>
                      <w:u w:val="none"/>
                    </w:rPr>
                  </w:pPr>
                </w:p>
              </w:tc>
              <w:tc>
                <w:tcPr>
                  <w:tcW w:w="877" w:type="pct"/>
                  <w:tcBorders>
                    <w:top w:val="single" w:color="000000" w:sz="4" w:space="0"/>
                    <w:left w:val="single" w:color="000000" w:sz="4" w:space="0"/>
                    <w:bottom w:val="single" w:color="000000" w:sz="4" w:space="0"/>
                    <w:right w:val="single" w:color="000000" w:sz="4" w:space="0"/>
                  </w:tcBorders>
                  <w:noWrap w:val="0"/>
                  <w:vAlign w:val="center"/>
                </w:tcPr>
                <w:p w14:paraId="4A6E6F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回收率</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326745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回收量</w:t>
                  </w:r>
                </w:p>
              </w:tc>
              <w:tc>
                <w:tcPr>
                  <w:tcW w:w="9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7BCBF2">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u w:val="none"/>
                    </w:rPr>
                  </w:pPr>
                </w:p>
              </w:tc>
            </w:tr>
            <w:tr w14:paraId="398E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6" w:type="pct"/>
                  <w:tcBorders>
                    <w:top w:val="single" w:color="000000" w:sz="4" w:space="0"/>
                    <w:left w:val="single" w:color="000000" w:sz="4" w:space="0"/>
                    <w:bottom w:val="single" w:color="000000" w:sz="4" w:space="0"/>
                    <w:right w:val="single" w:color="000000" w:sz="4" w:space="0"/>
                  </w:tcBorders>
                  <w:noWrap w:val="0"/>
                  <w:vAlign w:val="center"/>
                </w:tcPr>
                <w:p w14:paraId="4FAA4B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卸油</w:t>
                  </w:r>
                  <w:r>
                    <w:rPr>
                      <w:rFonts w:hint="eastAsia"/>
                      <w:color w:val="auto"/>
                      <w:sz w:val="21"/>
                      <w:szCs w:val="21"/>
                      <w:highlight w:val="none"/>
                      <w:lang w:val="en-US" w:eastAsia="zh-CN"/>
                    </w:rPr>
                    <w:t>损耗</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14:paraId="495096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0.23%</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73924969">
                  <w:pPr>
                    <w:keepNext w:val="0"/>
                    <w:keepLines w:val="0"/>
                    <w:widowControl/>
                    <w:suppressLineNumbers w:val="0"/>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6.900</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14:paraId="14C3600E">
                  <w:pPr>
                    <w:keepNext w:val="0"/>
                    <w:keepLines w:val="0"/>
                    <w:widowControl/>
                    <w:suppressLineNumbers w:val="0"/>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19F2F5A1">
                  <w:pPr>
                    <w:keepNext w:val="0"/>
                    <w:keepLines w:val="0"/>
                    <w:widowControl/>
                    <w:suppressLineNumbers w:val="0"/>
                    <w:jc w:val="center"/>
                    <w:textAlignment w:val="bottom"/>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6.555</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14:paraId="78A1F43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0.345</w:t>
                  </w:r>
                </w:p>
              </w:tc>
            </w:tr>
            <w:tr w14:paraId="33BD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6" w:type="pct"/>
                  <w:tcBorders>
                    <w:top w:val="single" w:color="000000" w:sz="4" w:space="0"/>
                    <w:left w:val="single" w:color="000000" w:sz="4" w:space="0"/>
                    <w:bottom w:val="single" w:color="000000" w:sz="4" w:space="0"/>
                    <w:right w:val="single" w:color="000000" w:sz="4" w:space="0"/>
                  </w:tcBorders>
                  <w:noWrap w:val="0"/>
                  <w:vAlign w:val="center"/>
                </w:tcPr>
                <w:p w14:paraId="5BA86A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加油损耗</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14:paraId="404173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0.29%</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14:paraId="26FD5ECE">
                  <w:pPr>
                    <w:keepNext w:val="0"/>
                    <w:keepLines w:val="0"/>
                    <w:widowControl/>
                    <w:suppressLineNumbers w:val="0"/>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8.700</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14:paraId="1A99BB62">
                  <w:pPr>
                    <w:keepNext w:val="0"/>
                    <w:keepLines w:val="0"/>
                    <w:widowControl/>
                    <w:suppressLineNumbers w:val="0"/>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43556D0D">
                  <w:pPr>
                    <w:keepNext w:val="0"/>
                    <w:keepLines w:val="0"/>
                    <w:widowControl/>
                    <w:suppressLineNumbers w:val="0"/>
                    <w:jc w:val="center"/>
                    <w:textAlignment w:val="bottom"/>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7.830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14:paraId="04D8733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0.870</w:t>
                  </w:r>
                </w:p>
              </w:tc>
            </w:tr>
            <w:tr w14:paraId="08CB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6" w:type="pct"/>
                  <w:tcBorders>
                    <w:top w:val="single" w:color="000000" w:sz="4" w:space="0"/>
                    <w:left w:val="single" w:color="000000" w:sz="4" w:space="0"/>
                    <w:bottom w:val="single" w:color="000000" w:sz="4" w:space="0"/>
                    <w:right w:val="single" w:color="000000" w:sz="4" w:space="0"/>
                  </w:tcBorders>
                  <w:noWrap w:val="0"/>
                  <w:vAlign w:val="center"/>
                </w:tcPr>
                <w:p w14:paraId="4D316769">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highlight w:val="none"/>
                      <w:lang w:val="en-US" w:eastAsia="zh-CN"/>
                    </w:rPr>
                    <w:t>储油损耗</w:t>
                  </w:r>
                </w:p>
              </w:tc>
              <w:tc>
                <w:tcPr>
                  <w:tcW w:w="734" w:type="pct"/>
                  <w:tcBorders>
                    <w:top w:val="single" w:color="000000" w:sz="4" w:space="0"/>
                    <w:left w:val="single" w:color="000000" w:sz="4" w:space="0"/>
                    <w:bottom w:val="single" w:color="000000" w:sz="4" w:space="0"/>
                    <w:right w:val="single" w:color="000000" w:sz="4" w:space="0"/>
                  </w:tcBorders>
                  <w:noWrap w:val="0"/>
                  <w:vAlign w:val="center"/>
                </w:tcPr>
                <w:p w14:paraId="5556F50E">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olor w:val="auto"/>
                      <w:sz w:val="21"/>
                      <w:szCs w:val="21"/>
                      <w:highlight w:val="none"/>
                      <w:lang w:val="en-US" w:eastAsia="zh-CN"/>
                    </w:rPr>
                    <w:t>0.01%</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02D324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highlight w:val="none"/>
                      <w:u w:val="none"/>
                      <w:lang w:val="en-US" w:eastAsia="zh-CN" w:bidi="ar"/>
                    </w:rPr>
                    <w:t>0.300</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14:paraId="1E789DF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90%</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7F81A3FB">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0.270</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14:paraId="146C924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30</w:t>
                  </w:r>
                </w:p>
              </w:tc>
            </w:tr>
            <w:tr w14:paraId="7357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70" w:type="pct"/>
                  <w:gridSpan w:val="2"/>
                  <w:tcBorders>
                    <w:top w:val="single" w:color="000000" w:sz="4" w:space="0"/>
                    <w:left w:val="single" w:color="000000" w:sz="4" w:space="0"/>
                    <w:bottom w:val="single" w:color="000000" w:sz="4" w:space="0"/>
                    <w:right w:val="single" w:color="000000" w:sz="4" w:space="0"/>
                  </w:tcBorders>
                  <w:noWrap w:val="0"/>
                  <w:vAlign w:val="center"/>
                </w:tcPr>
                <w:p w14:paraId="48C148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892" w:type="pct"/>
                  <w:tcBorders>
                    <w:top w:val="single" w:color="000000" w:sz="4" w:space="0"/>
                    <w:left w:val="single" w:color="000000" w:sz="4" w:space="0"/>
                    <w:bottom w:val="single" w:color="000000" w:sz="4" w:space="0"/>
                    <w:right w:val="single" w:color="000000" w:sz="4" w:space="0"/>
                  </w:tcBorders>
                  <w:noWrap w:val="0"/>
                  <w:vAlign w:val="center"/>
                </w:tcPr>
                <w:p w14:paraId="39EB1C4A">
                  <w:pPr>
                    <w:keepNext w:val="0"/>
                    <w:keepLines w:val="0"/>
                    <w:widowControl/>
                    <w:suppressLineNumbers w:val="0"/>
                    <w:jc w:val="center"/>
                    <w:textAlignment w:val="bottom"/>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15.900</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14:paraId="470795DB">
                  <w:pPr>
                    <w:keepNext w:val="0"/>
                    <w:keepLines w:val="0"/>
                    <w:widowControl/>
                    <w:suppressLineNumbers w:val="0"/>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44F382E0">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14.655</w:t>
                  </w:r>
                </w:p>
              </w:tc>
              <w:tc>
                <w:tcPr>
                  <w:tcW w:w="924" w:type="pct"/>
                  <w:tcBorders>
                    <w:top w:val="single" w:color="000000" w:sz="4" w:space="0"/>
                    <w:left w:val="single" w:color="000000" w:sz="4" w:space="0"/>
                    <w:bottom w:val="single" w:color="000000" w:sz="4" w:space="0"/>
                    <w:right w:val="single" w:color="000000" w:sz="4" w:space="0"/>
                  </w:tcBorders>
                  <w:noWrap w:val="0"/>
                  <w:vAlign w:val="center"/>
                </w:tcPr>
                <w:p w14:paraId="0BC0AC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1.245</w:t>
                  </w:r>
                </w:p>
              </w:tc>
            </w:tr>
          </w:tbl>
          <w:p w14:paraId="33112D77">
            <w:pPr>
              <w:pStyle w:val="7"/>
              <w:tabs>
                <w:tab w:val="left" w:pos="3935"/>
                <w:tab w:val="left" w:pos="6335"/>
              </w:tabs>
              <w:spacing w:before="0" w:after="0" w:line="240" w:lineRule="auto"/>
              <w:ind w:right="0"/>
              <w:jc w:val="center"/>
              <w:rPr>
                <w:rFonts w:hint="default" w:ascii="Times New Roman" w:hAnsi="Times New Roman" w:eastAsia="宋体" w:cs="Times New Roman"/>
                <w:b/>
                <w:color w:val="auto"/>
                <w:sz w:val="24"/>
                <w:szCs w:val="26"/>
              </w:rPr>
            </w:pPr>
          </w:p>
          <w:p w14:paraId="7B80F30A">
            <w:pPr>
              <w:pStyle w:val="7"/>
              <w:spacing w:before="0" w:after="0" w:line="360" w:lineRule="auto"/>
              <w:ind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由表2.8-2可知，该加油站现有工程汽油油气排放量约为</w:t>
            </w:r>
            <w:r>
              <w:rPr>
                <w:rFonts w:hint="eastAsia" w:cs="Times New Roman"/>
                <w:color w:val="auto"/>
                <w:sz w:val="24"/>
                <w:szCs w:val="24"/>
                <w:lang w:val="en-US" w:eastAsia="zh-CN"/>
              </w:rPr>
              <w:t>1.245</w:t>
            </w:r>
            <w:r>
              <w:rPr>
                <w:rFonts w:hint="default" w:ascii="Times New Roman" w:hAnsi="Times New Roman" w:eastAsia="宋体" w:cs="Times New Roman"/>
                <w:color w:val="auto"/>
                <w:sz w:val="24"/>
                <w:szCs w:val="24"/>
              </w:rPr>
              <w:t>t/a。</w:t>
            </w:r>
          </w:p>
          <w:p w14:paraId="38D4C595">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③柴油发电机</w:t>
            </w:r>
          </w:p>
          <w:p w14:paraId="2A631ED0">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rPr>
              <w:t>加油站在配电房内设1台柴油发电机作备用电源。仅停电时应急使用，应急柴油发电机工作时产生的燃油烟气通过排气筒引至站房屋顶排放。</w:t>
            </w:r>
          </w:p>
          <w:p w14:paraId="0E625AA0">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④生化池臭气</w:t>
            </w:r>
          </w:p>
          <w:p w14:paraId="188F2CDE">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本项目站场</w:t>
            </w:r>
            <w:r>
              <w:rPr>
                <w:rFonts w:hint="default" w:ascii="Times New Roman" w:hAnsi="Times New Roman" w:eastAsia="宋体" w:cs="Times New Roman"/>
                <w:bCs/>
                <w:color w:val="auto"/>
                <w:sz w:val="24"/>
                <w:szCs w:val="26"/>
                <w:lang w:val="en-US" w:eastAsia="zh-CN"/>
              </w:rPr>
              <w:t>南侧</w:t>
            </w:r>
            <w:r>
              <w:rPr>
                <w:rFonts w:hint="default" w:ascii="Times New Roman" w:hAnsi="Times New Roman" w:eastAsia="宋体" w:cs="Times New Roman"/>
                <w:bCs/>
                <w:color w:val="auto"/>
                <w:sz w:val="24"/>
                <w:szCs w:val="26"/>
              </w:rPr>
              <w:t>设1座生化池，生化池运行过程将产生少量臭气，主要成分为H</w:t>
            </w:r>
            <w:r>
              <w:rPr>
                <w:rFonts w:hint="default" w:ascii="Times New Roman" w:hAnsi="Times New Roman" w:eastAsia="宋体" w:cs="Times New Roman"/>
                <w:bCs/>
                <w:color w:val="auto"/>
                <w:sz w:val="24"/>
                <w:szCs w:val="26"/>
                <w:vertAlign w:val="subscript"/>
              </w:rPr>
              <w:t>2</w:t>
            </w:r>
            <w:r>
              <w:rPr>
                <w:rFonts w:hint="default" w:ascii="Times New Roman" w:hAnsi="Times New Roman" w:eastAsia="宋体" w:cs="Times New Roman"/>
                <w:bCs/>
                <w:color w:val="auto"/>
                <w:sz w:val="24"/>
                <w:szCs w:val="26"/>
              </w:rPr>
              <w:t>S、NH</w:t>
            </w:r>
            <w:r>
              <w:rPr>
                <w:rFonts w:hint="default" w:ascii="Times New Roman" w:hAnsi="Times New Roman" w:eastAsia="宋体" w:cs="Times New Roman"/>
                <w:bCs/>
                <w:color w:val="auto"/>
                <w:sz w:val="24"/>
                <w:szCs w:val="26"/>
                <w:vertAlign w:val="subscript"/>
              </w:rPr>
              <w:t>3</w:t>
            </w:r>
            <w:r>
              <w:rPr>
                <w:rFonts w:hint="default" w:ascii="Times New Roman" w:hAnsi="Times New Roman" w:eastAsia="宋体" w:cs="Times New Roman"/>
                <w:bCs/>
                <w:color w:val="auto"/>
                <w:sz w:val="24"/>
                <w:szCs w:val="26"/>
              </w:rPr>
              <w:t>等污染物，设置专用管道引至附近绿化带排放。</w:t>
            </w:r>
          </w:p>
          <w:p w14:paraId="12A11D3D">
            <w:pPr>
              <w:adjustRightInd w:val="0"/>
              <w:snapToGrid w:val="0"/>
              <w:spacing w:line="360" w:lineRule="auto"/>
              <w:ind w:firstLine="480" w:firstLineChars="2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⑤进出站汽车尾气</w:t>
            </w:r>
          </w:p>
          <w:p w14:paraId="34928CCE">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本项目在营运过程中，汽车低速行驶进出加油站，加油时车辆处于停止状态，整个过程前后所排放的汽车尾气量较小，主要污染物为CO、THC、NOx。</w:t>
            </w:r>
          </w:p>
          <w:p w14:paraId="1BA16CBA">
            <w:pPr>
              <w:adjustRightInd w:val="0"/>
              <w:snapToGrid w:val="0"/>
              <w:spacing w:line="360" w:lineRule="auto"/>
              <w:ind w:firstLine="482" w:firstLineChars="200"/>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（2）废水</w:t>
            </w:r>
          </w:p>
          <w:p w14:paraId="4AB7B7B0">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①生活污水</w:t>
            </w:r>
          </w:p>
          <w:p w14:paraId="1BADC28B">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现有工程劳动定员</w:t>
            </w:r>
            <w:r>
              <w:rPr>
                <w:rFonts w:hint="default" w:ascii="Times New Roman" w:hAnsi="Times New Roman" w:eastAsia="宋体" w:cs="Times New Roman"/>
                <w:bCs/>
                <w:color w:val="auto"/>
                <w:sz w:val="24"/>
                <w:lang w:val="en-US" w:eastAsia="zh-CN"/>
              </w:rPr>
              <w:t>9</w:t>
            </w:r>
            <w:r>
              <w:rPr>
                <w:rFonts w:hint="default" w:ascii="Times New Roman" w:hAnsi="Times New Roman" w:eastAsia="宋体" w:cs="Times New Roman"/>
                <w:bCs/>
                <w:color w:val="auto"/>
                <w:sz w:val="24"/>
              </w:rPr>
              <w:t>人，</w:t>
            </w:r>
            <w:r>
              <w:rPr>
                <w:rFonts w:hint="default" w:ascii="Times New Roman" w:hAnsi="Times New Roman" w:eastAsia="宋体" w:cs="Times New Roman"/>
                <w:bCs/>
                <w:color w:val="auto"/>
                <w:sz w:val="24"/>
                <w:highlight w:val="none"/>
              </w:rPr>
              <w:t>职工仅在加油站设置的食堂内热饭，不会产生食堂废水，</w:t>
            </w:r>
            <w:r>
              <w:rPr>
                <w:rFonts w:hint="default" w:ascii="Times New Roman" w:hAnsi="Times New Roman" w:eastAsia="宋体" w:cs="Times New Roman"/>
                <w:color w:val="auto"/>
                <w:sz w:val="24"/>
              </w:rPr>
              <w:t>其用水量按50L/人·次计；驾乘人员按</w:t>
            </w:r>
            <w:r>
              <w:rPr>
                <w:rFonts w:hint="default" w:ascii="Times New Roman" w:hAnsi="Times New Roman" w:cs="Times New Roman"/>
                <w:color w:val="auto"/>
                <w:sz w:val="24"/>
                <w:lang w:val="en-US" w:eastAsia="zh-CN"/>
              </w:rPr>
              <w:t>230</w:t>
            </w:r>
            <w:r>
              <w:rPr>
                <w:rFonts w:hint="default" w:ascii="Times New Roman" w:hAnsi="Times New Roman" w:eastAsia="宋体" w:cs="Times New Roman"/>
                <w:color w:val="auto"/>
                <w:sz w:val="24"/>
              </w:rPr>
              <w:t>人/d计，其用水量按10L/人·次计，约20%的驾乘人员产生生活污水。生活污水产生系数按0.</w:t>
            </w:r>
            <w:r>
              <w:rPr>
                <w:rFonts w:hint="default" w:ascii="Times New Roman" w:hAnsi="Times New Roman" w:eastAsia="宋体" w:cs="Times New Roman"/>
                <w:color w:val="auto"/>
                <w:sz w:val="24"/>
                <w:lang w:val="en-US" w:eastAsia="zh-CN"/>
              </w:rPr>
              <w:t>85</w:t>
            </w:r>
            <w:r>
              <w:rPr>
                <w:rFonts w:hint="default" w:ascii="Times New Roman" w:hAnsi="Times New Roman" w:eastAsia="宋体" w:cs="Times New Roman"/>
                <w:color w:val="auto"/>
                <w:sz w:val="24"/>
              </w:rPr>
              <w:t>计算，现有工程生活污水产生量为</w:t>
            </w:r>
            <w:r>
              <w:rPr>
                <w:rFonts w:hint="default" w:ascii="Times New Roman" w:hAnsi="Times New Roman" w:cs="Times New Roman"/>
                <w:color w:val="auto"/>
                <w:sz w:val="24"/>
                <w:lang w:val="en-US" w:eastAsia="zh-CN"/>
              </w:rPr>
              <w:t>282.328</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w:t>
            </w:r>
            <w:r>
              <w:rPr>
                <w:rFonts w:hint="default" w:ascii="Times New Roman" w:hAnsi="Times New Roman" w:cs="Times New Roman"/>
                <w:color w:val="auto"/>
                <w:sz w:val="24"/>
              </w:rPr>
              <w:t>主要污染因子及浓度为COD 500mg/L、BOD5 300mg/L、SS 350mg/L、NH</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-N 45mg/L</w:t>
            </w:r>
            <w:r>
              <w:rPr>
                <w:rFonts w:hint="default" w:ascii="Times New Roman" w:hAnsi="Times New Roman" w:eastAsia="宋体" w:cs="Times New Roman"/>
                <w:color w:val="auto"/>
                <w:sz w:val="24"/>
              </w:rPr>
              <w:t>。</w:t>
            </w:r>
          </w:p>
          <w:p w14:paraId="28B83319">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②加油站场地冲洗废水</w:t>
            </w:r>
          </w:p>
          <w:p w14:paraId="26AF7C61">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rPr>
              <w:t>场地冲洗每5d冲洗一次，按</w:t>
            </w:r>
            <w:r>
              <w:rPr>
                <w:rFonts w:hint="default" w:ascii="Times New Roman" w:hAnsi="Times New Roman" w:eastAsia="宋体" w:cs="Times New Roman"/>
                <w:color w:val="auto"/>
                <w:sz w:val="24"/>
              </w:rPr>
              <w:t>2L/m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·次计算，则</w:t>
            </w:r>
            <w:r>
              <w:rPr>
                <w:rFonts w:hint="default" w:ascii="Times New Roman" w:hAnsi="Times New Roman" w:eastAsia="宋体" w:cs="Times New Roman"/>
                <w:bCs/>
                <w:color w:val="auto"/>
                <w:sz w:val="24"/>
              </w:rPr>
              <w:t>冲洗废水产生量约</w:t>
            </w:r>
            <w:r>
              <w:rPr>
                <w:rFonts w:hint="default" w:ascii="Times New Roman" w:hAnsi="Times New Roman" w:eastAsia="宋体" w:cs="Times New Roman"/>
                <w:color w:val="auto"/>
                <w:sz w:val="24"/>
                <w:lang w:val="en-US" w:eastAsia="zh-CN"/>
              </w:rPr>
              <w:t>2.16</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/次（</w:t>
            </w:r>
            <w:r>
              <w:rPr>
                <w:rFonts w:hint="default" w:ascii="Times New Roman" w:hAnsi="Times New Roman" w:eastAsia="宋体" w:cs="Times New Roman"/>
                <w:color w:val="auto"/>
                <w:sz w:val="24"/>
                <w:lang w:val="en-US" w:eastAsia="zh-CN"/>
              </w:rPr>
              <w:t>157.68</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w:t>
            </w:r>
            <w:r>
              <w:rPr>
                <w:rFonts w:hint="default" w:ascii="Times New Roman" w:hAnsi="Times New Roman" w:cs="Times New Roman"/>
                <w:color w:val="auto"/>
                <w:sz w:val="24"/>
              </w:rPr>
              <w:t>主要污染因子及浓度为SS 300mg/L、石油类</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0mg/L</w:t>
            </w:r>
            <w:r>
              <w:rPr>
                <w:rFonts w:hint="default" w:ascii="Times New Roman" w:hAnsi="Times New Roman" w:eastAsia="宋体" w:cs="Times New Roman"/>
                <w:color w:val="auto"/>
                <w:sz w:val="24"/>
              </w:rPr>
              <w:t>。</w:t>
            </w:r>
          </w:p>
          <w:p w14:paraId="351FCDB7">
            <w:pPr>
              <w:snapToGrid w:val="0"/>
              <w:spacing w:line="360" w:lineRule="auto"/>
              <w:ind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rPr>
              <w:t>③</w:t>
            </w:r>
            <w:r>
              <w:rPr>
                <w:rFonts w:hint="default" w:ascii="Times New Roman" w:hAnsi="Times New Roman" w:eastAsia="宋体" w:cs="Times New Roman"/>
                <w:bCs/>
                <w:color w:val="auto"/>
                <w:sz w:val="24"/>
                <w:highlight w:val="none"/>
              </w:rPr>
              <w:t>洗车用水</w:t>
            </w:r>
          </w:p>
          <w:p w14:paraId="5E9390C2">
            <w:pPr>
              <w:numPr>
                <w:ilvl w:val="0"/>
                <w:numId w:val="0"/>
              </w:num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highlight w:val="none"/>
              </w:rPr>
              <w:t>本项目为小型车辆提供</w:t>
            </w:r>
            <w:r>
              <w:rPr>
                <w:rFonts w:hint="default" w:ascii="Times New Roman" w:hAnsi="Times New Roman" w:eastAsia="宋体" w:cs="Times New Roman"/>
                <w:bCs/>
                <w:color w:val="auto"/>
                <w:sz w:val="24"/>
                <w:highlight w:val="none"/>
                <w:lang w:val="en-US" w:eastAsia="zh-CN"/>
              </w:rPr>
              <w:t>自动</w:t>
            </w:r>
            <w:r>
              <w:rPr>
                <w:rFonts w:hint="default" w:ascii="Times New Roman" w:hAnsi="Times New Roman" w:eastAsia="宋体" w:cs="Times New Roman"/>
                <w:bCs/>
                <w:color w:val="auto"/>
                <w:sz w:val="24"/>
                <w:highlight w:val="none"/>
              </w:rPr>
              <w:t>洗车服务，</w:t>
            </w:r>
            <w:r>
              <w:rPr>
                <w:rFonts w:hint="default" w:ascii="Times New Roman" w:hAnsi="Times New Roman" w:eastAsia="宋体" w:cs="Times New Roman"/>
                <w:b w:val="0"/>
                <w:bCs/>
                <w:color w:val="auto"/>
                <w:sz w:val="24"/>
                <w:szCs w:val="24"/>
                <w:highlight w:val="none"/>
                <w:lang w:val="en-US" w:eastAsia="zh-CN"/>
              </w:rPr>
              <w:t>根据《重庆市城市生活用水定额》（2017年修订版），小型车清洗用量定额为40L/（辆</w:t>
            </w:r>
            <w:r>
              <w:rPr>
                <w:rFonts w:hint="default" w:ascii="Times New Roman" w:hAnsi="Times New Roman" w:eastAsia="宋体" w:cs="Times New Roman"/>
                <w:color w:val="auto"/>
                <w:sz w:val="24"/>
                <w:szCs w:val="24"/>
                <w:highlight w:val="none"/>
              </w:rPr>
              <w:t>·次</w:t>
            </w:r>
            <w:r>
              <w:rPr>
                <w:rFonts w:hint="default" w:ascii="Times New Roman" w:hAnsi="Times New Roman" w:eastAsia="宋体" w:cs="Times New Roman"/>
                <w:b w:val="0"/>
                <w:bCs/>
                <w:color w:val="auto"/>
                <w:sz w:val="24"/>
                <w:szCs w:val="24"/>
                <w:highlight w:val="none"/>
                <w:lang w:val="en-US" w:eastAsia="zh-CN"/>
              </w:rPr>
              <w:t>）</w:t>
            </w:r>
            <w:r>
              <w:rPr>
                <w:rFonts w:hint="default" w:ascii="Times New Roman" w:hAnsi="Times New Roman" w:eastAsia="宋体" w:cs="Times New Roman"/>
                <w:bCs/>
                <w:color w:val="auto"/>
                <w:sz w:val="24"/>
                <w:szCs w:val="20"/>
                <w:highlight w:val="none"/>
              </w:rPr>
              <w:t>，</w:t>
            </w:r>
            <w:r>
              <w:rPr>
                <w:rFonts w:hint="default" w:ascii="Times New Roman" w:hAnsi="Times New Roman" w:eastAsia="宋体" w:cs="Times New Roman"/>
                <w:bCs/>
                <w:color w:val="auto"/>
                <w:sz w:val="24"/>
                <w:highlight w:val="none"/>
              </w:rPr>
              <w:t>本项目设计的洗车辆为</w:t>
            </w:r>
            <w:r>
              <w:rPr>
                <w:rFonts w:hint="default" w:ascii="Times New Roman" w:hAnsi="Times New Roman" w:eastAsia="宋体" w:cs="Times New Roman"/>
                <w:bCs/>
                <w:color w:val="auto"/>
                <w:sz w:val="24"/>
                <w:highlight w:val="none"/>
                <w:lang w:val="en-US" w:eastAsia="zh-CN"/>
              </w:rPr>
              <w:t>1</w:t>
            </w:r>
            <w:r>
              <w:rPr>
                <w:rFonts w:hint="default" w:ascii="Times New Roman" w:hAnsi="Times New Roman" w:eastAsia="宋体" w:cs="Times New Roman"/>
                <w:bCs/>
                <w:color w:val="auto"/>
                <w:sz w:val="24"/>
                <w:highlight w:val="none"/>
              </w:rPr>
              <w:t>00辆/d，则项目洗车用水量</w:t>
            </w:r>
            <w:r>
              <w:rPr>
                <w:rFonts w:hint="default" w:ascii="Times New Roman" w:hAnsi="Times New Roman" w:eastAsia="宋体" w:cs="Times New Roman"/>
                <w:bCs/>
                <w:color w:val="auto"/>
                <w:sz w:val="24"/>
                <w:highlight w:val="none"/>
                <w:lang w:val="en-US" w:eastAsia="zh-CN"/>
              </w:rPr>
              <w:t>4</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/d，产污系数为0.9计，洗车废水产生量约</w:t>
            </w:r>
            <w:r>
              <w:rPr>
                <w:rFonts w:hint="default" w:ascii="Times New Roman" w:hAnsi="Times New Roman" w:eastAsia="宋体" w:cs="Times New Roman"/>
                <w:bCs/>
                <w:color w:val="auto"/>
                <w:sz w:val="24"/>
                <w:highlight w:val="none"/>
                <w:lang w:val="en-US" w:eastAsia="zh-CN"/>
              </w:rPr>
              <w:t>3.6</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/d</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lang w:val="en-US" w:eastAsia="zh-CN"/>
              </w:rPr>
              <w:t>1314</w:t>
            </w:r>
            <w:r>
              <w:rPr>
                <w:rFonts w:hint="default" w:ascii="Times New Roman" w:hAnsi="Times New Roman" w:cs="Times New Roman"/>
                <w:bCs/>
                <w:color w:val="auto"/>
                <w:sz w:val="24"/>
                <w:highlight w:val="none"/>
                <w:lang w:val="en-US" w:eastAsia="zh-CN"/>
              </w:rPr>
              <w:t>.0</w:t>
            </w:r>
            <w:r>
              <w:rPr>
                <w:rFonts w:hint="default" w:ascii="Times New Roman" w:hAnsi="Times New Roman" w:eastAsia="宋体" w:cs="Times New Roman"/>
                <w:bCs/>
                <w:color w:val="auto"/>
                <w:sz w:val="24"/>
                <w:highlight w:val="none"/>
              </w:rPr>
              <w:t>m</w:t>
            </w:r>
            <w:r>
              <w:rPr>
                <w:rFonts w:hint="default" w:ascii="Times New Roman" w:hAnsi="Times New Roman" w:eastAsia="宋体" w:cs="Times New Roman"/>
                <w:bCs/>
                <w:color w:val="auto"/>
                <w:sz w:val="24"/>
                <w:highlight w:val="none"/>
                <w:vertAlign w:val="superscript"/>
              </w:rPr>
              <w:t>3</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bCs/>
                <w:color w:val="auto"/>
                <w:sz w:val="24"/>
                <w:highlight w:val="none"/>
                <w:lang w:val="en-US" w:eastAsia="zh-CN"/>
              </w:rPr>
              <w:t>a</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w:t>
            </w:r>
            <w:r>
              <w:rPr>
                <w:rFonts w:hint="eastAsia" w:ascii="Times New Roman" w:hAnsi="Times New Roman" w:cs="Times New Roman"/>
                <w:bCs/>
                <w:color w:val="auto"/>
                <w:sz w:val="24"/>
                <w:highlight w:val="none"/>
                <w:lang w:val="en-US" w:eastAsia="zh-CN"/>
              </w:rPr>
              <w:t>洗车废水</w:t>
            </w:r>
            <w:r>
              <w:rPr>
                <w:rFonts w:hint="default" w:ascii="Times New Roman" w:hAnsi="Times New Roman" w:cs="Times New Roman"/>
                <w:color w:val="auto"/>
                <w:sz w:val="24"/>
              </w:rPr>
              <w:t xml:space="preserve">主要污染因子及浓度为COD </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50mg/L、</w:t>
            </w:r>
            <w:r>
              <w:rPr>
                <w:rFonts w:hint="default" w:ascii="Times New Roman" w:hAnsi="Times New Roman" w:cs="Times New Roman"/>
                <w:color w:val="auto"/>
                <w:sz w:val="24"/>
                <w:lang w:val="en-US" w:eastAsia="zh-CN"/>
              </w:rPr>
              <w:t>BOD</w:t>
            </w:r>
            <w:r>
              <w:rPr>
                <w:rFonts w:hint="default" w:ascii="Times New Roman" w:hAnsi="Times New Roman" w:cs="Times New Roman"/>
                <w:color w:val="auto"/>
                <w:sz w:val="24"/>
                <w:vertAlign w:val="subscript"/>
                <w:lang w:val="en-US" w:eastAsia="zh-CN"/>
              </w:rPr>
              <w:t xml:space="preserve">5 </w:t>
            </w:r>
            <w:r>
              <w:rPr>
                <w:rFonts w:hint="default" w:ascii="Times New Roman" w:hAnsi="Times New Roman" w:cs="Times New Roman"/>
                <w:color w:val="auto"/>
                <w:sz w:val="24"/>
              </w:rPr>
              <w:t>300mg/L</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SS 5</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0mg/L、石油类</w:t>
            </w:r>
            <w:r>
              <w:rPr>
                <w:rFonts w:hint="default" w:ascii="Times New Roman" w:hAnsi="Times New Roman" w:cs="Times New Roman"/>
                <w:color w:val="auto"/>
                <w:sz w:val="24"/>
                <w:lang w:val="en-US" w:eastAsia="zh-CN"/>
              </w:rPr>
              <w:t>20</w:t>
            </w:r>
            <w:r>
              <w:rPr>
                <w:rFonts w:hint="default" w:ascii="Times New Roman" w:hAnsi="Times New Roman" w:cs="Times New Roman"/>
                <w:color w:val="auto"/>
                <w:sz w:val="24"/>
              </w:rPr>
              <w:t>mg/L、LAS</w:t>
            </w:r>
            <w:r>
              <w:rPr>
                <w:rFonts w:hint="default" w:ascii="Times New Roman" w:hAnsi="Times New Roman" w:cs="Times New Roman"/>
                <w:color w:val="auto"/>
                <w:sz w:val="24"/>
                <w:lang w:val="en-US" w:eastAsia="zh-CN"/>
              </w:rPr>
              <w:t>20</w:t>
            </w:r>
            <w:r>
              <w:rPr>
                <w:rFonts w:hint="default" w:ascii="Times New Roman" w:hAnsi="Times New Roman" w:cs="Times New Roman"/>
                <w:color w:val="auto"/>
                <w:sz w:val="24"/>
              </w:rPr>
              <w:t>mg/L</w:t>
            </w:r>
            <w:r>
              <w:rPr>
                <w:rFonts w:hint="default" w:ascii="Times New Roman" w:hAnsi="Times New Roman" w:eastAsia="宋体" w:cs="Times New Roman"/>
                <w:bCs/>
                <w:color w:val="auto"/>
                <w:sz w:val="24"/>
                <w:highlight w:val="none"/>
                <w:lang w:val="en-US" w:eastAsia="zh-CN"/>
              </w:rPr>
              <w:t>。</w:t>
            </w:r>
          </w:p>
          <w:p w14:paraId="714AE0B3">
            <w:pPr>
              <w:pStyle w:val="14"/>
              <w:spacing w:line="360" w:lineRule="auto"/>
              <w:ind w:lef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rPr>
              <w:t>现有工程产生的生活污水经站区内的生化池（设计处理能力</w:t>
            </w:r>
            <w:r>
              <w:rPr>
                <w:rFonts w:hint="eastAsia" w:cs="Times New Roman"/>
                <w:bCs/>
                <w:color w:val="auto"/>
                <w:sz w:val="24"/>
                <w:lang w:val="en-US" w:eastAsia="zh-CN"/>
              </w:rPr>
              <w:t>3</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/d</w:t>
            </w:r>
            <w:r>
              <w:rPr>
                <w:rFonts w:hint="default" w:ascii="Times New Roman" w:hAnsi="Times New Roman" w:eastAsia="宋体" w:cs="Times New Roman"/>
                <w:bCs/>
                <w:color w:val="auto"/>
                <w:sz w:val="24"/>
              </w:rPr>
              <w:t>）处理，含油废水经三段式隔油池（设计处理能力</w:t>
            </w:r>
            <w:r>
              <w:rPr>
                <w:rFonts w:hint="eastAsia" w:cs="Times New Roman"/>
                <w:bCs/>
                <w:color w:val="auto"/>
                <w:sz w:val="24"/>
                <w:lang w:val="en-US" w:eastAsia="zh-CN"/>
              </w:rPr>
              <w:t>6</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/d</w:t>
            </w:r>
            <w:r>
              <w:rPr>
                <w:rFonts w:hint="default" w:ascii="Times New Roman" w:hAnsi="Times New Roman" w:eastAsia="宋体" w:cs="Times New Roman"/>
                <w:bCs/>
                <w:color w:val="auto"/>
                <w:sz w:val="24"/>
              </w:rPr>
              <w:t>）处理，</w:t>
            </w:r>
            <w:r>
              <w:rPr>
                <w:rFonts w:hint="default" w:ascii="Times New Roman" w:hAnsi="Times New Roman" w:cs="Times New Roman"/>
                <w:bCs/>
                <w:color w:val="auto"/>
                <w:sz w:val="24"/>
                <w:lang w:val="en-US" w:eastAsia="zh-CN"/>
              </w:rPr>
              <w:t>洗车废水经三段式隔油沉淀池</w:t>
            </w:r>
            <w:r>
              <w:rPr>
                <w:rFonts w:hint="default" w:ascii="Times New Roman" w:hAnsi="Times New Roman" w:eastAsia="宋体" w:cs="Times New Roman"/>
                <w:bCs/>
                <w:color w:val="auto"/>
                <w:sz w:val="24"/>
              </w:rPr>
              <w:t>（设计处理能力</w:t>
            </w:r>
            <w:r>
              <w:rPr>
                <w:rFonts w:hint="eastAsia" w:cs="Times New Roman"/>
                <w:bCs/>
                <w:color w:val="auto"/>
                <w:sz w:val="24"/>
                <w:lang w:val="en-US" w:eastAsia="zh-CN"/>
              </w:rPr>
              <w:t>5</w:t>
            </w:r>
            <w:r>
              <w:rPr>
                <w:rFonts w:hint="default" w:ascii="Times New Roman" w:hAnsi="Times New Roman" w:eastAsia="宋体" w:cs="Times New Roman"/>
                <w:color w:val="auto"/>
                <w:szCs w:val="21"/>
              </w:rPr>
              <w:t>m</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/d</w:t>
            </w:r>
            <w:r>
              <w:rPr>
                <w:rFonts w:hint="default" w:ascii="Times New Roman" w:hAnsi="Times New Roman" w:eastAsia="宋体" w:cs="Times New Roman"/>
                <w:bCs/>
                <w:color w:val="auto"/>
                <w:sz w:val="24"/>
              </w:rPr>
              <w:t>）</w:t>
            </w:r>
            <w:r>
              <w:rPr>
                <w:rFonts w:hint="default" w:ascii="Times New Roman" w:hAnsi="Times New Roman" w:cs="Times New Roman"/>
                <w:bCs/>
                <w:color w:val="auto"/>
                <w:sz w:val="24"/>
                <w:lang w:val="en-US" w:eastAsia="zh-CN"/>
              </w:rPr>
              <w:t>处理；</w:t>
            </w:r>
            <w:r>
              <w:rPr>
                <w:rFonts w:hint="default" w:ascii="Times New Roman" w:hAnsi="Times New Roman" w:eastAsia="宋体" w:cs="Times New Roman"/>
                <w:bCs/>
                <w:color w:val="auto"/>
                <w:sz w:val="24"/>
              </w:rPr>
              <w:t>废水分别经处理后一起排入市政污水管网，进入鸡冠石污水处理厂进一步处理达《城镇污水处理厂污染物排放标准》（GB18918-2002）一级A标准后，最终排入长江。</w:t>
            </w:r>
          </w:p>
          <w:p w14:paraId="3B5A9660">
            <w:pPr>
              <w:adjustRightInd w:val="0"/>
              <w:snapToGrid w:val="0"/>
              <w:spacing w:line="360" w:lineRule="auto"/>
              <w:ind w:firstLine="482" w:firstLineChars="200"/>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（3）噪声</w:t>
            </w:r>
          </w:p>
          <w:p w14:paraId="68A33120">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现有工程噪声主要为潜油泵、加油机、</w:t>
            </w:r>
            <w:r>
              <w:rPr>
                <w:rFonts w:hint="eastAsia" w:cs="Times New Roman"/>
                <w:bCs/>
                <w:color w:val="auto"/>
                <w:sz w:val="24"/>
                <w:lang w:eastAsia="zh-CN"/>
              </w:rPr>
              <w:t>洗车装置、</w:t>
            </w:r>
            <w:r>
              <w:rPr>
                <w:rFonts w:hint="default" w:ascii="Times New Roman" w:hAnsi="Times New Roman" w:eastAsia="宋体" w:cs="Times New Roman"/>
                <w:bCs/>
                <w:color w:val="auto"/>
                <w:sz w:val="24"/>
              </w:rPr>
              <w:t>加油车辆进出加油站产生的噪声，噪声值为65~85dB（A）。现有工程采取的噪声污染防治措施为：各类泵采取隔声、减振措施；加强设备维护与管理；进出口设置减速及严禁鸣笛等标志。</w:t>
            </w:r>
          </w:p>
          <w:p w14:paraId="49812F90">
            <w:pPr>
              <w:adjustRightInd w:val="0"/>
              <w:snapToGrid w:val="0"/>
              <w:spacing w:line="360" w:lineRule="auto"/>
              <w:ind w:firstLine="482" w:firstLineChars="200"/>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（4）固体废物</w:t>
            </w:r>
          </w:p>
          <w:p w14:paraId="61E7065F">
            <w:pPr>
              <w:adjustRightInd w:val="0"/>
              <w:snapToGrid w:val="0"/>
              <w:spacing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bCs/>
                <w:color w:val="auto"/>
                <w:sz w:val="24"/>
              </w:rPr>
              <w:t>现有工程工作人员、过往驾乘人员产生生活垃圾，工作人员生活垃圾产生量按0.5kg/d计，过往驾乘人员按</w:t>
            </w:r>
            <w:r>
              <w:rPr>
                <w:rFonts w:hint="default" w:ascii="Times New Roman" w:hAnsi="Times New Roman" w:eastAsia="宋体" w:cs="Times New Roman"/>
                <w:bCs/>
                <w:color w:val="auto"/>
                <w:sz w:val="24"/>
                <w:lang w:val="en-US" w:eastAsia="zh-CN"/>
              </w:rPr>
              <w:t>13</w:t>
            </w:r>
            <w:r>
              <w:rPr>
                <w:rFonts w:hint="default" w:ascii="Times New Roman" w:hAnsi="Times New Roman" w:eastAsia="宋体" w:cs="Times New Roman"/>
                <w:bCs/>
                <w:color w:val="auto"/>
                <w:sz w:val="24"/>
              </w:rPr>
              <w:t>人次/d，20%的驾乘人员产生生活垃圾，每人次按0.05kg计算，产生量约</w:t>
            </w:r>
            <w:r>
              <w:rPr>
                <w:rFonts w:hint="default" w:ascii="Times New Roman" w:hAnsi="Times New Roman" w:cs="Times New Roman"/>
                <w:bCs/>
                <w:color w:val="auto"/>
                <w:sz w:val="24"/>
                <w:lang w:val="en-US" w:eastAsia="zh-CN"/>
              </w:rPr>
              <w:t>2.482</w:t>
            </w:r>
            <w:r>
              <w:rPr>
                <w:rFonts w:hint="default" w:ascii="Times New Roman" w:hAnsi="Times New Roman" w:eastAsia="宋体" w:cs="Times New Roman"/>
                <w:bCs/>
                <w:color w:val="auto"/>
                <w:sz w:val="24"/>
              </w:rPr>
              <w:t>t/a，在站内分类收集后，交由环卫部门统一清运处置。</w:t>
            </w:r>
          </w:p>
          <w:p w14:paraId="012AD07D">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现有工程</w:t>
            </w:r>
            <w:r>
              <w:rPr>
                <w:rFonts w:hint="default" w:ascii="Times New Roman" w:hAnsi="Times New Roman" w:cs="Times New Roman"/>
                <w:bCs/>
                <w:color w:val="auto"/>
                <w:sz w:val="24"/>
                <w:lang w:val="en-US" w:eastAsia="zh-CN"/>
              </w:rPr>
              <w:t>生化池</w:t>
            </w:r>
            <w:r>
              <w:rPr>
                <w:rFonts w:hint="default" w:ascii="Times New Roman" w:hAnsi="Times New Roman" w:eastAsia="宋体" w:cs="Times New Roman"/>
                <w:bCs/>
                <w:color w:val="auto"/>
                <w:sz w:val="24"/>
              </w:rPr>
              <w:t>产生的污泥量约为</w:t>
            </w:r>
            <w:r>
              <w:rPr>
                <w:rFonts w:hint="default" w:ascii="Times New Roman" w:hAnsi="Times New Roman" w:eastAsia="宋体" w:cs="Times New Roman"/>
                <w:bCs/>
                <w:color w:val="auto"/>
                <w:sz w:val="24"/>
                <w:lang w:val="en-US" w:eastAsia="zh-CN"/>
              </w:rPr>
              <w:t>0.</w:t>
            </w:r>
            <w:r>
              <w:rPr>
                <w:rFonts w:hint="eastAsia" w:cs="Times New Roman"/>
                <w:bCs/>
                <w:color w:val="auto"/>
                <w:sz w:val="24"/>
                <w:lang w:val="en-US" w:eastAsia="zh-CN"/>
              </w:rPr>
              <w:t>169</w:t>
            </w:r>
            <w:r>
              <w:rPr>
                <w:rFonts w:hint="default" w:ascii="Times New Roman" w:hAnsi="Times New Roman" w:eastAsia="宋体" w:cs="Times New Roman"/>
                <w:bCs/>
                <w:color w:val="auto"/>
                <w:sz w:val="24"/>
              </w:rPr>
              <w:t>t/a，定期委托专业单位清掏处理。</w:t>
            </w:r>
          </w:p>
          <w:p w14:paraId="66C2D05D">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设备检修及清罐产生油水混合物、清罐废物、废棉纱手套、隔油池产生含油污泥，根据加油站多年运行情况，</w:t>
            </w:r>
            <w:r>
              <w:rPr>
                <w:rFonts w:hint="default" w:ascii="Times New Roman" w:hAnsi="Times New Roman" w:eastAsia="宋体" w:cs="Times New Roman"/>
                <w:bCs/>
                <w:color w:val="auto"/>
                <w:sz w:val="24"/>
                <w:lang w:val="en-US" w:eastAsia="zh-CN"/>
              </w:rPr>
              <w:t>三次油气回收处理装置产生更换的废过滤膜。根据加油站多年运行情况，油水混合物、</w:t>
            </w:r>
            <w:r>
              <w:rPr>
                <w:rFonts w:hint="default" w:ascii="Times New Roman" w:hAnsi="Times New Roman" w:eastAsia="宋体" w:cs="Times New Roman"/>
                <w:bCs/>
                <w:color w:val="auto"/>
                <w:sz w:val="24"/>
              </w:rPr>
              <w:t>清罐废物、废棉纱手套</w:t>
            </w:r>
            <w:r>
              <w:rPr>
                <w:rFonts w:hint="default"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rPr>
              <w:t>含油污泥</w:t>
            </w:r>
            <w:r>
              <w:rPr>
                <w:rFonts w:hint="default" w:ascii="Times New Roman" w:hAnsi="Times New Roman" w:eastAsia="宋体" w:cs="Times New Roman"/>
                <w:bCs/>
                <w:color w:val="auto"/>
                <w:sz w:val="24"/>
                <w:lang w:val="en-US" w:eastAsia="zh-CN"/>
              </w:rPr>
              <w:t>和废过滤膜</w:t>
            </w:r>
            <w:r>
              <w:rPr>
                <w:rFonts w:hint="default" w:ascii="Times New Roman" w:hAnsi="Times New Roman" w:eastAsia="宋体" w:cs="Times New Roman"/>
                <w:bCs/>
                <w:color w:val="auto"/>
                <w:sz w:val="24"/>
              </w:rPr>
              <w:t>产生量</w:t>
            </w:r>
            <w:r>
              <w:rPr>
                <w:rFonts w:hint="default" w:ascii="Times New Roman" w:hAnsi="Times New Roman" w:eastAsia="宋体" w:cs="Times New Roman"/>
                <w:bCs/>
                <w:color w:val="auto"/>
                <w:sz w:val="24"/>
                <w:lang w:val="en-US" w:eastAsia="zh-CN"/>
              </w:rPr>
              <w:t>分别为0.4</w:t>
            </w:r>
            <w:r>
              <w:rPr>
                <w:rFonts w:hint="default" w:ascii="Times New Roman" w:hAnsi="Times New Roman" w:eastAsia="宋体" w:cs="Times New Roman"/>
                <w:bCs/>
                <w:color w:val="auto"/>
                <w:sz w:val="24"/>
              </w:rPr>
              <w:t>t/a、</w:t>
            </w:r>
            <w:r>
              <w:rPr>
                <w:rFonts w:hint="default" w:ascii="Times New Roman" w:hAnsi="Times New Roman" w:eastAsia="宋体" w:cs="Times New Roman"/>
                <w:bCs/>
                <w:color w:val="auto"/>
                <w:sz w:val="24"/>
                <w:lang w:val="en-US" w:eastAsia="zh-CN"/>
              </w:rPr>
              <w:t>1.2</w:t>
            </w:r>
            <w:r>
              <w:rPr>
                <w:rFonts w:hint="default" w:ascii="Times New Roman" w:hAnsi="Times New Roman" w:eastAsia="宋体" w:cs="Times New Roman"/>
                <w:bCs/>
                <w:color w:val="auto"/>
                <w:sz w:val="24"/>
              </w:rPr>
              <w:t>t/</w:t>
            </w:r>
            <w:r>
              <w:rPr>
                <w:rFonts w:hint="default" w:ascii="Times New Roman" w:hAnsi="Times New Roman" w:eastAsia="宋体" w:cs="Times New Roman"/>
                <w:bCs/>
                <w:color w:val="auto"/>
                <w:sz w:val="24"/>
                <w:lang w:val="en-US" w:eastAsia="zh-CN"/>
              </w:rPr>
              <w:t>5</w:t>
            </w:r>
            <w:r>
              <w:rPr>
                <w:rFonts w:hint="default" w:ascii="Times New Roman" w:hAnsi="Times New Roman" w:eastAsia="宋体" w:cs="Times New Roman"/>
                <w:bCs/>
                <w:color w:val="auto"/>
                <w:sz w:val="24"/>
              </w:rPr>
              <w:t>a、0.</w:t>
            </w:r>
            <w:r>
              <w:rPr>
                <w:rFonts w:hint="default" w:ascii="Times New Roman" w:hAnsi="Times New Roman" w:eastAsia="宋体" w:cs="Times New Roman"/>
                <w:bCs/>
                <w:color w:val="auto"/>
                <w:sz w:val="24"/>
                <w:lang w:val="en-US" w:eastAsia="zh-CN"/>
              </w:rPr>
              <w:t>01</w:t>
            </w:r>
            <w:r>
              <w:rPr>
                <w:rFonts w:hint="default" w:ascii="Times New Roman" w:hAnsi="Times New Roman" w:eastAsia="宋体" w:cs="Times New Roman"/>
                <w:bCs/>
                <w:color w:val="auto"/>
                <w:sz w:val="24"/>
              </w:rPr>
              <w:t>t/a</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rPr>
              <w:t>0.</w:t>
            </w:r>
            <w:r>
              <w:rPr>
                <w:rFonts w:hint="default" w:ascii="Times New Roman" w:hAnsi="Times New Roman" w:eastAsia="宋体" w:cs="Times New Roman"/>
                <w:bCs/>
                <w:color w:val="auto"/>
                <w:sz w:val="24"/>
                <w:lang w:val="en-US" w:eastAsia="zh-CN"/>
              </w:rPr>
              <w:t>05</w:t>
            </w:r>
            <w:r>
              <w:rPr>
                <w:rFonts w:hint="default" w:ascii="Times New Roman" w:hAnsi="Times New Roman" w:eastAsia="宋体" w:cs="Times New Roman"/>
                <w:bCs/>
                <w:color w:val="auto"/>
                <w:sz w:val="24"/>
              </w:rPr>
              <w:t>t/a</w:t>
            </w:r>
            <w:r>
              <w:rPr>
                <w:rFonts w:hint="default" w:ascii="Times New Roman" w:hAnsi="Times New Roman" w:eastAsia="宋体" w:cs="Times New Roman"/>
                <w:bCs/>
                <w:color w:val="auto"/>
                <w:sz w:val="24"/>
                <w:lang w:val="en-US" w:eastAsia="zh-CN"/>
              </w:rPr>
              <w:t>和0.001t/2a</w:t>
            </w:r>
            <w:r>
              <w:rPr>
                <w:rFonts w:hint="default" w:ascii="Times New Roman" w:hAnsi="Times New Roman" w:eastAsia="宋体" w:cs="Times New Roman"/>
                <w:bCs/>
                <w:color w:val="auto"/>
                <w:sz w:val="24"/>
                <w:lang w:eastAsia="zh-CN"/>
              </w:rPr>
              <w:t>，</w:t>
            </w:r>
            <w:r>
              <w:rPr>
                <w:rFonts w:hint="default" w:ascii="Times New Roman" w:hAnsi="Times New Roman" w:eastAsia="宋体" w:cs="Times New Roman"/>
                <w:bCs/>
                <w:color w:val="auto"/>
                <w:sz w:val="24"/>
                <w:lang w:val="en-US" w:eastAsia="zh-CN"/>
              </w:rPr>
              <w:t>均属于危险废物，定期委托</w:t>
            </w:r>
            <w:r>
              <w:rPr>
                <w:rFonts w:hint="default" w:ascii="Times New Roman" w:hAnsi="Times New Roman" w:eastAsia="宋体" w:cs="Times New Roman"/>
                <w:bCs/>
                <w:color w:val="auto"/>
                <w:sz w:val="24"/>
              </w:rPr>
              <w:t>有资质单位处置</w:t>
            </w:r>
            <w:r>
              <w:rPr>
                <w:rFonts w:hint="default" w:ascii="Times New Roman" w:hAnsi="Times New Roman" w:eastAsia="宋体" w:cs="Times New Roman"/>
                <w:bCs/>
                <w:color w:val="auto"/>
                <w:sz w:val="24"/>
                <w:lang w:eastAsia="zh-CN"/>
              </w:rPr>
              <w:t>。</w:t>
            </w:r>
          </w:p>
          <w:p w14:paraId="4BC029AA">
            <w:pPr>
              <w:pStyle w:val="14"/>
              <w:spacing w:line="360" w:lineRule="auto"/>
              <w:ind w:left="0" w:firstLine="482" w:firstLineChars="200"/>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（5）地下水</w:t>
            </w:r>
          </w:p>
          <w:p w14:paraId="36B5ADB8">
            <w:pPr>
              <w:pStyle w:val="14"/>
              <w:spacing w:line="360" w:lineRule="auto"/>
              <w:ind w:left="0"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现有工程已按照《石油化工工程防渗技术规范》（GB/T50934-2013）中的相关要求对站区内各建（构）筑物进行了分区防渗，具体分区防渗如下：</w:t>
            </w:r>
          </w:p>
          <w:p w14:paraId="43DFAA98">
            <w:pPr>
              <w:pStyle w:val="14"/>
              <w:spacing w:line="360" w:lineRule="auto"/>
              <w:ind w:left="0"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①重点污染防治区</w:t>
            </w:r>
          </w:p>
          <w:p w14:paraId="20618F88">
            <w:pPr>
              <w:pStyle w:val="46"/>
              <w:rPr>
                <w:rFonts w:hint="default" w:ascii="Times New Roman" w:hAnsi="Times New Roman" w:eastAsia="宋体" w:cs="Times New Roman"/>
                <w:bCs/>
                <w:color w:val="auto"/>
                <w:szCs w:val="24"/>
              </w:rPr>
            </w:pPr>
            <w:r>
              <w:rPr>
                <w:rFonts w:hint="default" w:ascii="Times New Roman" w:hAnsi="Times New Roman" w:eastAsia="宋体" w:cs="Times New Roman"/>
                <w:bCs/>
                <w:color w:val="auto"/>
                <w:szCs w:val="24"/>
              </w:rPr>
              <w:t>油罐区、工艺管道（即油品管道的沟底与沟壁）、隔油池及危废暂存区。</w:t>
            </w:r>
          </w:p>
          <w:p w14:paraId="55700C3E">
            <w:pPr>
              <w:pStyle w:val="14"/>
              <w:spacing w:line="360" w:lineRule="auto"/>
              <w:ind w:left="0"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②一般污染防治区</w:t>
            </w:r>
          </w:p>
          <w:p w14:paraId="20CF7145">
            <w:pPr>
              <w:pStyle w:val="14"/>
              <w:spacing w:line="360" w:lineRule="auto"/>
              <w:ind w:left="0"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加油区、卸油区、</w:t>
            </w:r>
            <w:r>
              <w:rPr>
                <w:rFonts w:hint="default" w:ascii="Times New Roman" w:hAnsi="Times New Roman" w:cs="Times New Roman"/>
                <w:bCs/>
                <w:color w:val="auto"/>
                <w:sz w:val="24"/>
                <w:lang w:val="en-US" w:eastAsia="zh-CN"/>
              </w:rPr>
              <w:t>洗车区、</w:t>
            </w:r>
            <w:r>
              <w:rPr>
                <w:rFonts w:hint="default" w:ascii="Times New Roman" w:hAnsi="Times New Roman" w:eastAsia="宋体" w:cs="Times New Roman"/>
                <w:bCs/>
                <w:color w:val="auto"/>
                <w:sz w:val="24"/>
              </w:rPr>
              <w:t>生化池等。</w:t>
            </w:r>
          </w:p>
          <w:p w14:paraId="78E67B57">
            <w:pPr>
              <w:pStyle w:val="14"/>
              <w:spacing w:line="360" w:lineRule="auto"/>
              <w:ind w:left="0"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③非污染防治区</w:t>
            </w:r>
          </w:p>
          <w:p w14:paraId="0D4F063A">
            <w:pPr>
              <w:pStyle w:val="14"/>
              <w:spacing w:line="360" w:lineRule="auto"/>
              <w:ind w:left="0"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重点污染防治区和一般污染防治区以外的站内其他区域。</w:t>
            </w:r>
          </w:p>
          <w:p w14:paraId="371A7498">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（6）环境风险防范措施</w:t>
            </w:r>
          </w:p>
          <w:p w14:paraId="099D9E6D">
            <w:pPr>
              <w:pStyle w:val="6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lang w:eastAsia="zh-CN"/>
              </w:rPr>
            </w:pPr>
            <w:r>
              <w:rPr>
                <w:rFonts w:hint="eastAsia"/>
                <w:color w:val="auto"/>
                <w:sz w:val="24"/>
                <w:szCs w:val="24"/>
                <w:highlight w:val="none"/>
                <w:lang w:eastAsia="zh-CN"/>
              </w:rPr>
              <w:t>原有工程环境风险防范措施：</w:t>
            </w:r>
          </w:p>
          <w:p w14:paraId="196A1F40">
            <w:pPr>
              <w:pStyle w:val="6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color w:val="auto"/>
                <w:sz w:val="24"/>
                <w:szCs w:val="24"/>
                <w:highlight w:val="none"/>
              </w:rPr>
            </w:pPr>
            <w:r>
              <w:rPr>
                <w:rFonts w:hint="eastAsia"/>
                <w:color w:val="auto"/>
                <w:sz w:val="24"/>
                <w:szCs w:val="24"/>
                <w:highlight w:val="none"/>
                <w:lang w:eastAsia="zh-CN"/>
              </w:rPr>
              <w:t>①</w:t>
            </w:r>
            <w:r>
              <w:rPr>
                <w:rFonts w:hint="eastAsia"/>
                <w:color w:val="auto"/>
                <w:sz w:val="24"/>
                <w:szCs w:val="24"/>
              </w:rPr>
              <w:t>油罐设置通气立管，通气管高出地面大于4m，并安装阻火器。油罐人孔操作井、卸油口井</w:t>
            </w:r>
            <w:r>
              <w:rPr>
                <w:rFonts w:hint="eastAsia"/>
                <w:color w:val="auto"/>
                <w:sz w:val="24"/>
                <w:szCs w:val="24"/>
                <w:lang w:eastAsia="zh-CN"/>
              </w:rPr>
              <w:t>均密封</w:t>
            </w:r>
            <w:r>
              <w:rPr>
                <w:rFonts w:hint="eastAsia"/>
                <w:color w:val="auto"/>
                <w:sz w:val="24"/>
                <w:szCs w:val="24"/>
              </w:rPr>
              <w:t>。油罐采用取卸油时的防满溢措施，汽油充装达到油罐容量85%，触动高液位报警装置，自动停止油料继续进罐。每个油罐各自设置卸油管道和卸油接口，各卸油接口及油气回收接口，有明显的标识，卸油接口装设快速接头及密封盖</w:t>
            </w:r>
            <w:r>
              <w:rPr>
                <w:rFonts w:hint="eastAsia"/>
                <w:color w:val="auto"/>
                <w:sz w:val="24"/>
                <w:szCs w:val="24"/>
                <w:highlight w:val="none"/>
              </w:rPr>
              <w:t>。</w:t>
            </w:r>
          </w:p>
          <w:p w14:paraId="0C21159F">
            <w:pPr>
              <w:pStyle w:val="65"/>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b w:val="0"/>
                <w:bCs w:val="0"/>
                <w:color w:val="auto"/>
                <w:sz w:val="24"/>
                <w:szCs w:val="24"/>
                <w:highlight w:val="none"/>
              </w:rPr>
            </w:pPr>
            <w:r>
              <w:rPr>
                <w:rFonts w:hint="eastAsia"/>
                <w:b w:val="0"/>
                <w:bCs w:val="0"/>
                <w:color w:val="auto"/>
                <w:sz w:val="24"/>
                <w:szCs w:val="24"/>
                <w:highlight w:val="none"/>
              </w:rPr>
              <w:t>②储油罐设带有高液位报警功能的液位计，避免卸油时计量失误使罐内液位过高造成冒油。卸油时有专人监督和监控设施，若出现泄漏事故，一般可在1m</w:t>
            </w:r>
            <w:r>
              <w:rPr>
                <w:b w:val="0"/>
                <w:bCs w:val="0"/>
                <w:color w:val="auto"/>
                <w:sz w:val="24"/>
                <w:szCs w:val="24"/>
                <w:highlight w:val="none"/>
              </w:rPr>
              <w:t>in</w:t>
            </w:r>
            <w:r>
              <w:rPr>
                <w:rFonts w:hint="eastAsia"/>
                <w:b w:val="0"/>
                <w:bCs w:val="0"/>
                <w:color w:val="auto"/>
                <w:sz w:val="24"/>
                <w:szCs w:val="24"/>
                <w:highlight w:val="none"/>
              </w:rPr>
              <w:t>内关闭阀门并进行控制处理。</w:t>
            </w:r>
          </w:p>
          <w:p w14:paraId="41705343">
            <w:pPr>
              <w:pStyle w:val="14"/>
              <w:spacing w:line="360" w:lineRule="auto"/>
              <w:ind w:left="0" w:firstLine="480" w:firstLineChars="200"/>
              <w:rPr>
                <w:rFonts w:hint="default" w:ascii="Times New Roman" w:hAnsi="Times New Roman" w:eastAsia="宋体" w:cs="Times New Roman"/>
                <w:bCs/>
                <w:color w:val="auto"/>
                <w:sz w:val="24"/>
              </w:rPr>
            </w:pPr>
            <w:r>
              <w:rPr>
                <w:rFonts w:hint="eastAsia"/>
                <w:b w:val="0"/>
                <w:bCs w:val="0"/>
                <w:color w:val="auto"/>
                <w:sz w:val="24"/>
                <w:szCs w:val="24"/>
                <w:highlight w:val="none"/>
              </w:rPr>
              <w:t>③</w:t>
            </w:r>
            <w:r>
              <w:rPr>
                <w:rFonts w:hint="eastAsia" w:ascii="Times New Roman" w:hAnsi="Times New Roman" w:eastAsia="宋体" w:cs="Times New Roman"/>
                <w:b w:val="0"/>
                <w:bCs/>
                <w:color w:val="auto"/>
                <w:kern w:val="2"/>
                <w:sz w:val="24"/>
                <w:szCs w:val="24"/>
                <w:lang w:val="en-US" w:eastAsia="zh-CN" w:bidi="ar-SA"/>
              </w:rPr>
              <w:t>加油机底槽采用成品集油盆并填</w:t>
            </w:r>
            <w:r>
              <w:rPr>
                <w:rFonts w:hint="eastAsia" w:cs="Times New Roman"/>
                <w:b w:val="0"/>
                <w:bCs/>
                <w:color w:val="auto"/>
                <w:kern w:val="2"/>
                <w:sz w:val="24"/>
                <w:szCs w:val="24"/>
                <w:lang w:val="en-US" w:eastAsia="zh-CN" w:bidi="ar-SA"/>
              </w:rPr>
              <w:t>砂</w:t>
            </w:r>
            <w:r>
              <w:rPr>
                <w:rFonts w:hint="eastAsia" w:ascii="Times New Roman" w:hAnsi="Times New Roman" w:eastAsia="宋体" w:cs="Times New Roman"/>
                <w:b w:val="0"/>
                <w:bCs/>
                <w:color w:val="auto"/>
                <w:kern w:val="2"/>
                <w:sz w:val="24"/>
                <w:szCs w:val="24"/>
                <w:lang w:val="en-US" w:eastAsia="zh-CN" w:bidi="ar-SA"/>
              </w:rPr>
              <w:t>，</w:t>
            </w:r>
            <w:r>
              <w:rPr>
                <w:rFonts w:hint="eastAsia"/>
                <w:b w:val="0"/>
                <w:bCs w:val="0"/>
                <w:color w:val="auto"/>
                <w:sz w:val="24"/>
                <w:szCs w:val="24"/>
                <w:highlight w:val="none"/>
              </w:rPr>
              <w:t>定期对油品储存、输送、零售环节的设备、阀门、法兰盘、管道等进行检修、维护和保养</w:t>
            </w:r>
            <w:r>
              <w:rPr>
                <w:rFonts w:hint="eastAsia" w:ascii="Times New Roman" w:hAnsi="Times New Roman" w:eastAsia="宋体" w:cs="Times New Roman"/>
                <w:b w:val="0"/>
                <w:bCs/>
                <w:color w:val="auto"/>
                <w:kern w:val="2"/>
                <w:sz w:val="24"/>
                <w:szCs w:val="24"/>
                <w:lang w:val="en-US" w:eastAsia="zh-CN" w:bidi="ar-SA"/>
              </w:rPr>
              <w:t>。</w:t>
            </w:r>
          </w:p>
          <w:p w14:paraId="6C52A13D">
            <w:pPr>
              <w:adjustRightInd w:val="0"/>
              <w:snapToGrid w:val="0"/>
              <w:spacing w:line="360" w:lineRule="auto"/>
              <w:rPr>
                <w:rFonts w:hint="default" w:ascii="Times New Roman" w:hAnsi="Times New Roman" w:eastAsia="宋体" w:cs="Times New Roman"/>
                <w:b/>
                <w:bCs/>
                <w:color w:val="auto"/>
                <w:sz w:val="24"/>
                <w:szCs w:val="26"/>
                <w:lang w:val="en-US" w:eastAsia="zh-CN"/>
              </w:rPr>
            </w:pPr>
            <w:r>
              <w:rPr>
                <w:rFonts w:hint="default" w:ascii="Times New Roman" w:hAnsi="Times New Roman" w:eastAsia="宋体" w:cs="Times New Roman"/>
                <w:b/>
                <w:bCs/>
                <w:color w:val="auto"/>
                <w:sz w:val="24"/>
                <w:szCs w:val="26"/>
              </w:rPr>
              <w:t>2.</w:t>
            </w:r>
            <w:r>
              <w:rPr>
                <w:rFonts w:hint="default" w:ascii="Times New Roman" w:hAnsi="Times New Roman" w:eastAsia="宋体" w:cs="Times New Roman"/>
                <w:b/>
                <w:bCs/>
                <w:color w:val="auto"/>
                <w:sz w:val="24"/>
                <w:szCs w:val="26"/>
                <w:lang w:val="en-US" w:eastAsia="zh-CN"/>
              </w:rPr>
              <w:t>8</w:t>
            </w:r>
            <w:r>
              <w:rPr>
                <w:rFonts w:hint="default" w:ascii="Times New Roman" w:hAnsi="Times New Roman" w:eastAsia="宋体" w:cs="Times New Roman"/>
                <w:b/>
                <w:bCs/>
                <w:color w:val="auto"/>
                <w:sz w:val="24"/>
                <w:szCs w:val="26"/>
              </w:rPr>
              <w:t>.</w:t>
            </w:r>
            <w:r>
              <w:rPr>
                <w:rFonts w:hint="default" w:ascii="Times New Roman" w:hAnsi="Times New Roman" w:eastAsia="宋体" w:cs="Times New Roman"/>
                <w:b/>
                <w:bCs/>
                <w:color w:val="auto"/>
                <w:sz w:val="24"/>
                <w:szCs w:val="26"/>
                <w:lang w:val="en-US" w:eastAsia="zh-CN"/>
              </w:rPr>
              <w:t>4现有工程达标排放情况</w:t>
            </w:r>
          </w:p>
          <w:p w14:paraId="44E093C2">
            <w:pPr>
              <w:bidi w:val="0"/>
              <w:spacing w:line="360" w:lineRule="auto"/>
              <w:ind w:firstLine="480" w:firstLineChars="200"/>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根据</w:t>
            </w:r>
            <w:r>
              <w:rPr>
                <w:rFonts w:hint="default" w:ascii="Times New Roman" w:hAnsi="Times New Roman" w:cs="Times New Roman"/>
                <w:color w:val="auto"/>
                <w:sz w:val="24"/>
                <w:szCs w:val="32"/>
                <w:lang w:val="en-US" w:eastAsia="zh-CN"/>
              </w:rPr>
              <w:t>渝中</w:t>
            </w:r>
            <w:r>
              <w:rPr>
                <w:rFonts w:hint="default" w:ascii="Times New Roman" w:hAnsi="Times New Roman" w:eastAsia="宋体" w:cs="Times New Roman"/>
                <w:color w:val="auto"/>
                <w:sz w:val="24"/>
                <w:szCs w:val="32"/>
                <w:lang w:val="en-US" w:eastAsia="zh-CN"/>
              </w:rPr>
              <w:t>加油站自行检测报告，现有工程产生的废气和废水均达标排放。根据油气回收系统检测报告，该加油站油气回收系统液阻、密闭性、气液比、在线监测系统、密闭点位油气泄漏、密闭点位油气泄漏等项目经检验，均满足《加油站大气污染物排放标准》（GB 20952-2020）规定的要求。</w:t>
            </w:r>
          </w:p>
          <w:p w14:paraId="3943A007">
            <w:pPr>
              <w:adjustRightInd w:val="0"/>
              <w:snapToGrid w:val="0"/>
              <w:spacing w:line="360" w:lineRule="auto"/>
              <w:rPr>
                <w:rFonts w:hint="default" w:ascii="Times New Roman" w:hAnsi="Times New Roman" w:eastAsia="宋体" w:cs="Times New Roman"/>
                <w:color w:val="auto"/>
                <w:sz w:val="24"/>
                <w:szCs w:val="26"/>
              </w:rPr>
            </w:pPr>
            <w:r>
              <w:rPr>
                <w:rFonts w:hint="default" w:ascii="Times New Roman" w:hAnsi="Times New Roman" w:eastAsia="宋体" w:cs="Times New Roman"/>
                <w:b/>
                <w:bCs/>
                <w:color w:val="auto"/>
                <w:sz w:val="24"/>
                <w:szCs w:val="26"/>
              </w:rPr>
              <w:t>2.8.</w:t>
            </w:r>
            <w:r>
              <w:rPr>
                <w:rFonts w:hint="default" w:ascii="Times New Roman" w:hAnsi="Times New Roman" w:cs="Times New Roman"/>
                <w:b/>
                <w:bCs/>
                <w:color w:val="auto"/>
                <w:sz w:val="24"/>
                <w:szCs w:val="26"/>
                <w:lang w:val="en-US" w:eastAsia="zh-CN"/>
              </w:rPr>
              <w:t>5</w:t>
            </w:r>
            <w:r>
              <w:rPr>
                <w:rFonts w:hint="default" w:ascii="Times New Roman" w:hAnsi="Times New Roman" w:eastAsia="宋体" w:cs="Times New Roman"/>
                <w:b/>
                <w:bCs/>
                <w:color w:val="auto"/>
                <w:sz w:val="24"/>
                <w:szCs w:val="26"/>
              </w:rPr>
              <w:t>现有工程现场照片</w:t>
            </w:r>
          </w:p>
          <w:p w14:paraId="1F69879D">
            <w:pPr>
              <w:adjustRightInd w:val="0"/>
              <w:snapToGrid w:val="0"/>
              <w:spacing w:line="360" w:lineRule="auto"/>
              <w:ind w:firstLine="480" w:firstLineChars="200"/>
              <w:rPr>
                <w:rFonts w:hint="default" w:ascii="Times New Roman" w:hAnsi="Times New Roman" w:eastAsia="宋体" w:cs="Times New Roman"/>
                <w:b/>
                <w:bCs/>
                <w:color w:val="auto"/>
                <w:sz w:val="24"/>
                <w:szCs w:val="26"/>
                <w:lang w:val="en-US" w:eastAsia="zh-CN"/>
              </w:rPr>
            </w:pPr>
            <w:r>
              <w:rPr>
                <w:rFonts w:hint="default" w:ascii="Times New Roman" w:hAnsi="Times New Roman" w:eastAsia="宋体" w:cs="Times New Roman"/>
                <w:color w:val="auto"/>
                <w:sz w:val="24"/>
              </w:rPr>
              <w:t>现有工程现场照片见</w:t>
            </w:r>
            <w:r>
              <w:rPr>
                <w:rFonts w:hint="default" w:ascii="Times New Roman" w:hAnsi="Times New Roman" w:eastAsia="宋体" w:cs="Times New Roman"/>
                <w:color w:val="auto"/>
                <w:sz w:val="24"/>
                <w:lang w:val="en-US" w:eastAsia="zh-CN"/>
              </w:rPr>
              <w:t>附图8。</w:t>
            </w:r>
          </w:p>
          <w:p w14:paraId="42601A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z w:val="24"/>
                <w:szCs w:val="24"/>
                <w:highlight w:val="none"/>
              </w:rPr>
              <w:t>2</w:t>
            </w:r>
            <w:r>
              <w:rPr>
                <w:rFonts w:hint="default" w:ascii="Times New Roman" w:hAnsi="Times New Roman" w:eastAsia="宋体"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主要环境问题及整改措施</w:t>
            </w:r>
          </w:p>
          <w:p w14:paraId="66F0406A">
            <w:pPr>
              <w:adjustRightInd w:val="0"/>
              <w:snapToGrid w:val="0"/>
              <w:spacing w:line="360" w:lineRule="auto"/>
              <w:ind w:firstLine="480" w:firstLineChars="200"/>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bCs/>
                <w:color w:val="auto"/>
                <w:sz w:val="24"/>
              </w:rPr>
              <w:t>根据现场踏勘及走访调查，加油站运行至今，未发生环境污染事故，未接到环保投诉。加油站环保管理规范，已按照最新要求更换标识标牌。</w:t>
            </w:r>
            <w:r>
              <w:rPr>
                <w:rFonts w:hint="default" w:ascii="Times New Roman" w:hAnsi="Times New Roman" w:eastAsia="宋体" w:cs="Times New Roman"/>
                <w:snapToGrid w:val="0"/>
                <w:color w:val="auto"/>
                <w:kern w:val="0"/>
                <w:sz w:val="24"/>
              </w:rPr>
              <w:t>根据</w:t>
            </w:r>
            <w:bookmarkStart w:id="5" w:name="OLE_LINK15"/>
            <w:r>
              <w:rPr>
                <w:rFonts w:hint="default" w:ascii="Times New Roman" w:hAnsi="Times New Roman" w:eastAsia="宋体" w:cs="Times New Roman"/>
                <w:color w:val="auto"/>
                <w:sz w:val="24"/>
              </w:rPr>
              <w:t>《加油站地下水污染防治技术指南（试行）》</w:t>
            </w:r>
            <w:bookmarkEnd w:id="5"/>
            <w:r>
              <w:rPr>
                <w:rFonts w:hint="default" w:ascii="Times New Roman" w:hAnsi="Times New Roman" w:eastAsia="宋体" w:cs="Times New Roman"/>
                <w:snapToGrid w:val="0"/>
                <w:color w:val="auto"/>
                <w:kern w:val="0"/>
                <w:sz w:val="24"/>
              </w:rPr>
              <w:t>，本项目不在地下水饮用水源保护区和补给径流区，应在罐区下游设置一口地下水跟踪监测井，根据现场了解，目前加油站未设置地下水跟踪监测井。本次评价提出“以新带老”措施：</w:t>
            </w:r>
          </w:p>
          <w:p w14:paraId="65F35AB6">
            <w:pPr>
              <w:adjustRightInd w:val="0"/>
              <w:snapToGrid w:val="0"/>
              <w:spacing w:line="360" w:lineRule="auto"/>
              <w:ind w:firstLine="480" w:firstLineChars="200"/>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rPr>
              <w:t>在罐区下游站区设置一口地下水</w:t>
            </w:r>
            <w:r>
              <w:rPr>
                <w:rFonts w:hint="default" w:ascii="Times New Roman" w:hAnsi="Times New Roman" w:eastAsia="宋体" w:cs="Times New Roman"/>
                <w:color w:val="auto"/>
                <w:sz w:val="24"/>
              </w:rPr>
              <w:t>跟踪</w:t>
            </w:r>
            <w:r>
              <w:rPr>
                <w:rFonts w:hint="default" w:ascii="Times New Roman" w:hAnsi="Times New Roman" w:eastAsia="宋体" w:cs="Times New Roman"/>
                <w:snapToGrid w:val="0"/>
                <w:color w:val="auto"/>
                <w:kern w:val="0"/>
                <w:sz w:val="24"/>
              </w:rPr>
              <w:t>监测井，监测井位置及结构满足《加油站地下水污染防治技术指南（试行）》和《地下水环境监测技术规范》（HJ164-2020）的相关要求。</w:t>
            </w:r>
          </w:p>
        </w:tc>
      </w:tr>
    </w:tbl>
    <w:p w14:paraId="630A76AE">
      <w:pPr>
        <w:pStyle w:val="16"/>
        <w:jc w:val="center"/>
        <w:rPr>
          <w:rFonts w:hint="default" w:ascii="Times New Roman" w:hAnsi="Times New Roman" w:eastAsia="宋体" w:cs="Times New Roman"/>
          <w:snapToGrid w:val="0"/>
          <w:color w:val="auto"/>
          <w:sz w:val="36"/>
          <w:szCs w:val="36"/>
          <w:highlight w:val="yellow"/>
        </w:rPr>
        <w:sectPr>
          <w:footerReference r:id="rId4" w:type="default"/>
          <w:pgSz w:w="11906" w:h="16838"/>
          <w:pgMar w:top="1440" w:right="1800" w:bottom="1440" w:left="1800" w:header="851" w:footer="851" w:gutter="0"/>
          <w:pgNumType w:fmt="decimal"/>
          <w:cols w:space="720" w:num="1"/>
          <w:docGrid w:linePitch="312" w:charSpace="0"/>
        </w:sectPr>
      </w:pPr>
    </w:p>
    <w:p w14:paraId="69B6D123">
      <w:pPr>
        <w:pStyle w:val="16"/>
        <w:jc w:val="center"/>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sz w:val="30"/>
          <w:szCs w:val="30"/>
        </w:rPr>
        <w:t>三、区域环境质量现状、环境保护目标及评价标准</w:t>
      </w:r>
    </w:p>
    <w:tbl>
      <w:tblPr>
        <w:tblStyle w:val="19"/>
        <w:tblW w:w="0" w:type="auto"/>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86"/>
      </w:tblGrid>
      <w:tr w14:paraId="6C25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1" w:type="dxa"/>
            <w:noWrap w:val="0"/>
            <w:vAlign w:val="center"/>
          </w:tcPr>
          <w:p w14:paraId="2D2CC766">
            <w:pPr>
              <w:pStyle w:val="16"/>
              <w:adjustRightInd w:val="0"/>
              <w:snapToGrid w:val="0"/>
              <w:spacing w:before="0" w:beforeAutospacing="0" w:after="0" w:afterAutospacing="0" w:line="360" w:lineRule="auto"/>
              <w:jc w:val="center"/>
              <w:rPr>
                <w:rFonts w:hint="default" w:ascii="Times New Roman" w:hAnsi="Times New Roman" w:eastAsia="宋体" w:cs="Times New Roman"/>
                <w:bCs/>
                <w:color w:val="auto"/>
                <w:kern w:val="2"/>
                <w:szCs w:val="26"/>
              </w:rPr>
            </w:pPr>
            <w:r>
              <w:rPr>
                <w:rFonts w:hint="default" w:ascii="Times New Roman" w:hAnsi="Times New Roman" w:eastAsia="宋体" w:cs="Times New Roman"/>
                <w:bCs/>
                <w:color w:val="auto"/>
                <w:kern w:val="2"/>
                <w:szCs w:val="26"/>
              </w:rPr>
              <w:t>区域</w:t>
            </w:r>
          </w:p>
          <w:p w14:paraId="7AFBEC59">
            <w:pPr>
              <w:pStyle w:val="16"/>
              <w:adjustRightInd w:val="0"/>
              <w:snapToGrid w:val="0"/>
              <w:spacing w:before="0" w:beforeAutospacing="0" w:after="0" w:afterAutospacing="0" w:line="360" w:lineRule="auto"/>
              <w:jc w:val="center"/>
              <w:rPr>
                <w:rFonts w:hint="default" w:ascii="Times New Roman" w:hAnsi="Times New Roman" w:eastAsia="宋体" w:cs="Times New Roman"/>
                <w:bCs/>
                <w:color w:val="auto"/>
                <w:kern w:val="2"/>
                <w:szCs w:val="26"/>
              </w:rPr>
            </w:pPr>
            <w:r>
              <w:rPr>
                <w:rFonts w:hint="default" w:ascii="Times New Roman" w:hAnsi="Times New Roman" w:eastAsia="宋体" w:cs="Times New Roman"/>
                <w:bCs/>
                <w:color w:val="auto"/>
                <w:kern w:val="2"/>
                <w:szCs w:val="26"/>
              </w:rPr>
              <w:t>环境</w:t>
            </w:r>
          </w:p>
          <w:p w14:paraId="1FD63F45">
            <w:pPr>
              <w:pStyle w:val="16"/>
              <w:adjustRightInd w:val="0"/>
              <w:snapToGrid w:val="0"/>
              <w:spacing w:before="0" w:beforeAutospacing="0" w:after="0" w:afterAutospacing="0" w:line="360" w:lineRule="auto"/>
              <w:jc w:val="center"/>
              <w:rPr>
                <w:rFonts w:hint="default" w:ascii="Times New Roman" w:hAnsi="Times New Roman" w:eastAsia="宋体" w:cs="Times New Roman"/>
                <w:bCs/>
                <w:color w:val="auto"/>
                <w:kern w:val="2"/>
                <w:szCs w:val="26"/>
              </w:rPr>
            </w:pPr>
            <w:r>
              <w:rPr>
                <w:rFonts w:hint="default" w:ascii="Times New Roman" w:hAnsi="Times New Roman" w:eastAsia="宋体" w:cs="Times New Roman"/>
                <w:bCs/>
                <w:color w:val="auto"/>
                <w:kern w:val="2"/>
                <w:szCs w:val="26"/>
              </w:rPr>
              <w:t>质量</w:t>
            </w:r>
          </w:p>
          <w:p w14:paraId="7BDF934A">
            <w:pPr>
              <w:pStyle w:val="71"/>
              <w:spacing w:line="360" w:lineRule="auto"/>
              <w:ind w:firstLine="0" w:firstLineChars="0"/>
              <w:jc w:val="center"/>
              <w:rPr>
                <w:rFonts w:hint="default" w:ascii="Times New Roman" w:hAnsi="Times New Roman" w:eastAsia="宋体" w:cs="Times New Roman"/>
                <w:snapToGrid w:val="0"/>
                <w:color w:val="auto"/>
                <w:highlight w:val="yellow"/>
              </w:rPr>
            </w:pPr>
            <w:r>
              <w:rPr>
                <w:rFonts w:hint="default" w:ascii="Times New Roman" w:hAnsi="Times New Roman" w:eastAsia="宋体" w:cs="Times New Roman"/>
                <w:bCs/>
                <w:color w:val="auto"/>
                <w:szCs w:val="26"/>
              </w:rPr>
              <w:t>现状</w:t>
            </w:r>
          </w:p>
        </w:tc>
        <w:tc>
          <w:tcPr>
            <w:tcW w:w="8386" w:type="dxa"/>
            <w:noWrap w:val="0"/>
            <w:vAlign w:val="top"/>
          </w:tcPr>
          <w:p w14:paraId="1F4E15A4">
            <w:pPr>
              <w:adjustRightInd w:val="0"/>
              <w:snapToGrid w:val="0"/>
              <w:spacing w:line="360" w:lineRule="auto"/>
              <w:jc w:val="left"/>
              <w:rPr>
                <w:rFonts w:hint="default" w:ascii="Times New Roman" w:hAnsi="Times New Roman" w:eastAsia="宋体" w:cs="Times New Roman"/>
                <w:b/>
                <w:bCs/>
                <w:color w:val="auto"/>
                <w:sz w:val="28"/>
                <w:szCs w:val="26"/>
              </w:rPr>
            </w:pPr>
            <w:r>
              <w:rPr>
                <w:rFonts w:hint="default" w:ascii="Times New Roman" w:hAnsi="Times New Roman" w:eastAsia="宋体" w:cs="Times New Roman"/>
                <w:b/>
                <w:bCs/>
                <w:color w:val="auto"/>
                <w:sz w:val="28"/>
                <w:szCs w:val="26"/>
              </w:rPr>
              <w:t>3.1区域环境质量现状</w:t>
            </w:r>
          </w:p>
          <w:p w14:paraId="5359CC33">
            <w:pPr>
              <w:adjustRightInd w:val="0"/>
              <w:snapToGrid w:val="0"/>
              <w:spacing w:line="360" w:lineRule="auto"/>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3.1.1大气环境</w:t>
            </w:r>
          </w:p>
          <w:p w14:paraId="1F9D2524">
            <w:pPr>
              <w:adjustRightInd w:val="0"/>
              <w:snapToGrid w:val="0"/>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（1）区域达标判断</w:t>
            </w:r>
          </w:p>
          <w:p w14:paraId="28FADCEA">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本项目位于重庆市九龙坡区，根据《重庆市人民政府关于印发</w:t>
            </w:r>
            <w:r>
              <w:rPr>
                <w:rFonts w:hint="eastAsia" w:cs="Times New Roman"/>
                <w:color w:val="auto"/>
                <w:sz w:val="24"/>
                <w:lang w:eastAsia="zh-CN"/>
              </w:rPr>
              <w:t>〈</w:t>
            </w:r>
            <w:r>
              <w:rPr>
                <w:rFonts w:hint="default" w:ascii="Times New Roman" w:hAnsi="Times New Roman" w:eastAsia="宋体" w:cs="Times New Roman"/>
                <w:color w:val="auto"/>
                <w:sz w:val="24"/>
              </w:rPr>
              <w:t>重庆市环境空气质量功能区划分规定</w:t>
            </w:r>
            <w:r>
              <w:rPr>
                <w:rFonts w:hint="eastAsia" w:cs="Times New Roman"/>
                <w:color w:val="auto"/>
                <w:sz w:val="24"/>
                <w:lang w:eastAsia="zh-CN"/>
              </w:rPr>
              <w:t>〉的通知》</w:t>
            </w:r>
            <w:r>
              <w:rPr>
                <w:rFonts w:hint="default" w:ascii="Times New Roman" w:hAnsi="Times New Roman" w:eastAsia="宋体" w:cs="Times New Roman"/>
                <w:color w:val="auto"/>
                <w:sz w:val="24"/>
              </w:rPr>
              <w:t>（渝府发〔2016〕19号），项目所在区域属二类功能区，环境空气质量执行《环境空气质量标准》（GB3095-2012）中的二级标准。</w:t>
            </w:r>
          </w:p>
          <w:p w14:paraId="1702155A">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根据《环境影响评价技术导则 大气环境》（HJ 2.2-2018），城市环境空气质量达标情况评价指标为SO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、NO</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、PM</w:t>
            </w:r>
            <w:r>
              <w:rPr>
                <w:rFonts w:hint="default" w:ascii="Times New Roman" w:hAnsi="Times New Roman" w:eastAsia="宋体" w:cs="Times New Roman"/>
                <w:color w:val="auto"/>
                <w:sz w:val="24"/>
                <w:vertAlign w:val="subscript"/>
              </w:rPr>
              <w:t>10</w:t>
            </w:r>
            <w:r>
              <w:rPr>
                <w:rFonts w:hint="default" w:ascii="Times New Roman" w:hAnsi="Times New Roman" w:eastAsia="宋体" w:cs="Times New Roman"/>
                <w:color w:val="auto"/>
                <w:sz w:val="24"/>
              </w:rPr>
              <w:t>、PM</w:t>
            </w:r>
            <w:r>
              <w:rPr>
                <w:rFonts w:hint="default" w:ascii="Times New Roman" w:hAnsi="Times New Roman" w:eastAsia="宋体" w:cs="Times New Roman"/>
                <w:color w:val="auto"/>
                <w:sz w:val="24"/>
                <w:vertAlign w:val="subscript"/>
              </w:rPr>
              <w:t>2.5</w:t>
            </w:r>
            <w:r>
              <w:rPr>
                <w:rFonts w:hint="default" w:ascii="Times New Roman" w:hAnsi="Times New Roman" w:eastAsia="宋体" w:cs="Times New Roman"/>
                <w:color w:val="auto"/>
                <w:sz w:val="24"/>
              </w:rPr>
              <w:t>、CO和O</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。环境空气质量现状数据采用重庆市生态环境局公布的《202</w:t>
            </w:r>
            <w:r>
              <w:rPr>
                <w:rFonts w:hint="default" w:ascii="Times New Roman" w:hAnsi="Times New Roman" w:cs="Times New Roman"/>
                <w:color w:val="auto"/>
                <w:sz w:val="24"/>
                <w:lang w:val="en-US" w:eastAsia="zh-CN"/>
              </w:rPr>
              <w:t>4</w:t>
            </w:r>
            <w:r>
              <w:rPr>
                <w:rFonts w:hint="default" w:ascii="Times New Roman" w:hAnsi="Times New Roman" w:eastAsia="宋体" w:cs="Times New Roman"/>
                <w:color w:val="auto"/>
                <w:sz w:val="24"/>
              </w:rPr>
              <w:t>重庆市生态环境状况公报》表1中九龙坡区数据，空气质量达标区判定情况见表3.1-1。</w:t>
            </w:r>
          </w:p>
          <w:p w14:paraId="57B50F2F">
            <w:pPr>
              <w:snapToGrid w:val="0"/>
              <w:jc w:val="center"/>
              <w:rPr>
                <w:rFonts w:hint="default" w:ascii="Times New Roman" w:hAnsi="Times New Roman" w:eastAsia="宋体" w:cs="Times New Roman"/>
                <w:b/>
                <w:color w:val="auto"/>
                <w:sz w:val="26"/>
                <w:szCs w:val="26"/>
              </w:rPr>
            </w:pPr>
            <w:r>
              <w:rPr>
                <w:rFonts w:hint="default" w:ascii="Times New Roman" w:hAnsi="Times New Roman" w:eastAsia="宋体" w:cs="Times New Roman"/>
                <w:b/>
                <w:color w:val="auto"/>
                <w:sz w:val="26"/>
                <w:szCs w:val="26"/>
              </w:rPr>
              <w:t>表3.1-1    区域环境空气质量现状评价表</w:t>
            </w:r>
          </w:p>
          <w:tbl>
            <w:tblPr>
              <w:tblStyle w:val="19"/>
              <w:tblW w:w="4898" w:type="pct"/>
              <w:jc w:val="center"/>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879"/>
              <w:gridCol w:w="2350"/>
              <w:gridCol w:w="1305"/>
              <w:gridCol w:w="1045"/>
              <w:gridCol w:w="1310"/>
              <w:gridCol w:w="1109"/>
            </w:tblGrid>
            <w:tr w14:paraId="61DDB890">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0" w:type="pct"/>
                  <w:tcBorders>
                    <w:top w:val="single" w:color="auto" w:sz="4" w:space="0"/>
                  </w:tcBorders>
                  <w:noWrap w:val="0"/>
                  <w:vAlign w:val="center"/>
                </w:tcPr>
                <w:p w14:paraId="2EA561CB">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污染物</w:t>
                  </w:r>
                </w:p>
              </w:tc>
              <w:tc>
                <w:tcPr>
                  <w:tcW w:w="1469" w:type="pct"/>
                  <w:tcBorders>
                    <w:right w:val="single" w:color="auto" w:sz="4" w:space="0"/>
                  </w:tcBorders>
                  <w:noWrap w:val="0"/>
                  <w:vAlign w:val="center"/>
                </w:tcPr>
                <w:p w14:paraId="0BD914BF">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评价指标</w:t>
                  </w:r>
                </w:p>
              </w:tc>
              <w:tc>
                <w:tcPr>
                  <w:tcW w:w="816" w:type="pct"/>
                  <w:tcBorders>
                    <w:left w:val="single" w:color="auto" w:sz="4" w:space="0"/>
                  </w:tcBorders>
                  <w:noWrap w:val="0"/>
                  <w:vAlign w:val="center"/>
                </w:tcPr>
                <w:p w14:paraId="292C82EF">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现状浓度</w:t>
                  </w:r>
                </w:p>
                <w:p w14:paraId="0C9BCB5C">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μg/m</w:t>
                  </w:r>
                  <w:r>
                    <w:rPr>
                      <w:rFonts w:hint="default" w:ascii="Times New Roman" w:hAnsi="Times New Roman" w:eastAsia="宋体" w:cs="Times New Roman"/>
                      <w:color w:val="auto"/>
                      <w:szCs w:val="22"/>
                      <w:vertAlign w:val="superscript"/>
                    </w:rPr>
                    <w:t>3</w:t>
                  </w:r>
                </w:p>
              </w:tc>
              <w:tc>
                <w:tcPr>
                  <w:tcW w:w="653" w:type="pct"/>
                  <w:noWrap w:val="0"/>
                  <w:vAlign w:val="center"/>
                </w:tcPr>
                <w:p w14:paraId="31B7B23A">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标准值</w:t>
                  </w:r>
                </w:p>
                <w:p w14:paraId="18B7A720">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μg/m</w:t>
                  </w:r>
                  <w:r>
                    <w:rPr>
                      <w:rFonts w:hint="default" w:ascii="Times New Roman" w:hAnsi="Times New Roman" w:eastAsia="宋体" w:cs="Times New Roman"/>
                      <w:color w:val="auto"/>
                      <w:szCs w:val="22"/>
                      <w:vertAlign w:val="superscript"/>
                    </w:rPr>
                    <w:t>3</w:t>
                  </w:r>
                </w:p>
              </w:tc>
              <w:tc>
                <w:tcPr>
                  <w:tcW w:w="819" w:type="pct"/>
                  <w:tcBorders>
                    <w:top w:val="single" w:color="auto" w:sz="4" w:space="0"/>
                  </w:tcBorders>
                  <w:noWrap w:val="0"/>
                  <w:vAlign w:val="center"/>
                </w:tcPr>
                <w:p w14:paraId="308B9F41">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占标率%</w:t>
                  </w:r>
                </w:p>
              </w:tc>
              <w:tc>
                <w:tcPr>
                  <w:tcW w:w="693" w:type="pct"/>
                  <w:tcBorders>
                    <w:top w:val="single" w:color="auto" w:sz="4" w:space="0"/>
                  </w:tcBorders>
                  <w:noWrap w:val="0"/>
                  <w:vAlign w:val="center"/>
                </w:tcPr>
                <w:p w14:paraId="08A30497">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达标情况</w:t>
                  </w:r>
                </w:p>
              </w:tc>
            </w:tr>
            <w:tr w14:paraId="328F0A5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0" w:type="pct"/>
                  <w:noWrap w:val="0"/>
                  <w:vAlign w:val="center"/>
                </w:tcPr>
                <w:p w14:paraId="5A382E83">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PM</w:t>
                  </w:r>
                  <w:r>
                    <w:rPr>
                      <w:rFonts w:hint="default" w:ascii="Times New Roman" w:hAnsi="Times New Roman" w:eastAsia="宋体" w:cs="Times New Roman"/>
                      <w:color w:val="auto"/>
                      <w:szCs w:val="22"/>
                      <w:vertAlign w:val="subscript"/>
                    </w:rPr>
                    <w:t>10</w:t>
                  </w:r>
                </w:p>
              </w:tc>
              <w:tc>
                <w:tcPr>
                  <w:tcW w:w="1469" w:type="pct"/>
                  <w:vMerge w:val="restart"/>
                  <w:noWrap w:val="0"/>
                  <w:vAlign w:val="center"/>
                </w:tcPr>
                <w:p w14:paraId="161818E5">
                  <w:pPr>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年平均质量浓度</w:t>
                  </w:r>
                </w:p>
              </w:tc>
              <w:tc>
                <w:tcPr>
                  <w:tcW w:w="1305" w:type="dxa"/>
                  <w:noWrap w:val="0"/>
                  <w:vAlign w:val="center"/>
                </w:tcPr>
                <w:p w14:paraId="53F7A715">
                  <w:pPr>
                    <w:jc w:val="center"/>
                    <w:rPr>
                      <w:rFonts w:hint="default" w:ascii="Times New Roman" w:hAnsi="Times New Roman" w:eastAsia="宋体" w:cs="Times New Roman"/>
                      <w:color w:val="auto"/>
                      <w:szCs w:val="22"/>
                      <w:lang w:val="en-US" w:eastAsia="zh-CN"/>
                    </w:rPr>
                  </w:pPr>
                  <w:r>
                    <w:rPr>
                      <w:rFonts w:hint="default" w:ascii="Times New Roman" w:hAnsi="Times New Roman" w:cs="Times New Roman"/>
                      <w:color w:val="auto"/>
                      <w:szCs w:val="22"/>
                      <w:lang w:val="en-US" w:eastAsia="zh-CN"/>
                    </w:rPr>
                    <w:t>51</w:t>
                  </w:r>
                </w:p>
              </w:tc>
              <w:tc>
                <w:tcPr>
                  <w:tcW w:w="1045" w:type="dxa"/>
                  <w:noWrap w:val="0"/>
                  <w:vAlign w:val="center"/>
                </w:tcPr>
                <w:p w14:paraId="1750C5FB">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70</w:t>
                  </w:r>
                </w:p>
              </w:tc>
              <w:tc>
                <w:tcPr>
                  <w:tcW w:w="1310" w:type="dxa"/>
                  <w:noWrap w:val="0"/>
                  <w:vAlign w:val="center"/>
                </w:tcPr>
                <w:p w14:paraId="0CEC0E3E">
                  <w:pPr>
                    <w:jc w:val="center"/>
                    <w:rPr>
                      <w:rFonts w:hint="default" w:ascii="Times New Roman" w:hAnsi="Times New Roman" w:eastAsia="宋体" w:cs="Times New Roman"/>
                      <w:color w:val="auto"/>
                      <w:szCs w:val="22"/>
                      <w:lang w:val="en-US" w:eastAsia="zh-CN"/>
                    </w:rPr>
                  </w:pPr>
                  <w:r>
                    <w:rPr>
                      <w:rFonts w:hint="default" w:ascii="Times New Roman" w:hAnsi="Times New Roman" w:cs="Times New Roman"/>
                      <w:color w:val="auto"/>
                      <w:szCs w:val="22"/>
                      <w:lang w:val="en-US" w:eastAsia="zh-CN"/>
                    </w:rPr>
                    <w:t>72.9</w:t>
                  </w:r>
                </w:p>
              </w:tc>
              <w:tc>
                <w:tcPr>
                  <w:tcW w:w="693" w:type="pct"/>
                  <w:noWrap w:val="0"/>
                  <w:vAlign w:val="center"/>
                </w:tcPr>
                <w:p w14:paraId="607264E1">
                  <w:pPr>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达标</w:t>
                  </w:r>
                </w:p>
              </w:tc>
            </w:tr>
            <w:tr w14:paraId="5D2E7227">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0" w:type="pct"/>
                  <w:noWrap w:val="0"/>
                  <w:vAlign w:val="center"/>
                </w:tcPr>
                <w:p w14:paraId="40850F0A">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PM</w:t>
                  </w:r>
                  <w:r>
                    <w:rPr>
                      <w:rFonts w:hint="default" w:ascii="Times New Roman" w:hAnsi="Times New Roman" w:eastAsia="宋体" w:cs="Times New Roman"/>
                      <w:color w:val="auto"/>
                      <w:szCs w:val="22"/>
                      <w:vertAlign w:val="subscript"/>
                    </w:rPr>
                    <w:t>2.5</w:t>
                  </w:r>
                </w:p>
              </w:tc>
              <w:tc>
                <w:tcPr>
                  <w:tcW w:w="1469" w:type="pct"/>
                  <w:vMerge w:val="continue"/>
                  <w:noWrap w:val="0"/>
                  <w:vAlign w:val="center"/>
                </w:tcPr>
                <w:p w14:paraId="206F8BCE">
                  <w:pPr>
                    <w:snapToGrid w:val="0"/>
                    <w:jc w:val="center"/>
                    <w:rPr>
                      <w:rFonts w:hint="default" w:ascii="Times New Roman" w:hAnsi="Times New Roman" w:eastAsia="宋体" w:cs="Times New Roman"/>
                      <w:color w:val="auto"/>
                      <w:szCs w:val="22"/>
                    </w:rPr>
                  </w:pPr>
                </w:p>
              </w:tc>
              <w:tc>
                <w:tcPr>
                  <w:tcW w:w="1305" w:type="dxa"/>
                  <w:noWrap w:val="0"/>
                  <w:vAlign w:val="center"/>
                </w:tcPr>
                <w:p w14:paraId="23EF8431">
                  <w:pPr>
                    <w:jc w:val="center"/>
                    <w:rPr>
                      <w:rFonts w:hint="default" w:ascii="Times New Roman" w:hAnsi="Times New Roman" w:eastAsia="宋体" w:cs="Times New Roman"/>
                      <w:b w:val="0"/>
                      <w:bCs w:val="0"/>
                      <w:color w:val="auto"/>
                      <w:szCs w:val="22"/>
                      <w:lang w:val="en-US" w:eastAsia="zh-CN"/>
                    </w:rPr>
                  </w:pPr>
                  <w:r>
                    <w:rPr>
                      <w:rFonts w:hint="default" w:ascii="Times New Roman" w:hAnsi="Times New Roman" w:cs="Times New Roman"/>
                      <w:b w:val="0"/>
                      <w:bCs w:val="0"/>
                      <w:color w:val="auto"/>
                      <w:szCs w:val="22"/>
                      <w:lang w:val="en-US" w:eastAsia="zh-CN"/>
                    </w:rPr>
                    <w:t>32.3</w:t>
                  </w:r>
                </w:p>
              </w:tc>
              <w:tc>
                <w:tcPr>
                  <w:tcW w:w="1045" w:type="dxa"/>
                  <w:noWrap w:val="0"/>
                  <w:vAlign w:val="center"/>
                </w:tcPr>
                <w:p w14:paraId="5CA1611D">
                  <w:pPr>
                    <w:jc w:val="center"/>
                    <w:rPr>
                      <w:rFonts w:hint="default" w:ascii="Times New Roman" w:hAnsi="Times New Roman" w:eastAsia="宋体" w:cs="Times New Roman"/>
                      <w:b w:val="0"/>
                      <w:bCs w:val="0"/>
                      <w:color w:val="auto"/>
                      <w:szCs w:val="22"/>
                    </w:rPr>
                  </w:pPr>
                  <w:r>
                    <w:rPr>
                      <w:rFonts w:hint="default" w:ascii="Times New Roman" w:hAnsi="Times New Roman" w:eastAsia="宋体" w:cs="Times New Roman"/>
                      <w:b w:val="0"/>
                      <w:bCs w:val="0"/>
                      <w:color w:val="auto"/>
                      <w:szCs w:val="22"/>
                    </w:rPr>
                    <w:t>35</w:t>
                  </w:r>
                </w:p>
              </w:tc>
              <w:tc>
                <w:tcPr>
                  <w:tcW w:w="1310" w:type="dxa"/>
                  <w:noWrap w:val="0"/>
                  <w:vAlign w:val="center"/>
                </w:tcPr>
                <w:p w14:paraId="33A80805">
                  <w:pPr>
                    <w:jc w:val="center"/>
                    <w:rPr>
                      <w:rFonts w:hint="default" w:ascii="Times New Roman" w:hAnsi="Times New Roman" w:eastAsia="宋体" w:cs="Times New Roman"/>
                      <w:b w:val="0"/>
                      <w:bCs w:val="0"/>
                      <w:color w:val="auto"/>
                      <w:szCs w:val="22"/>
                      <w:lang w:val="en-US" w:eastAsia="zh-CN"/>
                    </w:rPr>
                  </w:pPr>
                  <w:r>
                    <w:rPr>
                      <w:rFonts w:hint="default" w:ascii="Times New Roman" w:hAnsi="Times New Roman" w:cs="Times New Roman"/>
                      <w:b w:val="0"/>
                      <w:bCs w:val="0"/>
                      <w:color w:val="auto"/>
                      <w:szCs w:val="22"/>
                      <w:lang w:val="en-US" w:eastAsia="zh-CN"/>
                    </w:rPr>
                    <w:t>92.3</w:t>
                  </w:r>
                </w:p>
              </w:tc>
              <w:tc>
                <w:tcPr>
                  <w:tcW w:w="693" w:type="pct"/>
                  <w:noWrap w:val="0"/>
                  <w:vAlign w:val="center"/>
                </w:tcPr>
                <w:p w14:paraId="061551BA">
                  <w:pPr>
                    <w:snapToGrid w:val="0"/>
                    <w:jc w:val="center"/>
                    <w:rPr>
                      <w:rFonts w:hint="default" w:ascii="Times New Roman" w:hAnsi="Times New Roman" w:eastAsia="宋体" w:cs="Times New Roman"/>
                      <w:color w:val="auto"/>
                      <w:szCs w:val="22"/>
                    </w:rPr>
                  </w:pPr>
                  <w:r>
                    <w:rPr>
                      <w:rFonts w:hint="default" w:ascii="Times New Roman" w:hAnsi="Times New Roman" w:cs="Times New Roman"/>
                      <w:color w:val="auto"/>
                      <w:sz w:val="22"/>
                      <w:szCs w:val="22"/>
                      <w:highlight w:val="none"/>
                    </w:rPr>
                    <w:t>达标</w:t>
                  </w:r>
                </w:p>
              </w:tc>
            </w:tr>
            <w:tr w14:paraId="5211ACF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0" w:type="pct"/>
                  <w:noWrap w:val="0"/>
                  <w:vAlign w:val="center"/>
                </w:tcPr>
                <w:p w14:paraId="5AD48AE9">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SO</w:t>
                  </w:r>
                  <w:r>
                    <w:rPr>
                      <w:rFonts w:hint="default" w:ascii="Times New Roman" w:hAnsi="Times New Roman" w:eastAsia="宋体" w:cs="Times New Roman"/>
                      <w:color w:val="auto"/>
                      <w:szCs w:val="22"/>
                      <w:vertAlign w:val="subscript"/>
                    </w:rPr>
                    <w:t>2</w:t>
                  </w:r>
                </w:p>
              </w:tc>
              <w:tc>
                <w:tcPr>
                  <w:tcW w:w="1469" w:type="pct"/>
                  <w:vMerge w:val="continue"/>
                  <w:noWrap w:val="0"/>
                  <w:vAlign w:val="center"/>
                </w:tcPr>
                <w:p w14:paraId="5EA74D36">
                  <w:pPr>
                    <w:snapToGrid w:val="0"/>
                    <w:jc w:val="center"/>
                    <w:rPr>
                      <w:rFonts w:hint="default" w:ascii="Times New Roman" w:hAnsi="Times New Roman" w:eastAsia="宋体" w:cs="Times New Roman"/>
                      <w:color w:val="auto"/>
                      <w:szCs w:val="22"/>
                    </w:rPr>
                  </w:pPr>
                </w:p>
              </w:tc>
              <w:tc>
                <w:tcPr>
                  <w:tcW w:w="1305" w:type="dxa"/>
                  <w:noWrap w:val="0"/>
                  <w:vAlign w:val="center"/>
                </w:tcPr>
                <w:p w14:paraId="5A2DD5C3">
                  <w:pPr>
                    <w:jc w:val="center"/>
                    <w:rPr>
                      <w:rFonts w:hint="default" w:ascii="Times New Roman" w:hAnsi="Times New Roman" w:eastAsia="宋体" w:cs="Times New Roman"/>
                      <w:b w:val="0"/>
                      <w:bCs w:val="0"/>
                      <w:color w:val="auto"/>
                      <w:szCs w:val="22"/>
                      <w:lang w:val="en-US" w:eastAsia="zh-CN"/>
                    </w:rPr>
                  </w:pPr>
                  <w:r>
                    <w:rPr>
                      <w:rFonts w:hint="default" w:ascii="Times New Roman" w:hAnsi="Times New Roman" w:eastAsia="宋体" w:cs="Times New Roman"/>
                      <w:b w:val="0"/>
                      <w:bCs w:val="0"/>
                      <w:color w:val="auto"/>
                      <w:szCs w:val="22"/>
                      <w:lang w:val="en-US" w:eastAsia="zh-CN"/>
                    </w:rPr>
                    <w:t>8</w:t>
                  </w:r>
                </w:p>
              </w:tc>
              <w:tc>
                <w:tcPr>
                  <w:tcW w:w="1045" w:type="dxa"/>
                  <w:noWrap w:val="0"/>
                  <w:vAlign w:val="center"/>
                </w:tcPr>
                <w:p w14:paraId="387881AB">
                  <w:pPr>
                    <w:jc w:val="center"/>
                    <w:rPr>
                      <w:rFonts w:hint="default" w:ascii="Times New Roman" w:hAnsi="Times New Roman" w:eastAsia="宋体" w:cs="Times New Roman"/>
                      <w:b w:val="0"/>
                      <w:bCs w:val="0"/>
                      <w:color w:val="auto"/>
                      <w:szCs w:val="22"/>
                    </w:rPr>
                  </w:pPr>
                  <w:r>
                    <w:rPr>
                      <w:rFonts w:hint="default" w:ascii="Times New Roman" w:hAnsi="Times New Roman" w:eastAsia="宋体" w:cs="Times New Roman"/>
                      <w:b w:val="0"/>
                      <w:bCs w:val="0"/>
                      <w:color w:val="auto"/>
                      <w:szCs w:val="22"/>
                    </w:rPr>
                    <w:t>60</w:t>
                  </w:r>
                </w:p>
              </w:tc>
              <w:tc>
                <w:tcPr>
                  <w:tcW w:w="1310" w:type="dxa"/>
                  <w:noWrap w:val="0"/>
                  <w:vAlign w:val="center"/>
                </w:tcPr>
                <w:p w14:paraId="4EE46882">
                  <w:pPr>
                    <w:jc w:val="center"/>
                    <w:rPr>
                      <w:rFonts w:hint="default" w:ascii="Times New Roman" w:hAnsi="Times New Roman" w:eastAsia="宋体" w:cs="Times New Roman"/>
                      <w:b w:val="0"/>
                      <w:bCs w:val="0"/>
                      <w:color w:val="auto"/>
                      <w:szCs w:val="22"/>
                      <w:lang w:val="en-US" w:eastAsia="zh-CN"/>
                    </w:rPr>
                  </w:pPr>
                  <w:r>
                    <w:rPr>
                      <w:rFonts w:hint="default" w:ascii="Times New Roman" w:hAnsi="Times New Roman" w:eastAsia="宋体" w:cs="Times New Roman"/>
                      <w:b w:val="0"/>
                      <w:bCs w:val="0"/>
                      <w:color w:val="auto"/>
                      <w:szCs w:val="22"/>
                      <w:lang w:val="en-US" w:eastAsia="zh-CN"/>
                    </w:rPr>
                    <w:t>13.3</w:t>
                  </w:r>
                </w:p>
              </w:tc>
              <w:tc>
                <w:tcPr>
                  <w:tcW w:w="693" w:type="pct"/>
                  <w:noWrap w:val="0"/>
                  <w:vAlign w:val="center"/>
                </w:tcPr>
                <w:p w14:paraId="4C1F5924">
                  <w:pPr>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达标</w:t>
                  </w:r>
                </w:p>
              </w:tc>
            </w:tr>
            <w:tr w14:paraId="1CA50773">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0" w:type="pct"/>
                  <w:noWrap w:val="0"/>
                  <w:vAlign w:val="center"/>
                </w:tcPr>
                <w:p w14:paraId="66E80ADB">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NO</w:t>
                  </w:r>
                  <w:r>
                    <w:rPr>
                      <w:rFonts w:hint="default" w:ascii="Times New Roman" w:hAnsi="Times New Roman" w:eastAsia="宋体" w:cs="Times New Roman"/>
                      <w:color w:val="auto"/>
                      <w:szCs w:val="22"/>
                      <w:vertAlign w:val="subscript"/>
                    </w:rPr>
                    <w:t>2</w:t>
                  </w:r>
                </w:p>
              </w:tc>
              <w:tc>
                <w:tcPr>
                  <w:tcW w:w="1469" w:type="pct"/>
                  <w:vMerge w:val="continue"/>
                  <w:noWrap w:val="0"/>
                  <w:vAlign w:val="center"/>
                </w:tcPr>
                <w:p w14:paraId="3BD34B4C">
                  <w:pPr>
                    <w:snapToGrid w:val="0"/>
                    <w:jc w:val="center"/>
                    <w:rPr>
                      <w:rFonts w:hint="default" w:ascii="Times New Roman" w:hAnsi="Times New Roman" w:eastAsia="宋体" w:cs="Times New Roman"/>
                      <w:color w:val="auto"/>
                      <w:szCs w:val="22"/>
                    </w:rPr>
                  </w:pPr>
                </w:p>
              </w:tc>
              <w:tc>
                <w:tcPr>
                  <w:tcW w:w="1305" w:type="dxa"/>
                  <w:noWrap w:val="0"/>
                  <w:vAlign w:val="center"/>
                </w:tcPr>
                <w:p w14:paraId="15B5C897">
                  <w:pPr>
                    <w:jc w:val="center"/>
                    <w:rPr>
                      <w:rFonts w:hint="default" w:ascii="Times New Roman" w:hAnsi="Times New Roman" w:eastAsia="宋体" w:cs="Times New Roman"/>
                      <w:b w:val="0"/>
                      <w:bCs w:val="0"/>
                      <w:color w:val="auto"/>
                      <w:szCs w:val="22"/>
                      <w:lang w:val="en-US" w:eastAsia="zh-CN"/>
                    </w:rPr>
                  </w:pPr>
                  <w:r>
                    <w:rPr>
                      <w:rFonts w:hint="default" w:ascii="Times New Roman" w:hAnsi="Times New Roman" w:cs="Times New Roman"/>
                      <w:b w:val="0"/>
                      <w:bCs w:val="0"/>
                      <w:color w:val="auto"/>
                      <w:szCs w:val="22"/>
                      <w:lang w:val="en-US" w:eastAsia="zh-CN"/>
                    </w:rPr>
                    <w:t>34</w:t>
                  </w:r>
                </w:p>
              </w:tc>
              <w:tc>
                <w:tcPr>
                  <w:tcW w:w="1045" w:type="dxa"/>
                  <w:noWrap w:val="0"/>
                  <w:vAlign w:val="center"/>
                </w:tcPr>
                <w:p w14:paraId="6E764D90">
                  <w:pPr>
                    <w:jc w:val="center"/>
                    <w:rPr>
                      <w:rFonts w:hint="default" w:ascii="Times New Roman" w:hAnsi="Times New Roman" w:eastAsia="宋体" w:cs="Times New Roman"/>
                      <w:b w:val="0"/>
                      <w:bCs w:val="0"/>
                      <w:color w:val="auto"/>
                      <w:szCs w:val="22"/>
                    </w:rPr>
                  </w:pPr>
                  <w:r>
                    <w:rPr>
                      <w:rFonts w:hint="default" w:ascii="Times New Roman" w:hAnsi="Times New Roman" w:eastAsia="宋体" w:cs="Times New Roman"/>
                      <w:b w:val="0"/>
                      <w:bCs w:val="0"/>
                      <w:color w:val="auto"/>
                      <w:szCs w:val="22"/>
                    </w:rPr>
                    <w:t>40</w:t>
                  </w:r>
                </w:p>
              </w:tc>
              <w:tc>
                <w:tcPr>
                  <w:tcW w:w="1310" w:type="dxa"/>
                  <w:noWrap w:val="0"/>
                  <w:vAlign w:val="center"/>
                </w:tcPr>
                <w:p w14:paraId="355671DA">
                  <w:pPr>
                    <w:jc w:val="center"/>
                    <w:rPr>
                      <w:rFonts w:hint="default" w:ascii="Times New Roman" w:hAnsi="Times New Roman" w:eastAsia="宋体" w:cs="Times New Roman"/>
                      <w:b w:val="0"/>
                      <w:bCs w:val="0"/>
                      <w:color w:val="auto"/>
                      <w:szCs w:val="22"/>
                      <w:lang w:val="en-US" w:eastAsia="zh-CN"/>
                    </w:rPr>
                  </w:pPr>
                  <w:r>
                    <w:rPr>
                      <w:rFonts w:hint="default" w:ascii="Times New Roman" w:hAnsi="Times New Roman" w:cs="Times New Roman"/>
                      <w:b w:val="0"/>
                      <w:bCs w:val="0"/>
                      <w:color w:val="auto"/>
                      <w:szCs w:val="22"/>
                      <w:lang w:val="en-US" w:eastAsia="zh-CN"/>
                    </w:rPr>
                    <w:t>85.0</w:t>
                  </w:r>
                </w:p>
              </w:tc>
              <w:tc>
                <w:tcPr>
                  <w:tcW w:w="693" w:type="pct"/>
                  <w:noWrap w:val="0"/>
                  <w:vAlign w:val="center"/>
                </w:tcPr>
                <w:p w14:paraId="043B0695">
                  <w:pPr>
                    <w:snapToGrid w:val="0"/>
                    <w:jc w:val="center"/>
                    <w:rPr>
                      <w:rFonts w:hint="default" w:ascii="Times New Roman" w:hAnsi="Times New Roman" w:eastAsia="宋体" w:cs="Times New Roman"/>
                      <w:color w:val="auto"/>
                      <w:szCs w:val="22"/>
                    </w:rPr>
                  </w:pPr>
                  <w:r>
                    <w:rPr>
                      <w:rFonts w:hint="default" w:ascii="Times New Roman" w:hAnsi="Times New Roman" w:cs="Times New Roman"/>
                      <w:color w:val="auto"/>
                      <w:sz w:val="22"/>
                      <w:szCs w:val="22"/>
                      <w:highlight w:val="none"/>
                    </w:rPr>
                    <w:t>达标</w:t>
                  </w:r>
                </w:p>
              </w:tc>
            </w:tr>
            <w:tr w14:paraId="07A56FE3">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0" w:type="pct"/>
                  <w:noWrap w:val="0"/>
                  <w:vAlign w:val="center"/>
                </w:tcPr>
                <w:p w14:paraId="31050266">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O</w:t>
                  </w:r>
                  <w:r>
                    <w:rPr>
                      <w:rFonts w:hint="default" w:ascii="Times New Roman" w:hAnsi="Times New Roman" w:eastAsia="宋体" w:cs="Times New Roman"/>
                      <w:color w:val="auto"/>
                      <w:szCs w:val="22"/>
                      <w:vertAlign w:val="subscript"/>
                    </w:rPr>
                    <w:t>3</w:t>
                  </w:r>
                </w:p>
              </w:tc>
              <w:tc>
                <w:tcPr>
                  <w:tcW w:w="1469" w:type="pct"/>
                  <w:noWrap w:val="0"/>
                  <w:vAlign w:val="center"/>
                </w:tcPr>
                <w:p w14:paraId="54E393B0">
                  <w:pPr>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日最大8小时平均值的第90百分位数</w:t>
                  </w:r>
                </w:p>
              </w:tc>
              <w:tc>
                <w:tcPr>
                  <w:tcW w:w="1305" w:type="dxa"/>
                  <w:noWrap w:val="0"/>
                  <w:vAlign w:val="center"/>
                </w:tcPr>
                <w:p w14:paraId="6D9EAA84">
                  <w:pPr>
                    <w:jc w:val="center"/>
                    <w:rPr>
                      <w:rFonts w:hint="default" w:ascii="Times New Roman" w:hAnsi="Times New Roman" w:eastAsia="宋体" w:cs="Times New Roman"/>
                      <w:color w:val="auto"/>
                      <w:szCs w:val="22"/>
                      <w:lang w:val="en-US" w:eastAsia="zh-CN"/>
                    </w:rPr>
                  </w:pPr>
                  <w:r>
                    <w:rPr>
                      <w:rFonts w:hint="default" w:ascii="Times New Roman" w:hAnsi="Times New Roman" w:cs="Times New Roman"/>
                      <w:color w:val="auto"/>
                      <w:szCs w:val="22"/>
                      <w:lang w:val="en-US" w:eastAsia="zh-CN"/>
                    </w:rPr>
                    <w:t>140</w:t>
                  </w:r>
                </w:p>
              </w:tc>
              <w:tc>
                <w:tcPr>
                  <w:tcW w:w="1045" w:type="dxa"/>
                  <w:noWrap w:val="0"/>
                  <w:vAlign w:val="center"/>
                </w:tcPr>
                <w:p w14:paraId="2F3E16D2">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160</w:t>
                  </w:r>
                </w:p>
              </w:tc>
              <w:tc>
                <w:tcPr>
                  <w:tcW w:w="1310" w:type="dxa"/>
                  <w:noWrap w:val="0"/>
                  <w:vAlign w:val="center"/>
                </w:tcPr>
                <w:p w14:paraId="5D237696">
                  <w:pPr>
                    <w:jc w:val="center"/>
                    <w:rPr>
                      <w:rFonts w:hint="default" w:ascii="Times New Roman" w:hAnsi="Times New Roman" w:eastAsia="宋体" w:cs="Times New Roman"/>
                      <w:color w:val="auto"/>
                      <w:szCs w:val="22"/>
                      <w:lang w:val="en-US" w:eastAsia="zh-CN"/>
                    </w:rPr>
                  </w:pPr>
                  <w:r>
                    <w:rPr>
                      <w:rFonts w:hint="default" w:ascii="Times New Roman" w:hAnsi="Times New Roman" w:cs="Times New Roman"/>
                      <w:color w:val="auto"/>
                      <w:szCs w:val="22"/>
                      <w:lang w:val="en-US" w:eastAsia="zh-CN"/>
                    </w:rPr>
                    <w:t>87.5</w:t>
                  </w:r>
                </w:p>
              </w:tc>
              <w:tc>
                <w:tcPr>
                  <w:tcW w:w="693" w:type="pct"/>
                  <w:noWrap w:val="0"/>
                  <w:vAlign w:val="center"/>
                </w:tcPr>
                <w:p w14:paraId="71614862">
                  <w:pPr>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达标</w:t>
                  </w:r>
                </w:p>
              </w:tc>
            </w:tr>
            <w:tr w14:paraId="33F9866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550" w:type="pct"/>
                  <w:noWrap w:val="0"/>
                  <w:vAlign w:val="center"/>
                </w:tcPr>
                <w:p w14:paraId="29B1FA1E">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CO</w:t>
                  </w:r>
                </w:p>
              </w:tc>
              <w:tc>
                <w:tcPr>
                  <w:tcW w:w="1469" w:type="pct"/>
                  <w:noWrap w:val="0"/>
                  <w:vAlign w:val="center"/>
                </w:tcPr>
                <w:p w14:paraId="25A6F5F8">
                  <w:pPr>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24小时平均值的第95百分位数</w:t>
                  </w:r>
                </w:p>
              </w:tc>
              <w:tc>
                <w:tcPr>
                  <w:tcW w:w="1305" w:type="dxa"/>
                  <w:noWrap w:val="0"/>
                  <w:vAlign w:val="center"/>
                </w:tcPr>
                <w:p w14:paraId="04300274">
                  <w:pPr>
                    <w:jc w:val="center"/>
                    <w:rPr>
                      <w:rFonts w:hint="default" w:ascii="Times New Roman" w:hAnsi="Times New Roman" w:eastAsia="宋体" w:cs="Times New Roman"/>
                      <w:color w:val="auto"/>
                      <w:szCs w:val="22"/>
                      <w:lang w:val="en-US" w:eastAsia="zh-CN"/>
                    </w:rPr>
                  </w:pPr>
                  <w:r>
                    <w:rPr>
                      <w:rFonts w:hint="default" w:ascii="Times New Roman" w:hAnsi="Times New Roman" w:cs="Times New Roman"/>
                      <w:color w:val="auto"/>
                      <w:szCs w:val="22"/>
                      <w:lang w:val="en-US" w:eastAsia="zh-CN"/>
                    </w:rPr>
                    <w:t>1200</w:t>
                  </w:r>
                </w:p>
              </w:tc>
              <w:tc>
                <w:tcPr>
                  <w:tcW w:w="1045" w:type="dxa"/>
                  <w:noWrap w:val="0"/>
                  <w:vAlign w:val="center"/>
                </w:tcPr>
                <w:p w14:paraId="273E637E">
                  <w:pPr>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4000</w:t>
                  </w:r>
                </w:p>
              </w:tc>
              <w:tc>
                <w:tcPr>
                  <w:tcW w:w="1310" w:type="dxa"/>
                  <w:noWrap w:val="0"/>
                  <w:vAlign w:val="center"/>
                </w:tcPr>
                <w:p w14:paraId="15AEEBB8">
                  <w:pPr>
                    <w:jc w:val="center"/>
                    <w:rPr>
                      <w:rFonts w:hint="default" w:ascii="Times New Roman" w:hAnsi="Times New Roman" w:eastAsia="宋体" w:cs="Times New Roman"/>
                      <w:color w:val="auto"/>
                      <w:szCs w:val="22"/>
                      <w:lang w:val="en-US" w:eastAsia="zh-CN"/>
                    </w:rPr>
                  </w:pPr>
                  <w:r>
                    <w:rPr>
                      <w:rFonts w:hint="default" w:ascii="Times New Roman" w:hAnsi="Times New Roman" w:cs="Times New Roman"/>
                      <w:color w:val="auto"/>
                      <w:szCs w:val="22"/>
                      <w:lang w:val="en-US" w:eastAsia="zh-CN"/>
                    </w:rPr>
                    <w:t>30.0</w:t>
                  </w:r>
                </w:p>
              </w:tc>
              <w:tc>
                <w:tcPr>
                  <w:tcW w:w="693" w:type="pct"/>
                  <w:noWrap w:val="0"/>
                  <w:vAlign w:val="center"/>
                </w:tcPr>
                <w:p w14:paraId="191B5799">
                  <w:pPr>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达标</w:t>
                  </w:r>
                </w:p>
              </w:tc>
            </w:tr>
          </w:tbl>
          <w:p w14:paraId="60912EAB">
            <w:pPr>
              <w:pStyle w:val="71"/>
              <w:spacing w:line="360" w:lineRule="auto"/>
              <w:ind w:firstLine="480"/>
              <w:jc w:val="left"/>
              <w:rPr>
                <w:rFonts w:hint="default" w:ascii="Times New Roman" w:hAnsi="Times New Roman" w:eastAsia="宋体" w:cs="Times New Roman"/>
                <w:snapToGrid w:val="0"/>
                <w:color w:val="auto"/>
              </w:rPr>
            </w:pPr>
          </w:p>
          <w:p w14:paraId="2026C554">
            <w:pPr>
              <w:adjustRightInd w:val="0"/>
              <w:snapToGrid w:val="0"/>
              <w:spacing w:line="360" w:lineRule="auto"/>
              <w:ind w:firstLine="480" w:firstLineChars="200"/>
              <w:rPr>
                <w:rFonts w:hint="default" w:ascii="Times New Roman" w:hAnsi="Times New Roman" w:eastAsia="宋体" w:cs="Times New Roman"/>
                <w:color w:val="auto"/>
                <w:sz w:val="32"/>
              </w:rPr>
            </w:pPr>
            <w:r>
              <w:rPr>
                <w:rFonts w:hint="default" w:ascii="Times New Roman" w:hAnsi="Times New Roman" w:eastAsia="宋体" w:cs="Times New Roman"/>
                <w:color w:val="auto"/>
                <w:sz w:val="24"/>
              </w:rPr>
              <w:t>根据上表3.1-1可知，本项目所在区域环境空气中</w:t>
            </w:r>
            <w:r>
              <w:rPr>
                <w:rFonts w:hint="default" w:ascii="Times New Roman" w:hAnsi="Times New Roman" w:eastAsia="宋体" w:cs="Times New Roman"/>
                <w:color w:val="auto"/>
                <w:sz w:val="24"/>
                <w:szCs w:val="26"/>
              </w:rPr>
              <w:t>PM</w:t>
            </w:r>
            <w:r>
              <w:rPr>
                <w:rFonts w:hint="default" w:ascii="Times New Roman" w:hAnsi="Times New Roman" w:eastAsia="宋体" w:cs="Times New Roman"/>
                <w:color w:val="auto"/>
                <w:sz w:val="24"/>
                <w:szCs w:val="26"/>
                <w:vertAlign w:val="subscript"/>
              </w:rPr>
              <w:t>10</w:t>
            </w:r>
            <w:r>
              <w:rPr>
                <w:rFonts w:hint="default" w:ascii="Times New Roman" w:hAnsi="Times New Roman" w:eastAsia="宋体" w:cs="Times New Roman"/>
                <w:color w:val="auto"/>
                <w:sz w:val="24"/>
                <w:szCs w:val="26"/>
              </w:rPr>
              <w:t>、PM</w:t>
            </w:r>
            <w:r>
              <w:rPr>
                <w:rFonts w:hint="default" w:ascii="Times New Roman" w:hAnsi="Times New Roman" w:eastAsia="宋体" w:cs="Times New Roman"/>
                <w:color w:val="auto"/>
                <w:sz w:val="24"/>
                <w:szCs w:val="26"/>
                <w:vertAlign w:val="subscript"/>
              </w:rPr>
              <w:t>2.5</w:t>
            </w:r>
            <w:r>
              <w:rPr>
                <w:rFonts w:hint="default" w:ascii="Times New Roman" w:hAnsi="Times New Roman" w:cs="Times New Roman"/>
                <w:color w:val="auto"/>
                <w:sz w:val="24"/>
                <w:szCs w:val="26"/>
                <w:vertAlign w:val="baseline"/>
                <w:lang w:eastAsia="zh-CN"/>
              </w:rPr>
              <w:t>、</w:t>
            </w:r>
            <w:r>
              <w:rPr>
                <w:rFonts w:hint="default" w:ascii="Times New Roman" w:hAnsi="Times New Roman" w:eastAsia="宋体" w:cs="Times New Roman"/>
                <w:color w:val="auto"/>
                <w:sz w:val="24"/>
                <w:szCs w:val="26"/>
              </w:rPr>
              <w:t>SO</w:t>
            </w:r>
            <w:r>
              <w:rPr>
                <w:rFonts w:hint="default" w:ascii="Times New Roman" w:hAnsi="Times New Roman" w:eastAsia="宋体" w:cs="Times New Roman"/>
                <w:color w:val="auto"/>
                <w:sz w:val="24"/>
                <w:szCs w:val="26"/>
                <w:vertAlign w:val="subscript"/>
              </w:rPr>
              <w:t>2</w:t>
            </w:r>
            <w:r>
              <w:rPr>
                <w:rFonts w:hint="default" w:ascii="Times New Roman" w:hAnsi="Times New Roman" w:eastAsia="宋体" w:cs="Times New Roman"/>
                <w:color w:val="auto"/>
                <w:sz w:val="24"/>
                <w:szCs w:val="26"/>
              </w:rPr>
              <w:t>、NO</w:t>
            </w:r>
            <w:r>
              <w:rPr>
                <w:rFonts w:hint="default" w:ascii="Times New Roman" w:hAnsi="Times New Roman" w:eastAsia="宋体" w:cs="Times New Roman"/>
                <w:color w:val="auto"/>
                <w:sz w:val="24"/>
                <w:szCs w:val="26"/>
                <w:vertAlign w:val="subscript"/>
              </w:rPr>
              <w:t>2</w:t>
            </w:r>
            <w:r>
              <w:rPr>
                <w:rFonts w:hint="default" w:ascii="Times New Roman" w:hAnsi="Times New Roman" w:cs="Times New Roman"/>
                <w:color w:val="auto"/>
                <w:sz w:val="24"/>
                <w:szCs w:val="26"/>
                <w:lang w:eastAsia="zh-CN"/>
              </w:rPr>
              <w:t>、</w:t>
            </w:r>
            <w:r>
              <w:rPr>
                <w:rFonts w:hint="default" w:ascii="Times New Roman" w:hAnsi="Times New Roman" w:eastAsia="宋体" w:cs="Times New Roman"/>
                <w:color w:val="auto"/>
                <w:sz w:val="24"/>
                <w:szCs w:val="26"/>
              </w:rPr>
              <w:t>O</w:t>
            </w:r>
            <w:r>
              <w:rPr>
                <w:rFonts w:hint="default" w:ascii="Times New Roman" w:hAnsi="Times New Roman" w:eastAsia="宋体" w:cs="Times New Roman"/>
                <w:color w:val="auto"/>
                <w:sz w:val="24"/>
                <w:szCs w:val="26"/>
                <w:vertAlign w:val="subscript"/>
              </w:rPr>
              <w:t>3</w:t>
            </w:r>
            <w:r>
              <w:rPr>
                <w:rFonts w:hint="default" w:ascii="Times New Roman" w:hAnsi="Times New Roman" w:eastAsia="宋体" w:cs="Times New Roman"/>
                <w:color w:val="auto"/>
                <w:sz w:val="24"/>
                <w:szCs w:val="26"/>
              </w:rPr>
              <w:t>、CO均能满足《环境空气质量标准》（GB3095-2012）二级标准要求，项目所在九龙坡区的区域环境空气质量为达标区。</w:t>
            </w:r>
          </w:p>
          <w:p w14:paraId="53C702EC">
            <w:pPr>
              <w:pStyle w:val="81"/>
              <w:spacing w:line="360" w:lineRule="auto"/>
              <w:ind w:firstLine="48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（2）特征因子环境空气质量现状</w:t>
            </w:r>
          </w:p>
          <w:p w14:paraId="41892C8C">
            <w:pPr>
              <w:pStyle w:val="71"/>
              <w:spacing w:line="360" w:lineRule="auto"/>
              <w:ind w:firstLine="480"/>
              <w:jc w:val="left"/>
              <w:rPr>
                <w:rFonts w:hint="default" w:ascii="Times New Roman" w:hAnsi="Times New Roman" w:eastAsia="宋体" w:cs="Times New Roman"/>
                <w:snapToGrid w:val="0"/>
                <w:color w:val="auto"/>
              </w:rPr>
            </w:pPr>
            <w:r>
              <w:rPr>
                <w:rFonts w:hint="default" w:ascii="Times New Roman" w:hAnsi="Times New Roman" w:eastAsia="宋体" w:cs="Times New Roman"/>
                <w:color w:val="auto"/>
              </w:rPr>
              <w:t>本项目位于重庆市九龙坡区谢家湾菜袁路，项目特征因子为非甲烷总烃，本次评价引用《</w:t>
            </w:r>
            <w:r>
              <w:rPr>
                <w:rFonts w:hint="default" w:ascii="Times New Roman" w:hAnsi="Times New Roman" w:eastAsia="宋体" w:cs="Times New Roman"/>
                <w:color w:val="auto"/>
                <w:lang w:eastAsia="zh-CN"/>
              </w:rPr>
              <w:t>重庆市九龙工业园区规划环境影响评价项目</w:t>
            </w:r>
            <w:r>
              <w:rPr>
                <w:rFonts w:hint="default" w:ascii="Times New Roman" w:hAnsi="Times New Roman" w:eastAsia="宋体" w:cs="Times New Roman"/>
                <w:color w:val="auto"/>
              </w:rPr>
              <w:t>》中</w:t>
            </w:r>
            <w:r>
              <w:rPr>
                <w:rFonts w:hint="default" w:ascii="Times New Roman" w:hAnsi="Times New Roman" w:eastAsia="宋体" w:cs="Times New Roman"/>
                <w:color w:val="auto"/>
                <w:lang w:eastAsia="zh-CN"/>
              </w:rPr>
              <w:t>高柳馨园小区处</w:t>
            </w:r>
            <w:r>
              <w:rPr>
                <w:rFonts w:hint="default" w:ascii="Times New Roman" w:hAnsi="Times New Roman" w:eastAsia="宋体" w:cs="Times New Roman"/>
                <w:color w:val="auto"/>
              </w:rPr>
              <w:t>的监测数据</w:t>
            </w:r>
            <w:r>
              <w:rPr>
                <w:rFonts w:hint="default" w:ascii="Times New Roman" w:hAnsi="Times New Roman" w:eastAsia="宋体" w:cs="Times New Roman"/>
                <w:color w:val="auto"/>
                <w:lang w:eastAsia="zh-CN"/>
              </w:rPr>
              <w:t>（渝大安（环）检</w:t>
            </w:r>
            <w:r>
              <w:rPr>
                <w:rFonts w:hint="default" w:ascii="Times New Roman" w:hAnsi="Times New Roman" w:cs="Times New Roman"/>
                <w:color w:val="auto"/>
                <w:lang w:eastAsia="zh-CN"/>
              </w:rPr>
              <w:t>〔2023〕</w:t>
            </w:r>
            <w:r>
              <w:rPr>
                <w:rFonts w:hint="default" w:ascii="Times New Roman" w:hAnsi="Times New Roman" w:eastAsia="宋体" w:cs="Times New Roman"/>
                <w:color w:val="auto"/>
                <w:lang w:val="en-US" w:eastAsia="zh-CN"/>
              </w:rPr>
              <w:t>第HP038号</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监测时间为20</w:t>
            </w:r>
            <w:r>
              <w:rPr>
                <w:rFonts w:hint="default" w:ascii="Times New Roman" w:hAnsi="Times New Roman" w:eastAsia="宋体" w:cs="Times New Roman"/>
                <w:color w:val="auto"/>
                <w:lang w:val="en-US" w:eastAsia="zh-CN"/>
              </w:rPr>
              <w:t>23</w:t>
            </w:r>
            <w:r>
              <w:rPr>
                <w:rFonts w:hint="default" w:ascii="Times New Roman" w:hAnsi="Times New Roman" w:eastAsia="宋体" w:cs="Times New Roman"/>
                <w:color w:val="auto"/>
              </w:rPr>
              <w:t>年</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rPr>
              <w:t>月</w:t>
            </w:r>
            <w:r>
              <w:rPr>
                <w:rFonts w:hint="default" w:ascii="Times New Roman" w:hAnsi="Times New Roman" w:eastAsia="宋体" w:cs="Times New Roman"/>
                <w:color w:val="auto"/>
                <w:lang w:val="en-US" w:eastAsia="zh-CN"/>
              </w:rPr>
              <w:t>24</w:t>
            </w:r>
            <w:r>
              <w:rPr>
                <w:rFonts w:hint="default" w:ascii="Times New Roman" w:hAnsi="Times New Roman" w:eastAsia="宋体" w:cs="Times New Roman"/>
                <w:color w:val="auto"/>
              </w:rPr>
              <w:t>日</w:t>
            </w:r>
            <w:r>
              <w:rPr>
                <w:rFonts w:hint="default" w:ascii="Times New Roman" w:hAnsi="Times New Roman" w:cs="Times New Roman"/>
                <w:color w:val="auto"/>
                <w:lang w:eastAsia="zh-CN"/>
              </w:rPr>
              <w:t>—</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rPr>
              <w:t>月</w:t>
            </w:r>
            <w:r>
              <w:rPr>
                <w:rFonts w:hint="default" w:ascii="Times New Roman" w:hAnsi="Times New Roman" w:eastAsia="宋体" w:cs="Times New Roman"/>
                <w:color w:val="auto"/>
                <w:lang w:val="en-US" w:eastAsia="zh-CN"/>
              </w:rPr>
              <w:t>30</w:t>
            </w:r>
            <w:r>
              <w:rPr>
                <w:rFonts w:hint="default" w:ascii="Times New Roman" w:hAnsi="Times New Roman" w:eastAsia="宋体" w:cs="Times New Roman"/>
                <w:color w:val="auto"/>
              </w:rPr>
              <w:t>日</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监测点位位于本项目</w:t>
            </w:r>
            <w:r>
              <w:rPr>
                <w:rFonts w:hint="default" w:ascii="Times New Roman" w:hAnsi="Times New Roman" w:eastAsia="宋体" w:cs="Times New Roman"/>
                <w:color w:val="auto"/>
                <w:lang w:eastAsia="zh-CN"/>
              </w:rPr>
              <w:t>西</w:t>
            </w:r>
            <w:r>
              <w:rPr>
                <w:rFonts w:hint="default" w:ascii="Times New Roman" w:hAnsi="Times New Roman" w:cs="Times New Roman"/>
                <w:color w:val="auto"/>
                <w:lang w:eastAsia="zh-CN"/>
              </w:rPr>
              <w:t>南</w:t>
            </w:r>
            <w:r>
              <w:rPr>
                <w:rFonts w:hint="default" w:ascii="Times New Roman" w:hAnsi="Times New Roman" w:eastAsia="宋体" w:cs="Times New Roman"/>
                <w:color w:val="auto"/>
                <w:lang w:eastAsia="zh-CN"/>
              </w:rPr>
              <w:t>侧</w:t>
            </w:r>
            <w:r>
              <w:rPr>
                <w:rFonts w:hint="default" w:ascii="Times New Roman" w:hAnsi="Times New Roman" w:eastAsia="宋体" w:cs="Times New Roman"/>
                <w:color w:val="auto"/>
              </w:rPr>
              <w:t>，距项目位置约</w:t>
            </w:r>
            <w:r>
              <w:rPr>
                <w:rFonts w:hint="default" w:ascii="Times New Roman" w:hAnsi="Times New Roman" w:eastAsia="宋体" w:cs="Times New Roman"/>
                <w:color w:val="auto"/>
                <w:lang w:val="en-US" w:eastAsia="zh-CN"/>
              </w:rPr>
              <w:t>4.7</w:t>
            </w:r>
            <w:r>
              <w:rPr>
                <w:rFonts w:hint="default" w:ascii="Times New Roman" w:hAnsi="Times New Roman" w:eastAsia="宋体" w:cs="Times New Roman"/>
                <w:color w:val="auto"/>
              </w:rPr>
              <w:t>k</w:t>
            </w:r>
            <w:r>
              <w:rPr>
                <w:rFonts w:hint="default" w:ascii="Times New Roman" w:hAnsi="Times New Roman" w:eastAsia="宋体" w:cs="Times New Roman"/>
                <w:color w:val="auto"/>
                <w:lang w:val="en-US" w:eastAsia="zh-CN"/>
              </w:rPr>
              <w:t>m</w:t>
            </w:r>
            <w:r>
              <w:rPr>
                <w:rFonts w:hint="default" w:ascii="Times New Roman" w:hAnsi="Times New Roman" w:eastAsia="宋体" w:cs="Times New Roman"/>
                <w:color w:val="auto"/>
              </w:rPr>
              <w:t>，故引用的监测数据为有效数据，可以较好地反应项目所在区域环境空气中非甲烷总烃质量现状。</w:t>
            </w:r>
          </w:p>
          <w:p w14:paraId="1FD149D0">
            <w:pPr>
              <w:pStyle w:val="81"/>
              <w:spacing w:line="360" w:lineRule="auto"/>
              <w:ind w:firstLine="5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①监测基本情况</w:t>
            </w:r>
          </w:p>
          <w:p w14:paraId="20FBFB60">
            <w:pPr>
              <w:pStyle w:val="81"/>
              <w:spacing w:line="360" w:lineRule="auto"/>
              <w:ind w:firstLine="5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监测布点：</w:t>
            </w:r>
            <w:r>
              <w:rPr>
                <w:rFonts w:hint="default" w:ascii="Times New Roman" w:hAnsi="Times New Roman" w:eastAsia="宋体" w:cs="Times New Roman"/>
                <w:color w:val="auto"/>
                <w:sz w:val="24"/>
                <w:szCs w:val="24"/>
                <w:lang w:eastAsia="zh-CN"/>
              </w:rPr>
              <w:t>高柳馨园小区（</w:t>
            </w:r>
            <w:r>
              <w:rPr>
                <w:rFonts w:hint="default" w:ascii="Times New Roman" w:hAnsi="Times New Roman" w:eastAsia="宋体" w:cs="Times New Roman"/>
                <w:color w:val="auto"/>
                <w:sz w:val="24"/>
                <w:szCs w:val="24"/>
                <w:lang w:val="en-US" w:eastAsia="zh-CN"/>
              </w:rPr>
              <w:t>E106.469544，N29.524745</w:t>
            </w:r>
            <w:r>
              <w:rPr>
                <w:rFonts w:hint="default" w:ascii="Times New Roman" w:hAnsi="Times New Roman" w:eastAsia="宋体" w:cs="Times New Roman"/>
                <w:color w:val="auto"/>
                <w:sz w:val="24"/>
                <w:szCs w:val="24"/>
                <w:lang w:eastAsia="zh-CN"/>
              </w:rPr>
              <w:t>）</w:t>
            </w:r>
          </w:p>
          <w:p w14:paraId="7B1ABBB2">
            <w:pPr>
              <w:pStyle w:val="81"/>
              <w:spacing w:line="360" w:lineRule="auto"/>
              <w:ind w:firstLine="52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监测因子：非甲烷总烃</w:t>
            </w:r>
          </w:p>
          <w:p w14:paraId="7F0DF339">
            <w:pPr>
              <w:pStyle w:val="81"/>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监测时间与频率：</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日</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日，连续</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天监测，每天</w:t>
            </w:r>
            <w:r>
              <w:rPr>
                <w:rFonts w:hint="default" w:ascii="Times New Roman" w:hAnsi="Times New Roman" w:eastAsia="宋体" w:cs="Times New Roman"/>
                <w:color w:val="auto"/>
                <w:sz w:val="24"/>
                <w:szCs w:val="24"/>
                <w:highlight w:val="none"/>
                <w:lang w:val="en-US" w:eastAsia="zh-CN"/>
              </w:rPr>
              <w:t>8次</w:t>
            </w:r>
            <w:r>
              <w:rPr>
                <w:rFonts w:hint="default" w:ascii="Times New Roman" w:hAnsi="Times New Roman" w:eastAsia="宋体" w:cs="Times New Roman"/>
                <w:color w:val="auto"/>
                <w:sz w:val="24"/>
                <w:szCs w:val="24"/>
                <w:highlight w:val="none"/>
              </w:rPr>
              <w:t>。</w:t>
            </w:r>
          </w:p>
          <w:p w14:paraId="6AEED51E">
            <w:pPr>
              <w:pStyle w:val="81"/>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②评价标准与方法</w:t>
            </w:r>
          </w:p>
          <w:p w14:paraId="7036B8A0">
            <w:pPr>
              <w:pStyle w:val="81"/>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非甲烷总烃参照执行河北省地方标准《环境空气质量 非甲烷总烃限值》（DB13/1577-2012）二级标准限值。</w:t>
            </w:r>
          </w:p>
          <w:p w14:paraId="3C9E2448">
            <w:pPr>
              <w:pStyle w:val="81"/>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环境空气质量现状评价方法采用导则推荐的最大浓度占标率进行评价。当取值时间最大浓度值占相应标准浓度限值的百分比大于或等于100%时，表明环境空气质量超标。</w:t>
            </w:r>
          </w:p>
          <w:p w14:paraId="3A4FCAC1">
            <w:pPr>
              <w:pStyle w:val="81"/>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评价公式如下：</w:t>
            </w:r>
          </w:p>
          <w:p w14:paraId="61AF351A">
            <w:pPr>
              <w:pStyle w:val="81"/>
              <w:spacing w:line="360" w:lineRule="auto"/>
              <w:ind w:firstLine="48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Pij=Cij/Csj×100%</w:t>
            </w:r>
          </w:p>
          <w:p w14:paraId="77A2B43D">
            <w:pPr>
              <w:pStyle w:val="81"/>
              <w:spacing w:line="360" w:lineRule="auto"/>
              <w:ind w:firstLine="480"/>
              <w:jc w:val="center"/>
              <w:rPr>
                <w:rFonts w:hint="default" w:ascii="Times New Roman" w:hAnsi="Times New Roman" w:eastAsia="宋体" w:cs="Times New Roman"/>
                <w:color w:val="auto"/>
                <w:sz w:val="24"/>
              </w:rPr>
            </w:pPr>
          </w:p>
          <w:p w14:paraId="42F36710">
            <w:pPr>
              <w:pStyle w:val="81"/>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式中：Pij——第i现状监测点第污染因子j的最大浓度占标率，其值在 0</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rPr>
              <w:t>100%之间为满足标准，大于100%则为超标；</w:t>
            </w:r>
          </w:p>
          <w:p w14:paraId="25E00CA2">
            <w:pPr>
              <w:pStyle w:val="81"/>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Cij——第i现状监测点第污染因子j的实测浓度（mg/m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p>
          <w:p w14:paraId="36FD58CF">
            <w:pPr>
              <w:pStyle w:val="81"/>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Csj——污染因子j的环境质量标准（mg/m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w:t>
            </w:r>
          </w:p>
          <w:p w14:paraId="0F4C4378">
            <w:pPr>
              <w:pStyle w:val="81"/>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③监测评价结果</w:t>
            </w:r>
          </w:p>
          <w:p w14:paraId="4353F9A0">
            <w:pPr>
              <w:pStyle w:val="81"/>
              <w:spacing w:line="360" w:lineRule="auto"/>
              <w:ind w:firstLine="480"/>
              <w:rPr>
                <w:rFonts w:hint="default" w:ascii="Times New Roman" w:hAnsi="Times New Roman" w:eastAsia="宋体" w:cs="Times New Roman"/>
                <w:b/>
                <w:color w:val="auto"/>
                <w:spacing w:val="2"/>
                <w:sz w:val="26"/>
                <w:szCs w:val="26"/>
              </w:rPr>
            </w:pPr>
            <w:r>
              <w:rPr>
                <w:rFonts w:hint="default" w:ascii="Times New Roman" w:hAnsi="Times New Roman" w:eastAsia="宋体" w:cs="Times New Roman"/>
                <w:color w:val="auto"/>
                <w:sz w:val="24"/>
              </w:rPr>
              <w:t>监测及评价结果见表3.1-2。</w:t>
            </w:r>
          </w:p>
          <w:p w14:paraId="758B8B81">
            <w:pPr>
              <w:adjustRightInd w:val="0"/>
              <w:snapToGrid w:val="0"/>
              <w:jc w:val="center"/>
              <w:rPr>
                <w:rFonts w:hint="default" w:ascii="Times New Roman" w:hAnsi="Times New Roman" w:eastAsia="宋体" w:cs="Times New Roman"/>
                <w:b/>
                <w:color w:val="auto"/>
                <w:spacing w:val="2"/>
                <w:sz w:val="26"/>
                <w:szCs w:val="26"/>
              </w:rPr>
            </w:pPr>
            <w:r>
              <w:rPr>
                <w:rFonts w:hint="default" w:ascii="Times New Roman" w:hAnsi="Times New Roman" w:eastAsia="宋体" w:cs="Times New Roman"/>
                <w:b/>
                <w:color w:val="auto"/>
                <w:spacing w:val="2"/>
                <w:sz w:val="26"/>
                <w:szCs w:val="26"/>
              </w:rPr>
              <w:t>表3.1-2  特征因子环境质量现状监测结果表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356"/>
              <w:gridCol w:w="691"/>
              <w:gridCol w:w="1109"/>
              <w:gridCol w:w="1239"/>
              <w:gridCol w:w="1083"/>
              <w:gridCol w:w="848"/>
              <w:gridCol w:w="708"/>
            </w:tblGrid>
            <w:tr w14:paraId="3B1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pct"/>
                  <w:vMerge w:val="restart"/>
                  <w:noWrap w:val="0"/>
                  <w:vAlign w:val="center"/>
                </w:tcPr>
                <w:p w14:paraId="2E231F10">
                  <w:pPr>
                    <w:adjustRightInd w:val="0"/>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监测点位</w:t>
                  </w:r>
                </w:p>
              </w:tc>
              <w:tc>
                <w:tcPr>
                  <w:tcW w:w="830" w:type="pct"/>
                  <w:vMerge w:val="restart"/>
                  <w:noWrap w:val="0"/>
                  <w:vAlign w:val="center"/>
                </w:tcPr>
                <w:p w14:paraId="1F3A6989">
                  <w:pPr>
                    <w:adjustRightInd w:val="0"/>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监测因子</w:t>
                  </w:r>
                </w:p>
              </w:tc>
              <w:tc>
                <w:tcPr>
                  <w:tcW w:w="423" w:type="pct"/>
                  <w:vMerge w:val="restart"/>
                  <w:noWrap w:val="0"/>
                  <w:vAlign w:val="center"/>
                </w:tcPr>
                <w:p w14:paraId="37876A58">
                  <w:pPr>
                    <w:adjustRightInd w:val="0"/>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平均时间</w:t>
                  </w:r>
                </w:p>
              </w:tc>
              <w:tc>
                <w:tcPr>
                  <w:tcW w:w="679" w:type="pct"/>
                  <w:vMerge w:val="restart"/>
                  <w:noWrap w:val="0"/>
                  <w:vAlign w:val="center"/>
                </w:tcPr>
                <w:p w14:paraId="1892AA56">
                  <w:pPr>
                    <w:adjustRightInd w:val="0"/>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评价标准</w:t>
                  </w:r>
                </w:p>
                <w:p w14:paraId="68B3A4FD">
                  <w:pPr>
                    <w:adjustRightInd w:val="0"/>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mg/m</w:t>
                  </w:r>
                  <w:r>
                    <w:rPr>
                      <w:rFonts w:hint="default" w:ascii="Times New Roman" w:hAnsi="Times New Roman" w:eastAsia="宋体" w:cs="Times New Roman"/>
                      <w:color w:val="auto"/>
                      <w:szCs w:val="22"/>
                      <w:vertAlign w:val="superscript"/>
                    </w:rPr>
                    <w:t>3</w:t>
                  </w:r>
                </w:p>
              </w:tc>
              <w:tc>
                <w:tcPr>
                  <w:tcW w:w="759" w:type="pct"/>
                  <w:vMerge w:val="restart"/>
                  <w:noWrap w:val="0"/>
                  <w:vAlign w:val="center"/>
                </w:tcPr>
                <w:p w14:paraId="4872B5E8">
                  <w:pPr>
                    <w:adjustRightInd w:val="0"/>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监测浓度范围mg/m</w:t>
                  </w:r>
                  <w:r>
                    <w:rPr>
                      <w:rFonts w:hint="default" w:ascii="Times New Roman" w:hAnsi="Times New Roman" w:eastAsia="宋体" w:cs="Times New Roman"/>
                      <w:color w:val="auto"/>
                      <w:szCs w:val="22"/>
                      <w:vertAlign w:val="superscript"/>
                    </w:rPr>
                    <w:t>3</w:t>
                  </w:r>
                </w:p>
              </w:tc>
              <w:tc>
                <w:tcPr>
                  <w:tcW w:w="663" w:type="pct"/>
                  <w:vMerge w:val="restart"/>
                  <w:noWrap w:val="0"/>
                  <w:vAlign w:val="center"/>
                </w:tcPr>
                <w:p w14:paraId="36DFDCC8">
                  <w:pPr>
                    <w:adjustRightInd w:val="0"/>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最大浓度占标率%</w:t>
                  </w:r>
                </w:p>
              </w:tc>
              <w:tc>
                <w:tcPr>
                  <w:tcW w:w="519" w:type="pct"/>
                  <w:vMerge w:val="restart"/>
                  <w:noWrap w:val="0"/>
                  <w:vAlign w:val="center"/>
                </w:tcPr>
                <w:p w14:paraId="371D4BC3">
                  <w:pPr>
                    <w:adjustRightInd w:val="0"/>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超标率</w:t>
                  </w:r>
                </w:p>
                <w:p w14:paraId="7841F086">
                  <w:pPr>
                    <w:adjustRightInd w:val="0"/>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w:t>
                  </w:r>
                </w:p>
              </w:tc>
              <w:tc>
                <w:tcPr>
                  <w:tcW w:w="433" w:type="pct"/>
                  <w:vMerge w:val="restart"/>
                  <w:noWrap w:val="0"/>
                  <w:vAlign w:val="center"/>
                </w:tcPr>
                <w:p w14:paraId="61786973">
                  <w:pPr>
                    <w:adjustRightInd w:val="0"/>
                    <w:snapToGrid w:val="0"/>
                    <w:jc w:val="center"/>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达标情况</w:t>
                  </w:r>
                </w:p>
              </w:tc>
            </w:tr>
            <w:tr w14:paraId="627B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pct"/>
                  <w:vMerge w:val="continue"/>
                  <w:noWrap w:val="0"/>
                  <w:vAlign w:val="center"/>
                </w:tcPr>
                <w:p w14:paraId="47473DAD">
                  <w:pPr>
                    <w:adjustRightInd w:val="0"/>
                    <w:snapToGrid w:val="0"/>
                    <w:jc w:val="center"/>
                    <w:rPr>
                      <w:rFonts w:hint="default" w:ascii="Times New Roman" w:hAnsi="Times New Roman" w:eastAsia="宋体" w:cs="Times New Roman"/>
                      <w:color w:val="auto"/>
                      <w:szCs w:val="22"/>
                    </w:rPr>
                  </w:pPr>
                </w:p>
              </w:tc>
              <w:tc>
                <w:tcPr>
                  <w:tcW w:w="830" w:type="pct"/>
                  <w:vMerge w:val="continue"/>
                  <w:noWrap w:val="0"/>
                  <w:vAlign w:val="center"/>
                </w:tcPr>
                <w:p w14:paraId="7E3903E0">
                  <w:pPr>
                    <w:adjustRightInd w:val="0"/>
                    <w:snapToGrid w:val="0"/>
                    <w:jc w:val="center"/>
                    <w:rPr>
                      <w:rFonts w:hint="default" w:ascii="Times New Roman" w:hAnsi="Times New Roman" w:eastAsia="宋体" w:cs="Times New Roman"/>
                      <w:color w:val="auto"/>
                      <w:szCs w:val="22"/>
                    </w:rPr>
                  </w:pPr>
                </w:p>
              </w:tc>
              <w:tc>
                <w:tcPr>
                  <w:tcW w:w="423" w:type="pct"/>
                  <w:vMerge w:val="continue"/>
                  <w:noWrap w:val="0"/>
                  <w:vAlign w:val="center"/>
                </w:tcPr>
                <w:p w14:paraId="27A608A5">
                  <w:pPr>
                    <w:adjustRightInd w:val="0"/>
                    <w:snapToGrid w:val="0"/>
                    <w:jc w:val="center"/>
                    <w:rPr>
                      <w:rFonts w:hint="default" w:ascii="Times New Roman" w:hAnsi="Times New Roman" w:eastAsia="宋体" w:cs="Times New Roman"/>
                      <w:color w:val="auto"/>
                      <w:szCs w:val="22"/>
                    </w:rPr>
                  </w:pPr>
                </w:p>
              </w:tc>
              <w:tc>
                <w:tcPr>
                  <w:tcW w:w="679" w:type="pct"/>
                  <w:vMerge w:val="continue"/>
                  <w:noWrap w:val="0"/>
                  <w:vAlign w:val="center"/>
                </w:tcPr>
                <w:p w14:paraId="4E0DA3D8">
                  <w:pPr>
                    <w:adjustRightInd w:val="0"/>
                    <w:snapToGrid w:val="0"/>
                    <w:jc w:val="center"/>
                    <w:rPr>
                      <w:rFonts w:hint="default" w:ascii="Times New Roman" w:hAnsi="Times New Roman" w:eastAsia="宋体" w:cs="Times New Roman"/>
                      <w:color w:val="auto"/>
                      <w:szCs w:val="22"/>
                    </w:rPr>
                  </w:pPr>
                </w:p>
              </w:tc>
              <w:tc>
                <w:tcPr>
                  <w:tcW w:w="759" w:type="pct"/>
                  <w:vMerge w:val="continue"/>
                  <w:noWrap w:val="0"/>
                  <w:vAlign w:val="center"/>
                </w:tcPr>
                <w:p w14:paraId="48FA7C41">
                  <w:pPr>
                    <w:adjustRightInd w:val="0"/>
                    <w:snapToGrid w:val="0"/>
                    <w:jc w:val="center"/>
                    <w:rPr>
                      <w:rFonts w:hint="default" w:ascii="Times New Roman" w:hAnsi="Times New Roman" w:eastAsia="宋体" w:cs="Times New Roman"/>
                      <w:color w:val="auto"/>
                      <w:szCs w:val="22"/>
                    </w:rPr>
                  </w:pPr>
                </w:p>
              </w:tc>
              <w:tc>
                <w:tcPr>
                  <w:tcW w:w="663" w:type="pct"/>
                  <w:vMerge w:val="continue"/>
                  <w:noWrap w:val="0"/>
                  <w:vAlign w:val="center"/>
                </w:tcPr>
                <w:p w14:paraId="6255F39D">
                  <w:pPr>
                    <w:adjustRightInd w:val="0"/>
                    <w:snapToGrid w:val="0"/>
                    <w:jc w:val="center"/>
                    <w:rPr>
                      <w:rFonts w:hint="default" w:ascii="Times New Roman" w:hAnsi="Times New Roman" w:eastAsia="宋体" w:cs="Times New Roman"/>
                      <w:color w:val="auto"/>
                      <w:szCs w:val="22"/>
                    </w:rPr>
                  </w:pPr>
                </w:p>
              </w:tc>
              <w:tc>
                <w:tcPr>
                  <w:tcW w:w="519" w:type="pct"/>
                  <w:vMerge w:val="continue"/>
                  <w:noWrap w:val="0"/>
                  <w:vAlign w:val="center"/>
                </w:tcPr>
                <w:p w14:paraId="56B1BE82">
                  <w:pPr>
                    <w:adjustRightInd w:val="0"/>
                    <w:snapToGrid w:val="0"/>
                    <w:jc w:val="center"/>
                    <w:rPr>
                      <w:rFonts w:hint="default" w:ascii="Times New Roman" w:hAnsi="Times New Roman" w:eastAsia="宋体" w:cs="Times New Roman"/>
                      <w:color w:val="auto"/>
                      <w:szCs w:val="22"/>
                    </w:rPr>
                  </w:pPr>
                </w:p>
              </w:tc>
              <w:tc>
                <w:tcPr>
                  <w:tcW w:w="433" w:type="pct"/>
                  <w:vMerge w:val="continue"/>
                  <w:noWrap w:val="0"/>
                  <w:vAlign w:val="center"/>
                </w:tcPr>
                <w:p w14:paraId="483DE2A3">
                  <w:pPr>
                    <w:adjustRightInd w:val="0"/>
                    <w:snapToGrid w:val="0"/>
                    <w:jc w:val="center"/>
                    <w:rPr>
                      <w:rFonts w:hint="default" w:ascii="Times New Roman" w:hAnsi="Times New Roman" w:eastAsia="宋体" w:cs="Times New Roman"/>
                      <w:color w:val="auto"/>
                      <w:szCs w:val="22"/>
                    </w:rPr>
                  </w:pPr>
                </w:p>
              </w:tc>
            </w:tr>
            <w:tr w14:paraId="76C8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pct"/>
                  <w:noWrap w:val="0"/>
                  <w:vAlign w:val="center"/>
                </w:tcPr>
                <w:p w14:paraId="3DB785C7">
                  <w:pPr>
                    <w:pStyle w:val="77"/>
                    <w:keepNext w:val="0"/>
                    <w:keepLines w:val="0"/>
                    <w:pageBreakBefore w:val="0"/>
                    <w:widowControl w:val="0"/>
                    <w:kinsoku/>
                    <w:wordWrap/>
                    <w:overflowPunct/>
                    <w:topLinePunct w:val="0"/>
                    <w:autoSpaceDE/>
                    <w:autoSpaceDN/>
                    <w:bidi w:val="0"/>
                    <w:adjustRightInd w:val="0"/>
                    <w:snapToGrid w:val="0"/>
                    <w:spacing w:line="360" w:lineRule="exact"/>
                    <w:ind w:right="0" w:rightChars="0" w:firstLine="0" w:firstLineChars="0"/>
                    <w:jc w:val="center"/>
                    <w:textAlignment w:val="auto"/>
                    <w:rPr>
                      <w:rFonts w:hint="default" w:ascii="Times New Roman" w:hAnsi="Times New Roman" w:eastAsia="宋体" w:cs="Times New Roman"/>
                      <w:color w:val="auto"/>
                      <w:szCs w:val="22"/>
                    </w:rPr>
                  </w:pPr>
                  <w:r>
                    <w:rPr>
                      <w:rFonts w:hint="default" w:ascii="Times New Roman" w:hAnsi="Times New Roman" w:eastAsia="宋体" w:cs="Times New Roman"/>
                      <w:color w:val="auto"/>
                      <w:sz w:val="21"/>
                      <w:szCs w:val="21"/>
                      <w:highlight w:val="none"/>
                      <w:lang w:eastAsia="zh-CN"/>
                    </w:rPr>
                    <w:t>高柳馨园小区</w:t>
                  </w:r>
                </w:p>
              </w:tc>
              <w:tc>
                <w:tcPr>
                  <w:tcW w:w="830" w:type="pct"/>
                  <w:noWrap w:val="0"/>
                  <w:vAlign w:val="center"/>
                </w:tcPr>
                <w:p w14:paraId="5ABFE803">
                  <w:pPr>
                    <w:pStyle w:val="77"/>
                    <w:keepNext w:val="0"/>
                    <w:keepLines w:val="0"/>
                    <w:pageBreakBefore w:val="0"/>
                    <w:widowControl w:val="0"/>
                    <w:kinsoku/>
                    <w:wordWrap/>
                    <w:overflowPunct/>
                    <w:topLinePunct w:val="0"/>
                    <w:autoSpaceDE/>
                    <w:autoSpaceDN/>
                    <w:bidi w:val="0"/>
                    <w:adjustRightInd w:val="0"/>
                    <w:snapToGrid w:val="0"/>
                    <w:spacing w:line="360" w:lineRule="exact"/>
                    <w:ind w:right="0" w:rightChars="0" w:firstLine="0" w:firstLineChars="0"/>
                    <w:jc w:val="center"/>
                    <w:textAlignment w:val="auto"/>
                    <w:rPr>
                      <w:rFonts w:hint="default" w:ascii="Times New Roman" w:hAnsi="Times New Roman" w:eastAsia="宋体" w:cs="Times New Roman"/>
                      <w:color w:val="auto"/>
                      <w:szCs w:val="22"/>
                    </w:rPr>
                  </w:pPr>
                  <w:r>
                    <w:rPr>
                      <w:rFonts w:hint="default" w:ascii="Times New Roman" w:hAnsi="Times New Roman" w:eastAsia="宋体" w:cs="Times New Roman"/>
                      <w:color w:val="auto"/>
                      <w:sz w:val="21"/>
                      <w:szCs w:val="21"/>
                      <w:highlight w:val="none"/>
                      <w:lang w:val="en-US" w:eastAsia="zh-CN"/>
                    </w:rPr>
                    <w:t>非甲烷总烃</w:t>
                  </w:r>
                </w:p>
              </w:tc>
              <w:tc>
                <w:tcPr>
                  <w:tcW w:w="423" w:type="pct"/>
                  <w:noWrap w:val="0"/>
                  <w:vAlign w:val="center"/>
                </w:tcPr>
                <w:p w14:paraId="266ACD9F">
                  <w:pPr>
                    <w:pStyle w:val="77"/>
                    <w:keepNext w:val="0"/>
                    <w:keepLines w:val="0"/>
                    <w:pageBreakBefore w:val="0"/>
                    <w:widowControl w:val="0"/>
                    <w:kinsoku/>
                    <w:wordWrap/>
                    <w:overflowPunct/>
                    <w:topLinePunct w:val="0"/>
                    <w:autoSpaceDE/>
                    <w:autoSpaceDN/>
                    <w:bidi w:val="0"/>
                    <w:adjustRightInd w:val="0"/>
                    <w:snapToGrid w:val="0"/>
                    <w:spacing w:line="360" w:lineRule="exact"/>
                    <w:ind w:right="0" w:rightChars="0" w:firstLine="0" w:firstLineChars="0"/>
                    <w:jc w:val="center"/>
                    <w:textAlignment w:val="auto"/>
                    <w:rPr>
                      <w:rFonts w:hint="default" w:ascii="Times New Roman" w:hAnsi="Times New Roman" w:eastAsia="宋体" w:cs="Times New Roman"/>
                      <w:color w:val="auto"/>
                      <w:szCs w:val="22"/>
                    </w:rPr>
                  </w:pPr>
                  <w:r>
                    <w:rPr>
                      <w:rFonts w:hint="default" w:ascii="Times New Roman" w:hAnsi="Times New Roman" w:eastAsia="宋体" w:cs="Times New Roman"/>
                      <w:color w:val="auto"/>
                      <w:sz w:val="21"/>
                      <w:szCs w:val="21"/>
                      <w:highlight w:val="none"/>
                    </w:rPr>
                    <w:t>小时平均</w:t>
                  </w:r>
                </w:p>
              </w:tc>
              <w:tc>
                <w:tcPr>
                  <w:tcW w:w="679" w:type="pct"/>
                  <w:noWrap w:val="0"/>
                  <w:vAlign w:val="center"/>
                </w:tcPr>
                <w:p w14:paraId="3C018B80">
                  <w:pPr>
                    <w:pStyle w:val="77"/>
                    <w:keepNext w:val="0"/>
                    <w:keepLines w:val="0"/>
                    <w:pageBreakBefore w:val="0"/>
                    <w:widowControl w:val="0"/>
                    <w:kinsoku/>
                    <w:wordWrap/>
                    <w:overflowPunct/>
                    <w:topLinePunct w:val="0"/>
                    <w:autoSpaceDE/>
                    <w:autoSpaceDN/>
                    <w:bidi w:val="0"/>
                    <w:adjustRightInd w:val="0"/>
                    <w:snapToGrid w:val="0"/>
                    <w:spacing w:line="360" w:lineRule="exact"/>
                    <w:ind w:right="0" w:rightChars="0" w:firstLine="0" w:firstLineChars="0"/>
                    <w:jc w:val="center"/>
                    <w:textAlignment w:val="auto"/>
                    <w:rPr>
                      <w:rFonts w:hint="default" w:ascii="Times New Roman" w:hAnsi="Times New Roman" w:eastAsia="宋体" w:cs="Times New Roman"/>
                      <w:color w:val="auto"/>
                      <w:szCs w:val="22"/>
                    </w:rPr>
                  </w:pPr>
                  <w:r>
                    <w:rPr>
                      <w:rFonts w:hint="default" w:ascii="Times New Roman" w:hAnsi="Times New Roman" w:eastAsia="宋体" w:cs="Times New Roman"/>
                      <w:color w:val="auto"/>
                      <w:sz w:val="21"/>
                      <w:szCs w:val="21"/>
                      <w:highlight w:val="none"/>
                      <w:lang w:val="en-US" w:eastAsia="zh-CN"/>
                    </w:rPr>
                    <w:t>2.0</w:t>
                  </w:r>
                </w:p>
              </w:tc>
              <w:tc>
                <w:tcPr>
                  <w:tcW w:w="759" w:type="pct"/>
                  <w:noWrap w:val="0"/>
                  <w:vAlign w:val="center"/>
                </w:tcPr>
                <w:p w14:paraId="1A43800E">
                  <w:pPr>
                    <w:pStyle w:val="77"/>
                    <w:keepNext w:val="0"/>
                    <w:keepLines w:val="0"/>
                    <w:pageBreakBefore w:val="0"/>
                    <w:widowControl w:val="0"/>
                    <w:kinsoku/>
                    <w:wordWrap/>
                    <w:overflowPunct/>
                    <w:topLinePunct w:val="0"/>
                    <w:autoSpaceDE/>
                    <w:autoSpaceDN/>
                    <w:bidi w:val="0"/>
                    <w:adjustRightInd w:val="0"/>
                    <w:snapToGrid w:val="0"/>
                    <w:spacing w:line="360" w:lineRule="exact"/>
                    <w:ind w:right="0" w:rightChars="0" w:firstLine="0" w:firstLineChars="0"/>
                    <w:jc w:val="center"/>
                    <w:textAlignment w:val="auto"/>
                    <w:rPr>
                      <w:rFonts w:hint="default" w:ascii="Times New Roman" w:hAnsi="Times New Roman" w:eastAsia="宋体" w:cs="Times New Roman"/>
                      <w:color w:val="auto"/>
                      <w:szCs w:val="22"/>
                    </w:rPr>
                  </w:pPr>
                  <w:r>
                    <w:rPr>
                      <w:rFonts w:hint="default" w:ascii="Times New Roman" w:hAnsi="Times New Roman" w:eastAsia="宋体" w:cs="Times New Roman"/>
                      <w:color w:val="auto"/>
                      <w:sz w:val="21"/>
                      <w:szCs w:val="21"/>
                      <w:highlight w:val="none"/>
                      <w:lang w:val="en-US" w:eastAsia="zh-CN"/>
                    </w:rPr>
                    <w:t>0.27~0.81</w:t>
                  </w:r>
                </w:p>
              </w:tc>
              <w:tc>
                <w:tcPr>
                  <w:tcW w:w="663" w:type="pct"/>
                  <w:noWrap w:val="0"/>
                  <w:vAlign w:val="center"/>
                </w:tcPr>
                <w:p w14:paraId="43A4B47B">
                  <w:pPr>
                    <w:pStyle w:val="77"/>
                    <w:keepNext w:val="0"/>
                    <w:keepLines w:val="0"/>
                    <w:pageBreakBefore w:val="0"/>
                    <w:widowControl w:val="0"/>
                    <w:kinsoku/>
                    <w:wordWrap/>
                    <w:overflowPunct/>
                    <w:topLinePunct w:val="0"/>
                    <w:autoSpaceDE/>
                    <w:autoSpaceDN/>
                    <w:bidi w:val="0"/>
                    <w:adjustRightInd w:val="0"/>
                    <w:snapToGrid w:val="0"/>
                    <w:spacing w:line="360" w:lineRule="exact"/>
                    <w:ind w:right="0" w:rightChars="0" w:firstLine="0" w:firstLineChars="0"/>
                    <w:jc w:val="center"/>
                    <w:textAlignment w:val="auto"/>
                    <w:rPr>
                      <w:rFonts w:hint="default" w:ascii="Times New Roman" w:hAnsi="Times New Roman" w:eastAsia="宋体" w:cs="Times New Roman"/>
                      <w:color w:val="auto"/>
                      <w:szCs w:val="22"/>
                    </w:rPr>
                  </w:pPr>
                  <w:r>
                    <w:rPr>
                      <w:rFonts w:hint="default" w:ascii="Times New Roman" w:hAnsi="Times New Roman" w:eastAsia="宋体" w:cs="Times New Roman"/>
                      <w:color w:val="auto"/>
                      <w:sz w:val="21"/>
                      <w:szCs w:val="21"/>
                      <w:highlight w:val="none"/>
                      <w:lang w:val="en-US" w:eastAsia="zh-CN"/>
                    </w:rPr>
                    <w:t>40.5</w:t>
                  </w:r>
                </w:p>
              </w:tc>
              <w:tc>
                <w:tcPr>
                  <w:tcW w:w="519" w:type="pct"/>
                  <w:noWrap w:val="0"/>
                  <w:vAlign w:val="center"/>
                </w:tcPr>
                <w:p w14:paraId="478CCAF9">
                  <w:pPr>
                    <w:pStyle w:val="77"/>
                    <w:keepNext w:val="0"/>
                    <w:keepLines w:val="0"/>
                    <w:pageBreakBefore w:val="0"/>
                    <w:widowControl w:val="0"/>
                    <w:kinsoku/>
                    <w:wordWrap/>
                    <w:overflowPunct/>
                    <w:topLinePunct w:val="0"/>
                    <w:autoSpaceDE/>
                    <w:autoSpaceDN/>
                    <w:bidi w:val="0"/>
                    <w:adjustRightInd w:val="0"/>
                    <w:snapToGrid w:val="0"/>
                    <w:spacing w:line="360" w:lineRule="exact"/>
                    <w:ind w:right="0" w:rightChars="0" w:firstLine="0" w:firstLineChars="0"/>
                    <w:jc w:val="center"/>
                    <w:textAlignment w:val="auto"/>
                    <w:rPr>
                      <w:rFonts w:hint="default" w:ascii="Times New Roman" w:hAnsi="Times New Roman" w:eastAsia="宋体" w:cs="Times New Roman"/>
                      <w:color w:val="auto"/>
                      <w:szCs w:val="22"/>
                    </w:rPr>
                  </w:pPr>
                  <w:r>
                    <w:rPr>
                      <w:rFonts w:hint="default" w:ascii="Times New Roman" w:hAnsi="Times New Roman" w:eastAsia="宋体" w:cs="Times New Roman"/>
                      <w:color w:val="auto"/>
                      <w:sz w:val="21"/>
                      <w:szCs w:val="21"/>
                      <w:highlight w:val="none"/>
                      <w:lang w:val="en-US" w:eastAsia="zh-CN"/>
                    </w:rPr>
                    <w:t>/</w:t>
                  </w:r>
                </w:p>
              </w:tc>
              <w:tc>
                <w:tcPr>
                  <w:tcW w:w="433" w:type="pct"/>
                  <w:noWrap w:val="0"/>
                  <w:vAlign w:val="center"/>
                </w:tcPr>
                <w:p w14:paraId="50A26851">
                  <w:pPr>
                    <w:pStyle w:val="77"/>
                    <w:keepNext w:val="0"/>
                    <w:keepLines w:val="0"/>
                    <w:pageBreakBefore w:val="0"/>
                    <w:widowControl w:val="0"/>
                    <w:kinsoku/>
                    <w:wordWrap/>
                    <w:overflowPunct/>
                    <w:topLinePunct w:val="0"/>
                    <w:autoSpaceDE/>
                    <w:autoSpaceDN/>
                    <w:bidi w:val="0"/>
                    <w:adjustRightInd w:val="0"/>
                    <w:snapToGrid w:val="0"/>
                    <w:spacing w:line="360" w:lineRule="exact"/>
                    <w:ind w:right="0" w:rightChars="0" w:firstLine="0" w:firstLineChars="0"/>
                    <w:jc w:val="center"/>
                    <w:textAlignment w:val="auto"/>
                    <w:rPr>
                      <w:rFonts w:hint="default" w:ascii="Times New Roman" w:hAnsi="Times New Roman" w:eastAsia="宋体" w:cs="Times New Roman"/>
                      <w:color w:val="auto"/>
                      <w:szCs w:val="22"/>
                    </w:rPr>
                  </w:pPr>
                  <w:r>
                    <w:rPr>
                      <w:rFonts w:hint="default" w:ascii="Times New Roman" w:hAnsi="Times New Roman" w:eastAsia="宋体" w:cs="Times New Roman"/>
                      <w:color w:val="auto"/>
                      <w:sz w:val="21"/>
                      <w:szCs w:val="21"/>
                      <w:highlight w:val="none"/>
                    </w:rPr>
                    <w:t>达标</w:t>
                  </w:r>
                </w:p>
              </w:tc>
            </w:tr>
          </w:tbl>
          <w:p w14:paraId="7BC75C89">
            <w:pPr>
              <w:pStyle w:val="71"/>
              <w:spacing w:line="360" w:lineRule="auto"/>
              <w:ind w:firstLine="480"/>
              <w:jc w:val="left"/>
              <w:rPr>
                <w:rFonts w:hint="default" w:ascii="Times New Roman" w:hAnsi="Times New Roman" w:eastAsia="宋体" w:cs="Times New Roman"/>
                <w:color w:val="auto"/>
              </w:rPr>
            </w:pPr>
            <w:r>
              <w:rPr>
                <w:rFonts w:hint="default" w:ascii="Times New Roman" w:hAnsi="Times New Roman" w:eastAsia="宋体" w:cs="Times New Roman"/>
                <w:color w:val="auto"/>
              </w:rPr>
              <w:t>根据表3.1-2可知，项目所在区域非甲烷总烃满足《环境空气质量 非甲烷总烃限值》（DB13/1577-2012）二级标准要求。</w:t>
            </w:r>
          </w:p>
          <w:p w14:paraId="065AD3DE">
            <w:pPr>
              <w:adjustRightInd w:val="0"/>
              <w:snapToGrid w:val="0"/>
              <w:spacing w:line="360" w:lineRule="auto"/>
              <w:jc w:val="left"/>
              <w:rPr>
                <w:rFonts w:hint="default" w:ascii="Times New Roman" w:hAnsi="Times New Roman" w:eastAsia="宋体" w:cs="Times New Roman"/>
                <w:b/>
                <w:color w:val="auto"/>
                <w:sz w:val="26"/>
                <w:szCs w:val="26"/>
              </w:rPr>
            </w:pPr>
            <w:r>
              <w:rPr>
                <w:rFonts w:hint="default" w:ascii="Times New Roman" w:hAnsi="Times New Roman" w:eastAsia="宋体" w:cs="Times New Roman"/>
                <w:b/>
                <w:color w:val="auto"/>
                <w:sz w:val="26"/>
                <w:szCs w:val="26"/>
              </w:rPr>
              <w:t>3.1.2地表水环境</w:t>
            </w:r>
          </w:p>
          <w:p w14:paraId="31C19439">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本项目所在区域污废水经市政污水管网进入鸡冠石污水处理厂处理，达标后排入长江，地表水最终受纳水体为长江，根据《重庆市人民政府批转重庆市地表水环境功能类别调整方案的通知》（渝府发</w:t>
            </w:r>
            <w:r>
              <w:rPr>
                <w:rFonts w:hint="default" w:ascii="Times New Roman" w:hAnsi="Times New Roman" w:cs="Times New Roman"/>
                <w:color w:val="auto"/>
                <w:sz w:val="24"/>
                <w:lang w:eastAsia="zh-CN"/>
              </w:rPr>
              <w:t>〔2012〕4号</w:t>
            </w:r>
            <w:r>
              <w:rPr>
                <w:rFonts w:hint="default" w:ascii="Times New Roman" w:hAnsi="Times New Roman" w:eastAsia="宋体" w:cs="Times New Roman"/>
                <w:color w:val="auto"/>
                <w:sz w:val="24"/>
              </w:rPr>
              <w:t>）和《重庆市人民政府关于批转重庆市地表水环境功能类别局部调整方案的通知》（渝府</w:t>
            </w:r>
            <w:r>
              <w:rPr>
                <w:rFonts w:hint="default" w:ascii="Times New Roman" w:hAnsi="Times New Roman" w:cs="Times New Roman"/>
                <w:color w:val="auto"/>
                <w:sz w:val="24"/>
                <w:lang w:eastAsia="zh-CN"/>
              </w:rPr>
              <w:t>〔2016〕43号</w:t>
            </w:r>
            <w:r>
              <w:rPr>
                <w:rFonts w:hint="default" w:ascii="Times New Roman" w:hAnsi="Times New Roman" w:eastAsia="宋体" w:cs="Times New Roman"/>
                <w:color w:val="auto"/>
                <w:sz w:val="24"/>
              </w:rPr>
              <w:t>），长江主城段属于Ⅲ类水域，执行《地表水环境质量标准》（GB3838-2002）中的Ⅲ类标准。</w:t>
            </w:r>
          </w:p>
          <w:p w14:paraId="70C0214C">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w:t>
            </w:r>
            <w:r>
              <w:rPr>
                <w:rFonts w:hint="default" w:ascii="Times New Roman" w:hAnsi="Times New Roman" w:cs="Times New Roman"/>
                <w:color w:val="auto"/>
                <w:sz w:val="24"/>
              </w:rPr>
              <w:t>202</w:t>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重庆市生态环境状况公报</w:t>
            </w:r>
            <w:r>
              <w:rPr>
                <w:rFonts w:hint="default" w:ascii="Times New Roman" w:hAnsi="Times New Roman" w:eastAsia="宋体" w:cs="Times New Roman"/>
                <w:color w:val="auto"/>
                <w:sz w:val="24"/>
              </w:rPr>
              <w:t>》可知，长江干流重庆段总体水质为优，20个监测断面水质均达到Ⅱ类。由此可知，项目所在地地表水环境质量现状良好。</w:t>
            </w:r>
          </w:p>
          <w:p w14:paraId="309F574C">
            <w:pPr>
              <w:adjustRightInd w:val="0"/>
              <w:snapToGrid w:val="0"/>
              <w:spacing w:line="360" w:lineRule="auto"/>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3.1.3声环境</w:t>
            </w:r>
          </w:p>
          <w:p w14:paraId="4D9E9C60">
            <w:pPr>
              <w:adjustRightInd w:val="0"/>
              <w:snapToGrid w:val="0"/>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6"/>
              </w:rPr>
              <w:t>本项目位于</w:t>
            </w:r>
            <w:r>
              <w:rPr>
                <w:rFonts w:hint="default" w:ascii="Times New Roman" w:hAnsi="Times New Roman" w:eastAsia="宋体" w:cs="Times New Roman"/>
                <w:color w:val="auto"/>
                <w:sz w:val="24"/>
              </w:rPr>
              <w:t>重庆市九龙坡区谢家湾菜袁路</w:t>
            </w:r>
            <w:r>
              <w:rPr>
                <w:rFonts w:hint="default" w:ascii="Times New Roman" w:hAnsi="Times New Roman" w:eastAsia="宋体" w:cs="Times New Roman"/>
                <w:color w:val="auto"/>
                <w:sz w:val="24"/>
                <w:szCs w:val="26"/>
              </w:rPr>
              <w:t>，</w:t>
            </w:r>
            <w:r>
              <w:rPr>
                <w:rFonts w:hint="default" w:ascii="Times New Roman" w:hAnsi="Times New Roman" w:cs="Times New Roman"/>
                <w:color w:val="auto"/>
                <w:sz w:val="24"/>
              </w:rPr>
              <w:t>厂界外50米范围内声环境保护目标</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rPr>
              <w:t>根据《重庆市生态环境局关于印发重庆市中心城区声环境功能区划分方案（2023年）的函》（渝环〔2023〕61号），</w:t>
            </w:r>
            <w:r>
              <w:rPr>
                <w:rFonts w:hint="default" w:ascii="Times New Roman" w:hAnsi="Times New Roman" w:cs="Times New Roman"/>
                <w:color w:val="auto"/>
                <w:sz w:val="24"/>
                <w:lang w:eastAsia="zh-CN"/>
              </w:rPr>
              <w:t>声环境保护目标</w:t>
            </w:r>
            <w:r>
              <w:rPr>
                <w:rFonts w:hint="default" w:ascii="Times New Roman" w:hAnsi="Times New Roman" w:eastAsia="宋体" w:cs="Times New Roman"/>
                <w:color w:val="auto"/>
                <w:sz w:val="24"/>
              </w:rPr>
              <w:t>属于</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sz w:val="24"/>
              </w:rPr>
              <w:t>类区，执行《声环境质量标准》（GB3096-2008）</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sz w:val="24"/>
              </w:rPr>
              <w:t>类标准。本项目50m范围内有声环境保护目标，根据《建设项目环境影响报告表编制技术指南》（污染影响类），</w:t>
            </w:r>
            <w:r>
              <w:rPr>
                <w:rFonts w:hint="default" w:ascii="Times New Roman" w:hAnsi="Times New Roman" w:eastAsia="宋体" w:cs="Times New Roman"/>
                <w:color w:val="auto"/>
                <w:sz w:val="24"/>
                <w:szCs w:val="26"/>
              </w:rPr>
              <w:t>评价委托了重庆港</w:t>
            </w:r>
            <w:r>
              <w:rPr>
                <w:rFonts w:hint="default" w:ascii="Times New Roman" w:hAnsi="Times New Roman" w:eastAsia="宋体" w:cs="Times New Roman"/>
                <w:color w:val="auto"/>
                <w:sz w:val="24"/>
              </w:rPr>
              <w:t>庆测控技术有限公司于2023年2月10日</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rPr>
              <w:t>2月11日对项目所在地的声环境现状进行实测，监测报告编号为港庆（监）字【2023】第02026-HP号。</w:t>
            </w:r>
          </w:p>
          <w:p w14:paraId="4CF71FF3">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（1）监测数据基本情况</w:t>
            </w:r>
          </w:p>
          <w:p w14:paraId="3BBA2BDA">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监测项目：昼间、夜间等效声级；</w:t>
            </w:r>
          </w:p>
          <w:p w14:paraId="77CA5587">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监测点位：共布置1个噪声监测点位，位于西侧渝中花园居民楼处；</w:t>
            </w:r>
          </w:p>
          <w:p w14:paraId="7A4A3440">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监测时间：2023年2月10日</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2月11日；</w:t>
            </w:r>
          </w:p>
          <w:p w14:paraId="7A0AE0F8">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监测频率：连续监测两天，每天昼、夜各一次；</w:t>
            </w:r>
          </w:p>
          <w:p w14:paraId="7B8E9AC5">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监测分析方法：按照《声环境质量标准》（GB3096-2008）中规定的方法进行。</w:t>
            </w:r>
          </w:p>
          <w:p w14:paraId="3EB57AD8">
            <w:pPr>
              <w:pStyle w:val="62"/>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（2）监测结果及评价</w:t>
            </w:r>
          </w:p>
          <w:p w14:paraId="7CDB4103">
            <w:pPr>
              <w:pStyle w:val="62"/>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噪声监测统计及评价结果见表3.1-3监测点位见</w:t>
            </w:r>
            <w:r>
              <w:rPr>
                <w:rFonts w:hint="default" w:ascii="Times New Roman" w:hAnsi="Times New Roman" w:eastAsia="宋体" w:cs="Times New Roman"/>
                <w:b w:val="0"/>
                <w:bCs w:val="0"/>
                <w:color w:val="auto"/>
                <w:sz w:val="24"/>
                <w:u w:val="none"/>
              </w:rPr>
              <w:t>附图4</w:t>
            </w:r>
            <w:r>
              <w:rPr>
                <w:rFonts w:hint="default" w:ascii="Times New Roman" w:hAnsi="Times New Roman" w:eastAsia="宋体" w:cs="Times New Roman"/>
                <w:color w:val="auto"/>
                <w:sz w:val="24"/>
              </w:rPr>
              <w:t>。</w:t>
            </w:r>
          </w:p>
          <w:p w14:paraId="68DF1F0E">
            <w:pPr>
              <w:pStyle w:val="26"/>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表3.1-3    噪声现状评价结果        单位：dB（A）</w:t>
            </w:r>
          </w:p>
          <w:tbl>
            <w:tblPr>
              <w:tblStyle w:val="19"/>
              <w:tblpPr w:leftFromText="180" w:rightFromText="180" w:vertAnchor="text" w:tblpXSpec="center" w:tblpY="1"/>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321"/>
              <w:gridCol w:w="1319"/>
              <w:gridCol w:w="1319"/>
              <w:gridCol w:w="1319"/>
              <w:gridCol w:w="1317"/>
            </w:tblGrid>
            <w:tr w14:paraId="6357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pct"/>
                  <w:vMerge w:val="restart"/>
                  <w:noWrap w:val="0"/>
                  <w:vAlign w:val="center"/>
                </w:tcPr>
                <w:p w14:paraId="7149A9F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监测点</w:t>
                  </w:r>
                </w:p>
              </w:tc>
              <w:tc>
                <w:tcPr>
                  <w:tcW w:w="809" w:type="pct"/>
                  <w:vMerge w:val="restart"/>
                  <w:noWrap w:val="0"/>
                  <w:vAlign w:val="center"/>
                </w:tcPr>
                <w:p w14:paraId="4433D8E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监测时间</w:t>
                  </w:r>
                </w:p>
              </w:tc>
              <w:tc>
                <w:tcPr>
                  <w:tcW w:w="1616" w:type="pct"/>
                  <w:gridSpan w:val="2"/>
                  <w:noWrap w:val="0"/>
                  <w:vAlign w:val="center"/>
                </w:tcPr>
                <w:p w14:paraId="263B3C9C">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监测结果</w:t>
                  </w:r>
                </w:p>
              </w:tc>
              <w:tc>
                <w:tcPr>
                  <w:tcW w:w="808" w:type="pct"/>
                  <w:vMerge w:val="restart"/>
                  <w:noWrap w:val="0"/>
                  <w:vAlign w:val="center"/>
                </w:tcPr>
                <w:p w14:paraId="368BC8E1">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标准值</w:t>
                  </w:r>
                </w:p>
              </w:tc>
              <w:tc>
                <w:tcPr>
                  <w:tcW w:w="807" w:type="pct"/>
                  <w:vMerge w:val="restart"/>
                  <w:noWrap w:val="0"/>
                  <w:vAlign w:val="center"/>
                </w:tcPr>
                <w:p w14:paraId="6CEF0C25">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是否达标</w:t>
                  </w:r>
                </w:p>
              </w:tc>
            </w:tr>
            <w:tr w14:paraId="005E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pct"/>
                  <w:vMerge w:val="continue"/>
                  <w:noWrap w:val="0"/>
                  <w:vAlign w:val="center"/>
                </w:tcPr>
                <w:p w14:paraId="01E85840">
                  <w:pPr>
                    <w:pStyle w:val="77"/>
                    <w:spacing w:line="240" w:lineRule="auto"/>
                    <w:rPr>
                      <w:rFonts w:hint="default" w:ascii="Times New Roman" w:hAnsi="Times New Roman" w:eastAsia="宋体" w:cs="Times New Roman"/>
                      <w:color w:val="auto"/>
                      <w:sz w:val="21"/>
                    </w:rPr>
                  </w:pPr>
                </w:p>
              </w:tc>
              <w:tc>
                <w:tcPr>
                  <w:tcW w:w="809" w:type="pct"/>
                  <w:vMerge w:val="continue"/>
                  <w:noWrap w:val="0"/>
                  <w:vAlign w:val="center"/>
                </w:tcPr>
                <w:p w14:paraId="49F26FA8">
                  <w:pPr>
                    <w:pStyle w:val="77"/>
                    <w:spacing w:line="240" w:lineRule="auto"/>
                    <w:rPr>
                      <w:rFonts w:hint="default" w:ascii="Times New Roman" w:hAnsi="Times New Roman" w:eastAsia="宋体" w:cs="Times New Roman"/>
                      <w:color w:val="auto"/>
                      <w:sz w:val="21"/>
                    </w:rPr>
                  </w:pPr>
                </w:p>
              </w:tc>
              <w:tc>
                <w:tcPr>
                  <w:tcW w:w="808" w:type="pct"/>
                  <w:noWrap w:val="0"/>
                  <w:vAlign w:val="center"/>
                </w:tcPr>
                <w:p w14:paraId="6F13D229">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2023.2.10</w:t>
                  </w:r>
                </w:p>
              </w:tc>
              <w:tc>
                <w:tcPr>
                  <w:tcW w:w="808" w:type="pct"/>
                  <w:noWrap w:val="0"/>
                  <w:vAlign w:val="center"/>
                </w:tcPr>
                <w:p w14:paraId="098CEADD">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2023.2.11</w:t>
                  </w:r>
                </w:p>
              </w:tc>
              <w:tc>
                <w:tcPr>
                  <w:tcW w:w="808" w:type="pct"/>
                  <w:vMerge w:val="continue"/>
                  <w:noWrap w:val="0"/>
                  <w:vAlign w:val="center"/>
                </w:tcPr>
                <w:p w14:paraId="34356EBD">
                  <w:pPr>
                    <w:pStyle w:val="77"/>
                    <w:spacing w:line="240" w:lineRule="auto"/>
                    <w:rPr>
                      <w:rFonts w:hint="default" w:ascii="Times New Roman" w:hAnsi="Times New Roman" w:eastAsia="宋体" w:cs="Times New Roman"/>
                      <w:color w:val="auto"/>
                      <w:sz w:val="21"/>
                    </w:rPr>
                  </w:pPr>
                </w:p>
              </w:tc>
              <w:tc>
                <w:tcPr>
                  <w:tcW w:w="807" w:type="pct"/>
                  <w:vMerge w:val="continue"/>
                  <w:noWrap w:val="0"/>
                  <w:vAlign w:val="center"/>
                </w:tcPr>
                <w:p w14:paraId="43DCB804">
                  <w:pPr>
                    <w:pStyle w:val="77"/>
                    <w:spacing w:line="240" w:lineRule="auto"/>
                    <w:rPr>
                      <w:rFonts w:hint="default" w:ascii="Times New Roman" w:hAnsi="Times New Roman" w:eastAsia="宋体" w:cs="Times New Roman"/>
                      <w:color w:val="auto"/>
                      <w:sz w:val="21"/>
                    </w:rPr>
                  </w:pPr>
                </w:p>
              </w:tc>
            </w:tr>
            <w:tr w14:paraId="2389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pct"/>
                  <w:vMerge w:val="restart"/>
                  <w:noWrap w:val="0"/>
                  <w:vAlign w:val="center"/>
                </w:tcPr>
                <w:p w14:paraId="457F84A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渝中花园</w:t>
                  </w:r>
                  <w:r>
                    <w:rPr>
                      <w:rFonts w:hint="default" w:ascii="Times New Roman" w:hAnsi="Times New Roman" w:eastAsia="宋体" w:cs="Times New Roman"/>
                      <w:color w:val="auto"/>
                      <w:sz w:val="21"/>
                      <w:szCs w:val="24"/>
                    </w:rPr>
                    <w:t>居民楼处</w:t>
                  </w:r>
                </w:p>
              </w:tc>
              <w:tc>
                <w:tcPr>
                  <w:tcW w:w="809" w:type="pct"/>
                  <w:noWrap w:val="0"/>
                  <w:vAlign w:val="center"/>
                </w:tcPr>
                <w:p w14:paraId="31AB2FBC">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昼间</w:t>
                  </w:r>
                </w:p>
              </w:tc>
              <w:tc>
                <w:tcPr>
                  <w:tcW w:w="808" w:type="pct"/>
                  <w:noWrap w:val="0"/>
                  <w:vAlign w:val="center"/>
                </w:tcPr>
                <w:p w14:paraId="0F44B5F9">
                  <w:pPr>
                    <w:pStyle w:val="77"/>
                    <w:spacing w:line="240" w:lineRule="auto"/>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rPr>
                    <w:t>5</w:t>
                  </w:r>
                  <w:r>
                    <w:rPr>
                      <w:rFonts w:hint="default" w:ascii="Times New Roman" w:hAnsi="Times New Roman" w:cs="Times New Roman"/>
                      <w:color w:val="auto"/>
                      <w:sz w:val="21"/>
                      <w:lang w:val="en-US" w:eastAsia="zh-CN"/>
                    </w:rPr>
                    <w:t>3</w:t>
                  </w:r>
                </w:p>
              </w:tc>
              <w:tc>
                <w:tcPr>
                  <w:tcW w:w="808" w:type="pct"/>
                  <w:noWrap w:val="0"/>
                  <w:vAlign w:val="center"/>
                </w:tcPr>
                <w:p w14:paraId="42B9E476">
                  <w:pPr>
                    <w:pStyle w:val="77"/>
                    <w:spacing w:line="240" w:lineRule="auto"/>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rPr>
                    <w:t>5</w:t>
                  </w:r>
                  <w:r>
                    <w:rPr>
                      <w:rFonts w:hint="default" w:ascii="Times New Roman" w:hAnsi="Times New Roman" w:cs="Times New Roman"/>
                      <w:color w:val="auto"/>
                      <w:sz w:val="21"/>
                      <w:lang w:val="en-US" w:eastAsia="zh-CN"/>
                    </w:rPr>
                    <w:t>2</w:t>
                  </w:r>
                </w:p>
              </w:tc>
              <w:tc>
                <w:tcPr>
                  <w:tcW w:w="808" w:type="pct"/>
                  <w:noWrap w:val="0"/>
                  <w:vAlign w:val="center"/>
                </w:tcPr>
                <w:p w14:paraId="2608E109">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60</w:t>
                  </w:r>
                </w:p>
              </w:tc>
              <w:tc>
                <w:tcPr>
                  <w:tcW w:w="807" w:type="pct"/>
                  <w:noWrap w:val="0"/>
                  <w:vAlign w:val="center"/>
                </w:tcPr>
                <w:p w14:paraId="6D3A6F9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达标</w:t>
                  </w:r>
                </w:p>
              </w:tc>
            </w:tr>
            <w:tr w14:paraId="6E73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pct"/>
                  <w:vMerge w:val="continue"/>
                  <w:noWrap w:val="0"/>
                  <w:vAlign w:val="center"/>
                </w:tcPr>
                <w:p w14:paraId="48EF9215">
                  <w:pPr>
                    <w:pStyle w:val="77"/>
                    <w:spacing w:line="240" w:lineRule="auto"/>
                    <w:rPr>
                      <w:rFonts w:hint="default" w:ascii="Times New Roman" w:hAnsi="Times New Roman" w:eastAsia="宋体" w:cs="Times New Roman"/>
                      <w:color w:val="auto"/>
                      <w:sz w:val="21"/>
                    </w:rPr>
                  </w:pPr>
                </w:p>
              </w:tc>
              <w:tc>
                <w:tcPr>
                  <w:tcW w:w="809" w:type="pct"/>
                  <w:noWrap w:val="0"/>
                  <w:vAlign w:val="center"/>
                </w:tcPr>
                <w:p w14:paraId="249F01DD">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夜间</w:t>
                  </w:r>
                </w:p>
              </w:tc>
              <w:tc>
                <w:tcPr>
                  <w:tcW w:w="808" w:type="pct"/>
                  <w:noWrap w:val="0"/>
                  <w:vAlign w:val="center"/>
                </w:tcPr>
                <w:p w14:paraId="04BC7798">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43</w:t>
                  </w:r>
                </w:p>
              </w:tc>
              <w:tc>
                <w:tcPr>
                  <w:tcW w:w="808" w:type="pct"/>
                  <w:noWrap w:val="0"/>
                  <w:vAlign w:val="center"/>
                </w:tcPr>
                <w:p w14:paraId="191689DE">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43</w:t>
                  </w:r>
                </w:p>
              </w:tc>
              <w:tc>
                <w:tcPr>
                  <w:tcW w:w="808" w:type="pct"/>
                  <w:noWrap w:val="0"/>
                  <w:vAlign w:val="center"/>
                </w:tcPr>
                <w:p w14:paraId="0DBF9CA5">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50</w:t>
                  </w:r>
                </w:p>
              </w:tc>
              <w:tc>
                <w:tcPr>
                  <w:tcW w:w="807" w:type="pct"/>
                  <w:noWrap w:val="0"/>
                  <w:vAlign w:val="center"/>
                </w:tcPr>
                <w:p w14:paraId="3DDAE7ED">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达标</w:t>
                  </w:r>
                </w:p>
              </w:tc>
            </w:tr>
          </w:tbl>
          <w:p w14:paraId="703D5F08">
            <w:pPr>
              <w:pStyle w:val="71"/>
              <w:spacing w:line="240" w:lineRule="auto"/>
              <w:ind w:firstLine="480"/>
              <w:jc w:val="left"/>
              <w:rPr>
                <w:rFonts w:hint="default" w:ascii="Times New Roman" w:hAnsi="Times New Roman" w:eastAsia="宋体" w:cs="Times New Roman"/>
                <w:color w:val="auto"/>
              </w:rPr>
            </w:pPr>
          </w:p>
          <w:p w14:paraId="150BC599">
            <w:pPr>
              <w:pStyle w:val="62"/>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rPr>
              <w:t>由表3.1-3可知，</w:t>
            </w:r>
            <w:r>
              <w:rPr>
                <w:rFonts w:hint="default" w:ascii="Times New Roman" w:hAnsi="Times New Roman" w:eastAsia="宋体" w:cs="Times New Roman"/>
                <w:color w:val="auto"/>
                <w:sz w:val="24"/>
                <w:szCs w:val="24"/>
              </w:rPr>
              <w:t>渝中花园居民楼</w:t>
            </w:r>
            <w:r>
              <w:rPr>
                <w:rFonts w:hint="default" w:ascii="Times New Roman" w:hAnsi="Times New Roman" w:eastAsia="宋体" w:cs="Times New Roman"/>
                <w:color w:val="auto"/>
                <w:sz w:val="24"/>
              </w:rPr>
              <w:t>监测点昼、夜间满足《声环境质量标准》（GB3096-2008）</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sz w:val="24"/>
              </w:rPr>
              <w:t>类标准。</w:t>
            </w:r>
          </w:p>
          <w:p w14:paraId="52C8A607">
            <w:pPr>
              <w:pStyle w:val="7"/>
              <w:spacing w:before="0" w:after="0" w:line="360" w:lineRule="auto"/>
              <w:ind w:right="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3.1.4生态环境</w:t>
            </w:r>
          </w:p>
          <w:p w14:paraId="4746AAB1">
            <w:pPr>
              <w:pStyle w:val="7"/>
              <w:spacing w:before="0" w:after="0" w:line="360" w:lineRule="auto"/>
              <w:ind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kern w:val="2"/>
                <w:sz w:val="24"/>
                <w:szCs w:val="24"/>
                <w:highlight w:val="none"/>
                <w:lang w:val="en-US" w:eastAsia="zh-CN" w:bidi="ar-SA"/>
              </w:rPr>
              <w:t>本项目为改扩建项目，不新增占地，不涉及生态环境保护目标，因此不需要进行生态现状调查</w:t>
            </w:r>
            <w:r>
              <w:rPr>
                <w:rFonts w:hint="default" w:ascii="Times New Roman" w:hAnsi="Times New Roman" w:eastAsia="宋体" w:cs="Times New Roman"/>
                <w:color w:val="auto"/>
                <w:sz w:val="24"/>
                <w:szCs w:val="24"/>
              </w:rPr>
              <w:t>。</w:t>
            </w:r>
          </w:p>
          <w:p w14:paraId="1142233C">
            <w:pPr>
              <w:pStyle w:val="7"/>
              <w:spacing w:before="0" w:after="0" w:line="360" w:lineRule="auto"/>
              <w:ind w:right="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3.1.5电磁辐射</w:t>
            </w:r>
          </w:p>
          <w:p w14:paraId="173421B5">
            <w:pPr>
              <w:pStyle w:val="62"/>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bCs/>
                <w:color w:val="auto"/>
                <w:kern w:val="2"/>
                <w:sz w:val="24"/>
                <w:szCs w:val="24"/>
                <w:highlight w:val="none"/>
                <w:lang w:val="en-US" w:eastAsia="zh-CN" w:bidi="ar-SA"/>
              </w:rPr>
              <w:t>本</w:t>
            </w:r>
            <w:r>
              <w:rPr>
                <w:rFonts w:hint="default"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lang w:eastAsia="zh-CN"/>
              </w:rPr>
              <w:t>不涉及</w:t>
            </w:r>
            <w:r>
              <w:rPr>
                <w:rFonts w:hint="default" w:ascii="Times New Roman" w:hAnsi="Times New Roman" w:cs="Times New Roman"/>
                <w:color w:val="auto"/>
                <w:sz w:val="24"/>
                <w:szCs w:val="24"/>
                <w:highlight w:val="none"/>
              </w:rPr>
              <w:t>电磁</w:t>
            </w:r>
            <w:r>
              <w:rPr>
                <w:rFonts w:hint="eastAsia" w:cs="Times New Roman"/>
                <w:color w:val="auto"/>
                <w:sz w:val="24"/>
                <w:szCs w:val="24"/>
                <w:highlight w:val="none"/>
                <w:lang w:val="en-US" w:eastAsia="zh-CN"/>
              </w:rPr>
              <w:t>辐射</w:t>
            </w:r>
            <w:r>
              <w:rPr>
                <w:rFonts w:hint="default" w:ascii="Times New Roman" w:hAnsi="Times New Roman" w:eastAsia="宋体" w:cs="Times New Roman"/>
                <w:color w:val="auto"/>
                <w:sz w:val="24"/>
                <w:szCs w:val="24"/>
              </w:rPr>
              <w:t>。</w:t>
            </w:r>
          </w:p>
          <w:p w14:paraId="786F0434">
            <w:pPr>
              <w:adjustRightInd w:val="0"/>
              <w:snapToGrid w:val="0"/>
              <w:spacing w:line="360" w:lineRule="auto"/>
              <w:jc w:val="left"/>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3.1.6地下水环境</w:t>
            </w:r>
          </w:p>
          <w:p w14:paraId="21B9675D">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（1）监测数据资料情况</w:t>
            </w:r>
          </w:p>
          <w:p w14:paraId="4A2344F2">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rPr>
              <w:t>本项目罐区下游无地下水跟踪监测井，因为未监测地下水。由于本项目为改扩建项目，为了了解现有罐区是否存在油罐泄漏的情况发生，本次评价委托重庆港庆测控技术有限公司于2023年2月</w:t>
            </w:r>
            <w:r>
              <w:rPr>
                <w:rFonts w:hint="default" w:ascii="Times New Roman" w:hAnsi="Times New Roman" w:cs="Times New Roman"/>
                <w:color w:val="auto"/>
                <w:sz w:val="24"/>
                <w:lang w:val="en-US" w:eastAsia="zh-CN"/>
              </w:rPr>
              <w:t>10</w:t>
            </w:r>
            <w:r>
              <w:rPr>
                <w:rFonts w:hint="default" w:ascii="Times New Roman" w:hAnsi="Times New Roman" w:cs="Times New Roman"/>
                <w:color w:val="auto"/>
                <w:sz w:val="24"/>
              </w:rPr>
              <w:t>日对罐区观测井</w:t>
            </w:r>
            <w:r>
              <w:rPr>
                <w:rFonts w:hint="eastAsia" w:cs="Times New Roman"/>
                <w:color w:val="auto"/>
                <w:sz w:val="24"/>
                <w:lang w:eastAsia="zh-CN"/>
              </w:rPr>
              <w:t>（地下渗水）</w:t>
            </w:r>
            <w:r>
              <w:rPr>
                <w:rFonts w:hint="default" w:ascii="Times New Roman" w:hAnsi="Times New Roman" w:cs="Times New Roman"/>
                <w:color w:val="auto"/>
                <w:sz w:val="24"/>
              </w:rPr>
              <w:t>进行水质现状监测，监测频次为采样1天，共1次。</w:t>
            </w:r>
          </w:p>
          <w:p w14:paraId="18EF244A">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（2）评价方法</w:t>
            </w:r>
          </w:p>
          <w:p w14:paraId="6DEEF670">
            <w:pPr>
              <w:pStyle w:val="81"/>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地下水水质现状评价应采用标准指数法。标准指数&gt;1，表明该水质因子已超标，标准指数越大，超标越严重。标准指数计算公式分以下两种情况：</w:t>
            </w:r>
          </w:p>
          <w:p w14:paraId="2B58A71B">
            <w:pPr>
              <w:pStyle w:val="81"/>
              <w:spacing w:line="360" w:lineRule="auto"/>
              <w:ind w:firstLine="480"/>
              <w:rPr>
                <w:rFonts w:hint="default" w:ascii="Times New Roman" w:hAnsi="Times New Roman" w:eastAsia="宋体" w:cs="Times New Roman"/>
                <w:color w:val="auto"/>
              </w:rPr>
            </w:pPr>
            <w:r>
              <w:rPr>
                <w:rFonts w:hint="default" w:ascii="Times New Roman" w:hAnsi="Times New Roman" w:eastAsia="宋体" w:cs="Times New Roman"/>
                <w:color w:val="auto"/>
                <w:sz w:val="24"/>
                <w:szCs w:val="24"/>
              </w:rPr>
              <w:t>①对于评价标准为定值的水质因子，其标准指数计算方法见公式如</w:t>
            </w:r>
            <w:r>
              <w:rPr>
                <w:rFonts w:hint="default" w:ascii="Times New Roman" w:hAnsi="Times New Roman" w:eastAsia="宋体" w:cs="Times New Roman"/>
                <w:color w:val="auto"/>
              </w:rPr>
              <w:t>下：</w:t>
            </w:r>
          </w:p>
          <w:p w14:paraId="1C3839AF">
            <w:pPr>
              <w:pStyle w:val="81"/>
              <w:spacing w:line="360" w:lineRule="auto"/>
              <w:ind w:firstLine="48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P</w:t>
            </w:r>
            <w:r>
              <w:rPr>
                <w:rFonts w:hint="default" w:ascii="Times New Roman" w:hAnsi="Times New Roman" w:eastAsia="宋体" w:cs="Times New Roman"/>
                <w:color w:val="auto"/>
                <w:sz w:val="24"/>
                <w:vertAlign w:val="subscript"/>
              </w:rPr>
              <w:t>i</w:t>
            </w:r>
            <w:r>
              <w:rPr>
                <w:rFonts w:hint="default" w:ascii="Times New Roman" w:hAnsi="Times New Roman" w:eastAsia="宋体" w:cs="Times New Roman"/>
                <w:color w:val="auto"/>
                <w:sz w:val="24"/>
              </w:rPr>
              <w:t>=C</w:t>
            </w:r>
            <w:r>
              <w:rPr>
                <w:rFonts w:hint="default" w:ascii="Times New Roman" w:hAnsi="Times New Roman" w:eastAsia="宋体" w:cs="Times New Roman"/>
                <w:color w:val="auto"/>
                <w:sz w:val="24"/>
                <w:vertAlign w:val="subscript"/>
              </w:rPr>
              <w:t>i</w:t>
            </w:r>
            <w:r>
              <w:rPr>
                <w:rFonts w:hint="default" w:ascii="Times New Roman" w:hAnsi="Times New Roman" w:eastAsia="宋体" w:cs="Times New Roman"/>
                <w:color w:val="auto"/>
                <w:sz w:val="24"/>
              </w:rPr>
              <w:t>/C</w:t>
            </w:r>
            <w:r>
              <w:rPr>
                <w:rFonts w:hint="default" w:ascii="Times New Roman" w:hAnsi="Times New Roman" w:eastAsia="宋体" w:cs="Times New Roman"/>
                <w:color w:val="auto"/>
                <w:sz w:val="24"/>
                <w:vertAlign w:val="subscript"/>
              </w:rPr>
              <w:t>si</w:t>
            </w:r>
          </w:p>
          <w:p w14:paraId="3D46F936">
            <w:pPr>
              <w:pStyle w:val="81"/>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式中：P</w:t>
            </w:r>
            <w:r>
              <w:rPr>
                <w:rFonts w:hint="default" w:ascii="Times New Roman" w:hAnsi="Times New Roman" w:eastAsia="宋体" w:cs="Times New Roman"/>
                <w:color w:val="auto"/>
                <w:sz w:val="24"/>
                <w:vertAlign w:val="subscript"/>
              </w:rPr>
              <w:t>i</w:t>
            </w:r>
            <w:r>
              <w:rPr>
                <w:rFonts w:hint="default" w:ascii="Times New Roman" w:hAnsi="Times New Roman" w:eastAsia="宋体" w:cs="Times New Roman"/>
                <w:color w:val="auto"/>
                <w:sz w:val="24"/>
              </w:rPr>
              <w:t>—第i个水质单因子的标准指数；无量纲；</w:t>
            </w:r>
          </w:p>
          <w:p w14:paraId="2ECF3765">
            <w:pPr>
              <w:pStyle w:val="81"/>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w:t>
            </w:r>
            <w:r>
              <w:rPr>
                <w:rFonts w:hint="default" w:ascii="Times New Roman" w:hAnsi="Times New Roman" w:eastAsia="宋体" w:cs="Times New Roman"/>
                <w:color w:val="auto"/>
                <w:sz w:val="24"/>
                <w:vertAlign w:val="subscript"/>
              </w:rPr>
              <w:t>i</w:t>
            </w:r>
            <w:r>
              <w:rPr>
                <w:rFonts w:hint="default" w:ascii="Times New Roman" w:hAnsi="Times New Roman" w:eastAsia="宋体" w:cs="Times New Roman"/>
                <w:color w:val="auto"/>
                <w:sz w:val="24"/>
              </w:rPr>
              <w:t>—第i个水质因子的监测浓度值，（mg/L）；</w:t>
            </w:r>
          </w:p>
          <w:p w14:paraId="5DBD05CE">
            <w:pPr>
              <w:pStyle w:val="81"/>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C</w:t>
            </w:r>
            <w:r>
              <w:rPr>
                <w:rFonts w:hint="default" w:ascii="Times New Roman" w:hAnsi="Times New Roman" w:eastAsia="宋体" w:cs="Times New Roman"/>
                <w:color w:val="auto"/>
                <w:sz w:val="24"/>
                <w:vertAlign w:val="subscript"/>
              </w:rPr>
              <w:t>si</w:t>
            </w:r>
            <w:r>
              <w:rPr>
                <w:rFonts w:hint="default" w:ascii="Times New Roman" w:hAnsi="Times New Roman" w:eastAsia="宋体" w:cs="Times New Roman"/>
                <w:color w:val="auto"/>
                <w:sz w:val="24"/>
              </w:rPr>
              <w:t>—第i个水质因子的标准浓度值，（mg/L）。</w:t>
            </w:r>
          </w:p>
          <w:p w14:paraId="03430133">
            <w:pPr>
              <w:pStyle w:val="81"/>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②对于评价标准为区间的水质因子（如pH值），其标准指数计算方法见公式如下：</w:t>
            </w:r>
          </w:p>
          <w:p w14:paraId="7840E74E">
            <w:pPr>
              <w:pStyle w:val="81"/>
              <w:spacing w:line="360" w:lineRule="auto"/>
              <w:ind w:firstLine="48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P</w:t>
            </w:r>
            <w:r>
              <w:rPr>
                <w:rFonts w:hint="default" w:ascii="Times New Roman" w:hAnsi="Times New Roman" w:eastAsia="宋体" w:cs="Times New Roman"/>
                <w:color w:val="auto"/>
                <w:sz w:val="24"/>
                <w:vertAlign w:val="subscript"/>
              </w:rPr>
              <w:t>pH</w:t>
            </w:r>
            <w:r>
              <w:rPr>
                <w:rFonts w:hint="default" w:ascii="Times New Roman" w:hAnsi="Times New Roman" w:eastAsia="宋体" w:cs="Times New Roman"/>
                <w:color w:val="auto"/>
                <w:sz w:val="24"/>
              </w:rPr>
              <w:t>=(7.0－pH)/(7.0－pH</w:t>
            </w:r>
            <w:r>
              <w:rPr>
                <w:rFonts w:hint="default" w:ascii="Times New Roman" w:hAnsi="Times New Roman" w:eastAsia="宋体" w:cs="Times New Roman"/>
                <w:color w:val="auto"/>
                <w:sz w:val="24"/>
                <w:vertAlign w:val="subscript"/>
              </w:rPr>
              <w:t>sd</w:t>
            </w:r>
            <w:r>
              <w:rPr>
                <w:rFonts w:hint="default" w:ascii="Times New Roman" w:hAnsi="Times New Roman" w:eastAsia="宋体" w:cs="Times New Roman"/>
                <w:color w:val="auto"/>
                <w:sz w:val="24"/>
              </w:rPr>
              <w:t>)  pH≤7.0</w:t>
            </w:r>
          </w:p>
          <w:p w14:paraId="7DE64BF9">
            <w:pPr>
              <w:pStyle w:val="81"/>
              <w:spacing w:line="360" w:lineRule="auto"/>
              <w:ind w:firstLine="48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P</w:t>
            </w:r>
            <w:r>
              <w:rPr>
                <w:rFonts w:hint="default" w:ascii="Times New Roman" w:hAnsi="Times New Roman" w:eastAsia="宋体" w:cs="Times New Roman"/>
                <w:color w:val="auto"/>
                <w:sz w:val="24"/>
                <w:vertAlign w:val="subscript"/>
              </w:rPr>
              <w:t>pH</w:t>
            </w:r>
            <w:r>
              <w:rPr>
                <w:rFonts w:hint="default" w:ascii="Times New Roman" w:hAnsi="Times New Roman" w:eastAsia="宋体" w:cs="Times New Roman"/>
                <w:color w:val="auto"/>
                <w:sz w:val="24"/>
              </w:rPr>
              <w:t>=(pH－7.0)/(pH</w:t>
            </w:r>
            <w:r>
              <w:rPr>
                <w:rFonts w:hint="default" w:ascii="Times New Roman" w:hAnsi="Times New Roman" w:eastAsia="宋体" w:cs="Times New Roman"/>
                <w:color w:val="auto"/>
                <w:sz w:val="24"/>
                <w:vertAlign w:val="subscript"/>
              </w:rPr>
              <w:t>su</w:t>
            </w:r>
            <w:r>
              <w:rPr>
                <w:rFonts w:hint="default" w:ascii="Times New Roman" w:hAnsi="Times New Roman" w:eastAsia="宋体" w:cs="Times New Roman"/>
                <w:color w:val="auto"/>
                <w:sz w:val="24"/>
              </w:rPr>
              <w:t>－7.0)  pH</w:t>
            </w:r>
            <w:r>
              <w:rPr>
                <w:rFonts w:hint="eastAsia" w:cs="Times New Roman"/>
                <w:color w:val="auto"/>
                <w:sz w:val="24"/>
                <w:lang w:eastAsia="zh-CN"/>
              </w:rPr>
              <w:t>&gt;</w:t>
            </w:r>
            <w:r>
              <w:rPr>
                <w:rFonts w:hint="default" w:ascii="Times New Roman" w:hAnsi="Times New Roman" w:eastAsia="宋体" w:cs="Times New Roman"/>
                <w:color w:val="auto"/>
                <w:sz w:val="24"/>
              </w:rPr>
              <w:t>7.0</w:t>
            </w:r>
          </w:p>
          <w:p w14:paraId="740E40D1">
            <w:pPr>
              <w:pStyle w:val="81"/>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式中：P</w:t>
            </w:r>
            <w:r>
              <w:rPr>
                <w:rFonts w:hint="default" w:ascii="Times New Roman" w:hAnsi="Times New Roman" w:eastAsia="宋体" w:cs="Times New Roman"/>
                <w:color w:val="auto"/>
                <w:sz w:val="24"/>
                <w:vertAlign w:val="subscript"/>
              </w:rPr>
              <w:t>pH</w:t>
            </w:r>
            <w:r>
              <w:rPr>
                <w:rFonts w:hint="default" w:ascii="Times New Roman" w:hAnsi="Times New Roman" w:eastAsia="宋体" w:cs="Times New Roman"/>
                <w:color w:val="auto"/>
                <w:sz w:val="24"/>
              </w:rPr>
              <w:t>—pH值的标准指数；</w:t>
            </w:r>
          </w:p>
          <w:p w14:paraId="7E730EE0">
            <w:pPr>
              <w:pStyle w:val="81"/>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pH—pH实测值；</w:t>
            </w:r>
          </w:p>
          <w:p w14:paraId="0E204A48">
            <w:pPr>
              <w:pStyle w:val="81"/>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pH</w:t>
            </w:r>
            <w:r>
              <w:rPr>
                <w:rFonts w:hint="default" w:ascii="Times New Roman" w:hAnsi="Times New Roman" w:eastAsia="宋体" w:cs="Times New Roman"/>
                <w:color w:val="auto"/>
                <w:sz w:val="24"/>
                <w:vertAlign w:val="subscript"/>
              </w:rPr>
              <w:t>sd</w:t>
            </w:r>
            <w:r>
              <w:rPr>
                <w:rFonts w:hint="default" w:ascii="Times New Roman" w:hAnsi="Times New Roman" w:eastAsia="宋体" w:cs="Times New Roman"/>
                <w:color w:val="auto"/>
                <w:sz w:val="24"/>
              </w:rPr>
              <w:t>—标准中规定的pH下限；</w:t>
            </w:r>
          </w:p>
          <w:p w14:paraId="308A1D76">
            <w:pPr>
              <w:pStyle w:val="81"/>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pH</w:t>
            </w:r>
            <w:r>
              <w:rPr>
                <w:rFonts w:hint="default" w:ascii="Times New Roman" w:hAnsi="Times New Roman" w:eastAsia="宋体" w:cs="Times New Roman"/>
                <w:color w:val="auto"/>
                <w:sz w:val="24"/>
                <w:vertAlign w:val="subscript"/>
              </w:rPr>
              <w:t>su</w:t>
            </w:r>
            <w:r>
              <w:rPr>
                <w:rFonts w:hint="default" w:ascii="Times New Roman" w:hAnsi="Times New Roman" w:eastAsia="宋体" w:cs="Times New Roman"/>
                <w:color w:val="auto"/>
                <w:sz w:val="24"/>
              </w:rPr>
              <w:t>—标准中规定的pH上限。</w:t>
            </w:r>
          </w:p>
          <w:p w14:paraId="284B54FC">
            <w:pPr>
              <w:adjustRightInd w:val="0"/>
              <w:snapToGrid w:val="0"/>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（3）监测结果</w:t>
            </w:r>
          </w:p>
          <w:p w14:paraId="783071F5">
            <w:pPr>
              <w:snapToGrid w:val="0"/>
              <w:spacing w:line="360" w:lineRule="auto"/>
              <w:ind w:firstLine="480" w:firstLineChars="200"/>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color w:val="auto"/>
                <w:sz w:val="24"/>
                <w:szCs w:val="26"/>
              </w:rPr>
              <w:t>地下水具体监测结果统计见下表3.1-</w:t>
            </w:r>
            <w:r>
              <w:rPr>
                <w:rFonts w:hint="default" w:ascii="Times New Roman" w:hAnsi="Times New Roman" w:cs="Times New Roman"/>
                <w:color w:val="auto"/>
                <w:sz w:val="24"/>
                <w:szCs w:val="26"/>
                <w:lang w:val="en-US" w:eastAsia="zh-CN"/>
              </w:rPr>
              <w:t>4</w:t>
            </w:r>
            <w:r>
              <w:rPr>
                <w:rFonts w:hint="default" w:ascii="Times New Roman" w:hAnsi="Times New Roman" w:eastAsia="宋体" w:cs="Times New Roman"/>
                <w:color w:val="auto"/>
                <w:sz w:val="24"/>
                <w:szCs w:val="26"/>
              </w:rPr>
              <w:t>。</w:t>
            </w:r>
          </w:p>
          <w:p w14:paraId="79DD1D62">
            <w:pPr>
              <w:snapToGrid w:val="0"/>
              <w:jc w:val="center"/>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表3.1-</w:t>
            </w:r>
            <w:r>
              <w:rPr>
                <w:rFonts w:hint="default" w:ascii="Times New Roman" w:hAnsi="Times New Roman" w:cs="Times New Roman"/>
                <w:b/>
                <w:color w:val="auto"/>
                <w:sz w:val="24"/>
                <w:szCs w:val="26"/>
                <w:lang w:val="en-US" w:eastAsia="zh-CN"/>
              </w:rPr>
              <w:t>4</w:t>
            </w:r>
            <w:r>
              <w:rPr>
                <w:rFonts w:hint="default" w:ascii="Times New Roman" w:hAnsi="Times New Roman" w:eastAsia="宋体" w:cs="Times New Roman"/>
                <w:b/>
                <w:color w:val="auto"/>
                <w:sz w:val="24"/>
                <w:szCs w:val="26"/>
              </w:rPr>
              <w:t xml:space="preserve">    地下水环境现状监测数据统计结果表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1336"/>
              <w:gridCol w:w="2542"/>
              <w:gridCol w:w="1359"/>
              <w:gridCol w:w="900"/>
            </w:tblGrid>
            <w:tr w14:paraId="5CC3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vMerge w:val="restart"/>
                  <w:noWrap w:val="0"/>
                  <w:vAlign w:val="center"/>
                </w:tcPr>
                <w:p w14:paraId="5AC2E52C">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监测因子</w:t>
                  </w:r>
                </w:p>
              </w:tc>
              <w:tc>
                <w:tcPr>
                  <w:tcW w:w="818" w:type="pct"/>
                  <w:vMerge w:val="restart"/>
                  <w:noWrap w:val="0"/>
                  <w:vAlign w:val="center"/>
                </w:tcPr>
                <w:p w14:paraId="2777FFFD">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单位</w:t>
                  </w:r>
                </w:p>
              </w:tc>
              <w:tc>
                <w:tcPr>
                  <w:tcW w:w="1558" w:type="pct"/>
                  <w:vMerge w:val="restart"/>
                  <w:noWrap w:val="0"/>
                  <w:vAlign w:val="center"/>
                </w:tcPr>
                <w:p w14:paraId="736B4B56">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Ⅲ类标准值</w:t>
                  </w:r>
                </w:p>
              </w:tc>
              <w:tc>
                <w:tcPr>
                  <w:tcW w:w="1384" w:type="pct"/>
                  <w:gridSpan w:val="2"/>
                  <w:noWrap w:val="0"/>
                  <w:vAlign w:val="center"/>
                </w:tcPr>
                <w:p w14:paraId="00B23828">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监测值</w:t>
                  </w:r>
                </w:p>
              </w:tc>
            </w:tr>
            <w:tr w14:paraId="67A5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vMerge w:val="continue"/>
                  <w:noWrap w:val="0"/>
                  <w:vAlign w:val="center"/>
                </w:tcPr>
                <w:p w14:paraId="587AF325">
                  <w:pPr>
                    <w:adjustRightInd w:val="0"/>
                    <w:snapToGrid w:val="0"/>
                    <w:jc w:val="center"/>
                    <w:rPr>
                      <w:rFonts w:hint="default" w:ascii="Times New Roman" w:hAnsi="Times New Roman" w:eastAsia="宋体" w:cs="Times New Roman"/>
                      <w:color w:val="auto"/>
                      <w:szCs w:val="21"/>
                    </w:rPr>
                  </w:pPr>
                </w:p>
              </w:tc>
              <w:tc>
                <w:tcPr>
                  <w:tcW w:w="818" w:type="pct"/>
                  <w:vMerge w:val="continue"/>
                  <w:noWrap w:val="0"/>
                  <w:vAlign w:val="center"/>
                </w:tcPr>
                <w:p w14:paraId="0ECB36F0">
                  <w:pPr>
                    <w:adjustRightInd w:val="0"/>
                    <w:snapToGrid w:val="0"/>
                    <w:jc w:val="center"/>
                    <w:rPr>
                      <w:rFonts w:hint="default" w:ascii="Times New Roman" w:hAnsi="Times New Roman" w:eastAsia="宋体" w:cs="Times New Roman"/>
                      <w:color w:val="auto"/>
                      <w:szCs w:val="21"/>
                    </w:rPr>
                  </w:pPr>
                </w:p>
              </w:tc>
              <w:tc>
                <w:tcPr>
                  <w:tcW w:w="1558" w:type="pct"/>
                  <w:vMerge w:val="continue"/>
                  <w:noWrap w:val="0"/>
                  <w:vAlign w:val="center"/>
                </w:tcPr>
                <w:p w14:paraId="76A793FB">
                  <w:pPr>
                    <w:adjustRightInd w:val="0"/>
                    <w:snapToGrid w:val="0"/>
                    <w:jc w:val="center"/>
                    <w:rPr>
                      <w:rFonts w:hint="default" w:ascii="Times New Roman" w:hAnsi="Times New Roman" w:eastAsia="宋体" w:cs="Times New Roman"/>
                      <w:color w:val="auto"/>
                      <w:szCs w:val="21"/>
                    </w:rPr>
                  </w:pPr>
                </w:p>
              </w:tc>
              <w:tc>
                <w:tcPr>
                  <w:tcW w:w="833" w:type="pct"/>
                  <w:noWrap w:val="0"/>
                  <w:vAlign w:val="center"/>
                </w:tcPr>
                <w:p w14:paraId="534B0FE7">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W11</w:t>
                  </w:r>
                </w:p>
              </w:tc>
              <w:tc>
                <w:tcPr>
                  <w:tcW w:w="551" w:type="pct"/>
                  <w:noWrap w:val="0"/>
                  <w:vAlign w:val="center"/>
                </w:tcPr>
                <w:p w14:paraId="3225E114">
                  <w:pPr>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P</w:t>
                  </w:r>
                  <w:r>
                    <w:rPr>
                      <w:rFonts w:hint="default" w:ascii="Times New Roman" w:hAnsi="Times New Roman" w:eastAsia="宋体" w:cs="Times New Roman"/>
                      <w:color w:val="auto"/>
                      <w:szCs w:val="21"/>
                      <w:vertAlign w:val="subscript"/>
                    </w:rPr>
                    <w:t>ij</w:t>
                  </w:r>
                </w:p>
              </w:tc>
            </w:tr>
            <w:tr w14:paraId="4530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4EE0101A">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pH</w:t>
                  </w:r>
                </w:p>
              </w:tc>
              <w:tc>
                <w:tcPr>
                  <w:tcW w:w="818" w:type="pct"/>
                  <w:noWrap w:val="0"/>
                  <w:vAlign w:val="center"/>
                </w:tcPr>
                <w:p w14:paraId="1E9455AB">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无量纲</w:t>
                  </w:r>
                </w:p>
              </w:tc>
              <w:tc>
                <w:tcPr>
                  <w:tcW w:w="1558" w:type="pct"/>
                  <w:noWrap w:val="0"/>
                  <w:vAlign w:val="center"/>
                </w:tcPr>
                <w:p w14:paraId="2E14AE00">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6.5-8.5</w:t>
                  </w:r>
                </w:p>
              </w:tc>
              <w:tc>
                <w:tcPr>
                  <w:tcW w:w="833" w:type="pct"/>
                  <w:noWrap w:val="0"/>
                  <w:vAlign w:val="center"/>
                </w:tcPr>
                <w:p w14:paraId="15B5BB15">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7.4</w:t>
                  </w:r>
                </w:p>
              </w:tc>
              <w:tc>
                <w:tcPr>
                  <w:tcW w:w="551" w:type="pct"/>
                  <w:noWrap w:val="0"/>
                  <w:vAlign w:val="center"/>
                </w:tcPr>
                <w:p w14:paraId="2CFAC04F">
                  <w:pPr>
                    <w:widowControl/>
                    <w:jc w:val="center"/>
                    <w:rPr>
                      <w:rFonts w:hint="default" w:ascii="Times New Roman" w:hAnsi="Times New Roman" w:eastAsia="宋体" w:cs="Times New Roman"/>
                      <w:color w:val="auto"/>
                      <w:kern w:val="0"/>
                      <w:szCs w:val="21"/>
                    </w:rPr>
                  </w:pPr>
                  <w:r>
                    <w:rPr>
                      <w:rFonts w:hint="default" w:ascii="Times New Roman" w:hAnsi="Times New Roman" w:cs="Times New Roman"/>
                      <w:color w:val="auto"/>
                      <w:kern w:val="0"/>
                      <w:szCs w:val="21"/>
                      <w:lang w:val="en-US" w:eastAsia="zh-CN"/>
                    </w:rPr>
                    <w:t>0.267</w:t>
                  </w:r>
                </w:p>
              </w:tc>
            </w:tr>
            <w:tr w14:paraId="1224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4138F9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氨氮（以N计）</w:t>
                  </w:r>
                </w:p>
              </w:tc>
              <w:tc>
                <w:tcPr>
                  <w:tcW w:w="818" w:type="pct"/>
                  <w:noWrap w:val="0"/>
                  <w:vAlign w:val="center"/>
                </w:tcPr>
                <w:p w14:paraId="39A0678D">
                  <w:pPr>
                    <w:widowControl/>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mg/L</w:t>
                  </w:r>
                </w:p>
              </w:tc>
              <w:tc>
                <w:tcPr>
                  <w:tcW w:w="1558" w:type="pct"/>
                  <w:noWrap w:val="0"/>
                  <w:vAlign w:val="center"/>
                </w:tcPr>
                <w:p w14:paraId="4909794B">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0.50</w:t>
                  </w:r>
                </w:p>
              </w:tc>
              <w:tc>
                <w:tcPr>
                  <w:tcW w:w="833" w:type="pct"/>
                  <w:noWrap w:val="0"/>
                  <w:vAlign w:val="center"/>
                </w:tcPr>
                <w:p w14:paraId="0E4F5B4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0.382</w:t>
                  </w:r>
                </w:p>
              </w:tc>
              <w:tc>
                <w:tcPr>
                  <w:tcW w:w="551" w:type="pct"/>
                  <w:noWrap w:val="0"/>
                  <w:vAlign w:val="center"/>
                </w:tcPr>
                <w:p w14:paraId="70B257A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0.764</w:t>
                  </w:r>
                </w:p>
              </w:tc>
            </w:tr>
            <w:tr w14:paraId="061F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0963230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硝酸盐（以N计）</w:t>
                  </w:r>
                </w:p>
              </w:tc>
              <w:tc>
                <w:tcPr>
                  <w:tcW w:w="818" w:type="pct"/>
                  <w:noWrap w:val="0"/>
                  <w:vAlign w:val="center"/>
                </w:tcPr>
                <w:p w14:paraId="0684C4B1">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5FB5E9EC">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≤20.0</w:t>
                  </w:r>
                </w:p>
              </w:tc>
              <w:tc>
                <w:tcPr>
                  <w:tcW w:w="833" w:type="pct"/>
                  <w:noWrap w:val="0"/>
                  <w:vAlign w:val="center"/>
                </w:tcPr>
                <w:p w14:paraId="66ED4EA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1.21</w:t>
                  </w:r>
                </w:p>
              </w:tc>
              <w:tc>
                <w:tcPr>
                  <w:tcW w:w="551" w:type="pct"/>
                  <w:noWrap w:val="0"/>
                  <w:vAlign w:val="center"/>
                </w:tcPr>
                <w:p w14:paraId="7006A7F5">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0.06</w:t>
                  </w:r>
                  <w:r>
                    <w:rPr>
                      <w:rFonts w:hint="default" w:ascii="Times New Roman" w:hAnsi="Times New Roman" w:cs="Times New Roman"/>
                      <w:color w:val="auto"/>
                      <w:szCs w:val="21"/>
                      <w:lang w:val="en-US" w:eastAsia="zh-CN"/>
                    </w:rPr>
                    <w:t>0</w:t>
                  </w:r>
                </w:p>
              </w:tc>
            </w:tr>
            <w:tr w14:paraId="2095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720A53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硫酸盐（SO</w:t>
                  </w:r>
                  <w:r>
                    <w:rPr>
                      <w:rFonts w:hint="default" w:ascii="Times New Roman" w:hAnsi="Times New Roman" w:eastAsia="宋体" w:cs="Times New Roman"/>
                      <w:i w:val="0"/>
                      <w:iCs w:val="0"/>
                      <w:color w:val="auto"/>
                      <w:kern w:val="0"/>
                      <w:sz w:val="21"/>
                      <w:szCs w:val="21"/>
                      <w:u w:val="none"/>
                      <w:vertAlign w:val="subscript"/>
                      <w:lang w:val="en-US" w:eastAsia="zh-CN" w:bidi="ar"/>
                    </w:rPr>
                    <w:t>4</w:t>
                  </w:r>
                  <w:r>
                    <w:rPr>
                      <w:rFonts w:hint="default" w:ascii="Times New Roman" w:hAnsi="Times New Roman" w:eastAsia="宋体" w:cs="Times New Roman"/>
                      <w:i w:val="0"/>
                      <w:iCs w:val="0"/>
                      <w:color w:val="auto"/>
                      <w:kern w:val="0"/>
                      <w:sz w:val="21"/>
                      <w:szCs w:val="21"/>
                      <w:u w:val="none"/>
                      <w:vertAlign w:val="super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w:t>
                  </w:r>
                </w:p>
              </w:tc>
              <w:tc>
                <w:tcPr>
                  <w:tcW w:w="818" w:type="pct"/>
                  <w:noWrap w:val="0"/>
                  <w:vAlign w:val="center"/>
                </w:tcPr>
                <w:p w14:paraId="725906F0">
                  <w:pPr>
                    <w:widowControl/>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mg/L</w:t>
                  </w:r>
                </w:p>
              </w:tc>
              <w:tc>
                <w:tcPr>
                  <w:tcW w:w="1558" w:type="pct"/>
                  <w:noWrap w:val="0"/>
                  <w:vAlign w:val="center"/>
                </w:tcPr>
                <w:p w14:paraId="6D39544B">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0.0</w:t>
                  </w:r>
                </w:p>
              </w:tc>
              <w:tc>
                <w:tcPr>
                  <w:tcW w:w="833" w:type="pct"/>
                  <w:noWrap w:val="0"/>
                  <w:vAlign w:val="center"/>
                </w:tcPr>
                <w:p w14:paraId="3C98612F">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14.6</w:t>
                  </w:r>
                </w:p>
              </w:tc>
              <w:tc>
                <w:tcPr>
                  <w:tcW w:w="551" w:type="pct"/>
                  <w:noWrap w:val="0"/>
                  <w:vAlign w:val="center"/>
                </w:tcPr>
                <w:p w14:paraId="0412ABAE">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0.058</w:t>
                  </w:r>
                </w:p>
              </w:tc>
            </w:tr>
            <w:tr w14:paraId="308D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1AA902A5">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i w:val="0"/>
                      <w:iCs w:val="0"/>
                      <w:color w:val="auto"/>
                      <w:kern w:val="0"/>
                      <w:sz w:val="21"/>
                      <w:szCs w:val="21"/>
                      <w:u w:val="none"/>
                      <w:lang w:val="en-US" w:eastAsia="zh-CN" w:bidi="ar"/>
                    </w:rPr>
                    <w:t>亚硝酸盐（以N计）</w:t>
                  </w:r>
                </w:p>
              </w:tc>
              <w:tc>
                <w:tcPr>
                  <w:tcW w:w="818" w:type="pct"/>
                  <w:noWrap w:val="0"/>
                  <w:vAlign w:val="center"/>
                </w:tcPr>
                <w:p w14:paraId="6CDF9E74">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6D391DA1">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833" w:type="pct"/>
                  <w:noWrap w:val="0"/>
                  <w:vAlign w:val="center"/>
                </w:tcPr>
                <w:p w14:paraId="16FE42D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0.941</w:t>
                  </w:r>
                </w:p>
              </w:tc>
              <w:tc>
                <w:tcPr>
                  <w:tcW w:w="551" w:type="pct"/>
                  <w:noWrap w:val="0"/>
                  <w:vAlign w:val="center"/>
                </w:tcPr>
                <w:p w14:paraId="11BE04F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0.941</w:t>
                  </w:r>
                </w:p>
              </w:tc>
            </w:tr>
            <w:tr w14:paraId="6860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52E83649">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挥发性酚类</w:t>
                  </w:r>
                </w:p>
              </w:tc>
              <w:tc>
                <w:tcPr>
                  <w:tcW w:w="818" w:type="pct"/>
                  <w:noWrap w:val="0"/>
                  <w:vAlign w:val="center"/>
                </w:tcPr>
                <w:p w14:paraId="43257BC7">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69DEC14C">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≤0.002</w:t>
                  </w:r>
                </w:p>
              </w:tc>
              <w:tc>
                <w:tcPr>
                  <w:tcW w:w="833" w:type="pct"/>
                  <w:noWrap w:val="0"/>
                  <w:vAlign w:val="center"/>
                </w:tcPr>
                <w:p w14:paraId="5A60209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0.0003L</w:t>
                  </w:r>
                </w:p>
              </w:tc>
              <w:tc>
                <w:tcPr>
                  <w:tcW w:w="551" w:type="pct"/>
                  <w:noWrap w:val="0"/>
                  <w:vAlign w:val="center"/>
                </w:tcPr>
                <w:p w14:paraId="5CC87A2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6EF6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660DACA8">
                  <w:pPr>
                    <w:widowControl/>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氯化物（Cl</w:t>
                  </w:r>
                  <w:r>
                    <w:rPr>
                      <w:rFonts w:hint="default" w:ascii="Times New Roman" w:hAnsi="Times New Roman" w:eastAsia="宋体" w:cs="Times New Roman"/>
                      <w:i w:val="0"/>
                      <w:iCs w:val="0"/>
                      <w:color w:val="auto"/>
                      <w:kern w:val="0"/>
                      <w:sz w:val="21"/>
                      <w:szCs w:val="21"/>
                      <w:u w:val="none"/>
                      <w:vertAlign w:val="superscript"/>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w:t>
                  </w:r>
                </w:p>
              </w:tc>
              <w:tc>
                <w:tcPr>
                  <w:tcW w:w="818" w:type="pct"/>
                  <w:noWrap w:val="0"/>
                  <w:vAlign w:val="center"/>
                </w:tcPr>
                <w:p w14:paraId="6CD92858">
                  <w:pPr>
                    <w:widowControl/>
                    <w:adjustRightInd w:val="0"/>
                    <w:snapToGrid w:val="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mg/L</w:t>
                  </w:r>
                </w:p>
              </w:tc>
              <w:tc>
                <w:tcPr>
                  <w:tcW w:w="1558" w:type="pct"/>
                  <w:noWrap w:val="0"/>
                  <w:vAlign w:val="center"/>
                </w:tcPr>
                <w:p w14:paraId="07D3E96A">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0.0</w:t>
                  </w:r>
                </w:p>
              </w:tc>
              <w:tc>
                <w:tcPr>
                  <w:tcW w:w="833" w:type="pct"/>
                  <w:noWrap w:val="0"/>
                  <w:vAlign w:val="center"/>
                </w:tcPr>
                <w:p w14:paraId="42D3F29E">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2.65</w:t>
                  </w:r>
                </w:p>
              </w:tc>
              <w:tc>
                <w:tcPr>
                  <w:tcW w:w="551" w:type="pct"/>
                  <w:noWrap w:val="0"/>
                  <w:vAlign w:val="center"/>
                </w:tcPr>
                <w:p w14:paraId="08BDB2FA">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0.106</w:t>
                  </w:r>
                </w:p>
              </w:tc>
            </w:tr>
            <w:tr w14:paraId="7135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412338D0">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氰化物</w:t>
                  </w:r>
                </w:p>
              </w:tc>
              <w:tc>
                <w:tcPr>
                  <w:tcW w:w="818" w:type="pct"/>
                  <w:noWrap w:val="0"/>
                  <w:vAlign w:val="center"/>
                </w:tcPr>
                <w:p w14:paraId="13B73352">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5DF743DC">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≤0.05</w:t>
                  </w:r>
                </w:p>
              </w:tc>
              <w:tc>
                <w:tcPr>
                  <w:tcW w:w="833" w:type="pct"/>
                  <w:noWrap w:val="0"/>
                  <w:vAlign w:val="center"/>
                </w:tcPr>
                <w:p w14:paraId="764E64E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0.002L</w:t>
                  </w:r>
                </w:p>
              </w:tc>
              <w:tc>
                <w:tcPr>
                  <w:tcW w:w="551" w:type="pct"/>
                  <w:noWrap w:val="0"/>
                  <w:vAlign w:val="center"/>
                </w:tcPr>
                <w:p w14:paraId="57CB1BA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1491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01E69332">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氟化物</w:t>
                  </w:r>
                </w:p>
              </w:tc>
              <w:tc>
                <w:tcPr>
                  <w:tcW w:w="818" w:type="pct"/>
                  <w:noWrap w:val="0"/>
                  <w:vAlign w:val="center"/>
                </w:tcPr>
                <w:p w14:paraId="635B0184">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5DAABF8A">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w:t>
                  </w:r>
                </w:p>
              </w:tc>
              <w:tc>
                <w:tcPr>
                  <w:tcW w:w="833" w:type="pct"/>
                  <w:noWrap w:val="0"/>
                  <w:vAlign w:val="center"/>
                </w:tcPr>
                <w:p w14:paraId="41B4CCA5">
                  <w:pPr>
                    <w:jc w:val="center"/>
                    <w:rPr>
                      <w:rFonts w:hint="default" w:ascii="Times New Roman" w:hAnsi="Times New Roman" w:eastAsia="宋体" w:cs="Times New Roman"/>
                      <w:color w:val="auto"/>
                      <w:szCs w:val="21"/>
                      <w:highlight w:val="yellow"/>
                    </w:rPr>
                  </w:pPr>
                  <w:r>
                    <w:rPr>
                      <w:rFonts w:hint="default" w:ascii="Times New Roman" w:hAnsi="Times New Roman" w:eastAsia="宋体" w:cs="Times New Roman"/>
                      <w:color w:val="auto"/>
                      <w:szCs w:val="21"/>
                    </w:rPr>
                    <w:t>0.906</w:t>
                  </w:r>
                </w:p>
              </w:tc>
              <w:tc>
                <w:tcPr>
                  <w:tcW w:w="551" w:type="pct"/>
                  <w:noWrap w:val="0"/>
                  <w:vAlign w:val="center"/>
                </w:tcPr>
                <w:p w14:paraId="680D449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0.906</w:t>
                  </w:r>
                </w:p>
              </w:tc>
            </w:tr>
            <w:tr w14:paraId="5170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49363BB6">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耗氧量</w:t>
                  </w:r>
                </w:p>
              </w:tc>
              <w:tc>
                <w:tcPr>
                  <w:tcW w:w="818" w:type="pct"/>
                  <w:noWrap w:val="0"/>
                  <w:vAlign w:val="center"/>
                </w:tcPr>
                <w:p w14:paraId="2564D39B">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60A58F77">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≤3.0</w:t>
                  </w:r>
                </w:p>
              </w:tc>
              <w:tc>
                <w:tcPr>
                  <w:tcW w:w="833" w:type="pct"/>
                  <w:noWrap w:val="0"/>
                  <w:vAlign w:val="center"/>
                </w:tcPr>
                <w:p w14:paraId="2D3877F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2.60</w:t>
                  </w:r>
                </w:p>
              </w:tc>
              <w:tc>
                <w:tcPr>
                  <w:tcW w:w="551" w:type="pct"/>
                  <w:noWrap w:val="0"/>
                  <w:vAlign w:val="center"/>
                </w:tcPr>
                <w:p w14:paraId="02816189">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0.87</w:t>
                  </w:r>
                  <w:r>
                    <w:rPr>
                      <w:rFonts w:hint="default" w:ascii="Times New Roman" w:hAnsi="Times New Roman" w:cs="Times New Roman"/>
                      <w:color w:val="auto"/>
                      <w:szCs w:val="21"/>
                      <w:lang w:val="en-US" w:eastAsia="zh-CN"/>
                    </w:rPr>
                    <w:t>0</w:t>
                  </w:r>
                </w:p>
              </w:tc>
            </w:tr>
            <w:tr w14:paraId="47F6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465C14DD">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铅</w:t>
                  </w:r>
                </w:p>
              </w:tc>
              <w:tc>
                <w:tcPr>
                  <w:tcW w:w="818" w:type="pct"/>
                  <w:noWrap w:val="0"/>
                  <w:vAlign w:val="center"/>
                </w:tcPr>
                <w:p w14:paraId="503BF19A">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2E4D1DBA">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≤0.01</w:t>
                  </w:r>
                </w:p>
              </w:tc>
              <w:tc>
                <w:tcPr>
                  <w:tcW w:w="833" w:type="pct"/>
                  <w:noWrap w:val="0"/>
                  <w:vAlign w:val="center"/>
                </w:tcPr>
                <w:p w14:paraId="2F52B4A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2.5×10</w:t>
                  </w:r>
                  <w:r>
                    <w:rPr>
                      <w:rFonts w:hint="default" w:ascii="Times New Roman" w:hAnsi="Times New Roman" w:eastAsia="宋体" w:cs="Times New Roman"/>
                      <w:color w:val="auto"/>
                      <w:szCs w:val="21"/>
                      <w:vertAlign w:val="superscript"/>
                    </w:rPr>
                    <w:t>-3</w:t>
                  </w:r>
                  <w:r>
                    <w:rPr>
                      <w:rFonts w:hint="default" w:ascii="Times New Roman" w:hAnsi="Times New Roman" w:eastAsia="宋体" w:cs="Times New Roman"/>
                      <w:color w:val="auto"/>
                      <w:szCs w:val="21"/>
                    </w:rPr>
                    <w:t>L</w:t>
                  </w:r>
                </w:p>
              </w:tc>
              <w:tc>
                <w:tcPr>
                  <w:tcW w:w="551" w:type="pct"/>
                  <w:noWrap w:val="0"/>
                  <w:vAlign w:val="center"/>
                </w:tcPr>
                <w:p w14:paraId="66544E2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5E38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22B9DEE5">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砷</w:t>
                  </w:r>
                </w:p>
              </w:tc>
              <w:tc>
                <w:tcPr>
                  <w:tcW w:w="818" w:type="pct"/>
                  <w:noWrap w:val="0"/>
                  <w:vAlign w:val="center"/>
                </w:tcPr>
                <w:p w14:paraId="2639C6DC">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35C9205E">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≤0.01</w:t>
                  </w:r>
                </w:p>
              </w:tc>
              <w:tc>
                <w:tcPr>
                  <w:tcW w:w="833" w:type="pct"/>
                  <w:noWrap w:val="0"/>
                  <w:vAlign w:val="center"/>
                </w:tcPr>
                <w:p w14:paraId="35C64E2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3×10</w:t>
                  </w:r>
                  <w:r>
                    <w:rPr>
                      <w:rFonts w:hint="default" w:ascii="Times New Roman" w:hAnsi="Times New Roman" w:eastAsia="宋体" w:cs="Times New Roman"/>
                      <w:color w:val="auto"/>
                      <w:szCs w:val="21"/>
                      <w:vertAlign w:val="superscript"/>
                    </w:rPr>
                    <w:t>-4</w:t>
                  </w:r>
                  <w:r>
                    <w:rPr>
                      <w:rFonts w:hint="default" w:ascii="Times New Roman" w:hAnsi="Times New Roman" w:eastAsia="宋体" w:cs="Times New Roman"/>
                      <w:color w:val="auto"/>
                      <w:szCs w:val="21"/>
                    </w:rPr>
                    <w:t>L</w:t>
                  </w:r>
                </w:p>
              </w:tc>
              <w:tc>
                <w:tcPr>
                  <w:tcW w:w="551" w:type="pct"/>
                  <w:noWrap w:val="0"/>
                  <w:vAlign w:val="center"/>
                </w:tcPr>
                <w:p w14:paraId="0ADE60D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7887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387FD99F">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汞</w:t>
                  </w:r>
                </w:p>
              </w:tc>
              <w:tc>
                <w:tcPr>
                  <w:tcW w:w="818" w:type="pct"/>
                  <w:noWrap w:val="0"/>
                  <w:vAlign w:val="center"/>
                </w:tcPr>
                <w:p w14:paraId="30D587EA">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38E16B08">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≤0.001</w:t>
                  </w:r>
                </w:p>
              </w:tc>
              <w:tc>
                <w:tcPr>
                  <w:tcW w:w="833" w:type="pct"/>
                  <w:noWrap w:val="0"/>
                  <w:vAlign w:val="center"/>
                </w:tcPr>
                <w:p w14:paraId="1A3D0FE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4×10</w:t>
                  </w:r>
                  <w:r>
                    <w:rPr>
                      <w:rFonts w:hint="default" w:ascii="Times New Roman" w:hAnsi="Times New Roman" w:eastAsia="宋体" w:cs="Times New Roman"/>
                      <w:color w:val="auto"/>
                      <w:szCs w:val="21"/>
                      <w:vertAlign w:val="superscript"/>
                    </w:rPr>
                    <w:t>-5</w:t>
                  </w:r>
                  <w:r>
                    <w:rPr>
                      <w:rFonts w:hint="default" w:ascii="Times New Roman" w:hAnsi="Times New Roman" w:eastAsia="宋体" w:cs="Times New Roman"/>
                      <w:color w:val="auto"/>
                      <w:szCs w:val="21"/>
                    </w:rPr>
                    <w:t>L</w:t>
                  </w:r>
                </w:p>
              </w:tc>
              <w:tc>
                <w:tcPr>
                  <w:tcW w:w="551" w:type="pct"/>
                  <w:noWrap w:val="0"/>
                  <w:vAlign w:val="center"/>
                </w:tcPr>
                <w:p w14:paraId="2BB340F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3DD2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09568525">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镉</w:t>
                  </w:r>
                </w:p>
              </w:tc>
              <w:tc>
                <w:tcPr>
                  <w:tcW w:w="818" w:type="pct"/>
                  <w:noWrap w:val="0"/>
                  <w:vAlign w:val="center"/>
                </w:tcPr>
                <w:p w14:paraId="30D734BA">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09AC21C9">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≤0.005</w:t>
                  </w:r>
                </w:p>
              </w:tc>
              <w:tc>
                <w:tcPr>
                  <w:tcW w:w="833" w:type="pct"/>
                  <w:noWrap w:val="0"/>
                  <w:vAlign w:val="center"/>
                </w:tcPr>
                <w:p w14:paraId="350A568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5×10</w:t>
                  </w:r>
                  <w:r>
                    <w:rPr>
                      <w:rFonts w:hint="default" w:ascii="Times New Roman" w:hAnsi="Times New Roman" w:eastAsia="宋体" w:cs="Times New Roman"/>
                      <w:color w:val="auto"/>
                      <w:szCs w:val="21"/>
                      <w:vertAlign w:val="superscript"/>
                    </w:rPr>
                    <w:t>-4</w:t>
                  </w:r>
                  <w:r>
                    <w:rPr>
                      <w:rFonts w:hint="default" w:ascii="Times New Roman" w:hAnsi="Times New Roman" w:eastAsia="宋体" w:cs="Times New Roman"/>
                      <w:color w:val="auto"/>
                      <w:szCs w:val="21"/>
                    </w:rPr>
                    <w:t>L</w:t>
                  </w:r>
                </w:p>
              </w:tc>
              <w:tc>
                <w:tcPr>
                  <w:tcW w:w="551" w:type="pct"/>
                  <w:noWrap w:val="0"/>
                  <w:vAlign w:val="center"/>
                </w:tcPr>
                <w:p w14:paraId="4B303E0D">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694A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110B17A4">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铁</w:t>
                  </w:r>
                </w:p>
              </w:tc>
              <w:tc>
                <w:tcPr>
                  <w:tcW w:w="818" w:type="pct"/>
                  <w:noWrap w:val="0"/>
                  <w:vAlign w:val="center"/>
                </w:tcPr>
                <w:p w14:paraId="7B8AA777">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4E573B50">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≤0.3</w:t>
                  </w:r>
                </w:p>
              </w:tc>
              <w:tc>
                <w:tcPr>
                  <w:tcW w:w="833" w:type="pct"/>
                  <w:noWrap w:val="0"/>
                  <w:vAlign w:val="center"/>
                </w:tcPr>
                <w:p w14:paraId="2F8CD11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0.03</w:t>
                  </w:r>
                </w:p>
              </w:tc>
              <w:tc>
                <w:tcPr>
                  <w:tcW w:w="551" w:type="pct"/>
                  <w:noWrap w:val="0"/>
                  <w:vAlign w:val="center"/>
                </w:tcPr>
                <w:p w14:paraId="6ADC99FE">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0.10</w:t>
                  </w:r>
                  <w:r>
                    <w:rPr>
                      <w:rFonts w:hint="default" w:ascii="Times New Roman" w:hAnsi="Times New Roman" w:cs="Times New Roman"/>
                      <w:color w:val="auto"/>
                      <w:szCs w:val="21"/>
                      <w:lang w:val="en-US" w:eastAsia="zh-CN"/>
                    </w:rPr>
                    <w:t>0</w:t>
                  </w:r>
                </w:p>
              </w:tc>
            </w:tr>
            <w:tr w14:paraId="1756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42BD3B5C">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锰</w:t>
                  </w:r>
                </w:p>
              </w:tc>
              <w:tc>
                <w:tcPr>
                  <w:tcW w:w="818" w:type="pct"/>
                  <w:noWrap w:val="0"/>
                  <w:vAlign w:val="center"/>
                </w:tcPr>
                <w:p w14:paraId="316F66D5">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4860BCAC">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≤0.10</w:t>
                  </w:r>
                </w:p>
              </w:tc>
              <w:tc>
                <w:tcPr>
                  <w:tcW w:w="833" w:type="pct"/>
                  <w:noWrap w:val="0"/>
                  <w:vAlign w:val="center"/>
                </w:tcPr>
                <w:p w14:paraId="60D2870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0.08</w:t>
                  </w:r>
                </w:p>
              </w:tc>
              <w:tc>
                <w:tcPr>
                  <w:tcW w:w="551" w:type="pct"/>
                  <w:noWrap w:val="0"/>
                  <w:vAlign w:val="center"/>
                </w:tcPr>
                <w:p w14:paraId="7798F725">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0.800</w:t>
                  </w:r>
                </w:p>
              </w:tc>
            </w:tr>
            <w:tr w14:paraId="5677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234872D1">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六价铬</w:t>
                  </w:r>
                </w:p>
              </w:tc>
              <w:tc>
                <w:tcPr>
                  <w:tcW w:w="818" w:type="pct"/>
                  <w:noWrap w:val="0"/>
                  <w:vAlign w:val="center"/>
                </w:tcPr>
                <w:p w14:paraId="13D825D1">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669FD82B">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≤0.05</w:t>
                  </w:r>
                </w:p>
              </w:tc>
              <w:tc>
                <w:tcPr>
                  <w:tcW w:w="833" w:type="pct"/>
                  <w:noWrap w:val="0"/>
                  <w:vAlign w:val="center"/>
                </w:tcPr>
                <w:p w14:paraId="08B2340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0.004L</w:t>
                  </w:r>
                </w:p>
              </w:tc>
              <w:tc>
                <w:tcPr>
                  <w:tcW w:w="551" w:type="pct"/>
                  <w:noWrap w:val="0"/>
                  <w:vAlign w:val="center"/>
                </w:tcPr>
                <w:p w14:paraId="0CE3D1E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59DA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24DD869D">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总硬度</w:t>
                  </w:r>
                </w:p>
              </w:tc>
              <w:tc>
                <w:tcPr>
                  <w:tcW w:w="818" w:type="pct"/>
                  <w:noWrap w:val="0"/>
                  <w:vAlign w:val="center"/>
                </w:tcPr>
                <w:p w14:paraId="4032CAE9">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7EBE4321">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450</w:t>
                  </w:r>
                </w:p>
              </w:tc>
              <w:tc>
                <w:tcPr>
                  <w:tcW w:w="833" w:type="pct"/>
                  <w:noWrap w:val="0"/>
                  <w:vAlign w:val="center"/>
                </w:tcPr>
                <w:p w14:paraId="50A7E84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298</w:t>
                  </w:r>
                </w:p>
              </w:tc>
              <w:tc>
                <w:tcPr>
                  <w:tcW w:w="551" w:type="pct"/>
                  <w:noWrap w:val="0"/>
                  <w:vAlign w:val="center"/>
                </w:tcPr>
                <w:p w14:paraId="247B9CCD">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0.66</w:t>
                  </w:r>
                  <w:r>
                    <w:rPr>
                      <w:rFonts w:hint="default" w:ascii="Times New Roman" w:hAnsi="Times New Roman" w:cs="Times New Roman"/>
                      <w:color w:val="auto"/>
                      <w:szCs w:val="21"/>
                      <w:lang w:val="en-US" w:eastAsia="zh-CN"/>
                    </w:rPr>
                    <w:t>0</w:t>
                  </w:r>
                </w:p>
              </w:tc>
            </w:tr>
            <w:tr w14:paraId="2999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0ABBE268">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溶解性总固体</w:t>
                  </w:r>
                </w:p>
              </w:tc>
              <w:tc>
                <w:tcPr>
                  <w:tcW w:w="818" w:type="pct"/>
                  <w:noWrap w:val="0"/>
                  <w:vAlign w:val="center"/>
                </w:tcPr>
                <w:p w14:paraId="3D353E0B">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cs="Times New Roman"/>
                      <w:color w:val="auto"/>
                      <w:szCs w:val="21"/>
                      <w:lang w:val="en-US" w:eastAsia="zh-CN"/>
                    </w:rPr>
                    <w:t>mg/L</w:t>
                  </w:r>
                </w:p>
              </w:tc>
              <w:tc>
                <w:tcPr>
                  <w:tcW w:w="1558" w:type="pct"/>
                  <w:noWrap w:val="0"/>
                  <w:vAlign w:val="center"/>
                </w:tcPr>
                <w:p w14:paraId="3FBA0619">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1000</w:t>
                  </w:r>
                </w:p>
              </w:tc>
              <w:tc>
                <w:tcPr>
                  <w:tcW w:w="833" w:type="pct"/>
                  <w:noWrap w:val="0"/>
                  <w:vAlign w:val="center"/>
                </w:tcPr>
                <w:p w14:paraId="20640E7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345</w:t>
                  </w:r>
                </w:p>
              </w:tc>
              <w:tc>
                <w:tcPr>
                  <w:tcW w:w="551" w:type="pct"/>
                  <w:noWrap w:val="0"/>
                  <w:vAlign w:val="center"/>
                </w:tcPr>
                <w:p w14:paraId="4C027F7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0.345</w:t>
                  </w:r>
                </w:p>
              </w:tc>
            </w:tr>
            <w:tr w14:paraId="120A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14C964B1">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总大肠菌群</w:t>
                  </w:r>
                </w:p>
              </w:tc>
              <w:tc>
                <w:tcPr>
                  <w:tcW w:w="818" w:type="pct"/>
                  <w:noWrap w:val="0"/>
                  <w:vAlign w:val="center"/>
                </w:tcPr>
                <w:p w14:paraId="77503246">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MPN/100mL</w:t>
                  </w:r>
                </w:p>
              </w:tc>
              <w:tc>
                <w:tcPr>
                  <w:tcW w:w="1558" w:type="pct"/>
                  <w:noWrap w:val="0"/>
                  <w:vAlign w:val="center"/>
                </w:tcPr>
                <w:p w14:paraId="6A751F40">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3.0</w:t>
                  </w:r>
                </w:p>
              </w:tc>
              <w:tc>
                <w:tcPr>
                  <w:tcW w:w="833" w:type="pct"/>
                  <w:noWrap w:val="0"/>
                  <w:vAlign w:val="center"/>
                </w:tcPr>
                <w:p w14:paraId="284086D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551" w:type="pct"/>
                  <w:noWrap w:val="0"/>
                  <w:vAlign w:val="center"/>
                </w:tcPr>
                <w:p w14:paraId="5CDD34C2">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0.67</w:t>
                  </w:r>
                  <w:r>
                    <w:rPr>
                      <w:rFonts w:hint="default" w:ascii="Times New Roman" w:hAnsi="Times New Roman" w:cs="Times New Roman"/>
                      <w:color w:val="auto"/>
                      <w:szCs w:val="21"/>
                      <w:lang w:val="en-US" w:eastAsia="zh-CN"/>
                    </w:rPr>
                    <w:t>0</w:t>
                  </w:r>
                </w:p>
              </w:tc>
            </w:tr>
            <w:tr w14:paraId="55BE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44D69E33">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菌落总数</w:t>
                  </w:r>
                </w:p>
              </w:tc>
              <w:tc>
                <w:tcPr>
                  <w:tcW w:w="818" w:type="pct"/>
                  <w:noWrap w:val="0"/>
                  <w:vAlign w:val="center"/>
                </w:tcPr>
                <w:p w14:paraId="5601C4BA">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CFU/mL</w:t>
                  </w:r>
                </w:p>
              </w:tc>
              <w:tc>
                <w:tcPr>
                  <w:tcW w:w="1558" w:type="pct"/>
                  <w:noWrap w:val="0"/>
                  <w:vAlign w:val="center"/>
                </w:tcPr>
                <w:p w14:paraId="19F85511">
                  <w:pPr>
                    <w:widowControl/>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100</w:t>
                  </w:r>
                </w:p>
              </w:tc>
              <w:tc>
                <w:tcPr>
                  <w:tcW w:w="833" w:type="pct"/>
                  <w:noWrap w:val="0"/>
                  <w:vAlign w:val="center"/>
                </w:tcPr>
                <w:p w14:paraId="761A172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75</w:t>
                  </w:r>
                </w:p>
              </w:tc>
              <w:tc>
                <w:tcPr>
                  <w:tcW w:w="551" w:type="pct"/>
                  <w:noWrap w:val="0"/>
                  <w:vAlign w:val="center"/>
                </w:tcPr>
                <w:p w14:paraId="36AC126C">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0.77</w:t>
                  </w:r>
                  <w:r>
                    <w:rPr>
                      <w:rFonts w:hint="default" w:ascii="Times New Roman" w:hAnsi="Times New Roman" w:cs="Times New Roman"/>
                      <w:color w:val="auto"/>
                      <w:szCs w:val="21"/>
                      <w:lang w:val="en-US" w:eastAsia="zh-CN"/>
                    </w:rPr>
                    <w:t>0</w:t>
                  </w:r>
                </w:p>
              </w:tc>
            </w:tr>
            <w:tr w14:paraId="6B27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8" w:type="pct"/>
                  <w:noWrap w:val="0"/>
                  <w:vAlign w:val="center"/>
                </w:tcPr>
                <w:p w14:paraId="1736E0A4">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石油类*</w:t>
                  </w:r>
                </w:p>
              </w:tc>
              <w:tc>
                <w:tcPr>
                  <w:tcW w:w="818" w:type="pct"/>
                  <w:noWrap w:val="0"/>
                  <w:vAlign w:val="center"/>
                </w:tcPr>
                <w:p w14:paraId="381E553A">
                  <w:pPr>
                    <w:widowControl/>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mg/L</w:t>
                  </w:r>
                </w:p>
              </w:tc>
              <w:tc>
                <w:tcPr>
                  <w:tcW w:w="1558" w:type="pct"/>
                  <w:noWrap w:val="0"/>
                  <w:vAlign w:val="center"/>
                </w:tcPr>
                <w:p w14:paraId="7C47E92B">
                  <w:pPr>
                    <w:widowControl/>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≤0.05</w:t>
                  </w:r>
                </w:p>
              </w:tc>
              <w:tc>
                <w:tcPr>
                  <w:tcW w:w="833" w:type="pct"/>
                  <w:noWrap w:val="0"/>
                  <w:vAlign w:val="center"/>
                </w:tcPr>
                <w:p w14:paraId="372EB489">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0.01L</w:t>
                  </w:r>
                </w:p>
              </w:tc>
              <w:tc>
                <w:tcPr>
                  <w:tcW w:w="551" w:type="pct"/>
                  <w:noWrap w:val="0"/>
                  <w:vAlign w:val="center"/>
                </w:tcPr>
                <w:p w14:paraId="75F4A8C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p>
              </w:tc>
            </w:tr>
            <w:tr w14:paraId="3FBF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noWrap w:val="0"/>
                  <w:vAlign w:val="center"/>
                </w:tcPr>
                <w:p w14:paraId="6B2DE4E0">
                  <w:pPr>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注：① “L”表示检测值小于方法检出限；</w:t>
                  </w:r>
                </w:p>
                <w:p w14:paraId="2E5390E9">
                  <w:pPr>
                    <w:ind w:firstLine="420" w:firstLineChars="200"/>
                    <w:jc w:val="left"/>
                    <w:rPr>
                      <w:rFonts w:hint="default" w:ascii="Times New Roman" w:hAnsi="Times New Roman" w:eastAsia="宋体" w:cs="Times New Roman"/>
                      <w:color w:val="auto"/>
                      <w:szCs w:val="21"/>
                      <w:highlight w:val="yellow"/>
                    </w:rPr>
                  </w:pPr>
                  <w:r>
                    <w:rPr>
                      <w:rFonts w:hint="default" w:ascii="Times New Roman" w:hAnsi="Times New Roman" w:eastAsia="宋体" w:cs="Times New Roman"/>
                      <w:color w:val="auto"/>
                      <w:szCs w:val="21"/>
                    </w:rPr>
                    <w:t>②*石油类参照执行《地表水环境质量标准》（GB3838-2002）Ⅲ类标准。</w:t>
                  </w:r>
                </w:p>
              </w:tc>
            </w:tr>
          </w:tbl>
          <w:p w14:paraId="1A3A8F7D">
            <w:pPr>
              <w:pStyle w:val="71"/>
              <w:spacing w:line="360" w:lineRule="auto"/>
              <w:ind w:firstLine="480"/>
              <w:jc w:val="left"/>
              <w:rPr>
                <w:rFonts w:hint="default" w:ascii="Times New Roman" w:hAnsi="Times New Roman" w:eastAsia="宋体" w:cs="Times New Roman"/>
                <w:color w:val="auto"/>
              </w:rPr>
            </w:pPr>
          </w:p>
          <w:p w14:paraId="0806BAF8">
            <w:pPr>
              <w:spacing w:line="360" w:lineRule="auto"/>
              <w:ind w:firstLine="480" w:firstLineChars="200"/>
              <w:rPr>
                <w:rFonts w:hint="default" w:ascii="Times New Roman" w:hAnsi="Times New Roman" w:eastAsia="宋体" w:cs="Times New Roman"/>
                <w:bCs/>
                <w:color w:val="auto"/>
                <w:sz w:val="24"/>
                <w:szCs w:val="20"/>
              </w:rPr>
            </w:pPr>
            <w:r>
              <w:rPr>
                <w:rFonts w:hint="default" w:ascii="Times New Roman" w:hAnsi="Times New Roman" w:eastAsia="宋体" w:cs="Times New Roman"/>
                <w:bCs/>
                <w:color w:val="auto"/>
                <w:sz w:val="24"/>
                <w:szCs w:val="20"/>
              </w:rPr>
              <w:t>由表3.1-5可知，由表3.1-5可知，本项目各指标监测值均满足《地下水质量标准》（GB/T14848-2017）Ⅲ类标准值，石油类未检出，说明罐区观测井水质较好，无油品泄漏</w:t>
            </w:r>
            <w:r>
              <w:rPr>
                <w:rFonts w:hint="default" w:ascii="Times New Roman" w:hAnsi="Times New Roman" w:eastAsia="宋体" w:cs="Times New Roman"/>
                <w:bCs/>
                <w:color w:val="auto"/>
                <w:sz w:val="24"/>
                <w:szCs w:val="20"/>
                <w:lang w:eastAsia="zh-CN"/>
              </w:rPr>
              <w:t>。</w:t>
            </w:r>
          </w:p>
          <w:p w14:paraId="2FE689AC">
            <w:pPr>
              <w:adjustRightInd w:val="0"/>
              <w:snapToGrid w:val="0"/>
              <w:spacing w:line="360" w:lineRule="auto"/>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3.1.7土壤环境</w:t>
            </w:r>
          </w:p>
          <w:p w14:paraId="3609569A">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本项目为加油站油罐更换项目，可能存在土壤环境污染途径，本次评价在场地内设置1个土壤表层样背景监测点，评价委托重庆港庆测控技术有限公司于2023年2月10日进行土壤环境现状监测。</w:t>
            </w:r>
          </w:p>
          <w:p w14:paraId="6FA96601">
            <w:pPr>
              <w:adjustRightInd w:val="0"/>
              <w:snapToGrid w:val="0"/>
              <w:spacing w:line="360" w:lineRule="auto"/>
              <w:ind w:firstLine="456"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pacing w:val="-6"/>
                <w:sz w:val="24"/>
              </w:rPr>
              <w:t>（1）监测布点及采样时间</w:t>
            </w:r>
          </w:p>
          <w:p w14:paraId="25612E25">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本次评价在场地内设置1个表层样点，布设情况、监测时间详见表3.1-</w:t>
            </w:r>
            <w:r>
              <w:rPr>
                <w:rFonts w:hint="default" w:ascii="Times New Roman" w:hAnsi="Times New Roman" w:cs="Times New Roman"/>
                <w:color w:val="auto"/>
                <w:sz w:val="24"/>
                <w:lang w:val="en-US" w:eastAsia="zh-CN"/>
              </w:rPr>
              <w:t>5</w:t>
            </w:r>
            <w:r>
              <w:rPr>
                <w:rFonts w:hint="default" w:ascii="Times New Roman" w:hAnsi="Times New Roman" w:eastAsia="宋体" w:cs="Times New Roman"/>
                <w:color w:val="auto"/>
                <w:sz w:val="24"/>
              </w:rPr>
              <w:t>。</w:t>
            </w:r>
          </w:p>
          <w:p w14:paraId="0B91DACB">
            <w:pPr>
              <w:snapToGrid w:val="0"/>
              <w:jc w:val="center"/>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表3.1-</w:t>
            </w:r>
            <w:r>
              <w:rPr>
                <w:rFonts w:hint="default" w:ascii="Times New Roman" w:hAnsi="Times New Roman" w:cs="Times New Roman"/>
                <w:b/>
                <w:color w:val="auto"/>
                <w:sz w:val="24"/>
                <w:szCs w:val="26"/>
                <w:lang w:val="en-US" w:eastAsia="zh-CN"/>
              </w:rPr>
              <w:t>5</w:t>
            </w:r>
            <w:r>
              <w:rPr>
                <w:rFonts w:hint="default" w:ascii="Times New Roman" w:hAnsi="Times New Roman" w:eastAsia="宋体" w:cs="Times New Roman"/>
                <w:b/>
                <w:color w:val="auto"/>
                <w:sz w:val="24"/>
                <w:szCs w:val="26"/>
              </w:rPr>
              <w:t xml:space="preserve">    土壤环境现状监测布点信息</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600"/>
              <w:gridCol w:w="1137"/>
              <w:gridCol w:w="1216"/>
              <w:gridCol w:w="3016"/>
              <w:gridCol w:w="693"/>
            </w:tblGrid>
            <w:tr w14:paraId="76BF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noWrap w:val="0"/>
                  <w:vAlign w:val="center"/>
                </w:tcPr>
                <w:p w14:paraId="402799DA">
                  <w:pPr>
                    <w:tabs>
                      <w:tab w:val="left" w:pos="5745"/>
                    </w:tabs>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编号</w:t>
                  </w:r>
                </w:p>
              </w:tc>
              <w:tc>
                <w:tcPr>
                  <w:tcW w:w="980" w:type="pct"/>
                  <w:tcBorders>
                    <w:top w:val="single" w:color="auto" w:sz="4" w:space="0"/>
                    <w:left w:val="single" w:color="auto" w:sz="4" w:space="0"/>
                    <w:bottom w:val="single" w:color="auto" w:sz="4" w:space="0"/>
                    <w:right w:val="single" w:color="auto" w:sz="4" w:space="0"/>
                  </w:tcBorders>
                  <w:noWrap w:val="0"/>
                  <w:vAlign w:val="center"/>
                </w:tcPr>
                <w:p w14:paraId="371508C4">
                  <w:pPr>
                    <w:tabs>
                      <w:tab w:val="left" w:pos="5745"/>
                    </w:tabs>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监测点位情况</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7C4AC938">
                  <w:pPr>
                    <w:tabs>
                      <w:tab w:val="left" w:pos="5745"/>
                    </w:tabs>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监测时间及频率</w:t>
                  </w:r>
                </w:p>
              </w:tc>
              <w:tc>
                <w:tcPr>
                  <w:tcW w:w="2593" w:type="pct"/>
                  <w:gridSpan w:val="2"/>
                  <w:tcBorders>
                    <w:top w:val="single" w:color="auto" w:sz="4" w:space="0"/>
                    <w:left w:val="single" w:color="auto" w:sz="4" w:space="0"/>
                    <w:bottom w:val="single" w:color="auto" w:sz="4" w:space="0"/>
                    <w:right w:val="single" w:color="auto" w:sz="4" w:space="0"/>
                  </w:tcBorders>
                  <w:noWrap w:val="0"/>
                  <w:vAlign w:val="center"/>
                </w:tcPr>
                <w:p w14:paraId="2E18E562">
                  <w:pPr>
                    <w:tabs>
                      <w:tab w:val="left" w:pos="5745"/>
                    </w:tabs>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监测因子</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343C47B4">
                  <w:pPr>
                    <w:tabs>
                      <w:tab w:val="left" w:pos="5745"/>
                    </w:tabs>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用地性质</w:t>
                  </w:r>
                </w:p>
              </w:tc>
            </w:tr>
            <w:tr w14:paraId="473E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05" w:type="pct"/>
                  <w:vMerge w:val="restart"/>
                  <w:tcBorders>
                    <w:top w:val="single" w:color="auto" w:sz="4" w:space="0"/>
                    <w:left w:val="single" w:color="auto" w:sz="4" w:space="0"/>
                    <w:right w:val="single" w:color="auto" w:sz="4" w:space="0"/>
                  </w:tcBorders>
                  <w:noWrap w:val="0"/>
                  <w:vAlign w:val="center"/>
                </w:tcPr>
                <w:p w14:paraId="7B4CDCDD">
                  <w:pPr>
                    <w:tabs>
                      <w:tab w:val="left" w:pos="5745"/>
                    </w:tabs>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S</w:t>
                  </w:r>
                  <w:r>
                    <w:rPr>
                      <w:rFonts w:hint="default" w:ascii="Times New Roman" w:hAnsi="Times New Roman" w:cs="Times New Roman"/>
                      <w:color w:val="auto"/>
                      <w:szCs w:val="21"/>
                      <w:lang w:val="en-US" w:eastAsia="zh-CN"/>
                    </w:rPr>
                    <w:t>11</w:t>
                  </w:r>
                </w:p>
              </w:tc>
              <w:tc>
                <w:tcPr>
                  <w:tcW w:w="980" w:type="pct"/>
                  <w:vMerge w:val="restart"/>
                  <w:tcBorders>
                    <w:top w:val="single" w:color="auto" w:sz="4" w:space="0"/>
                    <w:left w:val="single" w:color="auto" w:sz="4" w:space="0"/>
                    <w:right w:val="single" w:color="auto" w:sz="4" w:space="0"/>
                  </w:tcBorders>
                  <w:noWrap w:val="0"/>
                  <w:vAlign w:val="center"/>
                </w:tcPr>
                <w:p w14:paraId="40E93297">
                  <w:pPr>
                    <w:tabs>
                      <w:tab w:val="left" w:pos="5745"/>
                    </w:tabs>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加油站</w:t>
                  </w:r>
                  <w:r>
                    <w:rPr>
                      <w:rFonts w:hint="default" w:ascii="Times New Roman" w:hAnsi="Times New Roman" w:eastAsia="宋体" w:cs="Times New Roman"/>
                      <w:color w:val="auto"/>
                      <w:szCs w:val="21"/>
                    </w:rPr>
                    <w:t>占地范围内（采样深度：0~0.2m，东经：106.516739°，北纬：29.535493°）</w:t>
                  </w:r>
                </w:p>
              </w:tc>
              <w:tc>
                <w:tcPr>
                  <w:tcW w:w="696" w:type="pct"/>
                  <w:vMerge w:val="restart"/>
                  <w:tcBorders>
                    <w:top w:val="single" w:color="auto" w:sz="4" w:space="0"/>
                    <w:left w:val="single" w:color="auto" w:sz="4" w:space="0"/>
                    <w:right w:val="single" w:color="auto" w:sz="4" w:space="0"/>
                  </w:tcBorders>
                  <w:noWrap w:val="0"/>
                  <w:vAlign w:val="center"/>
                </w:tcPr>
                <w:p w14:paraId="46CB3CB9">
                  <w:pPr>
                    <w:tabs>
                      <w:tab w:val="left" w:pos="5745"/>
                    </w:tabs>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2023.2.10；检测1天，1次/天</w:t>
                  </w:r>
                </w:p>
              </w:tc>
              <w:tc>
                <w:tcPr>
                  <w:tcW w:w="745" w:type="pct"/>
                  <w:tcBorders>
                    <w:top w:val="single" w:color="auto" w:sz="4" w:space="0"/>
                    <w:left w:val="single" w:color="auto" w:sz="4" w:space="0"/>
                    <w:bottom w:val="single" w:color="auto" w:sz="4" w:space="0"/>
                    <w:right w:val="single" w:color="auto" w:sz="4" w:space="0"/>
                  </w:tcBorders>
                  <w:noWrap w:val="0"/>
                  <w:vAlign w:val="center"/>
                </w:tcPr>
                <w:p w14:paraId="4751EA62">
                  <w:pPr>
                    <w:pStyle w:val="4"/>
                    <w:adjustRightInd w:val="0"/>
                    <w:snapToGrid w:val="0"/>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重金属和无机物</w:t>
                  </w:r>
                </w:p>
              </w:tc>
              <w:tc>
                <w:tcPr>
                  <w:tcW w:w="1848" w:type="pct"/>
                  <w:tcBorders>
                    <w:top w:val="single" w:color="auto" w:sz="4" w:space="0"/>
                    <w:left w:val="single" w:color="auto" w:sz="4" w:space="0"/>
                    <w:bottom w:val="single" w:color="auto" w:sz="4" w:space="0"/>
                    <w:right w:val="single" w:color="auto" w:sz="4" w:space="0"/>
                  </w:tcBorders>
                  <w:noWrap w:val="0"/>
                  <w:vAlign w:val="center"/>
                </w:tcPr>
                <w:p w14:paraId="45EC7446">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砷、镉、铬（六价）、铜、铅、汞、镍</w:t>
                  </w:r>
                </w:p>
              </w:tc>
              <w:tc>
                <w:tcPr>
                  <w:tcW w:w="424" w:type="pct"/>
                  <w:vMerge w:val="restart"/>
                  <w:tcBorders>
                    <w:top w:val="single" w:color="auto" w:sz="4" w:space="0"/>
                    <w:left w:val="single" w:color="auto" w:sz="4" w:space="0"/>
                    <w:right w:val="single" w:color="auto" w:sz="4" w:space="0"/>
                  </w:tcBorders>
                  <w:noWrap w:val="0"/>
                  <w:vAlign w:val="center"/>
                </w:tcPr>
                <w:p w14:paraId="4918BF1E">
                  <w:pPr>
                    <w:tabs>
                      <w:tab w:val="left" w:pos="5745"/>
                    </w:tabs>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建设用地</w:t>
                  </w:r>
                </w:p>
              </w:tc>
            </w:tr>
            <w:tr w14:paraId="21C4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jc w:val="center"/>
              </w:trPr>
              <w:tc>
                <w:tcPr>
                  <w:tcW w:w="305" w:type="pct"/>
                  <w:vMerge w:val="continue"/>
                  <w:tcBorders>
                    <w:left w:val="single" w:color="auto" w:sz="4" w:space="0"/>
                    <w:right w:val="single" w:color="auto" w:sz="4" w:space="0"/>
                  </w:tcBorders>
                  <w:noWrap w:val="0"/>
                  <w:vAlign w:val="center"/>
                </w:tcPr>
                <w:p w14:paraId="266E5DED">
                  <w:pPr>
                    <w:tabs>
                      <w:tab w:val="left" w:pos="5745"/>
                    </w:tabs>
                    <w:snapToGrid w:val="0"/>
                    <w:jc w:val="center"/>
                    <w:rPr>
                      <w:rFonts w:hint="default" w:ascii="Times New Roman" w:hAnsi="Times New Roman" w:eastAsia="宋体" w:cs="Times New Roman"/>
                      <w:color w:val="auto"/>
                      <w:szCs w:val="21"/>
                    </w:rPr>
                  </w:pPr>
                </w:p>
              </w:tc>
              <w:tc>
                <w:tcPr>
                  <w:tcW w:w="980" w:type="pct"/>
                  <w:vMerge w:val="continue"/>
                  <w:tcBorders>
                    <w:left w:val="single" w:color="auto" w:sz="4" w:space="0"/>
                    <w:right w:val="single" w:color="auto" w:sz="4" w:space="0"/>
                  </w:tcBorders>
                  <w:noWrap w:val="0"/>
                  <w:vAlign w:val="center"/>
                </w:tcPr>
                <w:p w14:paraId="2632259F">
                  <w:pPr>
                    <w:tabs>
                      <w:tab w:val="left" w:pos="5745"/>
                    </w:tabs>
                    <w:snapToGrid w:val="0"/>
                    <w:jc w:val="center"/>
                    <w:rPr>
                      <w:rFonts w:hint="default" w:ascii="Times New Roman" w:hAnsi="Times New Roman" w:eastAsia="宋体" w:cs="Times New Roman"/>
                      <w:color w:val="auto"/>
                      <w:szCs w:val="21"/>
                    </w:rPr>
                  </w:pPr>
                </w:p>
              </w:tc>
              <w:tc>
                <w:tcPr>
                  <w:tcW w:w="696" w:type="pct"/>
                  <w:vMerge w:val="continue"/>
                  <w:tcBorders>
                    <w:left w:val="single" w:color="auto" w:sz="4" w:space="0"/>
                    <w:right w:val="single" w:color="auto" w:sz="4" w:space="0"/>
                  </w:tcBorders>
                  <w:noWrap w:val="0"/>
                  <w:vAlign w:val="center"/>
                </w:tcPr>
                <w:p w14:paraId="3ADB42D7">
                  <w:pPr>
                    <w:tabs>
                      <w:tab w:val="left" w:pos="5745"/>
                    </w:tabs>
                    <w:snapToGrid w:val="0"/>
                    <w:jc w:val="center"/>
                    <w:rPr>
                      <w:rFonts w:hint="default" w:ascii="Times New Roman" w:hAnsi="Times New Roman" w:eastAsia="宋体" w:cs="Times New Roman"/>
                      <w:color w:val="auto"/>
                      <w:szCs w:val="21"/>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61B69760">
                  <w:pPr>
                    <w:pStyle w:val="4"/>
                    <w:adjustRightInd w:val="0"/>
                    <w:snapToGrid w:val="0"/>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挥发性有机物</w:t>
                  </w:r>
                </w:p>
              </w:tc>
              <w:tc>
                <w:tcPr>
                  <w:tcW w:w="1848" w:type="pct"/>
                  <w:tcBorders>
                    <w:top w:val="single" w:color="auto" w:sz="4" w:space="0"/>
                    <w:left w:val="single" w:color="auto" w:sz="4" w:space="0"/>
                    <w:bottom w:val="single" w:color="auto" w:sz="4" w:space="0"/>
                    <w:right w:val="single" w:color="auto" w:sz="4" w:space="0"/>
                  </w:tcBorders>
                  <w:noWrap w:val="0"/>
                  <w:vAlign w:val="center"/>
                </w:tcPr>
                <w:p w14:paraId="63DE311E">
                  <w:pPr>
                    <w:pStyle w:val="4"/>
                    <w:adjustRightInd w:val="0"/>
                    <w:snapToGrid w:val="0"/>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邻二甲苯</w:t>
                  </w:r>
                </w:p>
              </w:tc>
              <w:tc>
                <w:tcPr>
                  <w:tcW w:w="424" w:type="pct"/>
                  <w:vMerge w:val="continue"/>
                  <w:tcBorders>
                    <w:left w:val="single" w:color="auto" w:sz="4" w:space="0"/>
                    <w:right w:val="single" w:color="auto" w:sz="4" w:space="0"/>
                  </w:tcBorders>
                  <w:noWrap w:val="0"/>
                  <w:vAlign w:val="center"/>
                </w:tcPr>
                <w:p w14:paraId="2D30FBC6">
                  <w:pPr>
                    <w:tabs>
                      <w:tab w:val="left" w:pos="5745"/>
                    </w:tabs>
                    <w:snapToGrid w:val="0"/>
                    <w:jc w:val="center"/>
                    <w:rPr>
                      <w:rFonts w:hint="default" w:ascii="Times New Roman" w:hAnsi="Times New Roman" w:eastAsia="宋体" w:cs="Times New Roman"/>
                      <w:color w:val="auto"/>
                      <w:szCs w:val="21"/>
                    </w:rPr>
                  </w:pPr>
                </w:p>
              </w:tc>
            </w:tr>
            <w:tr w14:paraId="25D5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305" w:type="pct"/>
                  <w:vMerge w:val="continue"/>
                  <w:tcBorders>
                    <w:left w:val="single" w:color="auto" w:sz="4" w:space="0"/>
                    <w:right w:val="single" w:color="auto" w:sz="4" w:space="0"/>
                  </w:tcBorders>
                  <w:noWrap w:val="0"/>
                  <w:vAlign w:val="center"/>
                </w:tcPr>
                <w:p w14:paraId="2913D5B9">
                  <w:pPr>
                    <w:tabs>
                      <w:tab w:val="left" w:pos="5745"/>
                    </w:tabs>
                    <w:snapToGrid w:val="0"/>
                    <w:jc w:val="center"/>
                    <w:rPr>
                      <w:rFonts w:hint="default" w:ascii="Times New Roman" w:hAnsi="Times New Roman" w:eastAsia="宋体" w:cs="Times New Roman"/>
                      <w:color w:val="auto"/>
                      <w:szCs w:val="21"/>
                    </w:rPr>
                  </w:pPr>
                </w:p>
              </w:tc>
              <w:tc>
                <w:tcPr>
                  <w:tcW w:w="980" w:type="pct"/>
                  <w:vMerge w:val="continue"/>
                  <w:tcBorders>
                    <w:left w:val="single" w:color="auto" w:sz="4" w:space="0"/>
                    <w:right w:val="single" w:color="auto" w:sz="4" w:space="0"/>
                  </w:tcBorders>
                  <w:noWrap w:val="0"/>
                  <w:vAlign w:val="center"/>
                </w:tcPr>
                <w:p w14:paraId="5BF747E9">
                  <w:pPr>
                    <w:tabs>
                      <w:tab w:val="left" w:pos="5745"/>
                    </w:tabs>
                    <w:snapToGrid w:val="0"/>
                    <w:jc w:val="center"/>
                    <w:rPr>
                      <w:rFonts w:hint="default" w:ascii="Times New Roman" w:hAnsi="Times New Roman" w:eastAsia="宋体" w:cs="Times New Roman"/>
                      <w:color w:val="auto"/>
                      <w:szCs w:val="21"/>
                    </w:rPr>
                  </w:pPr>
                </w:p>
              </w:tc>
              <w:tc>
                <w:tcPr>
                  <w:tcW w:w="696" w:type="pct"/>
                  <w:vMerge w:val="continue"/>
                  <w:tcBorders>
                    <w:left w:val="single" w:color="auto" w:sz="4" w:space="0"/>
                    <w:right w:val="single" w:color="auto" w:sz="4" w:space="0"/>
                  </w:tcBorders>
                  <w:noWrap w:val="0"/>
                  <w:vAlign w:val="center"/>
                </w:tcPr>
                <w:p w14:paraId="17F72692">
                  <w:pPr>
                    <w:tabs>
                      <w:tab w:val="left" w:pos="5745"/>
                    </w:tabs>
                    <w:snapToGrid w:val="0"/>
                    <w:jc w:val="center"/>
                    <w:rPr>
                      <w:rFonts w:hint="default" w:ascii="Times New Roman" w:hAnsi="Times New Roman" w:eastAsia="宋体" w:cs="Times New Roman"/>
                      <w:color w:val="auto"/>
                      <w:szCs w:val="21"/>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54C0BB87">
                  <w:pPr>
                    <w:pStyle w:val="4"/>
                    <w:adjustRightInd w:val="0"/>
                    <w:snapToGrid w:val="0"/>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半挥发性有机物</w:t>
                  </w:r>
                </w:p>
              </w:tc>
              <w:tc>
                <w:tcPr>
                  <w:tcW w:w="1848" w:type="pct"/>
                  <w:tcBorders>
                    <w:top w:val="single" w:color="auto" w:sz="4" w:space="0"/>
                    <w:left w:val="single" w:color="auto" w:sz="4" w:space="0"/>
                    <w:bottom w:val="single" w:color="auto" w:sz="4" w:space="0"/>
                    <w:right w:val="single" w:color="auto" w:sz="4" w:space="0"/>
                  </w:tcBorders>
                  <w:noWrap w:val="0"/>
                  <w:vAlign w:val="center"/>
                </w:tcPr>
                <w:p w14:paraId="79D36EB3">
                  <w:pPr>
                    <w:pStyle w:val="4"/>
                    <w:adjustRightInd w:val="0"/>
                    <w:snapToGrid w:val="0"/>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硝基苯、苯胺、2-氯酚、苯并[a]蒽、苯并[a]芘、苯并[b]荧蒽</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苯并[k]荧蒽、䓛、二苯并[a,h]蒽、茚并[1,2,3-cd]芘、萘</w:t>
                  </w:r>
                </w:p>
              </w:tc>
              <w:tc>
                <w:tcPr>
                  <w:tcW w:w="424" w:type="pct"/>
                  <w:vMerge w:val="continue"/>
                  <w:tcBorders>
                    <w:left w:val="single" w:color="auto" w:sz="4" w:space="0"/>
                    <w:right w:val="single" w:color="auto" w:sz="4" w:space="0"/>
                  </w:tcBorders>
                  <w:noWrap w:val="0"/>
                  <w:vAlign w:val="center"/>
                </w:tcPr>
                <w:p w14:paraId="6AB97D8C">
                  <w:pPr>
                    <w:tabs>
                      <w:tab w:val="left" w:pos="5745"/>
                    </w:tabs>
                    <w:snapToGrid w:val="0"/>
                    <w:jc w:val="center"/>
                    <w:rPr>
                      <w:rFonts w:hint="default" w:ascii="Times New Roman" w:hAnsi="Times New Roman" w:eastAsia="宋体" w:cs="Times New Roman"/>
                      <w:color w:val="auto"/>
                      <w:szCs w:val="21"/>
                    </w:rPr>
                  </w:pPr>
                </w:p>
              </w:tc>
            </w:tr>
            <w:tr w14:paraId="5550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05" w:type="pct"/>
                  <w:vMerge w:val="continue"/>
                  <w:tcBorders>
                    <w:left w:val="single" w:color="auto" w:sz="4" w:space="0"/>
                    <w:bottom w:val="single" w:color="auto" w:sz="4" w:space="0"/>
                    <w:right w:val="single" w:color="auto" w:sz="4" w:space="0"/>
                  </w:tcBorders>
                  <w:noWrap w:val="0"/>
                  <w:vAlign w:val="center"/>
                </w:tcPr>
                <w:p w14:paraId="6A49697E">
                  <w:pPr>
                    <w:tabs>
                      <w:tab w:val="left" w:pos="5745"/>
                    </w:tabs>
                    <w:snapToGrid w:val="0"/>
                    <w:jc w:val="center"/>
                    <w:rPr>
                      <w:rFonts w:hint="default" w:ascii="Times New Roman" w:hAnsi="Times New Roman" w:eastAsia="宋体" w:cs="Times New Roman"/>
                      <w:color w:val="auto"/>
                      <w:szCs w:val="21"/>
                    </w:rPr>
                  </w:pPr>
                </w:p>
              </w:tc>
              <w:tc>
                <w:tcPr>
                  <w:tcW w:w="980" w:type="pct"/>
                  <w:vMerge w:val="continue"/>
                  <w:tcBorders>
                    <w:left w:val="single" w:color="auto" w:sz="4" w:space="0"/>
                    <w:bottom w:val="single" w:color="auto" w:sz="4" w:space="0"/>
                    <w:right w:val="single" w:color="auto" w:sz="4" w:space="0"/>
                  </w:tcBorders>
                  <w:noWrap w:val="0"/>
                  <w:vAlign w:val="center"/>
                </w:tcPr>
                <w:p w14:paraId="78D2C033">
                  <w:pPr>
                    <w:tabs>
                      <w:tab w:val="left" w:pos="5745"/>
                    </w:tabs>
                    <w:snapToGrid w:val="0"/>
                    <w:jc w:val="center"/>
                    <w:rPr>
                      <w:rFonts w:hint="default" w:ascii="Times New Roman" w:hAnsi="Times New Roman" w:eastAsia="宋体" w:cs="Times New Roman"/>
                      <w:color w:val="auto"/>
                      <w:szCs w:val="21"/>
                    </w:rPr>
                  </w:pPr>
                </w:p>
              </w:tc>
              <w:tc>
                <w:tcPr>
                  <w:tcW w:w="696" w:type="pct"/>
                  <w:vMerge w:val="continue"/>
                  <w:tcBorders>
                    <w:left w:val="single" w:color="auto" w:sz="4" w:space="0"/>
                    <w:bottom w:val="single" w:color="auto" w:sz="4" w:space="0"/>
                    <w:right w:val="single" w:color="auto" w:sz="4" w:space="0"/>
                  </w:tcBorders>
                  <w:noWrap w:val="0"/>
                  <w:vAlign w:val="center"/>
                </w:tcPr>
                <w:p w14:paraId="1F236BF6">
                  <w:pPr>
                    <w:tabs>
                      <w:tab w:val="left" w:pos="5745"/>
                    </w:tabs>
                    <w:snapToGrid w:val="0"/>
                    <w:jc w:val="center"/>
                    <w:rPr>
                      <w:rFonts w:hint="default" w:ascii="Times New Roman" w:hAnsi="Times New Roman" w:eastAsia="宋体" w:cs="Times New Roman"/>
                      <w:color w:val="auto"/>
                      <w:szCs w:val="21"/>
                    </w:rPr>
                  </w:pPr>
                </w:p>
              </w:tc>
              <w:tc>
                <w:tcPr>
                  <w:tcW w:w="745" w:type="pct"/>
                  <w:tcBorders>
                    <w:top w:val="single" w:color="auto" w:sz="4" w:space="0"/>
                    <w:left w:val="single" w:color="auto" w:sz="4" w:space="0"/>
                    <w:bottom w:val="single" w:color="auto" w:sz="4" w:space="0"/>
                    <w:right w:val="single" w:color="auto" w:sz="4" w:space="0"/>
                  </w:tcBorders>
                  <w:noWrap w:val="0"/>
                  <w:vAlign w:val="center"/>
                </w:tcPr>
                <w:p w14:paraId="20BF44FA">
                  <w:pPr>
                    <w:pStyle w:val="4"/>
                    <w:adjustRightInd w:val="0"/>
                    <w:snapToGrid w:val="0"/>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特征因子</w:t>
                  </w:r>
                </w:p>
              </w:tc>
              <w:tc>
                <w:tcPr>
                  <w:tcW w:w="1848" w:type="pct"/>
                  <w:tcBorders>
                    <w:top w:val="single" w:color="auto" w:sz="4" w:space="0"/>
                    <w:left w:val="single" w:color="auto" w:sz="4" w:space="0"/>
                    <w:bottom w:val="single" w:color="auto" w:sz="4" w:space="0"/>
                    <w:right w:val="single" w:color="auto" w:sz="4" w:space="0"/>
                  </w:tcBorders>
                  <w:noWrap w:val="0"/>
                  <w:vAlign w:val="center"/>
                </w:tcPr>
                <w:p w14:paraId="1450C892">
                  <w:pPr>
                    <w:pStyle w:val="4"/>
                    <w:adjustRightInd w:val="0"/>
                    <w:snapToGrid w:val="0"/>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石油烃（C</w:t>
                  </w:r>
                  <w:r>
                    <w:rPr>
                      <w:rFonts w:hint="default" w:ascii="Times New Roman" w:hAnsi="Times New Roman" w:eastAsia="宋体" w:cs="Times New Roman"/>
                      <w:color w:val="auto"/>
                      <w:kern w:val="0"/>
                      <w:sz w:val="21"/>
                      <w:szCs w:val="21"/>
                      <w:vertAlign w:val="subscript"/>
                    </w:rPr>
                    <w:t>10</w:t>
                  </w:r>
                  <w:r>
                    <w:rPr>
                      <w:rFonts w:hint="default" w:ascii="Times New Roman" w:hAnsi="Times New Roman" w:eastAsia="宋体" w:cs="Times New Roman"/>
                      <w:color w:val="auto"/>
                      <w:kern w:val="0"/>
                      <w:sz w:val="21"/>
                      <w:szCs w:val="21"/>
                    </w:rPr>
                    <w:t>-C</w:t>
                  </w:r>
                  <w:r>
                    <w:rPr>
                      <w:rFonts w:hint="default" w:ascii="Times New Roman" w:hAnsi="Times New Roman" w:eastAsia="宋体" w:cs="Times New Roman"/>
                      <w:color w:val="auto"/>
                      <w:kern w:val="0"/>
                      <w:sz w:val="21"/>
                      <w:szCs w:val="21"/>
                      <w:vertAlign w:val="subscript"/>
                    </w:rPr>
                    <w:t>40</w:t>
                  </w:r>
                  <w:r>
                    <w:rPr>
                      <w:rFonts w:hint="default" w:ascii="Times New Roman" w:hAnsi="Times New Roman" w:eastAsia="宋体" w:cs="Times New Roman"/>
                      <w:color w:val="auto"/>
                      <w:kern w:val="0"/>
                      <w:sz w:val="21"/>
                      <w:szCs w:val="21"/>
                    </w:rPr>
                    <w:t>）</w:t>
                  </w:r>
                </w:p>
              </w:tc>
              <w:tc>
                <w:tcPr>
                  <w:tcW w:w="424" w:type="pct"/>
                  <w:vMerge w:val="continue"/>
                  <w:tcBorders>
                    <w:left w:val="single" w:color="auto" w:sz="4" w:space="0"/>
                    <w:bottom w:val="single" w:color="auto" w:sz="4" w:space="0"/>
                    <w:right w:val="single" w:color="auto" w:sz="4" w:space="0"/>
                  </w:tcBorders>
                  <w:noWrap w:val="0"/>
                  <w:vAlign w:val="center"/>
                </w:tcPr>
                <w:p w14:paraId="069E6238">
                  <w:pPr>
                    <w:tabs>
                      <w:tab w:val="left" w:pos="5745"/>
                    </w:tabs>
                    <w:snapToGrid w:val="0"/>
                    <w:jc w:val="center"/>
                    <w:rPr>
                      <w:rFonts w:hint="default" w:ascii="Times New Roman" w:hAnsi="Times New Roman" w:eastAsia="宋体" w:cs="Times New Roman"/>
                      <w:color w:val="auto"/>
                      <w:szCs w:val="21"/>
                    </w:rPr>
                  </w:pPr>
                </w:p>
              </w:tc>
            </w:tr>
          </w:tbl>
          <w:p w14:paraId="119214FD">
            <w:pPr>
              <w:tabs>
                <w:tab w:val="left" w:pos="5745"/>
              </w:tabs>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（2）评价标准</w:t>
            </w:r>
          </w:p>
          <w:p w14:paraId="6642D6F0">
            <w:pPr>
              <w:tabs>
                <w:tab w:val="left" w:pos="5745"/>
              </w:tabs>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根据区域土壤特点和土地功能，项目土壤监测点</w:t>
            </w:r>
            <w:r>
              <w:rPr>
                <w:rFonts w:hint="default" w:ascii="Times New Roman" w:hAnsi="Times New Roman" w:cs="Times New Roman"/>
                <w:color w:val="auto"/>
                <w:sz w:val="24"/>
                <w:lang w:eastAsia="zh-CN"/>
              </w:rPr>
              <w:t>位于</w:t>
            </w:r>
            <w:r>
              <w:rPr>
                <w:rFonts w:hint="default" w:ascii="Times New Roman" w:hAnsi="Times New Roman" w:eastAsia="宋体" w:cs="Times New Roman"/>
                <w:color w:val="auto"/>
                <w:sz w:val="24"/>
              </w:rPr>
              <w:t>站区内，属于建设用地，执行《土壤环境质量 建设用地土壤污染风险管控标准（试行）》（GB36600-2018）第二类用地筛选值。</w:t>
            </w:r>
          </w:p>
          <w:p w14:paraId="2AB88CC9">
            <w:pPr>
              <w:tabs>
                <w:tab w:val="left" w:pos="5745"/>
              </w:tabs>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（3）评价结果</w:t>
            </w:r>
          </w:p>
          <w:p w14:paraId="677DEA56">
            <w:pPr>
              <w:tabs>
                <w:tab w:val="left" w:pos="5745"/>
              </w:tabs>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土壤环境质量现状评价见下表3.1-6所示。</w:t>
            </w:r>
          </w:p>
          <w:p w14:paraId="580BFDE3">
            <w:pPr>
              <w:snapToGrid w:val="0"/>
              <w:jc w:val="center"/>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表3.1-6    土壤环境质量现状监测及评价结果</w:t>
            </w:r>
          </w:p>
          <w:tbl>
            <w:tblPr>
              <w:tblStyle w:val="19"/>
              <w:tblW w:w="5000" w:type="pct"/>
              <w:jc w:val="center"/>
              <w:tblLayout w:type="fixed"/>
              <w:tblCellMar>
                <w:top w:w="0" w:type="dxa"/>
                <w:left w:w="108" w:type="dxa"/>
                <w:bottom w:w="0" w:type="dxa"/>
                <w:right w:w="108" w:type="dxa"/>
              </w:tblCellMar>
            </w:tblPr>
            <w:tblGrid>
              <w:gridCol w:w="1268"/>
              <w:gridCol w:w="2461"/>
              <w:gridCol w:w="1250"/>
              <w:gridCol w:w="1078"/>
              <w:gridCol w:w="1020"/>
              <w:gridCol w:w="1093"/>
            </w:tblGrid>
            <w:tr w14:paraId="388F3113">
              <w:tblPrEx>
                <w:tblCellMar>
                  <w:top w:w="0" w:type="dxa"/>
                  <w:left w:w="108" w:type="dxa"/>
                  <w:bottom w:w="0" w:type="dxa"/>
                  <w:right w:w="108" w:type="dxa"/>
                </w:tblCellMar>
              </w:tblPrEx>
              <w:trPr>
                <w:trHeight w:val="397" w:hRule="atLeast"/>
                <w:jc w:val="center"/>
              </w:trPr>
              <w:tc>
                <w:tcPr>
                  <w:tcW w:w="776" w:type="pct"/>
                  <w:tcBorders>
                    <w:top w:val="single" w:color="000000" w:sz="4" w:space="0"/>
                    <w:left w:val="single" w:color="000000" w:sz="4" w:space="0"/>
                    <w:bottom w:val="single" w:color="000000" w:sz="4" w:space="0"/>
                    <w:right w:val="single" w:color="000000" w:sz="4" w:space="0"/>
                  </w:tcBorders>
                  <w:noWrap w:val="0"/>
                  <w:vAlign w:val="center"/>
                </w:tcPr>
                <w:p w14:paraId="6353F14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类别</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2D170092">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检测项目</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29FA589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单位</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BBA40AD">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结果</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1A183F2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标准值</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578BE85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达标情况</w:t>
                  </w:r>
                </w:p>
              </w:tc>
            </w:tr>
            <w:tr w14:paraId="7417ED41">
              <w:tblPrEx>
                <w:tblCellMar>
                  <w:top w:w="0" w:type="dxa"/>
                  <w:left w:w="108" w:type="dxa"/>
                  <w:bottom w:w="0" w:type="dxa"/>
                  <w:right w:w="108" w:type="dxa"/>
                </w:tblCellMar>
              </w:tblPrEx>
              <w:trPr>
                <w:trHeight w:val="397" w:hRule="atLeast"/>
                <w:jc w:val="center"/>
              </w:trPr>
              <w:tc>
                <w:tcPr>
                  <w:tcW w:w="776" w:type="pct"/>
                  <w:tcBorders>
                    <w:top w:val="single" w:color="000000" w:sz="4" w:space="0"/>
                    <w:left w:val="single" w:color="000000" w:sz="4" w:space="0"/>
                    <w:bottom w:val="single" w:color="000000" w:sz="4" w:space="0"/>
                    <w:right w:val="single" w:color="000000" w:sz="4" w:space="0"/>
                  </w:tcBorders>
                  <w:noWrap w:val="0"/>
                  <w:vAlign w:val="center"/>
                </w:tcPr>
                <w:p w14:paraId="1E92969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石油烃类</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2F0F7ED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石油烃（C</w:t>
                  </w:r>
                  <w:r>
                    <w:rPr>
                      <w:rFonts w:hint="default" w:ascii="Times New Roman" w:hAnsi="Times New Roman" w:eastAsia="宋体" w:cs="Times New Roman"/>
                      <w:color w:val="auto"/>
                      <w:kern w:val="0"/>
                      <w:szCs w:val="21"/>
                      <w:vertAlign w:val="subscript"/>
                      <w:lang w:bidi="ar"/>
                    </w:rPr>
                    <w:t>10</w:t>
                  </w:r>
                  <w:r>
                    <w:rPr>
                      <w:rFonts w:hint="default" w:ascii="Times New Roman" w:hAnsi="Times New Roman" w:eastAsia="宋体" w:cs="Times New Roman"/>
                      <w:color w:val="auto"/>
                      <w:kern w:val="0"/>
                      <w:szCs w:val="21"/>
                      <w:lang w:bidi="ar"/>
                    </w:rPr>
                    <w:t>-C</w:t>
                  </w:r>
                  <w:r>
                    <w:rPr>
                      <w:rFonts w:hint="default" w:ascii="Times New Roman" w:hAnsi="Times New Roman" w:eastAsia="宋体" w:cs="Times New Roman"/>
                      <w:color w:val="auto"/>
                      <w:kern w:val="0"/>
                      <w:szCs w:val="21"/>
                      <w:vertAlign w:val="subscript"/>
                      <w:lang w:bidi="ar"/>
                    </w:rPr>
                    <w:t>40</w:t>
                  </w:r>
                  <w:r>
                    <w:rPr>
                      <w:rFonts w:hint="default" w:ascii="Times New Roman" w:hAnsi="Times New Roman" w:eastAsia="宋体" w:cs="Times New Roman"/>
                      <w:color w:val="auto"/>
                      <w:kern w:val="0"/>
                      <w:szCs w:val="21"/>
                      <w:lang w:bidi="ar"/>
                    </w:rPr>
                    <w:t>）</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7E47465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6EA6F74D">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425</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46DE47CE">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4500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0CD72004">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达标</w:t>
                  </w:r>
                </w:p>
              </w:tc>
            </w:tr>
            <w:tr w14:paraId="31E9EB3C">
              <w:tblPrEx>
                <w:tblCellMar>
                  <w:top w:w="0" w:type="dxa"/>
                  <w:left w:w="108" w:type="dxa"/>
                  <w:bottom w:w="0" w:type="dxa"/>
                  <w:right w:w="108" w:type="dxa"/>
                </w:tblCellMar>
              </w:tblPrEx>
              <w:trPr>
                <w:trHeight w:val="397" w:hRule="atLeast"/>
                <w:jc w:val="center"/>
              </w:trPr>
              <w:tc>
                <w:tcPr>
                  <w:tcW w:w="776" w:type="pct"/>
                  <w:vMerge w:val="restart"/>
                  <w:tcBorders>
                    <w:top w:val="single" w:color="000000" w:sz="4" w:space="0"/>
                    <w:left w:val="single" w:color="000000" w:sz="4" w:space="0"/>
                    <w:right w:val="single" w:color="000000" w:sz="4" w:space="0"/>
                  </w:tcBorders>
                  <w:noWrap w:val="0"/>
                  <w:vAlign w:val="center"/>
                </w:tcPr>
                <w:p w14:paraId="55463F4D">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重金属和无机物</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37C6E85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砷</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73C1789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66F287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3.97</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061604B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1DA1E2E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45CE4135">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2EA6C80F">
                  <w:pPr>
                    <w:widowControl/>
                    <w:jc w:val="center"/>
                    <w:textAlignment w:val="center"/>
                    <w:rPr>
                      <w:rFonts w:hint="default" w:ascii="Times New Roman" w:hAnsi="Times New Roman" w:eastAsia="宋体" w:cs="Times New Roman"/>
                      <w:color w:val="auto"/>
                      <w:kern w:val="0"/>
                      <w:szCs w:val="21"/>
                      <w:lang w:bidi="ar"/>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4AA3157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镉</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7672932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48E92D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0.08</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2716861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65</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7B89B61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29CF46D0">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210AE623">
                  <w:pPr>
                    <w:widowControl/>
                    <w:jc w:val="center"/>
                    <w:textAlignment w:val="center"/>
                    <w:rPr>
                      <w:rFonts w:hint="default" w:ascii="Times New Roman" w:hAnsi="Times New Roman" w:eastAsia="宋体" w:cs="Times New Roman"/>
                      <w:color w:val="auto"/>
                      <w:kern w:val="0"/>
                      <w:szCs w:val="21"/>
                      <w:lang w:bidi="ar"/>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7EA488A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铜</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2409066A">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21BAFE5D">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18</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02817AC2">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18000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14DC69C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432D6B9D">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0F100AA4">
                  <w:pPr>
                    <w:widowControl/>
                    <w:jc w:val="center"/>
                    <w:textAlignment w:val="center"/>
                    <w:rPr>
                      <w:rFonts w:hint="default" w:ascii="Times New Roman" w:hAnsi="Times New Roman" w:eastAsia="宋体" w:cs="Times New Roman"/>
                      <w:color w:val="auto"/>
                      <w:kern w:val="0"/>
                      <w:szCs w:val="21"/>
                      <w:lang w:bidi="ar"/>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4F8D903A">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铅</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6040E85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170FBCE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32</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7A13A2B8">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800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7159946C">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3E4590D8">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70DFF1C7">
                  <w:pPr>
                    <w:widowControl/>
                    <w:jc w:val="center"/>
                    <w:textAlignment w:val="center"/>
                    <w:rPr>
                      <w:rFonts w:hint="default" w:ascii="Times New Roman" w:hAnsi="Times New Roman" w:eastAsia="宋体" w:cs="Times New Roman"/>
                      <w:color w:val="auto"/>
                      <w:kern w:val="0"/>
                      <w:szCs w:val="21"/>
                      <w:lang w:bidi="ar"/>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52F9211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汞</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1905EE3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34A2D4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 xml:space="preserve">0.029 </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6FB260B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38</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576D909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B20C452">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482C4A3F">
                  <w:pPr>
                    <w:widowControl/>
                    <w:jc w:val="center"/>
                    <w:textAlignment w:val="center"/>
                    <w:rPr>
                      <w:rFonts w:hint="default" w:ascii="Times New Roman" w:hAnsi="Times New Roman" w:eastAsia="宋体" w:cs="Times New Roman"/>
                      <w:color w:val="auto"/>
                      <w:kern w:val="0"/>
                      <w:szCs w:val="21"/>
                      <w:lang w:bidi="ar"/>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415ED0A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镍</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3CAB608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02ED3A3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20</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50D3D110">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900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31734A4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6CB694A8">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bottom w:val="single" w:color="000000" w:sz="4" w:space="0"/>
                    <w:right w:val="single" w:color="000000" w:sz="4" w:space="0"/>
                  </w:tcBorders>
                  <w:noWrap w:val="0"/>
                  <w:vAlign w:val="center"/>
                </w:tcPr>
                <w:p w14:paraId="1B5762EF">
                  <w:pPr>
                    <w:widowControl/>
                    <w:jc w:val="center"/>
                    <w:textAlignment w:val="center"/>
                    <w:rPr>
                      <w:rFonts w:hint="default" w:ascii="Times New Roman" w:hAnsi="Times New Roman" w:eastAsia="宋体" w:cs="Times New Roman"/>
                      <w:color w:val="auto"/>
                      <w:kern w:val="0"/>
                      <w:szCs w:val="21"/>
                      <w:lang w:bidi="ar"/>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4EC3E1ED">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六价铬</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55A391B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D75B86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0.5L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6E4A47B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5.7</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0FC2B66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3190C695">
              <w:tblPrEx>
                <w:tblCellMar>
                  <w:top w:w="0" w:type="dxa"/>
                  <w:left w:w="108" w:type="dxa"/>
                  <w:bottom w:w="0" w:type="dxa"/>
                  <w:right w:w="108" w:type="dxa"/>
                </w:tblCellMar>
              </w:tblPrEx>
              <w:trPr>
                <w:trHeight w:val="397" w:hRule="atLeast"/>
                <w:jc w:val="center"/>
              </w:trPr>
              <w:tc>
                <w:tcPr>
                  <w:tcW w:w="776" w:type="pct"/>
                  <w:vMerge w:val="restart"/>
                  <w:tcBorders>
                    <w:top w:val="single" w:color="000000" w:sz="4" w:space="0"/>
                    <w:left w:val="single" w:color="000000" w:sz="4" w:space="0"/>
                    <w:right w:val="single" w:color="000000" w:sz="4" w:space="0"/>
                  </w:tcBorders>
                  <w:noWrap w:val="0"/>
                  <w:vAlign w:val="center"/>
                </w:tcPr>
                <w:p w14:paraId="1E7CDC64">
                  <w:pPr>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挥发性有机物</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42D2F9E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四氯化碳</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52B8D0F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30F7946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1.3L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13F1681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2.8</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46CF025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42645C5E">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013B69B3">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58C018B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氯仿</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17D2EBC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3360D66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2551590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0.9</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0C01C12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EA8C291">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2815A128">
                  <w:pPr>
                    <w:jc w:val="center"/>
                    <w:textAlignment w:val="center"/>
                    <w:rPr>
                      <w:rFonts w:hint="default" w:ascii="Times New Roman" w:hAnsi="Times New Roman" w:eastAsia="宋体" w:cs="Times New Roman"/>
                      <w:color w:val="auto"/>
                      <w:szCs w:val="21"/>
                      <w:highlight w:val="yellow"/>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4074F86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氯甲烷</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5C9FDA3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62B466A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45D532F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37</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7AE6AC40">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7866CF0">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525B2AF5">
                  <w:pPr>
                    <w:jc w:val="center"/>
                    <w:textAlignment w:val="center"/>
                    <w:rPr>
                      <w:rFonts w:hint="default" w:ascii="Times New Roman" w:hAnsi="Times New Roman" w:eastAsia="宋体" w:cs="Times New Roman"/>
                      <w:color w:val="auto"/>
                      <w:szCs w:val="21"/>
                      <w:highlight w:val="yellow"/>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2347F6D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1,1-二氯乙烷</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0AD0A55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3A92666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19C5EB52">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9</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5CD1CBDF">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2F509C87">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577F4129">
                  <w:pPr>
                    <w:jc w:val="center"/>
                    <w:textAlignment w:val="center"/>
                    <w:rPr>
                      <w:rFonts w:hint="default" w:ascii="Times New Roman" w:hAnsi="Times New Roman" w:eastAsia="宋体" w:cs="Times New Roman"/>
                      <w:color w:val="auto"/>
                      <w:szCs w:val="21"/>
                      <w:highlight w:val="yellow"/>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6744639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1,2-二氯乙烷</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7F89978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2D083E3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1.3L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3B580D5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5</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0FACF67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5260769A">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762FA2CD">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631A5C9A">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1,1-二氯乙烯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46FB46E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24D0A47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2080F56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66</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79243BEE">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4F08E77">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15040600">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4F71710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顺式-1,2-二氯乙烯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37154C8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C784FF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1.3L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038B85C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596</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7AAFBB8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3DC0F12D">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68FD29B2">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0B2BE16F">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反式-1,2-二氯乙烯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3E98C0E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BB1BFA9">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1.4L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34BB2E4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54</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50FBBFD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252E52C2">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68141CD4">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4AE2020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二氯甲烷</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34E380F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7DC53E6">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258EC12F">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616</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2D09E95D">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15F8332">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761F04CE">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3CC2358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1,2-二氯丙烷</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14500FA0">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14055E7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32A8D29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5</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2733E25D">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6C15F77E">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49B073FD">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3C7F131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1,1,1,2-四氯乙烷</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53D6201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209D8BF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13A9C9F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4ED03B5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1BEF8D3">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56D313A0">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5683F858">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1,1,2,2-四氯乙烷</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1EAAE8A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14397A9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3350303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6.8</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6171D23D">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2FA90EB5">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19FF3765">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336FE98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四氯乙烯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07073A5E">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0985864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1.4L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0C4E8D2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53</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4025975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3098B3D5">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4CA076A8">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790C3F2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1,1,1-三氯乙烷</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291E3D9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1BE7EFE1">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1.3L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7180531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840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67ACC17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14E7CE42">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0D7749BC">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7950BA2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1,1,2-三氯乙烷</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632853A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28AAF10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5FC8923E">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2.8</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7819936B">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145A2E8">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24220953">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66B2367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三氯乙烯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153C465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36FCEBD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7FFC08F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2.8</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7B702CE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1E86CBD0">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73E6CD72">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769EE8A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1,2,3-三氯丙烷</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5614E12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184461B7">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4D17FEC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0.5</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6C164ED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AFE0EDA">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58BA37A3">
                  <w:pPr>
                    <w:widowControl/>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404D455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氯乙烯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7808CB5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6578283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3F2EC98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0.43</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1A0946A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1BF48896">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0D4F1476">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57354AC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111615AD">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39AB19F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1.9L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4319632F">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4</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5CDCD22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11B3E7C2">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54DD2160">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740290A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氯苯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24BC88D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57094DB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720AAD98">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270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012BFC62">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774F08F2">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30D6606A">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47693A02">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1,2-二氯苯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3CCC276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D3E1BB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2303F01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560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4BC7CAB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4BAC0E8E">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6831381B">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72B7118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1,4-二氯苯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1B8435A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6F963FA">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1.5L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2370BA2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0A28297A">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47D7730F">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5DD78492">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53854C0E">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乙苯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4850A9E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5AAB10F2">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4556C96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28</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73DD5D5A">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21F3530B">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03841776">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7D97F488">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苯乙烯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00403A8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5211AB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3925C84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1290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160A571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103609AD">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792FDC14">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39C656D2">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甲苯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6E8AB738">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A745E2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1.3L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59A73C4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1200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6B945F5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735376FD">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0954B17C">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1525C6D8">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间二甲苯+对二甲苯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6599873E">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C4718BB">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6D849B20">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570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284EF590">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6DA0B16E">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bottom w:val="single" w:color="000000" w:sz="4" w:space="0"/>
                    <w:right w:val="single" w:color="000000" w:sz="4" w:space="0"/>
                  </w:tcBorders>
                  <w:noWrap w:val="0"/>
                  <w:vAlign w:val="center"/>
                </w:tcPr>
                <w:p w14:paraId="33056DA4">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0C8F2AC2">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邻二甲苯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45E5544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µg/kg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8A70E85">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3C597A0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640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43C7E45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39EE3154">
              <w:tblPrEx>
                <w:tblCellMar>
                  <w:top w:w="0" w:type="dxa"/>
                  <w:left w:w="108" w:type="dxa"/>
                  <w:bottom w:w="0" w:type="dxa"/>
                  <w:right w:w="108" w:type="dxa"/>
                </w:tblCellMar>
              </w:tblPrEx>
              <w:trPr>
                <w:trHeight w:val="397" w:hRule="atLeast"/>
                <w:jc w:val="center"/>
              </w:trPr>
              <w:tc>
                <w:tcPr>
                  <w:tcW w:w="776" w:type="pct"/>
                  <w:vMerge w:val="restart"/>
                  <w:tcBorders>
                    <w:top w:val="single" w:color="000000" w:sz="4" w:space="0"/>
                    <w:left w:val="single" w:color="000000" w:sz="4" w:space="0"/>
                    <w:right w:val="single" w:color="000000" w:sz="4" w:space="0"/>
                  </w:tcBorders>
                  <w:noWrap w:val="0"/>
                  <w:vAlign w:val="center"/>
                </w:tcPr>
                <w:p w14:paraId="59325D26">
                  <w:pPr>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半挥发性有机物</w:t>
                  </w: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34223272">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硝基苯</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20367AAD">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55104EDD">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1.3L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0586E12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76</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4573586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11E8CAB7">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3B2FBD31">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65EA83AF">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苯胺</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2F2AE1A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2CB054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3C0A7E0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260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433AE68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365F201E">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3B4B03B3">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510A393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2-氯酚</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2E26B168">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35D18A1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5119A45F">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2256</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1C97351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6840A996">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101E47D4">
                  <w:pPr>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326F142E">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苯并[a]蒽</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47F7EB5E">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64617B9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4C29643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15</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15831C82">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DB36783">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634077FF">
                  <w:pPr>
                    <w:widowControl/>
                    <w:jc w:val="center"/>
                    <w:textAlignment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4A68BF2D">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苯并[a]芘</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578976F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51E857D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0.09L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34B4C9D0">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1.5</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37558FC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412E9F42">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16C528EE">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2E45A27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苯并[b]荧蒽</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5B888CC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0D184B58">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0.01L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1B5B143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15</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5141A8A8">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4181EF4">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12B02E65">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7BCED55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苯并[k]荧蒽</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7BDB3D3F">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125C85A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0.06L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775E8D82">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151</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7EABDD9E">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C43119B">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6D06139E">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7F2A6B9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䓛</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7E9F235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4FD33143">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7B875C7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1293</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3491378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229A684">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5179F50F">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314D7D8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二苯并[a,h]蒽</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646CE10E">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73CA8D1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73651DEE">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1.5</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272BB1D8">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57620EA4">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right w:val="single" w:color="000000" w:sz="4" w:space="0"/>
                  </w:tcBorders>
                  <w:noWrap w:val="0"/>
                  <w:vAlign w:val="center"/>
                </w:tcPr>
                <w:p w14:paraId="6AA061D4">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1F7F933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茚并[1,2,3-cd]芘</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3088F19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5735C92F">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0.2L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570A4FF0">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1.5</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30FB17B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046D75AA">
              <w:tblPrEx>
                <w:tblCellMar>
                  <w:top w:w="0" w:type="dxa"/>
                  <w:left w:w="108" w:type="dxa"/>
                  <w:bottom w:w="0" w:type="dxa"/>
                  <w:right w:w="108" w:type="dxa"/>
                </w:tblCellMar>
              </w:tblPrEx>
              <w:trPr>
                <w:trHeight w:val="397" w:hRule="atLeast"/>
                <w:jc w:val="center"/>
              </w:trPr>
              <w:tc>
                <w:tcPr>
                  <w:tcW w:w="776" w:type="pct"/>
                  <w:vMerge w:val="continue"/>
                  <w:tcBorders>
                    <w:left w:val="single" w:color="000000" w:sz="4" w:space="0"/>
                    <w:bottom w:val="single" w:color="000000" w:sz="4" w:space="0"/>
                    <w:right w:val="single" w:color="000000" w:sz="4" w:space="0"/>
                  </w:tcBorders>
                  <w:noWrap w:val="0"/>
                  <w:vAlign w:val="center"/>
                </w:tcPr>
                <w:p w14:paraId="73CCA39F">
                  <w:pPr>
                    <w:jc w:val="center"/>
                    <w:rPr>
                      <w:rFonts w:hint="default" w:ascii="Times New Roman" w:hAnsi="Times New Roman" w:eastAsia="宋体" w:cs="Times New Roman"/>
                      <w:color w:val="auto"/>
                      <w:szCs w:val="21"/>
                    </w:rPr>
                  </w:pPr>
                </w:p>
              </w:tc>
              <w:tc>
                <w:tcPr>
                  <w:tcW w:w="1506" w:type="pct"/>
                  <w:tcBorders>
                    <w:top w:val="single" w:color="000000" w:sz="4" w:space="0"/>
                    <w:left w:val="single" w:color="000000" w:sz="4" w:space="0"/>
                    <w:bottom w:val="single" w:color="000000" w:sz="4" w:space="0"/>
                    <w:right w:val="single" w:color="000000" w:sz="4" w:space="0"/>
                  </w:tcBorders>
                  <w:noWrap w:val="0"/>
                  <w:vAlign w:val="center"/>
                </w:tcPr>
                <w:p w14:paraId="06D6CAC2">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萘</w:t>
                  </w:r>
                </w:p>
              </w:tc>
              <w:tc>
                <w:tcPr>
                  <w:tcW w:w="765" w:type="pct"/>
                  <w:tcBorders>
                    <w:top w:val="single" w:color="000000" w:sz="4" w:space="0"/>
                    <w:left w:val="single" w:color="000000" w:sz="4" w:space="0"/>
                    <w:bottom w:val="single" w:color="000000" w:sz="4" w:space="0"/>
                    <w:right w:val="single" w:color="000000" w:sz="4" w:space="0"/>
                  </w:tcBorders>
                  <w:noWrap w:val="0"/>
                  <w:vAlign w:val="center"/>
                </w:tcPr>
                <w:p w14:paraId="64E3881A">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mg/kg</w:t>
                  </w:r>
                </w:p>
              </w:tc>
              <w:tc>
                <w:tcPr>
                  <w:tcW w:w="660" w:type="pct"/>
                  <w:tcBorders>
                    <w:top w:val="single" w:color="000000" w:sz="4" w:space="0"/>
                    <w:left w:val="single" w:color="000000" w:sz="4" w:space="0"/>
                    <w:bottom w:val="single" w:color="000000" w:sz="4" w:space="0"/>
                    <w:right w:val="single" w:color="000000" w:sz="4" w:space="0"/>
                  </w:tcBorders>
                  <w:noWrap w:val="0"/>
                  <w:vAlign w:val="center"/>
                </w:tcPr>
                <w:p w14:paraId="07033C1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0.1L</w:t>
                  </w:r>
                </w:p>
              </w:tc>
              <w:tc>
                <w:tcPr>
                  <w:tcW w:w="624" w:type="pct"/>
                  <w:tcBorders>
                    <w:top w:val="single" w:color="000000" w:sz="4" w:space="0"/>
                    <w:left w:val="single" w:color="000000" w:sz="4" w:space="0"/>
                    <w:bottom w:val="single" w:color="000000" w:sz="4" w:space="0"/>
                    <w:right w:val="single" w:color="000000" w:sz="4" w:space="0"/>
                  </w:tcBorders>
                  <w:noWrap/>
                  <w:vAlign w:val="center"/>
                </w:tcPr>
                <w:p w14:paraId="6F11F4E9">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70</w:t>
                  </w:r>
                </w:p>
              </w:tc>
              <w:tc>
                <w:tcPr>
                  <w:tcW w:w="669" w:type="pct"/>
                  <w:tcBorders>
                    <w:top w:val="single" w:color="000000" w:sz="4" w:space="0"/>
                    <w:left w:val="single" w:color="000000" w:sz="4" w:space="0"/>
                    <w:bottom w:val="single" w:color="000000" w:sz="4" w:space="0"/>
                    <w:right w:val="single" w:color="000000" w:sz="4" w:space="0"/>
                  </w:tcBorders>
                  <w:noWrap/>
                  <w:vAlign w:val="center"/>
                </w:tcPr>
                <w:p w14:paraId="6747DA0F">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达标</w:t>
                  </w:r>
                </w:p>
              </w:tc>
            </w:tr>
            <w:tr w14:paraId="22FC06F4">
              <w:tblPrEx>
                <w:tblCellMar>
                  <w:top w:w="0" w:type="dxa"/>
                  <w:left w:w="108" w:type="dxa"/>
                  <w:bottom w:w="0" w:type="dxa"/>
                  <w:right w:w="108" w:type="dxa"/>
                </w:tblCellMar>
              </w:tblPrEx>
              <w:trPr>
                <w:trHeight w:val="397"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5B618090">
                  <w:pPr>
                    <w:pStyle w:val="86"/>
                    <w:spacing w:line="240" w:lineRule="auto"/>
                    <w:ind w:firstLine="0" w:firstLineChars="0"/>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sz w:val="21"/>
                      <w:szCs w:val="22"/>
                    </w:rPr>
                    <w:t>注：“L”表示结果低于检出限，监测结果以检出限加“L”标识。</w:t>
                  </w:r>
                </w:p>
              </w:tc>
            </w:tr>
          </w:tbl>
          <w:p w14:paraId="7FA613B6">
            <w:pPr>
              <w:pStyle w:val="71"/>
              <w:spacing w:line="360" w:lineRule="auto"/>
              <w:ind w:firstLine="480"/>
              <w:jc w:val="left"/>
              <w:rPr>
                <w:rFonts w:hint="default" w:ascii="Times New Roman" w:hAnsi="Times New Roman" w:eastAsia="宋体" w:cs="Times New Roman"/>
                <w:color w:val="auto"/>
              </w:rPr>
            </w:pPr>
          </w:p>
          <w:p w14:paraId="6AF6DEA3">
            <w:pPr>
              <w:pStyle w:val="71"/>
              <w:spacing w:line="360" w:lineRule="auto"/>
              <w:ind w:firstLine="480"/>
              <w:jc w:val="left"/>
              <w:rPr>
                <w:rFonts w:hint="default" w:ascii="Times New Roman" w:hAnsi="Times New Roman" w:eastAsia="宋体" w:cs="Times New Roman"/>
                <w:color w:val="auto"/>
              </w:rPr>
            </w:pPr>
            <w:r>
              <w:rPr>
                <w:rFonts w:hint="default" w:ascii="Times New Roman" w:hAnsi="Times New Roman" w:eastAsia="宋体" w:cs="Times New Roman"/>
                <w:color w:val="auto"/>
              </w:rPr>
              <w:t>由表3.1-</w:t>
            </w:r>
            <w:r>
              <w:rPr>
                <w:rFonts w:hint="default" w:ascii="Times New Roman" w:hAnsi="Times New Roman" w:cs="Times New Roman"/>
                <w:color w:val="auto"/>
                <w:lang w:val="en-US" w:eastAsia="zh-CN"/>
              </w:rPr>
              <w:t>6</w:t>
            </w:r>
            <w:r>
              <w:rPr>
                <w:rFonts w:hint="default" w:ascii="Times New Roman" w:hAnsi="Times New Roman" w:eastAsia="宋体" w:cs="Times New Roman"/>
                <w:color w:val="auto"/>
              </w:rPr>
              <w:t>可知，项目土壤现状监测点中镉、汞、六价铬、砷、铅、铜、镍、半挥发性有机物（SVOC）、挥发性有机物（VOCs）等监测因子的标准指数均小于1，监测值均低于《土壤环境质量 建设用地土壤污染风险管控标准（试行）》（GB3660-2018）中规定的第二类用地污染风险筛选值。表明区域土壤环境质量良好。</w:t>
            </w:r>
          </w:p>
          <w:p w14:paraId="2125F95E">
            <w:pPr>
              <w:pStyle w:val="71"/>
              <w:spacing w:line="360" w:lineRule="auto"/>
              <w:ind w:firstLine="480"/>
              <w:jc w:val="left"/>
              <w:rPr>
                <w:rFonts w:hint="default" w:ascii="Times New Roman" w:hAnsi="Times New Roman" w:eastAsia="宋体" w:cs="Times New Roman"/>
                <w:color w:val="auto"/>
              </w:rPr>
            </w:pPr>
          </w:p>
        </w:tc>
      </w:tr>
      <w:tr w14:paraId="3018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2" w:hRule="atLeast"/>
        </w:trPr>
        <w:tc>
          <w:tcPr>
            <w:tcW w:w="851" w:type="dxa"/>
            <w:noWrap w:val="0"/>
            <w:vAlign w:val="center"/>
          </w:tcPr>
          <w:p w14:paraId="6D0F42F1">
            <w:pPr>
              <w:pStyle w:val="16"/>
              <w:adjustRightInd w:val="0"/>
              <w:snapToGrid w:val="0"/>
              <w:spacing w:before="0" w:beforeAutospacing="0" w:after="0" w:afterAutospacing="0" w:line="360" w:lineRule="auto"/>
              <w:jc w:val="center"/>
              <w:rPr>
                <w:rFonts w:hint="default" w:ascii="Times New Roman" w:hAnsi="Times New Roman" w:eastAsia="宋体" w:cs="Times New Roman"/>
                <w:bCs/>
                <w:color w:val="auto"/>
                <w:kern w:val="2"/>
                <w:szCs w:val="26"/>
                <w:highlight w:val="yellow"/>
              </w:rPr>
            </w:pPr>
            <w:r>
              <w:rPr>
                <w:rFonts w:hint="default" w:ascii="Times New Roman" w:hAnsi="Times New Roman" w:eastAsia="宋体" w:cs="Times New Roman"/>
                <w:bCs/>
                <w:color w:val="auto"/>
                <w:kern w:val="2"/>
                <w:szCs w:val="26"/>
              </w:rPr>
              <w:t>环境保护目标</w:t>
            </w:r>
          </w:p>
        </w:tc>
        <w:tc>
          <w:tcPr>
            <w:tcW w:w="8386" w:type="dxa"/>
            <w:noWrap w:val="0"/>
            <w:vAlign w:val="top"/>
          </w:tcPr>
          <w:p w14:paraId="2C691691">
            <w:pPr>
              <w:adjustRightInd w:val="0"/>
              <w:snapToGrid w:val="0"/>
              <w:spacing w:line="360" w:lineRule="auto"/>
              <w:rPr>
                <w:rFonts w:hint="default" w:ascii="Times New Roman" w:hAnsi="Times New Roman" w:eastAsia="宋体" w:cs="Times New Roman"/>
                <w:b/>
                <w:bCs/>
                <w:color w:val="auto"/>
                <w:sz w:val="28"/>
              </w:rPr>
            </w:pPr>
            <w:r>
              <w:rPr>
                <w:rFonts w:hint="default" w:ascii="Times New Roman" w:hAnsi="Times New Roman" w:eastAsia="宋体" w:cs="Times New Roman"/>
                <w:b/>
                <w:bCs/>
                <w:color w:val="auto"/>
                <w:sz w:val="28"/>
              </w:rPr>
              <w:t>3.2环境保护目标</w:t>
            </w:r>
          </w:p>
          <w:p w14:paraId="56BD3F39">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本项目位于重庆市九龙坡区谢家湾</w:t>
            </w:r>
            <w:r>
              <w:rPr>
                <w:rFonts w:hint="default" w:ascii="Times New Roman" w:hAnsi="Times New Roman" w:eastAsia="宋体" w:cs="Times New Roman"/>
                <w:snapToGrid w:val="0"/>
                <w:color w:val="auto"/>
                <w:kern w:val="0"/>
                <w:sz w:val="24"/>
              </w:rPr>
              <w:t>菜袁路</w:t>
            </w:r>
            <w:r>
              <w:rPr>
                <w:rFonts w:hint="default" w:ascii="Times New Roman" w:hAnsi="Times New Roman" w:eastAsia="宋体" w:cs="Times New Roman"/>
                <w:color w:val="auto"/>
                <w:sz w:val="24"/>
              </w:rPr>
              <w:t>，</w:t>
            </w:r>
            <w:r>
              <w:rPr>
                <w:rFonts w:hint="default" w:ascii="Times New Roman" w:hAnsi="Times New Roman" w:eastAsia="宋体" w:cs="Times New Roman"/>
                <w:snapToGrid w:val="0"/>
                <w:color w:val="auto"/>
                <w:kern w:val="0"/>
                <w:sz w:val="24"/>
              </w:rPr>
              <w:t>项目北侧为菜袁路，西侧、南侧为渝中花园，东侧为匝道，本项目区域交通便利，外环境关系简单。</w:t>
            </w:r>
          </w:p>
          <w:p w14:paraId="0FBC58BD">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项目占地范围内不涉及自然保护区、风景名胜区、生态功能保护区、水土流失重点防治区、地质公园、世界遗产地、国家重点文物保护单位、历史文化保护地等敏感区域，不属于生态敏感与脆弱区。</w:t>
            </w:r>
          </w:p>
          <w:p w14:paraId="3DBF5D71">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根据现场踏勘，项目厂界外50m范围内存在2处环境保护目标，500m范围内主要为居住区、小学等，项目厂界外500m范围内涉及渝中区长江黄沙溪水源地，地下水环境无热水、矿泉水、温泉等特殊地下水资源。</w:t>
            </w:r>
            <w:r>
              <w:rPr>
                <w:rFonts w:hint="default" w:ascii="Times New Roman" w:hAnsi="Times New Roman" w:eastAsia="宋体" w:cs="Times New Roman"/>
                <w:color w:val="auto"/>
                <w:kern w:val="0"/>
                <w:sz w:val="24"/>
              </w:rPr>
              <w:t>项目为加油站改扩建项目，不新增用地，未新增用地，无需评价周边生态环境。</w:t>
            </w:r>
            <w:r>
              <w:rPr>
                <w:rFonts w:hint="default" w:ascii="Times New Roman" w:hAnsi="Times New Roman" w:eastAsia="宋体" w:cs="Times New Roman"/>
                <w:color w:val="auto"/>
                <w:sz w:val="24"/>
              </w:rPr>
              <w:t>项目周边环境保护目标详见表3.2-1和</w:t>
            </w:r>
            <w:r>
              <w:rPr>
                <w:rFonts w:hint="default" w:ascii="Times New Roman" w:hAnsi="Times New Roman" w:eastAsia="宋体" w:cs="Times New Roman"/>
                <w:b/>
                <w:color w:val="auto"/>
                <w:sz w:val="24"/>
              </w:rPr>
              <w:t>附图3</w:t>
            </w:r>
            <w:r>
              <w:rPr>
                <w:rFonts w:hint="default" w:ascii="Times New Roman" w:hAnsi="Times New Roman" w:eastAsia="宋体" w:cs="Times New Roman"/>
                <w:color w:val="auto"/>
                <w:sz w:val="24"/>
              </w:rPr>
              <w:t>。</w:t>
            </w:r>
          </w:p>
          <w:p w14:paraId="02BEB1E0">
            <w:pPr>
              <w:pStyle w:val="26"/>
              <w:jc w:val="center"/>
              <w:rPr>
                <w:rFonts w:hint="default" w:ascii="Times New Roman" w:hAnsi="Times New Roman" w:eastAsia="宋体" w:cs="Times New Roman"/>
                <w:color w:val="auto"/>
                <w:sz w:val="24"/>
              </w:rPr>
            </w:pPr>
            <w:r>
              <w:rPr>
                <w:rFonts w:hint="default" w:ascii="Times New Roman" w:hAnsi="Times New Roman" w:cs="Times New Roman"/>
                <w:color w:val="auto"/>
                <w:sz w:val="24"/>
                <w:lang w:eastAsia="zh-CN"/>
              </w:rPr>
              <w:t>表</w:t>
            </w:r>
            <w:r>
              <w:rPr>
                <w:rFonts w:hint="default" w:ascii="Times New Roman" w:hAnsi="Times New Roman" w:cs="Times New Roman"/>
                <w:color w:val="auto"/>
                <w:sz w:val="24"/>
                <w:lang w:val="en-US" w:eastAsia="zh-CN"/>
              </w:rPr>
              <w:t xml:space="preserve">3.2-1   </w:t>
            </w:r>
            <w:r>
              <w:rPr>
                <w:rFonts w:hint="default" w:ascii="Times New Roman" w:hAnsi="Times New Roman" w:eastAsia="宋体" w:cs="Times New Roman"/>
                <w:color w:val="auto"/>
                <w:sz w:val="24"/>
              </w:rPr>
              <w:t>本项目周边环境保护目标表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794"/>
              <w:gridCol w:w="2256"/>
              <w:gridCol w:w="613"/>
              <w:gridCol w:w="626"/>
              <w:gridCol w:w="644"/>
              <w:gridCol w:w="996"/>
              <w:gridCol w:w="1834"/>
            </w:tblGrid>
            <w:tr w14:paraId="5423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vMerge w:val="restart"/>
                  <w:noWrap w:val="0"/>
                  <w:vAlign w:val="center"/>
                </w:tcPr>
                <w:p w14:paraId="15F8A85C">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序</w:t>
                  </w:r>
                </w:p>
                <w:p w14:paraId="61FFB446">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号</w:t>
                  </w:r>
                </w:p>
              </w:tc>
              <w:tc>
                <w:tcPr>
                  <w:tcW w:w="486" w:type="pct"/>
                  <w:vMerge w:val="restart"/>
                  <w:noWrap w:val="0"/>
                  <w:vAlign w:val="center"/>
                </w:tcPr>
                <w:p w14:paraId="745AF999">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环境功能区</w:t>
                  </w:r>
                </w:p>
              </w:tc>
              <w:tc>
                <w:tcPr>
                  <w:tcW w:w="1382" w:type="pct"/>
                  <w:vMerge w:val="restart"/>
                  <w:noWrap w:val="0"/>
                  <w:vAlign w:val="center"/>
                </w:tcPr>
                <w:p w14:paraId="5FF009C7">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环境保护目标</w:t>
                  </w:r>
                </w:p>
              </w:tc>
              <w:tc>
                <w:tcPr>
                  <w:tcW w:w="759" w:type="pct"/>
                  <w:gridSpan w:val="2"/>
                  <w:noWrap w:val="0"/>
                  <w:vAlign w:val="center"/>
                </w:tcPr>
                <w:p w14:paraId="4C8644BA">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经纬度</w:t>
                  </w:r>
                </w:p>
              </w:tc>
              <w:tc>
                <w:tcPr>
                  <w:tcW w:w="394" w:type="pct"/>
                  <w:vMerge w:val="restart"/>
                  <w:noWrap w:val="0"/>
                  <w:vAlign w:val="center"/>
                </w:tcPr>
                <w:p w14:paraId="56E20971">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方位</w:t>
                  </w:r>
                </w:p>
              </w:tc>
              <w:tc>
                <w:tcPr>
                  <w:tcW w:w="610" w:type="pct"/>
                  <w:vMerge w:val="restart"/>
                  <w:noWrap w:val="0"/>
                  <w:vAlign w:val="center"/>
                </w:tcPr>
                <w:p w14:paraId="7A302404">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与本项目厂界最近距离/m</w:t>
                  </w:r>
                </w:p>
              </w:tc>
              <w:tc>
                <w:tcPr>
                  <w:tcW w:w="1123" w:type="pct"/>
                  <w:vMerge w:val="restart"/>
                  <w:noWrap w:val="0"/>
                  <w:vAlign w:val="center"/>
                </w:tcPr>
                <w:p w14:paraId="67E195CE">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环境特性</w:t>
                  </w:r>
                </w:p>
              </w:tc>
            </w:tr>
            <w:tr w14:paraId="6F39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vMerge w:val="continue"/>
                  <w:noWrap w:val="0"/>
                  <w:vAlign w:val="center"/>
                </w:tcPr>
                <w:p w14:paraId="311BE2CA">
                  <w:pPr>
                    <w:autoSpaceDE w:val="0"/>
                    <w:autoSpaceDN w:val="0"/>
                    <w:adjustRightInd w:val="0"/>
                    <w:jc w:val="center"/>
                    <w:rPr>
                      <w:rFonts w:hint="default" w:ascii="Times New Roman" w:hAnsi="Times New Roman" w:eastAsia="宋体" w:cs="Times New Roman"/>
                      <w:color w:val="auto"/>
                      <w:kern w:val="0"/>
                      <w:sz w:val="18"/>
                      <w:szCs w:val="18"/>
                    </w:rPr>
                  </w:pPr>
                </w:p>
              </w:tc>
              <w:tc>
                <w:tcPr>
                  <w:tcW w:w="486" w:type="pct"/>
                  <w:vMerge w:val="continue"/>
                  <w:noWrap w:val="0"/>
                  <w:vAlign w:val="center"/>
                </w:tcPr>
                <w:p w14:paraId="0C12FF2F">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vMerge w:val="continue"/>
                  <w:noWrap w:val="0"/>
                  <w:vAlign w:val="center"/>
                </w:tcPr>
                <w:p w14:paraId="694EA707">
                  <w:pPr>
                    <w:autoSpaceDE w:val="0"/>
                    <w:autoSpaceDN w:val="0"/>
                    <w:adjustRightInd w:val="0"/>
                    <w:jc w:val="center"/>
                    <w:rPr>
                      <w:rFonts w:hint="default" w:ascii="Times New Roman" w:hAnsi="Times New Roman" w:eastAsia="宋体" w:cs="Times New Roman"/>
                      <w:color w:val="auto"/>
                      <w:kern w:val="0"/>
                      <w:sz w:val="18"/>
                      <w:szCs w:val="18"/>
                    </w:rPr>
                  </w:pPr>
                </w:p>
              </w:tc>
              <w:tc>
                <w:tcPr>
                  <w:tcW w:w="375" w:type="pct"/>
                  <w:noWrap w:val="0"/>
                  <w:vAlign w:val="center"/>
                </w:tcPr>
                <w:p w14:paraId="5BEAE0B6">
                  <w:pPr>
                    <w:autoSpaceDE w:val="0"/>
                    <w:autoSpaceDN w:val="0"/>
                    <w:adjustRightInd w:val="0"/>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X</w:t>
                  </w:r>
                </w:p>
              </w:tc>
              <w:tc>
                <w:tcPr>
                  <w:tcW w:w="383" w:type="pct"/>
                  <w:noWrap w:val="0"/>
                  <w:vAlign w:val="center"/>
                </w:tcPr>
                <w:p w14:paraId="6751CDB8">
                  <w:pPr>
                    <w:autoSpaceDE w:val="0"/>
                    <w:autoSpaceDN w:val="0"/>
                    <w:adjustRightInd w:val="0"/>
                    <w:jc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val="en-US" w:eastAsia="zh-CN"/>
                    </w:rPr>
                    <w:t>Y</w:t>
                  </w:r>
                </w:p>
              </w:tc>
              <w:tc>
                <w:tcPr>
                  <w:tcW w:w="394" w:type="pct"/>
                  <w:vMerge w:val="continue"/>
                  <w:noWrap w:val="0"/>
                  <w:vAlign w:val="center"/>
                </w:tcPr>
                <w:p w14:paraId="7D64CFC8">
                  <w:pPr>
                    <w:autoSpaceDE w:val="0"/>
                    <w:autoSpaceDN w:val="0"/>
                    <w:adjustRightInd w:val="0"/>
                    <w:jc w:val="center"/>
                    <w:rPr>
                      <w:rFonts w:hint="default" w:ascii="Times New Roman" w:hAnsi="Times New Roman" w:eastAsia="宋体" w:cs="Times New Roman"/>
                      <w:color w:val="auto"/>
                      <w:kern w:val="0"/>
                      <w:sz w:val="18"/>
                      <w:szCs w:val="18"/>
                    </w:rPr>
                  </w:pPr>
                </w:p>
              </w:tc>
              <w:tc>
                <w:tcPr>
                  <w:tcW w:w="610" w:type="pct"/>
                  <w:vMerge w:val="continue"/>
                  <w:noWrap w:val="0"/>
                  <w:vAlign w:val="center"/>
                </w:tcPr>
                <w:p w14:paraId="668688B6">
                  <w:pPr>
                    <w:autoSpaceDE w:val="0"/>
                    <w:autoSpaceDN w:val="0"/>
                    <w:adjustRightInd w:val="0"/>
                    <w:jc w:val="center"/>
                    <w:rPr>
                      <w:rFonts w:hint="default" w:ascii="Times New Roman" w:hAnsi="Times New Roman" w:eastAsia="宋体" w:cs="Times New Roman"/>
                      <w:color w:val="auto"/>
                      <w:kern w:val="0"/>
                      <w:sz w:val="18"/>
                      <w:szCs w:val="18"/>
                    </w:rPr>
                  </w:pPr>
                </w:p>
              </w:tc>
              <w:tc>
                <w:tcPr>
                  <w:tcW w:w="1123" w:type="pct"/>
                  <w:vMerge w:val="continue"/>
                  <w:noWrap w:val="0"/>
                  <w:vAlign w:val="center"/>
                </w:tcPr>
                <w:p w14:paraId="1AF6F823">
                  <w:pPr>
                    <w:autoSpaceDE w:val="0"/>
                    <w:autoSpaceDN w:val="0"/>
                    <w:adjustRightInd w:val="0"/>
                    <w:jc w:val="center"/>
                    <w:rPr>
                      <w:rFonts w:hint="default" w:ascii="Times New Roman" w:hAnsi="Times New Roman" w:eastAsia="宋体" w:cs="Times New Roman"/>
                      <w:color w:val="auto"/>
                      <w:kern w:val="0"/>
                      <w:sz w:val="18"/>
                      <w:szCs w:val="18"/>
                    </w:rPr>
                  </w:pPr>
                </w:p>
              </w:tc>
            </w:tr>
            <w:tr w14:paraId="1BCC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0D50EE25">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p>
              </w:tc>
              <w:tc>
                <w:tcPr>
                  <w:tcW w:w="486" w:type="pct"/>
                  <w:vMerge w:val="restart"/>
                  <w:noWrap w:val="0"/>
                  <w:vAlign w:val="center"/>
                </w:tcPr>
                <w:p w14:paraId="0B6E6223">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环境</w:t>
                  </w:r>
                  <w:r>
                    <w:rPr>
                      <w:rFonts w:hint="default" w:ascii="Times New Roman" w:hAnsi="Times New Roman" w:eastAsia="宋体" w:cs="Times New Roman"/>
                      <w:color w:val="auto"/>
                      <w:kern w:val="0"/>
                      <w:sz w:val="18"/>
                      <w:szCs w:val="18"/>
                      <w:lang w:val="en-US" w:eastAsia="zh-CN"/>
                    </w:rPr>
                    <w:t>空气二类功能区</w:t>
                  </w:r>
                </w:p>
              </w:tc>
              <w:tc>
                <w:tcPr>
                  <w:tcW w:w="1382" w:type="pct"/>
                  <w:noWrap w:val="0"/>
                  <w:vAlign w:val="center"/>
                </w:tcPr>
                <w:p w14:paraId="6C30C506">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渝中花园</w:t>
                  </w:r>
                </w:p>
              </w:tc>
              <w:tc>
                <w:tcPr>
                  <w:tcW w:w="375" w:type="pct"/>
                  <w:noWrap w:val="0"/>
                  <w:vAlign w:val="center"/>
                </w:tcPr>
                <w:p w14:paraId="5ED2806E">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-34</w:t>
                  </w:r>
                </w:p>
              </w:tc>
              <w:tc>
                <w:tcPr>
                  <w:tcW w:w="383" w:type="pct"/>
                  <w:noWrap w:val="0"/>
                  <w:vAlign w:val="center"/>
                </w:tcPr>
                <w:p w14:paraId="3ABCF26C">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-146</w:t>
                  </w:r>
                </w:p>
              </w:tc>
              <w:tc>
                <w:tcPr>
                  <w:tcW w:w="394" w:type="pct"/>
                  <w:noWrap w:val="0"/>
                  <w:vAlign w:val="center"/>
                </w:tcPr>
                <w:p w14:paraId="6E4BD80D">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w:t>
                  </w:r>
                </w:p>
              </w:tc>
              <w:tc>
                <w:tcPr>
                  <w:tcW w:w="610" w:type="pct"/>
                  <w:noWrap w:val="0"/>
                  <w:vAlign w:val="center"/>
                </w:tcPr>
                <w:p w14:paraId="6EA38337">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w:t>
                  </w:r>
                </w:p>
              </w:tc>
              <w:tc>
                <w:tcPr>
                  <w:tcW w:w="1123" w:type="pct"/>
                  <w:noWrap w:val="0"/>
                  <w:vAlign w:val="center"/>
                </w:tcPr>
                <w:p w14:paraId="6319740F">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居住区，约8724人</w:t>
                  </w:r>
                </w:p>
              </w:tc>
            </w:tr>
            <w:tr w14:paraId="35E9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426429DB">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p>
              </w:tc>
              <w:tc>
                <w:tcPr>
                  <w:tcW w:w="486" w:type="pct"/>
                  <w:vMerge w:val="continue"/>
                  <w:noWrap w:val="0"/>
                  <w:vAlign w:val="center"/>
                </w:tcPr>
                <w:p w14:paraId="6498E1D3">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58F6B063">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重庆创泰黄杨新城医院</w:t>
                  </w:r>
                </w:p>
              </w:tc>
              <w:tc>
                <w:tcPr>
                  <w:tcW w:w="375" w:type="pct"/>
                  <w:noWrap w:val="0"/>
                  <w:vAlign w:val="center"/>
                </w:tcPr>
                <w:p w14:paraId="4C8ECA37">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-18</w:t>
                  </w:r>
                </w:p>
              </w:tc>
              <w:tc>
                <w:tcPr>
                  <w:tcW w:w="383" w:type="pct"/>
                  <w:noWrap w:val="0"/>
                  <w:vAlign w:val="center"/>
                </w:tcPr>
                <w:p w14:paraId="45542B74">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-70</w:t>
                  </w:r>
                </w:p>
              </w:tc>
              <w:tc>
                <w:tcPr>
                  <w:tcW w:w="394" w:type="pct"/>
                  <w:noWrap w:val="0"/>
                  <w:vAlign w:val="center"/>
                </w:tcPr>
                <w:p w14:paraId="452B6899">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WS</w:t>
                  </w:r>
                </w:p>
              </w:tc>
              <w:tc>
                <w:tcPr>
                  <w:tcW w:w="610" w:type="pct"/>
                  <w:noWrap w:val="0"/>
                  <w:vAlign w:val="center"/>
                </w:tcPr>
                <w:p w14:paraId="4D61D40B">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30</w:t>
                  </w:r>
                </w:p>
              </w:tc>
              <w:tc>
                <w:tcPr>
                  <w:tcW w:w="1123" w:type="pct"/>
                  <w:noWrap w:val="0"/>
                  <w:vAlign w:val="center"/>
                </w:tcPr>
                <w:p w14:paraId="25AE3F7D">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医院</w:t>
                  </w:r>
                </w:p>
              </w:tc>
            </w:tr>
            <w:tr w14:paraId="3B71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72D72E53">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w:t>
                  </w:r>
                </w:p>
              </w:tc>
              <w:tc>
                <w:tcPr>
                  <w:tcW w:w="486" w:type="pct"/>
                  <w:vMerge w:val="continue"/>
                  <w:noWrap w:val="0"/>
                  <w:vAlign w:val="center"/>
                </w:tcPr>
                <w:p w14:paraId="1BAA2136">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1D6AC3EE">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渝中花园社区居委会</w:t>
                  </w:r>
                </w:p>
              </w:tc>
              <w:tc>
                <w:tcPr>
                  <w:tcW w:w="375" w:type="pct"/>
                  <w:noWrap w:val="0"/>
                  <w:vAlign w:val="center"/>
                </w:tcPr>
                <w:p w14:paraId="3EC58C55">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+46</w:t>
                  </w:r>
                </w:p>
              </w:tc>
              <w:tc>
                <w:tcPr>
                  <w:tcW w:w="383" w:type="pct"/>
                  <w:noWrap w:val="0"/>
                  <w:vAlign w:val="center"/>
                </w:tcPr>
                <w:p w14:paraId="17D11770">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-87</w:t>
                  </w:r>
                </w:p>
              </w:tc>
              <w:tc>
                <w:tcPr>
                  <w:tcW w:w="394" w:type="pct"/>
                  <w:noWrap w:val="0"/>
                  <w:vAlign w:val="center"/>
                </w:tcPr>
                <w:p w14:paraId="1AE8EAEF">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S</w:t>
                  </w:r>
                </w:p>
              </w:tc>
              <w:tc>
                <w:tcPr>
                  <w:tcW w:w="610" w:type="pct"/>
                  <w:noWrap w:val="0"/>
                  <w:vAlign w:val="center"/>
                </w:tcPr>
                <w:p w14:paraId="79EE924D">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74</w:t>
                  </w:r>
                </w:p>
              </w:tc>
              <w:tc>
                <w:tcPr>
                  <w:tcW w:w="1123" w:type="pct"/>
                  <w:noWrap w:val="0"/>
                  <w:vAlign w:val="center"/>
                </w:tcPr>
                <w:p w14:paraId="45FA8191">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办公场地</w:t>
                  </w:r>
                </w:p>
              </w:tc>
            </w:tr>
            <w:tr w14:paraId="01BA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30C3E9B4">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4</w:t>
                  </w:r>
                </w:p>
              </w:tc>
              <w:tc>
                <w:tcPr>
                  <w:tcW w:w="486" w:type="pct"/>
                  <w:vMerge w:val="continue"/>
                  <w:noWrap w:val="0"/>
                  <w:vAlign w:val="center"/>
                </w:tcPr>
                <w:p w14:paraId="6247FFA4">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246B5796">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盛美居</w:t>
                  </w:r>
                </w:p>
              </w:tc>
              <w:tc>
                <w:tcPr>
                  <w:tcW w:w="375" w:type="pct"/>
                  <w:noWrap w:val="0"/>
                  <w:vAlign w:val="center"/>
                </w:tcPr>
                <w:p w14:paraId="0E53E883">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sz w:val="18"/>
                      <w:szCs w:val="18"/>
                      <w:lang w:val="en-US" w:eastAsia="zh-CN"/>
                    </w:rPr>
                    <w:t>+4</w:t>
                  </w:r>
                </w:p>
              </w:tc>
              <w:tc>
                <w:tcPr>
                  <w:tcW w:w="383" w:type="pct"/>
                  <w:noWrap w:val="0"/>
                  <w:vAlign w:val="center"/>
                </w:tcPr>
                <w:p w14:paraId="642D8141">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-370</w:t>
                  </w:r>
                </w:p>
              </w:tc>
              <w:tc>
                <w:tcPr>
                  <w:tcW w:w="394" w:type="pct"/>
                  <w:noWrap w:val="0"/>
                  <w:vAlign w:val="center"/>
                </w:tcPr>
                <w:p w14:paraId="2137602B">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S</w:t>
                  </w:r>
                </w:p>
              </w:tc>
              <w:tc>
                <w:tcPr>
                  <w:tcW w:w="610" w:type="pct"/>
                  <w:noWrap w:val="0"/>
                  <w:vAlign w:val="center"/>
                </w:tcPr>
                <w:p w14:paraId="467544A3">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280</w:t>
                  </w:r>
                </w:p>
              </w:tc>
              <w:tc>
                <w:tcPr>
                  <w:tcW w:w="1123" w:type="pct"/>
                  <w:noWrap w:val="0"/>
                  <w:vAlign w:val="center"/>
                </w:tcPr>
                <w:p w14:paraId="5D35E0F2">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居住区，约4161人</w:t>
                  </w:r>
                </w:p>
              </w:tc>
            </w:tr>
            <w:tr w14:paraId="5A76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4D61E7C2">
                  <w:pPr>
                    <w:autoSpaceDE w:val="0"/>
                    <w:autoSpaceDN w:val="0"/>
                    <w:adjustRightIn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5</w:t>
                  </w:r>
                </w:p>
              </w:tc>
              <w:tc>
                <w:tcPr>
                  <w:tcW w:w="486" w:type="pct"/>
                  <w:vMerge w:val="continue"/>
                  <w:noWrap w:val="0"/>
                  <w:vAlign w:val="center"/>
                </w:tcPr>
                <w:p w14:paraId="4744FC71">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4722B0A5">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袁家岗居住区</w:t>
                  </w:r>
                </w:p>
              </w:tc>
              <w:tc>
                <w:tcPr>
                  <w:tcW w:w="375" w:type="pct"/>
                  <w:noWrap w:val="0"/>
                  <w:vAlign w:val="center"/>
                </w:tcPr>
                <w:p w14:paraId="53E5BF65">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sz w:val="18"/>
                      <w:szCs w:val="18"/>
                      <w:lang w:val="en-US" w:eastAsia="zh-CN"/>
                    </w:rPr>
                    <w:t>-340</w:t>
                  </w:r>
                </w:p>
              </w:tc>
              <w:tc>
                <w:tcPr>
                  <w:tcW w:w="383" w:type="pct"/>
                  <w:noWrap w:val="0"/>
                  <w:vAlign w:val="center"/>
                </w:tcPr>
                <w:p w14:paraId="032D7F6B">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-316</w:t>
                  </w:r>
                </w:p>
              </w:tc>
              <w:tc>
                <w:tcPr>
                  <w:tcW w:w="394" w:type="pct"/>
                  <w:noWrap w:val="0"/>
                  <w:vAlign w:val="center"/>
                </w:tcPr>
                <w:p w14:paraId="697EF214">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WS</w:t>
                  </w:r>
                </w:p>
              </w:tc>
              <w:tc>
                <w:tcPr>
                  <w:tcW w:w="610" w:type="pct"/>
                  <w:noWrap w:val="0"/>
                  <w:vAlign w:val="center"/>
                </w:tcPr>
                <w:p w14:paraId="5CEB108F">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370</w:t>
                  </w:r>
                </w:p>
              </w:tc>
              <w:tc>
                <w:tcPr>
                  <w:tcW w:w="1123" w:type="pct"/>
                  <w:noWrap w:val="0"/>
                  <w:vAlign w:val="center"/>
                </w:tcPr>
                <w:p w14:paraId="587C9A8B">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w:t>
                  </w:r>
                  <w:r>
                    <w:rPr>
                      <w:rFonts w:hint="default" w:ascii="Times New Roman" w:hAnsi="Times New Roman" w:eastAsia="宋体" w:cs="Times New Roman"/>
                      <w:color w:val="auto"/>
                      <w:sz w:val="18"/>
                      <w:szCs w:val="18"/>
                      <w:lang w:val="en-US" w:eastAsia="zh-CN"/>
                    </w:rPr>
                    <w:t>1900</w:t>
                  </w:r>
                  <w:r>
                    <w:rPr>
                      <w:rFonts w:hint="default" w:ascii="Times New Roman" w:hAnsi="Times New Roman" w:eastAsia="宋体" w:cs="Times New Roman"/>
                      <w:color w:val="auto"/>
                      <w:sz w:val="18"/>
                      <w:szCs w:val="18"/>
                    </w:rPr>
                    <w:t>人</w:t>
                  </w:r>
                </w:p>
              </w:tc>
            </w:tr>
            <w:tr w14:paraId="714A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08D78194">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w:t>
                  </w:r>
                </w:p>
              </w:tc>
              <w:tc>
                <w:tcPr>
                  <w:tcW w:w="486" w:type="pct"/>
                  <w:vMerge w:val="continue"/>
                  <w:noWrap w:val="0"/>
                  <w:vAlign w:val="center"/>
                </w:tcPr>
                <w:p w14:paraId="239C442E">
                  <w:pPr>
                    <w:pStyle w:val="77"/>
                    <w:spacing w:line="240" w:lineRule="auto"/>
                    <w:rPr>
                      <w:rFonts w:hint="default" w:ascii="Times New Roman" w:hAnsi="Times New Roman" w:eastAsia="宋体" w:cs="Times New Roman"/>
                      <w:color w:val="auto"/>
                      <w:sz w:val="18"/>
                      <w:szCs w:val="18"/>
                    </w:rPr>
                  </w:pPr>
                </w:p>
              </w:tc>
              <w:tc>
                <w:tcPr>
                  <w:tcW w:w="1382" w:type="pct"/>
                  <w:noWrap w:val="0"/>
                  <w:vAlign w:val="center"/>
                </w:tcPr>
                <w:p w14:paraId="5E72EC5F">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袁家小苑</w:t>
                  </w:r>
                </w:p>
              </w:tc>
              <w:tc>
                <w:tcPr>
                  <w:tcW w:w="375" w:type="pct"/>
                  <w:noWrap w:val="0"/>
                  <w:vAlign w:val="center"/>
                </w:tcPr>
                <w:p w14:paraId="31C1CCDD">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-253</w:t>
                  </w:r>
                </w:p>
              </w:tc>
              <w:tc>
                <w:tcPr>
                  <w:tcW w:w="383" w:type="pct"/>
                  <w:noWrap w:val="0"/>
                  <w:vAlign w:val="center"/>
                </w:tcPr>
                <w:p w14:paraId="53022A4B">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-272</w:t>
                  </w:r>
                </w:p>
              </w:tc>
              <w:tc>
                <w:tcPr>
                  <w:tcW w:w="394" w:type="pct"/>
                  <w:noWrap w:val="0"/>
                  <w:vAlign w:val="center"/>
                </w:tcPr>
                <w:p w14:paraId="11D71A85">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WS</w:t>
                  </w:r>
                </w:p>
              </w:tc>
              <w:tc>
                <w:tcPr>
                  <w:tcW w:w="610" w:type="pct"/>
                  <w:noWrap w:val="0"/>
                  <w:vAlign w:val="center"/>
                </w:tcPr>
                <w:p w14:paraId="69DAC71A">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230</w:t>
                  </w:r>
                </w:p>
              </w:tc>
              <w:tc>
                <w:tcPr>
                  <w:tcW w:w="1123" w:type="pct"/>
                  <w:noWrap w:val="0"/>
                  <w:vAlign w:val="center"/>
                </w:tcPr>
                <w:p w14:paraId="5CB614AA">
                  <w:pPr>
                    <w:pStyle w:val="77"/>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居住区，约1500人</w:t>
                  </w:r>
                </w:p>
              </w:tc>
            </w:tr>
            <w:tr w14:paraId="677F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7930F6D8">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7</w:t>
                  </w:r>
                </w:p>
              </w:tc>
              <w:tc>
                <w:tcPr>
                  <w:tcW w:w="486" w:type="pct"/>
                  <w:vMerge w:val="continue"/>
                  <w:noWrap w:val="0"/>
                  <w:vAlign w:val="center"/>
                </w:tcPr>
                <w:p w14:paraId="609FC85A">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7546057D">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俊东颐合苑</w:t>
                  </w:r>
                </w:p>
              </w:tc>
              <w:tc>
                <w:tcPr>
                  <w:tcW w:w="375" w:type="pct"/>
                  <w:noWrap w:val="0"/>
                  <w:vAlign w:val="center"/>
                </w:tcPr>
                <w:p w14:paraId="340D0B59">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sz w:val="18"/>
                      <w:szCs w:val="18"/>
                      <w:lang w:val="en-US" w:eastAsia="zh-CN"/>
                    </w:rPr>
                    <w:t>-201</w:t>
                  </w:r>
                </w:p>
              </w:tc>
              <w:tc>
                <w:tcPr>
                  <w:tcW w:w="383" w:type="pct"/>
                  <w:noWrap w:val="0"/>
                  <w:vAlign w:val="center"/>
                </w:tcPr>
                <w:p w14:paraId="516B3F66">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-126</w:t>
                  </w:r>
                </w:p>
              </w:tc>
              <w:tc>
                <w:tcPr>
                  <w:tcW w:w="394" w:type="pct"/>
                  <w:noWrap w:val="0"/>
                  <w:vAlign w:val="center"/>
                </w:tcPr>
                <w:p w14:paraId="7CDE17CE">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w:t>
                  </w:r>
                </w:p>
              </w:tc>
              <w:tc>
                <w:tcPr>
                  <w:tcW w:w="610" w:type="pct"/>
                  <w:noWrap w:val="0"/>
                  <w:vAlign w:val="center"/>
                </w:tcPr>
                <w:p w14:paraId="4D4AE090">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180</w:t>
                  </w:r>
                </w:p>
              </w:tc>
              <w:tc>
                <w:tcPr>
                  <w:tcW w:w="1123" w:type="pct"/>
                  <w:noWrap w:val="0"/>
                  <w:vAlign w:val="center"/>
                </w:tcPr>
                <w:p w14:paraId="6C6A30DC">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居住区，约840人</w:t>
                  </w:r>
                </w:p>
              </w:tc>
            </w:tr>
            <w:tr w14:paraId="460B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717AFB94">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8</w:t>
                  </w:r>
                </w:p>
              </w:tc>
              <w:tc>
                <w:tcPr>
                  <w:tcW w:w="486" w:type="pct"/>
                  <w:vMerge w:val="continue"/>
                  <w:noWrap w:val="0"/>
                  <w:vAlign w:val="center"/>
                </w:tcPr>
                <w:p w14:paraId="1EAFD6D7">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5747E8C0">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新东福花园</w:t>
                  </w:r>
                </w:p>
              </w:tc>
              <w:tc>
                <w:tcPr>
                  <w:tcW w:w="375" w:type="pct"/>
                  <w:noWrap w:val="0"/>
                  <w:vAlign w:val="center"/>
                </w:tcPr>
                <w:p w14:paraId="58F000D2">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+273</w:t>
                  </w:r>
                </w:p>
              </w:tc>
              <w:tc>
                <w:tcPr>
                  <w:tcW w:w="383" w:type="pct"/>
                  <w:noWrap w:val="0"/>
                  <w:vAlign w:val="center"/>
                </w:tcPr>
                <w:p w14:paraId="74B9A45D">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-66</w:t>
                  </w:r>
                </w:p>
              </w:tc>
              <w:tc>
                <w:tcPr>
                  <w:tcW w:w="394" w:type="pct"/>
                  <w:noWrap w:val="0"/>
                  <w:vAlign w:val="center"/>
                </w:tcPr>
                <w:p w14:paraId="458717DA">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ES</w:t>
                  </w:r>
                </w:p>
              </w:tc>
              <w:tc>
                <w:tcPr>
                  <w:tcW w:w="610" w:type="pct"/>
                  <w:noWrap w:val="0"/>
                  <w:vAlign w:val="center"/>
                </w:tcPr>
                <w:p w14:paraId="50AE496B">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120</w:t>
                  </w:r>
                </w:p>
              </w:tc>
              <w:tc>
                <w:tcPr>
                  <w:tcW w:w="1123" w:type="pct"/>
                  <w:noWrap w:val="0"/>
                  <w:vAlign w:val="center"/>
                </w:tcPr>
                <w:p w14:paraId="48D88200">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居住区，约2652人</w:t>
                  </w:r>
                </w:p>
              </w:tc>
            </w:tr>
            <w:tr w14:paraId="6038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24A84CEF">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9</w:t>
                  </w:r>
                </w:p>
              </w:tc>
              <w:tc>
                <w:tcPr>
                  <w:tcW w:w="486" w:type="pct"/>
                  <w:vMerge w:val="continue"/>
                  <w:noWrap w:val="0"/>
                  <w:vAlign w:val="center"/>
                </w:tcPr>
                <w:p w14:paraId="0BE17A0D">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361A9F44">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喜业花园</w:t>
                  </w:r>
                </w:p>
              </w:tc>
              <w:tc>
                <w:tcPr>
                  <w:tcW w:w="375" w:type="pct"/>
                  <w:noWrap w:val="0"/>
                  <w:vAlign w:val="center"/>
                </w:tcPr>
                <w:p w14:paraId="518C98EA">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+296</w:t>
                  </w:r>
                </w:p>
              </w:tc>
              <w:tc>
                <w:tcPr>
                  <w:tcW w:w="383" w:type="pct"/>
                  <w:noWrap w:val="0"/>
                  <w:vAlign w:val="center"/>
                </w:tcPr>
                <w:p w14:paraId="5882A0C1">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+94</w:t>
                  </w:r>
                </w:p>
              </w:tc>
              <w:tc>
                <w:tcPr>
                  <w:tcW w:w="394" w:type="pct"/>
                  <w:noWrap w:val="0"/>
                  <w:vAlign w:val="center"/>
                </w:tcPr>
                <w:p w14:paraId="073AB6F8">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E</w:t>
                  </w:r>
                </w:p>
              </w:tc>
              <w:tc>
                <w:tcPr>
                  <w:tcW w:w="610" w:type="pct"/>
                  <w:noWrap w:val="0"/>
                  <w:vAlign w:val="center"/>
                </w:tcPr>
                <w:p w14:paraId="0A5DE866">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240</w:t>
                  </w:r>
                </w:p>
              </w:tc>
              <w:tc>
                <w:tcPr>
                  <w:tcW w:w="1123" w:type="pct"/>
                  <w:noWrap w:val="0"/>
                  <w:vAlign w:val="center"/>
                </w:tcPr>
                <w:p w14:paraId="19389CBC">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居住区，约1785人</w:t>
                  </w:r>
                </w:p>
              </w:tc>
            </w:tr>
            <w:tr w14:paraId="0A4F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66A48689">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10</w:t>
                  </w:r>
                </w:p>
              </w:tc>
              <w:tc>
                <w:tcPr>
                  <w:tcW w:w="486" w:type="pct"/>
                  <w:vMerge w:val="continue"/>
                  <w:noWrap w:val="0"/>
                  <w:vAlign w:val="center"/>
                </w:tcPr>
                <w:p w14:paraId="0CE458EA">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3361BF68">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大黄路中交二航局家属院</w:t>
                  </w:r>
                </w:p>
              </w:tc>
              <w:tc>
                <w:tcPr>
                  <w:tcW w:w="375" w:type="pct"/>
                  <w:noWrap w:val="0"/>
                  <w:vAlign w:val="center"/>
                </w:tcPr>
                <w:p w14:paraId="24C054F5">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+397</w:t>
                  </w:r>
                </w:p>
              </w:tc>
              <w:tc>
                <w:tcPr>
                  <w:tcW w:w="383" w:type="pct"/>
                  <w:noWrap w:val="0"/>
                  <w:vAlign w:val="center"/>
                </w:tcPr>
                <w:p w14:paraId="25D0AD5A">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+20</w:t>
                  </w:r>
                </w:p>
              </w:tc>
              <w:tc>
                <w:tcPr>
                  <w:tcW w:w="394" w:type="pct"/>
                  <w:noWrap w:val="0"/>
                  <w:vAlign w:val="center"/>
                </w:tcPr>
                <w:p w14:paraId="5CD7A1E9">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ES</w:t>
                  </w:r>
                </w:p>
              </w:tc>
              <w:tc>
                <w:tcPr>
                  <w:tcW w:w="610" w:type="pct"/>
                  <w:noWrap w:val="0"/>
                  <w:vAlign w:val="center"/>
                </w:tcPr>
                <w:p w14:paraId="3FBE9EFA">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310</w:t>
                  </w:r>
                </w:p>
              </w:tc>
              <w:tc>
                <w:tcPr>
                  <w:tcW w:w="1123" w:type="pct"/>
                  <w:noWrap w:val="0"/>
                  <w:vAlign w:val="center"/>
                </w:tcPr>
                <w:p w14:paraId="4D7D03C8">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w:t>
                  </w:r>
                  <w:r>
                    <w:rPr>
                      <w:rFonts w:hint="default" w:ascii="Times New Roman" w:hAnsi="Times New Roman" w:eastAsia="宋体" w:cs="Times New Roman"/>
                      <w:color w:val="auto"/>
                      <w:sz w:val="18"/>
                      <w:szCs w:val="18"/>
                      <w:lang w:val="en-US" w:eastAsia="zh-CN"/>
                    </w:rPr>
                    <w:t>340</w:t>
                  </w:r>
                  <w:r>
                    <w:rPr>
                      <w:rFonts w:hint="default" w:ascii="Times New Roman" w:hAnsi="Times New Roman" w:eastAsia="宋体" w:cs="Times New Roman"/>
                      <w:color w:val="auto"/>
                      <w:sz w:val="18"/>
                      <w:szCs w:val="18"/>
                    </w:rPr>
                    <w:t>人</w:t>
                  </w:r>
                </w:p>
              </w:tc>
            </w:tr>
            <w:tr w14:paraId="7174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24F295B4">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11</w:t>
                  </w:r>
                </w:p>
              </w:tc>
              <w:tc>
                <w:tcPr>
                  <w:tcW w:w="486" w:type="pct"/>
                  <w:vMerge w:val="continue"/>
                  <w:noWrap w:val="0"/>
                  <w:vAlign w:val="center"/>
                </w:tcPr>
                <w:p w14:paraId="39024D3D">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47D778B3">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世纪花城</w:t>
                  </w:r>
                </w:p>
              </w:tc>
              <w:tc>
                <w:tcPr>
                  <w:tcW w:w="375" w:type="pct"/>
                  <w:noWrap w:val="0"/>
                  <w:vAlign w:val="center"/>
                </w:tcPr>
                <w:p w14:paraId="2F4E7E52">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+290</w:t>
                  </w:r>
                </w:p>
              </w:tc>
              <w:tc>
                <w:tcPr>
                  <w:tcW w:w="383" w:type="pct"/>
                  <w:noWrap w:val="0"/>
                  <w:vAlign w:val="center"/>
                </w:tcPr>
                <w:p w14:paraId="5F036E21">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+125</w:t>
                  </w:r>
                </w:p>
              </w:tc>
              <w:tc>
                <w:tcPr>
                  <w:tcW w:w="394" w:type="pct"/>
                  <w:noWrap w:val="0"/>
                  <w:vAlign w:val="center"/>
                </w:tcPr>
                <w:p w14:paraId="23E75D11">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E</w:t>
                  </w:r>
                  <w:r>
                    <w:rPr>
                      <w:rFonts w:hint="default" w:ascii="Times New Roman" w:hAnsi="Times New Roman" w:eastAsia="宋体" w:cs="Times New Roman"/>
                      <w:color w:val="auto"/>
                      <w:sz w:val="18"/>
                      <w:szCs w:val="18"/>
                      <w:lang w:val="en-US" w:eastAsia="zh-CN"/>
                    </w:rPr>
                    <w:t>N</w:t>
                  </w:r>
                </w:p>
              </w:tc>
              <w:tc>
                <w:tcPr>
                  <w:tcW w:w="610" w:type="pct"/>
                  <w:noWrap w:val="0"/>
                  <w:vAlign w:val="center"/>
                </w:tcPr>
                <w:p w14:paraId="0106F13E">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190</w:t>
                  </w:r>
                </w:p>
              </w:tc>
              <w:tc>
                <w:tcPr>
                  <w:tcW w:w="1123" w:type="pct"/>
                  <w:noWrap w:val="0"/>
                  <w:vAlign w:val="center"/>
                </w:tcPr>
                <w:p w14:paraId="58369A1C">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居住区，约783人</w:t>
                  </w:r>
                </w:p>
              </w:tc>
            </w:tr>
            <w:tr w14:paraId="2B21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5D41F442">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12</w:t>
                  </w:r>
                </w:p>
              </w:tc>
              <w:tc>
                <w:tcPr>
                  <w:tcW w:w="486" w:type="pct"/>
                  <w:vMerge w:val="continue"/>
                  <w:noWrap w:val="0"/>
                  <w:vAlign w:val="center"/>
                </w:tcPr>
                <w:p w14:paraId="2FC0EB21">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7A3D8715">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半岛深蓝</w:t>
                  </w:r>
                </w:p>
              </w:tc>
              <w:tc>
                <w:tcPr>
                  <w:tcW w:w="375" w:type="pct"/>
                  <w:noWrap w:val="0"/>
                  <w:vAlign w:val="center"/>
                </w:tcPr>
                <w:p w14:paraId="4DCD0B80">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+380</w:t>
                  </w:r>
                </w:p>
              </w:tc>
              <w:tc>
                <w:tcPr>
                  <w:tcW w:w="383" w:type="pct"/>
                  <w:noWrap w:val="0"/>
                  <w:vAlign w:val="center"/>
                </w:tcPr>
                <w:p w14:paraId="606C57F6">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+267</w:t>
                  </w:r>
                </w:p>
              </w:tc>
              <w:tc>
                <w:tcPr>
                  <w:tcW w:w="394" w:type="pct"/>
                  <w:noWrap w:val="0"/>
                  <w:vAlign w:val="center"/>
                </w:tcPr>
                <w:p w14:paraId="65D45072">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EN</w:t>
                  </w:r>
                </w:p>
              </w:tc>
              <w:tc>
                <w:tcPr>
                  <w:tcW w:w="610" w:type="pct"/>
                  <w:noWrap w:val="0"/>
                  <w:vAlign w:val="center"/>
                </w:tcPr>
                <w:p w14:paraId="5A19FE79">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400</w:t>
                  </w:r>
                </w:p>
              </w:tc>
              <w:tc>
                <w:tcPr>
                  <w:tcW w:w="1123" w:type="pct"/>
                  <w:noWrap w:val="0"/>
                  <w:vAlign w:val="center"/>
                </w:tcPr>
                <w:p w14:paraId="06287F07">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居住区，约1416人</w:t>
                  </w:r>
                </w:p>
              </w:tc>
            </w:tr>
            <w:tr w14:paraId="6300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16D1D915">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13</w:t>
                  </w:r>
                </w:p>
              </w:tc>
              <w:tc>
                <w:tcPr>
                  <w:tcW w:w="486" w:type="pct"/>
                  <w:vMerge w:val="continue"/>
                  <w:noWrap w:val="0"/>
                  <w:vAlign w:val="center"/>
                </w:tcPr>
                <w:p w14:paraId="69507585">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3ECE3C89">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交警花园</w:t>
                  </w:r>
                </w:p>
              </w:tc>
              <w:tc>
                <w:tcPr>
                  <w:tcW w:w="375" w:type="pct"/>
                  <w:noWrap w:val="0"/>
                  <w:vAlign w:val="center"/>
                </w:tcPr>
                <w:p w14:paraId="2776AF1B">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+246</w:t>
                  </w:r>
                </w:p>
              </w:tc>
              <w:tc>
                <w:tcPr>
                  <w:tcW w:w="383" w:type="pct"/>
                  <w:noWrap w:val="0"/>
                  <w:vAlign w:val="center"/>
                </w:tcPr>
                <w:p w14:paraId="6A8C245A">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+354</w:t>
                  </w:r>
                </w:p>
              </w:tc>
              <w:tc>
                <w:tcPr>
                  <w:tcW w:w="394" w:type="pct"/>
                  <w:noWrap w:val="0"/>
                  <w:vAlign w:val="center"/>
                </w:tcPr>
                <w:p w14:paraId="455DBE57">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EN</w:t>
                  </w:r>
                </w:p>
              </w:tc>
              <w:tc>
                <w:tcPr>
                  <w:tcW w:w="610" w:type="pct"/>
                  <w:noWrap w:val="0"/>
                  <w:vAlign w:val="center"/>
                </w:tcPr>
                <w:p w14:paraId="2CF6EE49">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310</w:t>
                  </w:r>
                </w:p>
              </w:tc>
              <w:tc>
                <w:tcPr>
                  <w:tcW w:w="1123" w:type="pct"/>
                  <w:noWrap w:val="0"/>
                  <w:vAlign w:val="center"/>
                </w:tcPr>
                <w:p w14:paraId="0031F50B">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居住区，约540人</w:t>
                  </w:r>
                </w:p>
              </w:tc>
            </w:tr>
            <w:tr w14:paraId="2FE8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0DC34482">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14</w:t>
                  </w:r>
                </w:p>
              </w:tc>
              <w:tc>
                <w:tcPr>
                  <w:tcW w:w="486" w:type="pct"/>
                  <w:vMerge w:val="continue"/>
                  <w:noWrap w:val="0"/>
                  <w:vAlign w:val="center"/>
                </w:tcPr>
                <w:p w14:paraId="018AF812">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522EAA79">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新</w:t>
                  </w:r>
                  <w:r>
                    <w:rPr>
                      <w:rFonts w:hint="default" w:ascii="Times New Roman" w:hAnsi="Times New Roman" w:eastAsia="宋体" w:cs="Times New Roman"/>
                      <w:color w:val="auto"/>
                      <w:sz w:val="18"/>
                      <w:szCs w:val="18"/>
                    </w:rPr>
                    <w:t>月湾</w:t>
                  </w:r>
                </w:p>
              </w:tc>
              <w:tc>
                <w:tcPr>
                  <w:tcW w:w="375" w:type="pct"/>
                  <w:noWrap w:val="0"/>
                  <w:vAlign w:val="center"/>
                </w:tcPr>
                <w:p w14:paraId="37304CA9">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+171</w:t>
                  </w:r>
                </w:p>
              </w:tc>
              <w:tc>
                <w:tcPr>
                  <w:tcW w:w="383" w:type="pct"/>
                  <w:noWrap w:val="0"/>
                  <w:vAlign w:val="center"/>
                </w:tcPr>
                <w:p w14:paraId="7AB94545">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+490</w:t>
                  </w:r>
                </w:p>
              </w:tc>
              <w:tc>
                <w:tcPr>
                  <w:tcW w:w="394" w:type="pct"/>
                  <w:noWrap w:val="0"/>
                  <w:vAlign w:val="center"/>
                </w:tcPr>
                <w:p w14:paraId="2FBC32CC">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EN</w:t>
                  </w:r>
                </w:p>
              </w:tc>
              <w:tc>
                <w:tcPr>
                  <w:tcW w:w="610" w:type="pct"/>
                  <w:noWrap w:val="0"/>
                  <w:vAlign w:val="center"/>
                </w:tcPr>
                <w:p w14:paraId="51916C9A">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4</w:t>
                  </w:r>
                  <w:r>
                    <w:rPr>
                      <w:rFonts w:hint="default" w:ascii="Times New Roman" w:hAnsi="Times New Roman" w:eastAsia="宋体" w:cs="Times New Roman"/>
                      <w:color w:val="auto"/>
                      <w:sz w:val="18"/>
                      <w:szCs w:val="18"/>
                      <w:lang w:val="en-US" w:eastAsia="zh-CN"/>
                    </w:rPr>
                    <w:t>61</w:t>
                  </w:r>
                </w:p>
              </w:tc>
              <w:tc>
                <w:tcPr>
                  <w:tcW w:w="1123" w:type="pct"/>
                  <w:noWrap w:val="0"/>
                  <w:vAlign w:val="center"/>
                </w:tcPr>
                <w:p w14:paraId="03854F75">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居住区，约1050人</w:t>
                  </w:r>
                </w:p>
              </w:tc>
            </w:tr>
            <w:tr w14:paraId="5005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63486019">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15</w:t>
                  </w:r>
                </w:p>
              </w:tc>
              <w:tc>
                <w:tcPr>
                  <w:tcW w:w="486" w:type="pct"/>
                  <w:vMerge w:val="continue"/>
                  <w:noWrap w:val="0"/>
                  <w:vAlign w:val="center"/>
                </w:tcPr>
                <w:p w14:paraId="49B485D8">
                  <w:pPr>
                    <w:pStyle w:val="77"/>
                    <w:spacing w:line="240" w:lineRule="auto"/>
                    <w:rPr>
                      <w:rFonts w:hint="default" w:ascii="Times New Roman" w:hAnsi="Times New Roman" w:eastAsia="宋体" w:cs="Times New Roman"/>
                      <w:color w:val="auto"/>
                      <w:sz w:val="18"/>
                      <w:szCs w:val="18"/>
                    </w:rPr>
                  </w:pPr>
                </w:p>
              </w:tc>
              <w:tc>
                <w:tcPr>
                  <w:tcW w:w="1382" w:type="pct"/>
                  <w:noWrap w:val="0"/>
                  <w:vAlign w:val="center"/>
                </w:tcPr>
                <w:p w14:paraId="6DE20724">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竞地城市花园</w:t>
                  </w:r>
                </w:p>
              </w:tc>
              <w:tc>
                <w:tcPr>
                  <w:tcW w:w="375" w:type="pct"/>
                  <w:noWrap w:val="0"/>
                  <w:vAlign w:val="center"/>
                </w:tcPr>
                <w:p w14:paraId="486B426C">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+295</w:t>
                  </w:r>
                </w:p>
              </w:tc>
              <w:tc>
                <w:tcPr>
                  <w:tcW w:w="383" w:type="pct"/>
                  <w:noWrap w:val="0"/>
                  <w:vAlign w:val="center"/>
                </w:tcPr>
                <w:p w14:paraId="3F40643E">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+503</w:t>
                  </w:r>
                </w:p>
              </w:tc>
              <w:tc>
                <w:tcPr>
                  <w:tcW w:w="394" w:type="pct"/>
                  <w:noWrap w:val="0"/>
                  <w:vAlign w:val="center"/>
                </w:tcPr>
                <w:p w14:paraId="2383F9F7">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EN</w:t>
                  </w:r>
                </w:p>
              </w:tc>
              <w:tc>
                <w:tcPr>
                  <w:tcW w:w="610" w:type="pct"/>
                  <w:noWrap w:val="0"/>
                  <w:vAlign w:val="center"/>
                </w:tcPr>
                <w:p w14:paraId="70E325B0">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381</w:t>
                  </w:r>
                </w:p>
              </w:tc>
              <w:tc>
                <w:tcPr>
                  <w:tcW w:w="1123" w:type="pct"/>
                  <w:noWrap w:val="0"/>
                  <w:vAlign w:val="center"/>
                </w:tcPr>
                <w:p w14:paraId="3D4DCC3D">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居住区，约3900人</w:t>
                  </w:r>
                </w:p>
              </w:tc>
            </w:tr>
            <w:tr w14:paraId="7996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46B551E4">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16</w:t>
                  </w:r>
                </w:p>
              </w:tc>
              <w:tc>
                <w:tcPr>
                  <w:tcW w:w="486" w:type="pct"/>
                  <w:vMerge w:val="continue"/>
                  <w:noWrap w:val="0"/>
                  <w:vAlign w:val="center"/>
                </w:tcPr>
                <w:p w14:paraId="1EBAF1F7">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4B447B7D">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渝中名郡</w:t>
                  </w:r>
                </w:p>
              </w:tc>
              <w:tc>
                <w:tcPr>
                  <w:tcW w:w="375" w:type="pct"/>
                  <w:noWrap w:val="0"/>
                  <w:vAlign w:val="center"/>
                </w:tcPr>
                <w:p w14:paraId="03D265C6">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+27</w:t>
                  </w:r>
                </w:p>
              </w:tc>
              <w:tc>
                <w:tcPr>
                  <w:tcW w:w="383" w:type="pct"/>
                  <w:noWrap w:val="0"/>
                  <w:vAlign w:val="center"/>
                </w:tcPr>
                <w:p w14:paraId="5AE42FDF">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+247</w:t>
                  </w:r>
                </w:p>
              </w:tc>
              <w:tc>
                <w:tcPr>
                  <w:tcW w:w="394" w:type="pct"/>
                  <w:noWrap w:val="0"/>
                  <w:vAlign w:val="center"/>
                </w:tcPr>
                <w:p w14:paraId="3CE6BB02">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N</w:t>
                  </w:r>
                </w:p>
              </w:tc>
              <w:tc>
                <w:tcPr>
                  <w:tcW w:w="610" w:type="pct"/>
                  <w:noWrap w:val="0"/>
                  <w:vAlign w:val="center"/>
                </w:tcPr>
                <w:p w14:paraId="02ABE3E7">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150</w:t>
                  </w:r>
                </w:p>
              </w:tc>
              <w:tc>
                <w:tcPr>
                  <w:tcW w:w="1123" w:type="pct"/>
                  <w:noWrap w:val="0"/>
                  <w:vAlign w:val="center"/>
                </w:tcPr>
                <w:p w14:paraId="7EF1FCFC">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居住区，约2484人</w:t>
                  </w:r>
                </w:p>
              </w:tc>
            </w:tr>
            <w:tr w14:paraId="437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6BDADA95">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17</w:t>
                  </w:r>
                </w:p>
              </w:tc>
              <w:tc>
                <w:tcPr>
                  <w:tcW w:w="486" w:type="pct"/>
                  <w:vMerge w:val="continue"/>
                  <w:noWrap w:val="0"/>
                  <w:vAlign w:val="center"/>
                </w:tcPr>
                <w:p w14:paraId="599E3E34">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238B05A8">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奥园</w:t>
                  </w:r>
                  <w:r>
                    <w:rPr>
                      <w:rFonts w:hint="default" w:ascii="Times New Roman" w:hAnsi="Times New Roman" w:eastAsia="宋体" w:cs="Times New Roman"/>
                      <w:color w:val="auto"/>
                      <w:sz w:val="18"/>
                      <w:szCs w:val="18"/>
                      <w:lang w:val="en-US" w:eastAsia="zh-CN"/>
                    </w:rPr>
                    <w:t>康城A区</w:t>
                  </w:r>
                </w:p>
              </w:tc>
              <w:tc>
                <w:tcPr>
                  <w:tcW w:w="375" w:type="pct"/>
                  <w:noWrap w:val="0"/>
                  <w:vAlign w:val="center"/>
                </w:tcPr>
                <w:p w14:paraId="439B6BC7">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+263</w:t>
                  </w:r>
                </w:p>
              </w:tc>
              <w:tc>
                <w:tcPr>
                  <w:tcW w:w="383" w:type="pct"/>
                  <w:noWrap w:val="0"/>
                  <w:vAlign w:val="center"/>
                </w:tcPr>
                <w:p w14:paraId="1F192BEE">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-302</w:t>
                  </w:r>
                </w:p>
              </w:tc>
              <w:tc>
                <w:tcPr>
                  <w:tcW w:w="394" w:type="pct"/>
                  <w:noWrap w:val="0"/>
                  <w:vAlign w:val="center"/>
                </w:tcPr>
                <w:p w14:paraId="3F7796A9">
                  <w:pPr>
                    <w:pStyle w:val="77"/>
                    <w:spacing w:line="240" w:lineRule="auto"/>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ES</w:t>
                  </w:r>
                </w:p>
              </w:tc>
              <w:tc>
                <w:tcPr>
                  <w:tcW w:w="610" w:type="pct"/>
                  <w:noWrap w:val="0"/>
                  <w:vAlign w:val="center"/>
                </w:tcPr>
                <w:p w14:paraId="787692FD">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328</w:t>
                  </w:r>
                </w:p>
              </w:tc>
              <w:tc>
                <w:tcPr>
                  <w:tcW w:w="1123" w:type="pct"/>
                  <w:noWrap w:val="0"/>
                  <w:vAlign w:val="center"/>
                </w:tcPr>
                <w:p w14:paraId="39E381E6">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居住区，约1</w:t>
                  </w:r>
                  <w:r>
                    <w:rPr>
                      <w:rFonts w:hint="default" w:ascii="Times New Roman" w:hAnsi="Times New Roman" w:eastAsia="宋体" w:cs="Times New Roman"/>
                      <w:color w:val="auto"/>
                      <w:sz w:val="18"/>
                      <w:szCs w:val="18"/>
                      <w:lang w:val="en-US" w:eastAsia="zh-CN"/>
                    </w:rPr>
                    <w:t>2000</w:t>
                  </w:r>
                  <w:r>
                    <w:rPr>
                      <w:rFonts w:hint="default" w:ascii="Times New Roman" w:hAnsi="Times New Roman" w:eastAsia="宋体" w:cs="Times New Roman"/>
                      <w:color w:val="auto"/>
                      <w:sz w:val="18"/>
                      <w:szCs w:val="18"/>
                    </w:rPr>
                    <w:t>人</w:t>
                  </w:r>
                </w:p>
              </w:tc>
            </w:tr>
            <w:tr w14:paraId="628B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7D7C9F6C">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18</w:t>
                  </w:r>
                </w:p>
              </w:tc>
              <w:tc>
                <w:tcPr>
                  <w:tcW w:w="486" w:type="pct"/>
                  <w:vMerge w:val="continue"/>
                  <w:noWrap w:val="0"/>
                  <w:vAlign w:val="center"/>
                </w:tcPr>
                <w:p w14:paraId="3ED80D8F">
                  <w:pPr>
                    <w:pStyle w:val="77"/>
                    <w:spacing w:line="240" w:lineRule="auto"/>
                    <w:rPr>
                      <w:rFonts w:hint="default" w:ascii="Times New Roman" w:hAnsi="Times New Roman" w:eastAsia="宋体" w:cs="Times New Roman"/>
                      <w:color w:val="auto"/>
                      <w:sz w:val="18"/>
                      <w:szCs w:val="18"/>
                    </w:rPr>
                  </w:pPr>
                </w:p>
              </w:tc>
              <w:tc>
                <w:tcPr>
                  <w:tcW w:w="1382" w:type="pct"/>
                  <w:noWrap w:val="0"/>
                  <w:vAlign w:val="center"/>
                </w:tcPr>
                <w:p w14:paraId="705766C3">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奥园</w:t>
                  </w:r>
                  <w:r>
                    <w:rPr>
                      <w:rFonts w:hint="default" w:ascii="Times New Roman" w:hAnsi="Times New Roman" w:eastAsia="宋体" w:cs="Times New Roman"/>
                      <w:color w:val="auto"/>
                      <w:sz w:val="18"/>
                      <w:szCs w:val="18"/>
                      <w:lang w:val="en-US" w:eastAsia="zh-CN"/>
                    </w:rPr>
                    <w:t>康城B区</w:t>
                  </w:r>
                </w:p>
              </w:tc>
              <w:tc>
                <w:tcPr>
                  <w:tcW w:w="375" w:type="pct"/>
                  <w:noWrap w:val="0"/>
                  <w:vAlign w:val="center"/>
                </w:tcPr>
                <w:p w14:paraId="3964CB37">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+112</w:t>
                  </w:r>
                </w:p>
              </w:tc>
              <w:tc>
                <w:tcPr>
                  <w:tcW w:w="383" w:type="pct"/>
                  <w:noWrap w:val="0"/>
                  <w:vAlign w:val="center"/>
                </w:tcPr>
                <w:p w14:paraId="1D9B9710">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-460</w:t>
                  </w:r>
                </w:p>
              </w:tc>
              <w:tc>
                <w:tcPr>
                  <w:tcW w:w="394" w:type="pct"/>
                  <w:noWrap w:val="0"/>
                  <w:vAlign w:val="center"/>
                </w:tcPr>
                <w:p w14:paraId="2145E64F">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ES</w:t>
                  </w:r>
                </w:p>
              </w:tc>
              <w:tc>
                <w:tcPr>
                  <w:tcW w:w="610" w:type="pct"/>
                  <w:noWrap w:val="0"/>
                  <w:vAlign w:val="center"/>
                </w:tcPr>
                <w:p w14:paraId="0D68CDF7">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347</w:t>
                  </w:r>
                </w:p>
              </w:tc>
              <w:tc>
                <w:tcPr>
                  <w:tcW w:w="1123" w:type="pct"/>
                  <w:noWrap w:val="0"/>
                  <w:vAlign w:val="center"/>
                </w:tcPr>
                <w:p w14:paraId="0A5FC99E">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w:t>
                  </w:r>
                  <w:r>
                    <w:rPr>
                      <w:rFonts w:hint="default" w:ascii="Times New Roman" w:hAnsi="Times New Roman" w:eastAsia="宋体" w:cs="Times New Roman"/>
                      <w:color w:val="auto"/>
                      <w:sz w:val="18"/>
                      <w:szCs w:val="18"/>
                      <w:lang w:val="en-US" w:eastAsia="zh-CN"/>
                    </w:rPr>
                    <w:t>4400</w:t>
                  </w:r>
                  <w:r>
                    <w:rPr>
                      <w:rFonts w:hint="default" w:ascii="Times New Roman" w:hAnsi="Times New Roman" w:eastAsia="宋体" w:cs="Times New Roman"/>
                      <w:color w:val="auto"/>
                      <w:sz w:val="18"/>
                      <w:szCs w:val="18"/>
                    </w:rPr>
                    <w:t>人</w:t>
                  </w:r>
                </w:p>
              </w:tc>
            </w:tr>
            <w:tr w14:paraId="3A1D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0A3AE744">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19</w:t>
                  </w:r>
                </w:p>
              </w:tc>
              <w:tc>
                <w:tcPr>
                  <w:tcW w:w="486" w:type="pct"/>
                  <w:vMerge w:val="continue"/>
                  <w:noWrap w:val="0"/>
                  <w:vAlign w:val="center"/>
                </w:tcPr>
                <w:p w14:paraId="23DF96A3">
                  <w:pPr>
                    <w:pStyle w:val="77"/>
                    <w:spacing w:line="240" w:lineRule="auto"/>
                    <w:rPr>
                      <w:rFonts w:hint="default" w:ascii="Times New Roman" w:hAnsi="Times New Roman" w:eastAsia="宋体" w:cs="Times New Roman"/>
                      <w:color w:val="auto"/>
                      <w:sz w:val="18"/>
                      <w:szCs w:val="18"/>
                    </w:rPr>
                  </w:pPr>
                </w:p>
              </w:tc>
              <w:tc>
                <w:tcPr>
                  <w:tcW w:w="1382" w:type="pct"/>
                  <w:noWrap w:val="0"/>
                  <w:vAlign w:val="center"/>
                </w:tcPr>
                <w:p w14:paraId="4E2583AF">
                  <w:pPr>
                    <w:pStyle w:val="77"/>
                    <w:spacing w:line="24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大黄路28号院</w:t>
                  </w:r>
                </w:p>
              </w:tc>
              <w:tc>
                <w:tcPr>
                  <w:tcW w:w="375" w:type="pct"/>
                  <w:noWrap w:val="0"/>
                  <w:vAlign w:val="center"/>
                </w:tcPr>
                <w:p w14:paraId="4EED4C20">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+25</w:t>
                  </w:r>
                </w:p>
              </w:tc>
              <w:tc>
                <w:tcPr>
                  <w:tcW w:w="383" w:type="pct"/>
                  <w:noWrap w:val="0"/>
                  <w:vAlign w:val="center"/>
                </w:tcPr>
                <w:p w14:paraId="57EE5FAE">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+400</w:t>
                  </w:r>
                </w:p>
              </w:tc>
              <w:tc>
                <w:tcPr>
                  <w:tcW w:w="394" w:type="pct"/>
                  <w:noWrap w:val="0"/>
                  <w:vAlign w:val="center"/>
                </w:tcPr>
                <w:p w14:paraId="5EC0521B">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N</w:t>
                  </w:r>
                </w:p>
              </w:tc>
              <w:tc>
                <w:tcPr>
                  <w:tcW w:w="610" w:type="pct"/>
                  <w:noWrap w:val="0"/>
                  <w:vAlign w:val="center"/>
                </w:tcPr>
                <w:p w14:paraId="42500BD5">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261</w:t>
                  </w:r>
                </w:p>
              </w:tc>
              <w:tc>
                <w:tcPr>
                  <w:tcW w:w="1123" w:type="pct"/>
                  <w:noWrap w:val="0"/>
                  <w:vAlign w:val="center"/>
                </w:tcPr>
                <w:p w14:paraId="0BB29B92">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居住区，约3000人</w:t>
                  </w:r>
                </w:p>
              </w:tc>
            </w:tr>
            <w:tr w14:paraId="1138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7C661FE9">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20</w:t>
                  </w:r>
                </w:p>
              </w:tc>
              <w:tc>
                <w:tcPr>
                  <w:tcW w:w="486" w:type="pct"/>
                  <w:vMerge w:val="continue"/>
                  <w:noWrap w:val="0"/>
                  <w:vAlign w:val="center"/>
                </w:tcPr>
                <w:p w14:paraId="2EDCA5D0">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5C8B929A">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重庆六十六中学</w:t>
                  </w:r>
                </w:p>
              </w:tc>
              <w:tc>
                <w:tcPr>
                  <w:tcW w:w="375" w:type="pct"/>
                  <w:noWrap w:val="0"/>
                  <w:vAlign w:val="center"/>
                </w:tcPr>
                <w:p w14:paraId="355AE0D8">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-164</w:t>
                  </w:r>
                </w:p>
              </w:tc>
              <w:tc>
                <w:tcPr>
                  <w:tcW w:w="383" w:type="pct"/>
                  <w:noWrap w:val="0"/>
                  <w:vAlign w:val="center"/>
                </w:tcPr>
                <w:p w14:paraId="32140562">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+407</w:t>
                  </w:r>
                </w:p>
              </w:tc>
              <w:tc>
                <w:tcPr>
                  <w:tcW w:w="394" w:type="pct"/>
                  <w:noWrap w:val="0"/>
                  <w:vAlign w:val="center"/>
                </w:tcPr>
                <w:p w14:paraId="1031B0F1">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WN</w:t>
                  </w:r>
                </w:p>
              </w:tc>
              <w:tc>
                <w:tcPr>
                  <w:tcW w:w="610" w:type="pct"/>
                  <w:noWrap w:val="0"/>
                  <w:vAlign w:val="center"/>
                </w:tcPr>
                <w:p w14:paraId="6F898886">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300</w:t>
                  </w:r>
                </w:p>
              </w:tc>
              <w:tc>
                <w:tcPr>
                  <w:tcW w:w="1123" w:type="pct"/>
                  <w:noWrap w:val="0"/>
                  <w:vAlign w:val="center"/>
                </w:tcPr>
                <w:p w14:paraId="30B6EEE7">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学校</w:t>
                  </w:r>
                </w:p>
              </w:tc>
            </w:tr>
            <w:tr w14:paraId="056A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7EB4E31D">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21</w:t>
                  </w:r>
                </w:p>
              </w:tc>
              <w:tc>
                <w:tcPr>
                  <w:tcW w:w="486" w:type="pct"/>
                  <w:vMerge w:val="continue"/>
                  <w:noWrap w:val="0"/>
                  <w:vAlign w:val="center"/>
                </w:tcPr>
                <w:p w14:paraId="623EC57F">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50973ED7">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后工家属区</w:t>
                  </w:r>
                </w:p>
              </w:tc>
              <w:tc>
                <w:tcPr>
                  <w:tcW w:w="375" w:type="pct"/>
                  <w:noWrap w:val="0"/>
                  <w:vAlign w:val="center"/>
                </w:tcPr>
                <w:p w14:paraId="3C7FD936">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-247</w:t>
                  </w:r>
                </w:p>
              </w:tc>
              <w:tc>
                <w:tcPr>
                  <w:tcW w:w="383" w:type="pct"/>
                  <w:noWrap w:val="0"/>
                  <w:vAlign w:val="center"/>
                </w:tcPr>
                <w:p w14:paraId="43FF6EF1">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+280</w:t>
                  </w:r>
                </w:p>
              </w:tc>
              <w:tc>
                <w:tcPr>
                  <w:tcW w:w="394" w:type="pct"/>
                  <w:noWrap w:val="0"/>
                  <w:vAlign w:val="center"/>
                </w:tcPr>
                <w:p w14:paraId="33DB850E">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WN</w:t>
                  </w:r>
                </w:p>
              </w:tc>
              <w:tc>
                <w:tcPr>
                  <w:tcW w:w="610" w:type="pct"/>
                  <w:noWrap w:val="0"/>
                  <w:vAlign w:val="center"/>
                </w:tcPr>
                <w:p w14:paraId="112131F8">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85</w:t>
                  </w:r>
                </w:p>
              </w:tc>
              <w:tc>
                <w:tcPr>
                  <w:tcW w:w="1123" w:type="pct"/>
                  <w:noWrap w:val="0"/>
                  <w:vAlign w:val="center"/>
                </w:tcPr>
                <w:p w14:paraId="77514477">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居住区，约1584人</w:t>
                  </w:r>
                </w:p>
              </w:tc>
            </w:tr>
            <w:tr w14:paraId="59BE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270BF645">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22</w:t>
                  </w:r>
                </w:p>
              </w:tc>
              <w:tc>
                <w:tcPr>
                  <w:tcW w:w="486" w:type="pct"/>
                  <w:vMerge w:val="continue"/>
                  <w:noWrap w:val="0"/>
                  <w:vAlign w:val="center"/>
                </w:tcPr>
                <w:p w14:paraId="67D7D229">
                  <w:pPr>
                    <w:pStyle w:val="77"/>
                    <w:spacing w:line="240" w:lineRule="auto"/>
                    <w:rPr>
                      <w:rFonts w:hint="default" w:ascii="Times New Roman" w:hAnsi="Times New Roman" w:eastAsia="宋体" w:cs="Times New Roman"/>
                      <w:color w:val="auto"/>
                      <w:sz w:val="18"/>
                      <w:szCs w:val="18"/>
                    </w:rPr>
                  </w:pPr>
                </w:p>
              </w:tc>
              <w:tc>
                <w:tcPr>
                  <w:tcW w:w="1382" w:type="pct"/>
                  <w:noWrap w:val="0"/>
                  <w:vAlign w:val="center"/>
                </w:tcPr>
                <w:p w14:paraId="00F9F23D">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童话里幼儿园</w:t>
                  </w:r>
                </w:p>
              </w:tc>
              <w:tc>
                <w:tcPr>
                  <w:tcW w:w="375" w:type="pct"/>
                  <w:noWrap w:val="0"/>
                  <w:vAlign w:val="center"/>
                </w:tcPr>
                <w:p w14:paraId="0E7B1346">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-381</w:t>
                  </w:r>
                </w:p>
              </w:tc>
              <w:tc>
                <w:tcPr>
                  <w:tcW w:w="383" w:type="pct"/>
                  <w:noWrap w:val="0"/>
                  <w:vAlign w:val="center"/>
                </w:tcPr>
                <w:p w14:paraId="6A7848B1">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-214</w:t>
                  </w:r>
                </w:p>
              </w:tc>
              <w:tc>
                <w:tcPr>
                  <w:tcW w:w="394" w:type="pct"/>
                  <w:noWrap w:val="0"/>
                  <w:vAlign w:val="center"/>
                </w:tcPr>
                <w:p w14:paraId="597F7826">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WN</w:t>
                  </w:r>
                </w:p>
              </w:tc>
              <w:tc>
                <w:tcPr>
                  <w:tcW w:w="610" w:type="pct"/>
                  <w:noWrap w:val="0"/>
                  <w:vAlign w:val="center"/>
                </w:tcPr>
                <w:p w14:paraId="322EF556">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366</w:t>
                  </w:r>
                </w:p>
              </w:tc>
              <w:tc>
                <w:tcPr>
                  <w:tcW w:w="1123" w:type="pct"/>
                  <w:noWrap w:val="0"/>
                  <w:vAlign w:val="center"/>
                </w:tcPr>
                <w:p w14:paraId="387B9661">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学校</w:t>
                  </w:r>
                </w:p>
              </w:tc>
            </w:tr>
            <w:tr w14:paraId="2EC4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77507C20">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23</w:t>
                  </w:r>
                </w:p>
              </w:tc>
              <w:tc>
                <w:tcPr>
                  <w:tcW w:w="486" w:type="pct"/>
                  <w:vMerge w:val="continue"/>
                  <w:noWrap w:val="0"/>
                  <w:vAlign w:val="center"/>
                </w:tcPr>
                <w:p w14:paraId="6C8B34AA">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1D556F8C">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中煤科工集团</w:t>
                  </w:r>
                </w:p>
              </w:tc>
              <w:tc>
                <w:tcPr>
                  <w:tcW w:w="375" w:type="pct"/>
                  <w:noWrap w:val="0"/>
                  <w:vAlign w:val="center"/>
                </w:tcPr>
                <w:p w14:paraId="2A3C7682">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-407</w:t>
                  </w:r>
                </w:p>
              </w:tc>
              <w:tc>
                <w:tcPr>
                  <w:tcW w:w="383" w:type="pct"/>
                  <w:noWrap w:val="0"/>
                  <w:vAlign w:val="center"/>
                </w:tcPr>
                <w:p w14:paraId="1CDABECC">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w:t>
                  </w:r>
                </w:p>
              </w:tc>
              <w:tc>
                <w:tcPr>
                  <w:tcW w:w="394" w:type="pct"/>
                  <w:noWrap w:val="0"/>
                  <w:vAlign w:val="center"/>
                </w:tcPr>
                <w:p w14:paraId="21BF51FA">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w:t>
                  </w:r>
                </w:p>
              </w:tc>
              <w:tc>
                <w:tcPr>
                  <w:tcW w:w="610" w:type="pct"/>
                  <w:noWrap w:val="0"/>
                  <w:vAlign w:val="center"/>
                </w:tcPr>
                <w:p w14:paraId="279BBBCD">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306</w:t>
                  </w:r>
                </w:p>
              </w:tc>
              <w:tc>
                <w:tcPr>
                  <w:tcW w:w="1123" w:type="pct"/>
                  <w:noWrap w:val="0"/>
                  <w:vAlign w:val="center"/>
                </w:tcPr>
                <w:p w14:paraId="4FF6E041">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办公场地</w:t>
                  </w:r>
                </w:p>
              </w:tc>
            </w:tr>
            <w:tr w14:paraId="6818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0F21E13C">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24</w:t>
                  </w:r>
                </w:p>
              </w:tc>
              <w:tc>
                <w:tcPr>
                  <w:tcW w:w="486" w:type="pct"/>
                  <w:vMerge w:val="continue"/>
                  <w:noWrap w:val="0"/>
                  <w:vAlign w:val="center"/>
                </w:tcPr>
                <w:p w14:paraId="5A7F73B3">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010AC3B5">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地矿院等办公场所</w:t>
                  </w:r>
                </w:p>
              </w:tc>
              <w:tc>
                <w:tcPr>
                  <w:tcW w:w="375" w:type="pct"/>
                  <w:noWrap w:val="0"/>
                  <w:vAlign w:val="center"/>
                </w:tcPr>
                <w:p w14:paraId="048D6087">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-344</w:t>
                  </w:r>
                </w:p>
              </w:tc>
              <w:tc>
                <w:tcPr>
                  <w:tcW w:w="383" w:type="pct"/>
                  <w:noWrap w:val="0"/>
                  <w:vAlign w:val="center"/>
                </w:tcPr>
                <w:p w14:paraId="6D9BC4D1">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+127</w:t>
                  </w:r>
                </w:p>
              </w:tc>
              <w:tc>
                <w:tcPr>
                  <w:tcW w:w="394" w:type="pct"/>
                  <w:noWrap w:val="0"/>
                  <w:vAlign w:val="center"/>
                </w:tcPr>
                <w:p w14:paraId="409DD789">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WN</w:t>
                  </w:r>
                </w:p>
              </w:tc>
              <w:tc>
                <w:tcPr>
                  <w:tcW w:w="610" w:type="pct"/>
                  <w:noWrap w:val="0"/>
                  <w:vAlign w:val="center"/>
                </w:tcPr>
                <w:p w14:paraId="342FB1A0">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210</w:t>
                  </w:r>
                </w:p>
              </w:tc>
              <w:tc>
                <w:tcPr>
                  <w:tcW w:w="1123" w:type="pct"/>
                  <w:noWrap w:val="0"/>
                  <w:vAlign w:val="center"/>
                </w:tcPr>
                <w:p w14:paraId="4CCE0EF4">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办公场地</w:t>
                  </w:r>
                </w:p>
              </w:tc>
            </w:tr>
            <w:tr w14:paraId="0E25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noWrap w:val="0"/>
                  <w:vAlign w:val="center"/>
                </w:tcPr>
                <w:p w14:paraId="687BB5A5">
                  <w:pPr>
                    <w:autoSpaceDE w:val="0"/>
                    <w:autoSpaceDN w:val="0"/>
                    <w:adjustRightInd w:val="0"/>
                    <w:jc w:val="center"/>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25</w:t>
                  </w:r>
                </w:p>
              </w:tc>
              <w:tc>
                <w:tcPr>
                  <w:tcW w:w="486" w:type="pct"/>
                  <w:vMerge w:val="continue"/>
                  <w:noWrap w:val="0"/>
                  <w:vAlign w:val="center"/>
                </w:tcPr>
                <w:p w14:paraId="73C96A88">
                  <w:pPr>
                    <w:autoSpaceDE w:val="0"/>
                    <w:autoSpaceDN w:val="0"/>
                    <w:adjustRightInd w:val="0"/>
                    <w:jc w:val="center"/>
                    <w:rPr>
                      <w:rFonts w:hint="default" w:ascii="Times New Roman" w:hAnsi="Times New Roman" w:eastAsia="宋体" w:cs="Times New Roman"/>
                      <w:color w:val="auto"/>
                      <w:kern w:val="0"/>
                      <w:sz w:val="18"/>
                      <w:szCs w:val="18"/>
                    </w:rPr>
                  </w:pPr>
                </w:p>
              </w:tc>
              <w:tc>
                <w:tcPr>
                  <w:tcW w:w="1382" w:type="pct"/>
                  <w:noWrap w:val="0"/>
                  <w:vAlign w:val="center"/>
                </w:tcPr>
                <w:p w14:paraId="7599A178">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重庆建工第三建设有限公司</w:t>
                  </w:r>
                </w:p>
              </w:tc>
              <w:tc>
                <w:tcPr>
                  <w:tcW w:w="375" w:type="pct"/>
                  <w:noWrap w:val="0"/>
                  <w:vAlign w:val="center"/>
                </w:tcPr>
                <w:p w14:paraId="20E7A4A3">
                  <w:pPr>
                    <w:autoSpaceDE w:val="0"/>
                    <w:autoSpaceDN w:val="0"/>
                    <w:adjustRightInd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-375</w:t>
                  </w:r>
                </w:p>
              </w:tc>
              <w:tc>
                <w:tcPr>
                  <w:tcW w:w="383" w:type="pct"/>
                  <w:noWrap w:val="0"/>
                  <w:vAlign w:val="center"/>
                </w:tcPr>
                <w:p w14:paraId="1A3D464C">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-71</w:t>
                  </w:r>
                </w:p>
              </w:tc>
              <w:tc>
                <w:tcPr>
                  <w:tcW w:w="394" w:type="pct"/>
                  <w:noWrap w:val="0"/>
                  <w:vAlign w:val="center"/>
                </w:tcPr>
                <w:p w14:paraId="1A9C4DCC">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WS</w:t>
                  </w:r>
                </w:p>
              </w:tc>
              <w:tc>
                <w:tcPr>
                  <w:tcW w:w="610" w:type="pct"/>
                  <w:noWrap w:val="0"/>
                  <w:vAlign w:val="center"/>
                </w:tcPr>
                <w:p w14:paraId="6A09246C">
                  <w:pPr>
                    <w:widowControl/>
                    <w:jc w:val="center"/>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287</w:t>
                  </w:r>
                </w:p>
              </w:tc>
              <w:tc>
                <w:tcPr>
                  <w:tcW w:w="1123" w:type="pct"/>
                  <w:noWrap w:val="0"/>
                  <w:vAlign w:val="center"/>
                </w:tcPr>
                <w:p w14:paraId="75F7B638">
                  <w:pPr>
                    <w:pStyle w:val="77"/>
                    <w:spacing w:line="240" w:lineRule="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办公场地</w:t>
                  </w:r>
                </w:p>
              </w:tc>
            </w:tr>
          </w:tbl>
          <w:p w14:paraId="4DB0EA21">
            <w:pPr>
              <w:adjustRightInd w:val="0"/>
              <w:snapToGrid w:val="0"/>
              <w:spacing w:line="240" w:lineRule="auto"/>
              <w:jc w:val="left"/>
              <w:rPr>
                <w:rFonts w:hint="default" w:ascii="Times New Roman" w:hAnsi="Times New Roman" w:eastAsia="宋体" w:cs="Times New Roman"/>
                <w:b/>
                <w:color w:val="auto"/>
                <w:sz w:val="24"/>
                <w:szCs w:val="24"/>
                <w:highlight w:val="none"/>
              </w:rPr>
            </w:pPr>
          </w:p>
          <w:p w14:paraId="15CDB13C">
            <w:pPr>
              <w:adjustRightInd w:val="0"/>
              <w:snapToGrid w:val="0"/>
              <w:spacing w:line="460" w:lineRule="exact"/>
              <w:jc w:val="left"/>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3.2.</w:t>
            </w: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声环境</w:t>
            </w:r>
          </w:p>
          <w:p w14:paraId="768C690C">
            <w:pPr>
              <w:adjustRightInd w:val="0"/>
              <w:snapToGrid w:val="0"/>
              <w:spacing w:line="460" w:lineRule="exact"/>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本项目厂界外50m范围内声环境保护目标主要为渝中花园</w:t>
            </w:r>
            <w:r>
              <w:rPr>
                <w:rFonts w:hint="default" w:ascii="Times New Roman" w:hAnsi="Times New Roman" w:eastAsia="宋体" w:cs="Times New Roman"/>
                <w:bCs/>
                <w:color w:val="auto"/>
                <w:sz w:val="24"/>
                <w:szCs w:val="24"/>
                <w:highlight w:val="none"/>
                <w:lang w:val="en-US" w:eastAsia="zh-CN"/>
              </w:rPr>
              <w:t>和重庆创泰黄杨新城医院</w:t>
            </w:r>
            <w:r>
              <w:rPr>
                <w:rFonts w:hint="default" w:ascii="Times New Roman" w:hAnsi="Times New Roman" w:eastAsia="宋体" w:cs="Times New Roman"/>
                <w:bCs/>
                <w:color w:val="auto"/>
                <w:sz w:val="24"/>
                <w:szCs w:val="24"/>
                <w:highlight w:val="none"/>
              </w:rPr>
              <w:t>，详见下表3.2-</w:t>
            </w: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w:t>
            </w:r>
          </w:p>
          <w:p w14:paraId="1D115088">
            <w:pPr>
              <w:spacing w:before="120" w:beforeLines="50" w:line="460" w:lineRule="exact"/>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表3.2-</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 xml:space="preserve">   本项目声环境保护目标一览表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873"/>
              <w:gridCol w:w="2018"/>
              <w:gridCol w:w="503"/>
              <w:gridCol w:w="656"/>
              <w:gridCol w:w="571"/>
              <w:gridCol w:w="1102"/>
              <w:gridCol w:w="2000"/>
            </w:tblGrid>
            <w:tr w14:paraId="0064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6" w:type="pct"/>
                  <w:vMerge w:val="restart"/>
                  <w:noWrap w:val="0"/>
                  <w:vAlign w:val="center"/>
                </w:tcPr>
                <w:p w14:paraId="385AA992">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序</w:t>
                  </w:r>
                </w:p>
                <w:p w14:paraId="79AA36FA">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号</w:t>
                  </w:r>
                </w:p>
              </w:tc>
              <w:tc>
                <w:tcPr>
                  <w:tcW w:w="535" w:type="pct"/>
                  <w:vMerge w:val="restart"/>
                  <w:noWrap w:val="0"/>
                  <w:vAlign w:val="center"/>
                </w:tcPr>
                <w:p w14:paraId="71F31CDB">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环境功能区</w:t>
                  </w:r>
                </w:p>
              </w:tc>
              <w:tc>
                <w:tcPr>
                  <w:tcW w:w="1236" w:type="pct"/>
                  <w:vMerge w:val="restart"/>
                  <w:noWrap w:val="0"/>
                  <w:vAlign w:val="center"/>
                </w:tcPr>
                <w:p w14:paraId="747A5F4B">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环境保护目标</w:t>
                  </w:r>
                </w:p>
              </w:tc>
              <w:tc>
                <w:tcPr>
                  <w:tcW w:w="710" w:type="pct"/>
                  <w:gridSpan w:val="2"/>
                  <w:noWrap w:val="0"/>
                  <w:vAlign w:val="center"/>
                </w:tcPr>
                <w:p w14:paraId="5A334DBF">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坐标</w:t>
                  </w:r>
                </w:p>
              </w:tc>
              <w:tc>
                <w:tcPr>
                  <w:tcW w:w="350" w:type="pct"/>
                  <w:vMerge w:val="restart"/>
                  <w:noWrap w:val="0"/>
                  <w:vAlign w:val="center"/>
                </w:tcPr>
                <w:p w14:paraId="055266BF">
                  <w:pPr>
                    <w:autoSpaceDE w:val="0"/>
                    <w:autoSpaceDN w:val="0"/>
                    <w:adjustRightInd w:val="0"/>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方位</w:t>
                  </w:r>
                </w:p>
              </w:tc>
              <w:tc>
                <w:tcPr>
                  <w:tcW w:w="675" w:type="pct"/>
                  <w:vMerge w:val="restart"/>
                  <w:noWrap w:val="0"/>
                  <w:vAlign w:val="center"/>
                </w:tcPr>
                <w:p w14:paraId="782228AD">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与本项目厂界最近距离</w:t>
                  </w:r>
                </w:p>
              </w:tc>
              <w:tc>
                <w:tcPr>
                  <w:tcW w:w="1225" w:type="pct"/>
                  <w:vMerge w:val="restart"/>
                  <w:noWrap w:val="0"/>
                  <w:vAlign w:val="center"/>
                </w:tcPr>
                <w:p w14:paraId="7536C5C1">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环境特性</w:t>
                  </w:r>
                </w:p>
              </w:tc>
            </w:tr>
            <w:tr w14:paraId="47BB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6" w:type="pct"/>
                  <w:vMerge w:val="continue"/>
                  <w:noWrap w:val="0"/>
                  <w:vAlign w:val="center"/>
                </w:tcPr>
                <w:p w14:paraId="72DE4DB2">
                  <w:pPr>
                    <w:autoSpaceDE w:val="0"/>
                    <w:autoSpaceDN w:val="0"/>
                    <w:adjustRightInd w:val="0"/>
                    <w:spacing w:line="300" w:lineRule="exact"/>
                    <w:jc w:val="center"/>
                    <w:rPr>
                      <w:rFonts w:hint="default" w:ascii="Times New Roman" w:hAnsi="Times New Roman" w:eastAsia="宋体" w:cs="Times New Roman"/>
                      <w:color w:val="auto"/>
                      <w:sz w:val="21"/>
                      <w:szCs w:val="21"/>
                    </w:rPr>
                  </w:pPr>
                </w:p>
              </w:tc>
              <w:tc>
                <w:tcPr>
                  <w:tcW w:w="535" w:type="pct"/>
                  <w:vMerge w:val="continue"/>
                  <w:noWrap w:val="0"/>
                  <w:vAlign w:val="center"/>
                </w:tcPr>
                <w:p w14:paraId="6BC55AE7">
                  <w:pPr>
                    <w:autoSpaceDE w:val="0"/>
                    <w:autoSpaceDN w:val="0"/>
                    <w:adjustRightInd w:val="0"/>
                    <w:spacing w:line="300" w:lineRule="exact"/>
                    <w:jc w:val="center"/>
                    <w:rPr>
                      <w:rFonts w:hint="default" w:ascii="Times New Roman" w:hAnsi="Times New Roman" w:eastAsia="宋体" w:cs="Times New Roman"/>
                      <w:color w:val="auto"/>
                      <w:sz w:val="21"/>
                      <w:szCs w:val="21"/>
                    </w:rPr>
                  </w:pPr>
                </w:p>
              </w:tc>
              <w:tc>
                <w:tcPr>
                  <w:tcW w:w="1236" w:type="pct"/>
                  <w:vMerge w:val="continue"/>
                  <w:noWrap w:val="0"/>
                  <w:vAlign w:val="center"/>
                </w:tcPr>
                <w:p w14:paraId="64420593">
                  <w:pPr>
                    <w:autoSpaceDE w:val="0"/>
                    <w:autoSpaceDN w:val="0"/>
                    <w:adjustRightInd w:val="0"/>
                    <w:spacing w:line="300" w:lineRule="exact"/>
                    <w:jc w:val="center"/>
                    <w:rPr>
                      <w:rFonts w:hint="default" w:ascii="Times New Roman" w:hAnsi="Times New Roman" w:eastAsia="宋体" w:cs="Times New Roman"/>
                      <w:color w:val="auto"/>
                      <w:sz w:val="21"/>
                      <w:szCs w:val="21"/>
                    </w:rPr>
                  </w:pPr>
                </w:p>
              </w:tc>
              <w:tc>
                <w:tcPr>
                  <w:tcW w:w="308" w:type="pct"/>
                  <w:noWrap w:val="0"/>
                  <w:vAlign w:val="center"/>
                </w:tcPr>
                <w:p w14:paraId="0B8A83EA">
                  <w:pPr>
                    <w:autoSpaceDE w:val="0"/>
                    <w:autoSpaceDN w:val="0"/>
                    <w:adjustRightInd w:val="0"/>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X</w:t>
                  </w:r>
                </w:p>
              </w:tc>
              <w:tc>
                <w:tcPr>
                  <w:tcW w:w="401" w:type="pct"/>
                  <w:noWrap w:val="0"/>
                  <w:vAlign w:val="center"/>
                </w:tcPr>
                <w:p w14:paraId="0C9687BB">
                  <w:pPr>
                    <w:autoSpaceDE w:val="0"/>
                    <w:autoSpaceDN w:val="0"/>
                    <w:adjustRightInd w:val="0"/>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Y</w:t>
                  </w:r>
                </w:p>
              </w:tc>
              <w:tc>
                <w:tcPr>
                  <w:tcW w:w="350" w:type="pct"/>
                  <w:vMerge w:val="continue"/>
                  <w:noWrap w:val="0"/>
                  <w:vAlign w:val="center"/>
                </w:tcPr>
                <w:p w14:paraId="233C148C">
                  <w:pPr>
                    <w:autoSpaceDE w:val="0"/>
                    <w:autoSpaceDN w:val="0"/>
                    <w:adjustRightInd w:val="0"/>
                    <w:spacing w:line="300" w:lineRule="exact"/>
                    <w:jc w:val="center"/>
                    <w:rPr>
                      <w:rFonts w:hint="default" w:ascii="Times New Roman" w:hAnsi="Times New Roman" w:eastAsia="宋体" w:cs="Times New Roman"/>
                      <w:color w:val="auto"/>
                      <w:sz w:val="21"/>
                      <w:szCs w:val="21"/>
                    </w:rPr>
                  </w:pPr>
                </w:p>
              </w:tc>
              <w:tc>
                <w:tcPr>
                  <w:tcW w:w="675" w:type="pct"/>
                  <w:vMerge w:val="continue"/>
                  <w:noWrap w:val="0"/>
                  <w:vAlign w:val="center"/>
                </w:tcPr>
                <w:p w14:paraId="5E0685A2">
                  <w:pPr>
                    <w:autoSpaceDE w:val="0"/>
                    <w:autoSpaceDN w:val="0"/>
                    <w:adjustRightInd w:val="0"/>
                    <w:spacing w:line="300" w:lineRule="exact"/>
                    <w:jc w:val="center"/>
                    <w:rPr>
                      <w:rFonts w:hint="default" w:ascii="Times New Roman" w:hAnsi="Times New Roman" w:eastAsia="宋体" w:cs="Times New Roman"/>
                      <w:color w:val="auto"/>
                      <w:sz w:val="21"/>
                      <w:szCs w:val="21"/>
                    </w:rPr>
                  </w:pPr>
                </w:p>
              </w:tc>
              <w:tc>
                <w:tcPr>
                  <w:tcW w:w="1225" w:type="pct"/>
                  <w:vMerge w:val="continue"/>
                  <w:noWrap w:val="0"/>
                  <w:vAlign w:val="center"/>
                </w:tcPr>
                <w:p w14:paraId="72FBB3FD">
                  <w:pPr>
                    <w:autoSpaceDE w:val="0"/>
                    <w:autoSpaceDN w:val="0"/>
                    <w:adjustRightInd w:val="0"/>
                    <w:spacing w:line="300" w:lineRule="exact"/>
                    <w:jc w:val="center"/>
                    <w:rPr>
                      <w:rFonts w:hint="default" w:ascii="Times New Roman" w:hAnsi="Times New Roman" w:eastAsia="宋体" w:cs="Times New Roman"/>
                      <w:color w:val="auto"/>
                      <w:sz w:val="21"/>
                      <w:szCs w:val="21"/>
                    </w:rPr>
                  </w:pPr>
                </w:p>
              </w:tc>
            </w:tr>
            <w:tr w14:paraId="2494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noWrap w:val="0"/>
                  <w:vAlign w:val="center"/>
                </w:tcPr>
                <w:p w14:paraId="67BF35A2">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535" w:type="pct"/>
                  <w:vMerge w:val="restart"/>
                  <w:noWrap w:val="0"/>
                  <w:vAlign w:val="center"/>
                </w:tcPr>
                <w:p w14:paraId="3D03A8E7">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声环境</w:t>
                  </w:r>
                </w:p>
                <w:p w14:paraId="6072065E">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2类区</w:t>
                  </w:r>
                </w:p>
              </w:tc>
              <w:tc>
                <w:tcPr>
                  <w:tcW w:w="1236" w:type="pct"/>
                  <w:noWrap w:val="0"/>
                  <w:vAlign w:val="center"/>
                </w:tcPr>
                <w:p w14:paraId="011AF2C4">
                  <w:pPr>
                    <w:pStyle w:val="77"/>
                    <w:spacing w:line="240" w:lineRule="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渝中花园</w:t>
                  </w:r>
                </w:p>
              </w:tc>
              <w:tc>
                <w:tcPr>
                  <w:tcW w:w="308" w:type="pct"/>
                  <w:noWrap w:val="0"/>
                  <w:vAlign w:val="center"/>
                </w:tcPr>
                <w:p w14:paraId="59A2EE2B">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lang w:val="en-US" w:eastAsia="zh-CN"/>
                    </w:rPr>
                    <w:t>-34</w:t>
                  </w:r>
                </w:p>
              </w:tc>
              <w:tc>
                <w:tcPr>
                  <w:tcW w:w="401" w:type="pct"/>
                  <w:noWrap w:val="0"/>
                  <w:vAlign w:val="center"/>
                </w:tcPr>
                <w:p w14:paraId="3091D213">
                  <w:pPr>
                    <w:pStyle w:val="77"/>
                    <w:spacing w:line="240" w:lineRule="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lang w:val="en-US" w:eastAsia="zh-CN"/>
                    </w:rPr>
                    <w:t>-146</w:t>
                  </w:r>
                </w:p>
              </w:tc>
              <w:tc>
                <w:tcPr>
                  <w:tcW w:w="350" w:type="pct"/>
                  <w:noWrap w:val="0"/>
                  <w:vAlign w:val="center"/>
                </w:tcPr>
                <w:p w14:paraId="7E59B8C0">
                  <w:pPr>
                    <w:pStyle w:val="77"/>
                    <w:spacing w:line="240" w:lineRule="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W</w:t>
                  </w:r>
                </w:p>
              </w:tc>
              <w:tc>
                <w:tcPr>
                  <w:tcW w:w="675" w:type="pct"/>
                  <w:noWrap w:val="0"/>
                  <w:vAlign w:val="center"/>
                </w:tcPr>
                <w:p w14:paraId="2A3ADB5A">
                  <w:pPr>
                    <w:widowControl/>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15</w:t>
                  </w:r>
                </w:p>
              </w:tc>
              <w:tc>
                <w:tcPr>
                  <w:tcW w:w="1225" w:type="pct"/>
                  <w:noWrap w:val="0"/>
                  <w:vAlign w:val="center"/>
                </w:tcPr>
                <w:p w14:paraId="5C14F59C">
                  <w:pPr>
                    <w:pStyle w:val="77"/>
                    <w:spacing w:line="240" w:lineRule="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rPr>
                    <w:t>居住区，约8724人</w:t>
                  </w:r>
                </w:p>
              </w:tc>
            </w:tr>
            <w:tr w14:paraId="1234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6" w:type="pct"/>
                  <w:noWrap w:val="0"/>
                  <w:vAlign w:val="center"/>
                </w:tcPr>
                <w:p w14:paraId="27A89FD0">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535" w:type="pct"/>
                  <w:vMerge w:val="continue"/>
                  <w:noWrap w:val="0"/>
                  <w:vAlign w:val="center"/>
                </w:tcPr>
                <w:p w14:paraId="4E72CD6B">
                  <w:pPr>
                    <w:autoSpaceDE w:val="0"/>
                    <w:autoSpaceDN w:val="0"/>
                    <w:adjustRightInd w:val="0"/>
                    <w:spacing w:line="300" w:lineRule="exact"/>
                    <w:jc w:val="center"/>
                    <w:rPr>
                      <w:rFonts w:hint="default" w:ascii="Times New Roman" w:hAnsi="Times New Roman" w:eastAsia="宋体" w:cs="Times New Roman"/>
                      <w:color w:val="auto"/>
                      <w:kern w:val="0"/>
                      <w:sz w:val="21"/>
                      <w:szCs w:val="21"/>
                      <w:highlight w:val="none"/>
                    </w:rPr>
                  </w:pPr>
                </w:p>
              </w:tc>
              <w:tc>
                <w:tcPr>
                  <w:tcW w:w="1236" w:type="pct"/>
                  <w:noWrap w:val="0"/>
                  <w:vAlign w:val="center"/>
                </w:tcPr>
                <w:p w14:paraId="09D043F1">
                  <w:pPr>
                    <w:pStyle w:val="77"/>
                    <w:spacing w:line="240" w:lineRule="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重庆创泰黄杨新城医院</w:t>
                  </w:r>
                </w:p>
              </w:tc>
              <w:tc>
                <w:tcPr>
                  <w:tcW w:w="308" w:type="pct"/>
                  <w:noWrap w:val="0"/>
                  <w:vAlign w:val="center"/>
                </w:tcPr>
                <w:p w14:paraId="01F08587">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lang w:val="en-US" w:eastAsia="zh-CN"/>
                    </w:rPr>
                    <w:t>-18</w:t>
                  </w:r>
                </w:p>
              </w:tc>
              <w:tc>
                <w:tcPr>
                  <w:tcW w:w="401" w:type="pct"/>
                  <w:noWrap w:val="0"/>
                  <w:vAlign w:val="center"/>
                </w:tcPr>
                <w:p w14:paraId="256C187C">
                  <w:pPr>
                    <w:pStyle w:val="77"/>
                    <w:spacing w:line="240" w:lineRule="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lang w:val="en-US" w:eastAsia="zh-CN"/>
                    </w:rPr>
                    <w:t>-70</w:t>
                  </w:r>
                </w:p>
              </w:tc>
              <w:tc>
                <w:tcPr>
                  <w:tcW w:w="350" w:type="pct"/>
                  <w:noWrap w:val="0"/>
                  <w:vAlign w:val="center"/>
                </w:tcPr>
                <w:p w14:paraId="0FB0A16F">
                  <w:pPr>
                    <w:pStyle w:val="77"/>
                    <w:spacing w:line="240" w:lineRule="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WS</w:t>
                  </w:r>
                </w:p>
              </w:tc>
              <w:tc>
                <w:tcPr>
                  <w:tcW w:w="675" w:type="pct"/>
                  <w:noWrap w:val="0"/>
                  <w:vAlign w:val="center"/>
                </w:tcPr>
                <w:p w14:paraId="2E266D25">
                  <w:pPr>
                    <w:widowControl/>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30</w:t>
                  </w:r>
                </w:p>
              </w:tc>
              <w:tc>
                <w:tcPr>
                  <w:tcW w:w="1225" w:type="pct"/>
                  <w:noWrap w:val="0"/>
                  <w:vAlign w:val="center"/>
                </w:tcPr>
                <w:p w14:paraId="0420D53D">
                  <w:pPr>
                    <w:pStyle w:val="77"/>
                    <w:spacing w:line="240" w:lineRule="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rPr>
                    <w:t>医院</w:t>
                  </w:r>
                </w:p>
              </w:tc>
            </w:tr>
          </w:tbl>
          <w:p w14:paraId="588553FE">
            <w:pPr>
              <w:adjustRightInd w:val="0"/>
              <w:snapToGrid w:val="0"/>
              <w:spacing w:line="360" w:lineRule="auto"/>
              <w:jc w:val="left"/>
              <w:rPr>
                <w:rFonts w:hint="default" w:ascii="Times New Roman" w:hAnsi="Times New Roman" w:eastAsia="宋体" w:cs="Times New Roman"/>
                <w:b/>
                <w:bCs/>
                <w:color w:val="auto"/>
                <w:sz w:val="28"/>
                <w:szCs w:val="26"/>
                <w:highlight w:val="yellow"/>
              </w:rPr>
            </w:pPr>
          </w:p>
        </w:tc>
      </w:tr>
      <w:tr w14:paraId="7866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31C272C8">
            <w:pPr>
              <w:pStyle w:val="16"/>
              <w:adjustRightInd w:val="0"/>
              <w:snapToGrid w:val="0"/>
              <w:spacing w:before="0" w:beforeAutospacing="0" w:after="0" w:afterAutospacing="0" w:line="360" w:lineRule="auto"/>
              <w:jc w:val="center"/>
              <w:rPr>
                <w:rFonts w:hint="default" w:ascii="Times New Roman" w:hAnsi="Times New Roman" w:eastAsia="宋体" w:cs="Times New Roman"/>
                <w:bCs/>
                <w:color w:val="auto"/>
                <w:kern w:val="2"/>
                <w:szCs w:val="26"/>
                <w:highlight w:val="yellow"/>
              </w:rPr>
            </w:pPr>
            <w:r>
              <w:rPr>
                <w:rFonts w:hint="default" w:ascii="Times New Roman" w:hAnsi="Times New Roman" w:eastAsia="宋体" w:cs="Times New Roman"/>
                <w:bCs/>
                <w:color w:val="auto"/>
                <w:kern w:val="2"/>
                <w:szCs w:val="26"/>
              </w:rPr>
              <w:t>污染物排放控制标准</w:t>
            </w:r>
          </w:p>
        </w:tc>
        <w:tc>
          <w:tcPr>
            <w:tcW w:w="8386" w:type="dxa"/>
            <w:noWrap w:val="0"/>
            <w:vAlign w:val="top"/>
          </w:tcPr>
          <w:p w14:paraId="5070E528">
            <w:pPr>
              <w:adjustRightInd w:val="0"/>
              <w:snapToGrid w:val="0"/>
              <w:spacing w:line="360" w:lineRule="auto"/>
              <w:jc w:val="left"/>
              <w:rPr>
                <w:rFonts w:hint="default" w:ascii="Times New Roman" w:hAnsi="Times New Roman" w:eastAsia="宋体" w:cs="Times New Roman"/>
                <w:b/>
                <w:bCs/>
                <w:color w:val="auto"/>
                <w:sz w:val="28"/>
                <w:szCs w:val="26"/>
              </w:rPr>
            </w:pPr>
            <w:r>
              <w:rPr>
                <w:rFonts w:hint="default" w:ascii="Times New Roman" w:hAnsi="Times New Roman" w:eastAsia="宋体" w:cs="Times New Roman"/>
                <w:b/>
                <w:bCs/>
                <w:color w:val="auto"/>
                <w:sz w:val="28"/>
                <w:szCs w:val="26"/>
              </w:rPr>
              <w:t>3.3污染物排放控制标准</w:t>
            </w:r>
          </w:p>
          <w:p w14:paraId="1F4857DA">
            <w:pPr>
              <w:adjustRightInd w:val="0"/>
              <w:snapToGrid w:val="0"/>
              <w:spacing w:line="360" w:lineRule="auto"/>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3.3.1大气污染物排放标准</w:t>
            </w:r>
          </w:p>
          <w:p w14:paraId="2F123908">
            <w:pPr>
              <w:spacing w:line="46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本项目为加油站改扩建项目，废气污染物为非甲烷总烃，厂界执行《加油站大气污染物排放标准》（GB20952-2020）中无组织排放浓度限值；油气回收处置装置排气筒的油气排放浓度1小时平均浓度值应小于等于25g/m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。标准限值详见表3.3-1。</w:t>
            </w:r>
          </w:p>
          <w:p w14:paraId="011F857C">
            <w:pPr>
              <w:spacing w:line="460" w:lineRule="exact"/>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表3.3-1    《加油站大气污染物排放标准》（GB20952-2020）</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4432"/>
              <w:gridCol w:w="2042"/>
            </w:tblGrid>
            <w:tr w14:paraId="7A36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8" w:type="dxa"/>
                  <w:vMerge w:val="restart"/>
                  <w:noWrap w:val="0"/>
                  <w:vAlign w:val="center"/>
                </w:tcPr>
                <w:p w14:paraId="7A5B9121">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污染物</w:t>
                  </w:r>
                </w:p>
              </w:tc>
              <w:tc>
                <w:tcPr>
                  <w:tcW w:w="6474" w:type="dxa"/>
                  <w:gridSpan w:val="2"/>
                  <w:noWrap w:val="0"/>
                  <w:vAlign w:val="center"/>
                </w:tcPr>
                <w:p w14:paraId="583D86CC">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无组织排放监控浓度限值</w:t>
                  </w:r>
                </w:p>
              </w:tc>
            </w:tr>
            <w:tr w14:paraId="02A7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8" w:type="dxa"/>
                  <w:vMerge w:val="continue"/>
                  <w:noWrap w:val="0"/>
                  <w:vAlign w:val="center"/>
                </w:tcPr>
                <w:p w14:paraId="3E4EA0EC">
                  <w:pPr>
                    <w:adjustRightInd w:val="0"/>
                    <w:snapToGrid w:val="0"/>
                    <w:jc w:val="center"/>
                    <w:rPr>
                      <w:rFonts w:hint="default" w:ascii="Times New Roman" w:hAnsi="Times New Roman" w:cs="Times New Roman"/>
                      <w:bCs/>
                      <w:color w:val="auto"/>
                      <w:szCs w:val="21"/>
                    </w:rPr>
                  </w:pPr>
                </w:p>
              </w:tc>
              <w:tc>
                <w:tcPr>
                  <w:tcW w:w="4432" w:type="dxa"/>
                  <w:noWrap w:val="0"/>
                  <w:vAlign w:val="center"/>
                </w:tcPr>
                <w:p w14:paraId="19579811">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类型</w:t>
                  </w:r>
                </w:p>
              </w:tc>
              <w:tc>
                <w:tcPr>
                  <w:tcW w:w="2042" w:type="dxa"/>
                  <w:noWrap w:val="0"/>
                  <w:vAlign w:val="center"/>
                </w:tcPr>
                <w:p w14:paraId="06CA6B9F">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浓度（mg/m</w:t>
                  </w:r>
                  <w:r>
                    <w:rPr>
                      <w:rFonts w:hint="default" w:ascii="Times New Roman" w:hAnsi="Times New Roman" w:cs="Times New Roman"/>
                      <w:bCs/>
                      <w:color w:val="auto"/>
                      <w:szCs w:val="21"/>
                      <w:vertAlign w:val="superscript"/>
                    </w:rPr>
                    <w:t>3）</w:t>
                  </w:r>
                </w:p>
              </w:tc>
            </w:tr>
            <w:tr w14:paraId="4F71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8" w:type="dxa"/>
                  <w:noWrap w:val="0"/>
                  <w:vAlign w:val="center"/>
                </w:tcPr>
                <w:p w14:paraId="07C7B2E9">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非甲烷总烃</w:t>
                  </w:r>
                </w:p>
              </w:tc>
              <w:tc>
                <w:tcPr>
                  <w:tcW w:w="4432" w:type="dxa"/>
                  <w:noWrap w:val="0"/>
                  <w:vAlign w:val="center"/>
                </w:tcPr>
                <w:p w14:paraId="023DD8A9">
                  <w:pPr>
                    <w:adjustRightInd w:val="0"/>
                    <w:snapToGrid w:val="0"/>
                    <w:spacing w:before="120" w:beforeLines="50"/>
                    <w:jc w:val="center"/>
                    <w:rPr>
                      <w:rFonts w:hint="default" w:ascii="Times New Roman" w:hAnsi="Times New Roman" w:cs="Times New Roman"/>
                      <w:color w:val="auto"/>
                      <w:szCs w:val="21"/>
                    </w:rPr>
                  </w:pPr>
                  <w:r>
                    <w:rPr>
                      <w:rFonts w:hint="default" w:ascii="Times New Roman" w:hAnsi="Times New Roman" w:cs="Times New Roman"/>
                      <w:color w:val="auto"/>
                      <w:szCs w:val="21"/>
                    </w:rPr>
                    <w:t>加油站企业边界油气浓度无组织排放限值（监控点处1小时平均浓度值）</w:t>
                  </w:r>
                </w:p>
              </w:tc>
              <w:tc>
                <w:tcPr>
                  <w:tcW w:w="2042" w:type="dxa"/>
                  <w:noWrap w:val="0"/>
                  <w:vAlign w:val="center"/>
                </w:tcPr>
                <w:p w14:paraId="0E8F2B5B">
                  <w:pPr>
                    <w:adjustRightInd w:val="0"/>
                    <w:snapToGrid w:val="0"/>
                    <w:spacing w:before="120" w:beforeLines="5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r>
            <w:tr w14:paraId="72B0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8" w:type="dxa"/>
                  <w:vMerge w:val="restart"/>
                  <w:noWrap w:val="0"/>
                  <w:vAlign w:val="center"/>
                </w:tcPr>
                <w:p w14:paraId="1815F1D4">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污染物</w:t>
                  </w:r>
                </w:p>
              </w:tc>
              <w:tc>
                <w:tcPr>
                  <w:tcW w:w="6474" w:type="dxa"/>
                  <w:gridSpan w:val="2"/>
                  <w:noWrap w:val="0"/>
                  <w:vAlign w:val="center"/>
                </w:tcPr>
                <w:p w14:paraId="7466C0B4">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油气回收处理装置排气筒排放浓度限值</w:t>
                  </w:r>
                </w:p>
              </w:tc>
            </w:tr>
            <w:tr w14:paraId="7CA6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8" w:type="dxa"/>
                  <w:vMerge w:val="continue"/>
                  <w:noWrap w:val="0"/>
                  <w:vAlign w:val="center"/>
                </w:tcPr>
                <w:p w14:paraId="2F284088">
                  <w:pPr>
                    <w:adjustRightInd w:val="0"/>
                    <w:snapToGrid w:val="0"/>
                    <w:jc w:val="center"/>
                    <w:rPr>
                      <w:rFonts w:hint="default" w:ascii="Times New Roman" w:hAnsi="Times New Roman" w:cs="Times New Roman"/>
                      <w:bCs/>
                      <w:color w:val="auto"/>
                      <w:szCs w:val="21"/>
                    </w:rPr>
                  </w:pPr>
                </w:p>
              </w:tc>
              <w:tc>
                <w:tcPr>
                  <w:tcW w:w="4432" w:type="dxa"/>
                  <w:noWrap w:val="0"/>
                  <w:vAlign w:val="center"/>
                </w:tcPr>
                <w:p w14:paraId="22B5E7C6">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类型</w:t>
                  </w:r>
                </w:p>
              </w:tc>
              <w:tc>
                <w:tcPr>
                  <w:tcW w:w="2042" w:type="dxa"/>
                  <w:noWrap w:val="0"/>
                  <w:vAlign w:val="center"/>
                </w:tcPr>
                <w:p w14:paraId="56E57E19">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浓度（g/m</w:t>
                  </w:r>
                  <w:r>
                    <w:rPr>
                      <w:rFonts w:hint="default" w:ascii="Times New Roman" w:hAnsi="Times New Roman" w:cs="Times New Roman"/>
                      <w:bCs/>
                      <w:color w:val="auto"/>
                      <w:szCs w:val="21"/>
                      <w:vertAlign w:val="superscript"/>
                    </w:rPr>
                    <w:t>3）</w:t>
                  </w:r>
                </w:p>
              </w:tc>
            </w:tr>
            <w:tr w14:paraId="3E13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88" w:type="dxa"/>
                  <w:noWrap w:val="0"/>
                  <w:vAlign w:val="center"/>
                </w:tcPr>
                <w:p w14:paraId="1F048D23">
                  <w:pPr>
                    <w:adjustRightInd w:val="0"/>
                    <w:snapToGrid w:val="0"/>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非甲烷总烃</w:t>
                  </w:r>
                </w:p>
              </w:tc>
              <w:tc>
                <w:tcPr>
                  <w:tcW w:w="4432" w:type="dxa"/>
                  <w:noWrap w:val="0"/>
                  <w:vAlign w:val="center"/>
                </w:tcPr>
                <w:p w14:paraId="0EA36874">
                  <w:pPr>
                    <w:adjustRightInd w:val="0"/>
                    <w:snapToGrid w:val="0"/>
                    <w:spacing w:before="120" w:beforeLines="50"/>
                    <w:jc w:val="center"/>
                    <w:rPr>
                      <w:rFonts w:hint="default" w:ascii="Times New Roman" w:hAnsi="Times New Roman" w:cs="Times New Roman"/>
                      <w:color w:val="auto"/>
                      <w:szCs w:val="21"/>
                    </w:rPr>
                  </w:pPr>
                  <w:r>
                    <w:rPr>
                      <w:rFonts w:hint="default" w:ascii="Times New Roman" w:hAnsi="Times New Roman" w:cs="Times New Roman"/>
                      <w:color w:val="auto"/>
                      <w:szCs w:val="21"/>
                    </w:rPr>
                    <w:t>油气处理装置油气排放浓度1小时平均浓度</w:t>
                  </w:r>
                </w:p>
              </w:tc>
              <w:tc>
                <w:tcPr>
                  <w:tcW w:w="2042" w:type="dxa"/>
                  <w:noWrap w:val="0"/>
                  <w:vAlign w:val="center"/>
                </w:tcPr>
                <w:p w14:paraId="2B439E5A">
                  <w:pPr>
                    <w:adjustRightInd w:val="0"/>
                    <w:snapToGrid w:val="0"/>
                    <w:spacing w:before="120" w:beforeLines="50"/>
                    <w:jc w:val="center"/>
                    <w:rPr>
                      <w:rFonts w:hint="default" w:ascii="Times New Roman" w:hAnsi="Times New Roman" w:cs="Times New Roman"/>
                      <w:color w:val="auto"/>
                      <w:szCs w:val="21"/>
                    </w:rPr>
                  </w:pPr>
                  <w:r>
                    <w:rPr>
                      <w:rFonts w:hint="default" w:ascii="Times New Roman" w:hAnsi="Times New Roman" w:cs="Times New Roman"/>
                      <w:color w:val="auto"/>
                      <w:szCs w:val="21"/>
                    </w:rPr>
                    <w:t>≤25</w:t>
                  </w:r>
                </w:p>
              </w:tc>
            </w:tr>
          </w:tbl>
          <w:p w14:paraId="400533A3">
            <w:pPr>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eastAsia="zh-CN"/>
              </w:rPr>
              <w:t>根据《加油站大气污染物排放标准》（GB 20952-2020），加油站油气回收装置的液阻、密闭性、气液比也有相应的标准要求，</w:t>
            </w:r>
            <w:r>
              <w:rPr>
                <w:rFonts w:hint="default" w:ascii="Times New Roman" w:hAnsi="Times New Roman" w:cs="Times New Roman"/>
                <w:color w:val="auto"/>
                <w:sz w:val="24"/>
                <w:highlight w:val="none"/>
              </w:rPr>
              <w:t>具体要求详情见表3.3-2。</w:t>
            </w:r>
          </w:p>
          <w:p w14:paraId="46D9EEE2">
            <w:pPr>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表3.3-2    《加油站大气污染物排放标准》（GB20952-2020）</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918"/>
              <w:gridCol w:w="3000"/>
            </w:tblGrid>
            <w:tr w14:paraId="3C6C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pct"/>
                  <w:noWrap w:val="0"/>
                  <w:vAlign w:val="center"/>
                </w:tcPr>
                <w:p w14:paraId="2615285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类型</w:t>
                  </w:r>
                </w:p>
              </w:tc>
              <w:tc>
                <w:tcPr>
                  <w:tcW w:w="1175" w:type="pct"/>
                  <w:noWrap w:val="0"/>
                  <w:vAlign w:val="center"/>
                </w:tcPr>
                <w:p w14:paraId="3CB07E4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限值</w:t>
                  </w:r>
                </w:p>
              </w:tc>
              <w:tc>
                <w:tcPr>
                  <w:tcW w:w="1838" w:type="pct"/>
                  <w:noWrap w:val="0"/>
                  <w:vAlign w:val="center"/>
                </w:tcPr>
                <w:p w14:paraId="7CFE46A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相关条件要求</w:t>
                  </w:r>
                </w:p>
              </w:tc>
            </w:tr>
            <w:tr w14:paraId="3B46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pct"/>
                  <w:vMerge w:val="restart"/>
                  <w:noWrap w:val="0"/>
                  <w:vAlign w:val="center"/>
                </w:tcPr>
                <w:p w14:paraId="4C185C4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加油站油气回收管线液阻最大压力限值</w:t>
                  </w:r>
                </w:p>
              </w:tc>
              <w:tc>
                <w:tcPr>
                  <w:tcW w:w="1175" w:type="pct"/>
                  <w:noWrap w:val="0"/>
                  <w:vAlign w:val="center"/>
                </w:tcPr>
                <w:p w14:paraId="7CD9DFC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最大压力：40Pa</w:t>
                  </w:r>
                </w:p>
              </w:tc>
              <w:tc>
                <w:tcPr>
                  <w:tcW w:w="1838" w:type="pct"/>
                  <w:noWrap w:val="0"/>
                  <w:vAlign w:val="center"/>
                </w:tcPr>
                <w:p w14:paraId="7D0A6C6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通入氮气流量：18L/min</w:t>
                  </w:r>
                </w:p>
              </w:tc>
            </w:tr>
            <w:tr w14:paraId="1089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pct"/>
                  <w:vMerge w:val="continue"/>
                  <w:noWrap w:val="0"/>
                  <w:vAlign w:val="center"/>
                </w:tcPr>
                <w:p w14:paraId="583E971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p>
              </w:tc>
              <w:tc>
                <w:tcPr>
                  <w:tcW w:w="1175" w:type="pct"/>
                  <w:noWrap w:val="0"/>
                  <w:vAlign w:val="center"/>
                </w:tcPr>
                <w:p w14:paraId="6CB913E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最大压力：90Pa</w:t>
                  </w:r>
                </w:p>
              </w:tc>
              <w:tc>
                <w:tcPr>
                  <w:tcW w:w="1838" w:type="pct"/>
                  <w:noWrap w:val="0"/>
                  <w:vAlign w:val="center"/>
                </w:tcPr>
                <w:p w14:paraId="2FE33F6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通入氮气流量：28L/min</w:t>
                  </w:r>
                </w:p>
              </w:tc>
            </w:tr>
            <w:tr w14:paraId="683F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pct"/>
                  <w:vMerge w:val="continue"/>
                  <w:noWrap w:val="0"/>
                  <w:vAlign w:val="center"/>
                </w:tcPr>
                <w:p w14:paraId="3EA2227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p>
              </w:tc>
              <w:tc>
                <w:tcPr>
                  <w:tcW w:w="1175" w:type="pct"/>
                  <w:noWrap w:val="0"/>
                  <w:vAlign w:val="center"/>
                </w:tcPr>
                <w:p w14:paraId="6DE9EB9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最大压力：155Pa</w:t>
                  </w:r>
                </w:p>
              </w:tc>
              <w:tc>
                <w:tcPr>
                  <w:tcW w:w="1838" w:type="pct"/>
                  <w:noWrap w:val="0"/>
                  <w:vAlign w:val="center"/>
                </w:tcPr>
                <w:p w14:paraId="07055E7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通入氮气流量：38L/min</w:t>
                  </w:r>
                </w:p>
              </w:tc>
            </w:tr>
            <w:tr w14:paraId="11B4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pct"/>
                  <w:noWrap w:val="0"/>
                  <w:vAlign w:val="center"/>
                </w:tcPr>
                <w:p w14:paraId="5C8D9DF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加油站油气回收系统密闭性检测最小剩余压力限值</w:t>
                  </w:r>
                </w:p>
              </w:tc>
              <w:tc>
                <w:tcPr>
                  <w:tcW w:w="1175" w:type="pct"/>
                  <w:noWrap w:val="0"/>
                  <w:vAlign w:val="center"/>
                </w:tcPr>
                <w:p w14:paraId="51AB5A8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最小剩余压力限值：</w:t>
                  </w:r>
                  <w:r>
                    <w:rPr>
                      <w:rFonts w:hint="default" w:ascii="Times New Roman" w:hAnsi="Times New Roman" w:cs="Times New Roman"/>
                      <w:color w:val="auto"/>
                      <w:szCs w:val="21"/>
                      <w:highlight w:val="none"/>
                      <w:lang w:val="en-US" w:eastAsia="zh-CN"/>
                    </w:rPr>
                    <w:t>451</w:t>
                  </w:r>
                  <w:r>
                    <w:rPr>
                      <w:rFonts w:hint="default" w:ascii="Times New Roman" w:hAnsi="Times New Roman" w:cs="Times New Roman"/>
                      <w:color w:val="auto"/>
                      <w:szCs w:val="21"/>
                      <w:highlight w:val="none"/>
                    </w:rPr>
                    <w:t>Pa</w:t>
                  </w:r>
                </w:p>
              </w:tc>
              <w:tc>
                <w:tcPr>
                  <w:tcW w:w="1838" w:type="pct"/>
                  <w:noWrap w:val="0"/>
                  <w:vAlign w:val="center"/>
                </w:tcPr>
                <w:p w14:paraId="57A0ECB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储罐油气空间：</w:t>
                  </w:r>
                  <w:r>
                    <w:rPr>
                      <w:rFonts w:hint="default" w:ascii="Times New Roman" w:hAnsi="Times New Roman" w:cs="Times New Roman"/>
                      <w:color w:val="auto"/>
                      <w:szCs w:val="21"/>
                      <w:highlight w:val="none"/>
                      <w:lang w:val="en-US" w:eastAsia="zh-CN"/>
                    </w:rPr>
                    <w:t>18925</w:t>
                  </w:r>
                  <w:r>
                    <w:rPr>
                      <w:rFonts w:hint="default" w:ascii="Times New Roman" w:hAnsi="Times New Roman" w:cs="Times New Roman"/>
                      <w:color w:val="auto"/>
                      <w:szCs w:val="21"/>
                      <w:highlight w:val="none"/>
                    </w:rPr>
                    <w:t>L</w:t>
                  </w:r>
                </w:p>
                <w:p w14:paraId="4BAB845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受影响的加油枪数：</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6</w:t>
                  </w:r>
                </w:p>
              </w:tc>
            </w:tr>
            <w:tr w14:paraId="1BFC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6" w:type="pct"/>
                  <w:noWrap w:val="0"/>
                  <w:vAlign w:val="center"/>
                </w:tcPr>
                <w:p w14:paraId="214D9D7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加油油气回收系统的气液比</w:t>
                  </w:r>
                </w:p>
              </w:tc>
              <w:tc>
                <w:tcPr>
                  <w:tcW w:w="1175" w:type="pct"/>
                  <w:noWrap w:val="0"/>
                  <w:vAlign w:val="center"/>
                </w:tcPr>
                <w:p w14:paraId="7B2C4D6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1.0≤～≤1.2</w:t>
                  </w:r>
                </w:p>
              </w:tc>
              <w:tc>
                <w:tcPr>
                  <w:tcW w:w="1838" w:type="pct"/>
                  <w:noWrap w:val="0"/>
                  <w:vAlign w:val="center"/>
                </w:tcPr>
                <w:p w14:paraId="449BFD1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符合技术评估报告给出的范围</w:t>
                  </w:r>
                </w:p>
              </w:tc>
            </w:tr>
          </w:tbl>
          <w:p w14:paraId="280CE2DA">
            <w:pPr>
              <w:pStyle w:val="26"/>
              <w:spacing w:before="120" w:line="360" w:lineRule="auto"/>
              <w:ind w:firstLine="480" w:firstLineChars="200"/>
              <w:rPr>
                <w:rFonts w:hint="default" w:ascii="Times New Roman" w:hAnsi="Times New Roman" w:eastAsia="宋体" w:cs="Times New Roman"/>
                <w:color w:val="auto"/>
                <w:szCs w:val="26"/>
              </w:rPr>
            </w:pPr>
            <w:r>
              <w:rPr>
                <w:rFonts w:hint="default" w:ascii="Times New Roman" w:hAnsi="Times New Roman" w:eastAsia="宋体" w:cs="Times New Roman"/>
                <w:b w:val="0"/>
                <w:color w:val="auto"/>
                <w:sz w:val="24"/>
              </w:rPr>
              <w:t>生化池臭气执行《恶臭污染物排放标准》（GB14554-93）表1中的恶臭污染物厂界标准，具体要求详情见表3.3-3。</w:t>
            </w:r>
          </w:p>
          <w:p w14:paraId="41600985">
            <w:pPr>
              <w:pStyle w:val="26"/>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表3.3-3    《恶臭污染物排放标准》（GB14554-93）</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2835"/>
              <w:gridCol w:w="1942"/>
              <w:gridCol w:w="1940"/>
            </w:tblGrid>
            <w:tr w14:paraId="4251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 w:type="pct"/>
                  <w:noWrap w:val="0"/>
                  <w:vAlign w:val="center"/>
                </w:tcPr>
                <w:p w14:paraId="0F302EDC">
                  <w:pPr>
                    <w:pStyle w:val="77"/>
                    <w:spacing w:line="240" w:lineRule="auto"/>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污染物名称</w:t>
                  </w:r>
                </w:p>
              </w:tc>
              <w:tc>
                <w:tcPr>
                  <w:tcW w:w="1737" w:type="pct"/>
                  <w:noWrap w:val="0"/>
                  <w:vAlign w:val="center"/>
                </w:tcPr>
                <w:p w14:paraId="08CFD082">
                  <w:pPr>
                    <w:pStyle w:val="77"/>
                    <w:spacing w:line="240" w:lineRule="auto"/>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单位</w:t>
                  </w:r>
                </w:p>
              </w:tc>
              <w:tc>
                <w:tcPr>
                  <w:tcW w:w="1190" w:type="pct"/>
                  <w:noWrap w:val="0"/>
                  <w:vAlign w:val="center"/>
                </w:tcPr>
                <w:p w14:paraId="6072C1AD">
                  <w:pPr>
                    <w:pStyle w:val="77"/>
                    <w:spacing w:line="240" w:lineRule="auto"/>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二级（新扩改建）</w:t>
                  </w:r>
                </w:p>
              </w:tc>
              <w:tc>
                <w:tcPr>
                  <w:tcW w:w="1190" w:type="pct"/>
                  <w:noWrap w:val="0"/>
                  <w:vAlign w:val="center"/>
                </w:tcPr>
                <w:p w14:paraId="2ADEC11D">
                  <w:pPr>
                    <w:pStyle w:val="77"/>
                    <w:spacing w:line="240" w:lineRule="auto"/>
                    <w:rPr>
                      <w:rFonts w:hint="default" w:ascii="Times New Roman" w:hAnsi="Times New Roman" w:eastAsia="宋体" w:cs="Times New Roman"/>
                      <w:bCs/>
                      <w:color w:val="auto"/>
                      <w:sz w:val="21"/>
                    </w:rPr>
                  </w:pPr>
                  <w:r>
                    <w:rPr>
                      <w:rFonts w:hint="default" w:ascii="Times New Roman" w:hAnsi="Times New Roman" w:eastAsia="宋体" w:cs="Times New Roman"/>
                      <w:bCs/>
                      <w:color w:val="auto"/>
                      <w:sz w:val="21"/>
                    </w:rPr>
                    <w:t>污染物监控位置</w:t>
                  </w:r>
                </w:p>
              </w:tc>
            </w:tr>
            <w:tr w14:paraId="7745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4" w:type="pct"/>
                  <w:noWrap w:val="0"/>
                  <w:vAlign w:val="center"/>
                </w:tcPr>
                <w:p w14:paraId="5748969C">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臭气浓度</w:t>
                  </w:r>
                </w:p>
              </w:tc>
              <w:tc>
                <w:tcPr>
                  <w:tcW w:w="1737" w:type="pct"/>
                  <w:noWrap w:val="0"/>
                  <w:vAlign w:val="center"/>
                </w:tcPr>
                <w:p w14:paraId="66374539">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无量纲</w:t>
                  </w:r>
                </w:p>
              </w:tc>
              <w:tc>
                <w:tcPr>
                  <w:tcW w:w="1190" w:type="pct"/>
                  <w:noWrap w:val="0"/>
                  <w:vAlign w:val="center"/>
                </w:tcPr>
                <w:p w14:paraId="372E3F78">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20</w:t>
                  </w:r>
                </w:p>
              </w:tc>
              <w:tc>
                <w:tcPr>
                  <w:tcW w:w="1190" w:type="pct"/>
                  <w:noWrap w:val="0"/>
                  <w:vAlign w:val="center"/>
                </w:tcPr>
                <w:p w14:paraId="1D90FDDA">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厂界</w:t>
                  </w:r>
                </w:p>
              </w:tc>
            </w:tr>
          </w:tbl>
          <w:p w14:paraId="741974E2">
            <w:pPr>
              <w:spacing w:line="360" w:lineRule="auto"/>
              <w:ind w:firstLine="480" w:firstLineChars="200"/>
              <w:rPr>
                <w:rFonts w:hint="default" w:ascii="Times New Roman" w:hAnsi="Times New Roman" w:eastAsia="宋体" w:cs="Times New Roman"/>
                <w:color w:val="auto"/>
                <w:sz w:val="24"/>
              </w:rPr>
            </w:pPr>
          </w:p>
          <w:p w14:paraId="7BEBEDFC">
            <w:pPr>
              <w:adjustRightInd w:val="0"/>
              <w:snapToGrid w:val="0"/>
              <w:spacing w:line="360" w:lineRule="auto"/>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3.3.2水污染物排放标准</w:t>
            </w:r>
          </w:p>
          <w:p w14:paraId="6813898E">
            <w:pPr>
              <w:pStyle w:val="9"/>
              <w:widowControl/>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本项目地面清洗废水</w:t>
            </w:r>
            <w:r>
              <w:rPr>
                <w:rFonts w:hint="default" w:ascii="Times New Roman" w:hAnsi="Times New Roman" w:cs="Times New Roman"/>
                <w:bCs/>
                <w:iCs/>
                <w:color w:val="auto"/>
                <w:sz w:val="24"/>
                <w:szCs w:val="24"/>
                <w:lang w:eastAsia="zh-CN"/>
              </w:rPr>
              <w:t>、</w:t>
            </w:r>
            <w:r>
              <w:rPr>
                <w:rFonts w:hint="default" w:ascii="Times New Roman" w:hAnsi="Times New Roman" w:cs="Times New Roman"/>
                <w:bCs/>
                <w:iCs/>
                <w:color w:val="auto"/>
                <w:sz w:val="24"/>
                <w:szCs w:val="24"/>
                <w:lang w:val="en-US" w:eastAsia="zh-CN"/>
              </w:rPr>
              <w:t>洗车废水</w:t>
            </w:r>
            <w:r>
              <w:rPr>
                <w:rFonts w:hint="default" w:ascii="Times New Roman" w:hAnsi="Times New Roman" w:eastAsia="宋体" w:cs="Times New Roman"/>
                <w:color w:val="auto"/>
                <w:sz w:val="24"/>
                <w:szCs w:val="24"/>
              </w:rPr>
              <w:t>与初期雨水经</w:t>
            </w:r>
            <w:r>
              <w:rPr>
                <w:rFonts w:hint="eastAsia" w:ascii="Times New Roman" w:hAnsi="Times New Roman" w:cs="Times New Roman"/>
                <w:color w:val="auto"/>
                <w:sz w:val="24"/>
                <w:szCs w:val="24"/>
                <w:lang w:val="en-US" w:eastAsia="zh-CN"/>
              </w:rPr>
              <w:t>截流沟</w:t>
            </w:r>
            <w:r>
              <w:rPr>
                <w:rFonts w:hint="default" w:ascii="Times New Roman" w:hAnsi="Times New Roman" w:eastAsia="宋体" w:cs="Times New Roman"/>
                <w:color w:val="auto"/>
                <w:sz w:val="24"/>
                <w:szCs w:val="24"/>
              </w:rPr>
              <w:t>收集后进入</w:t>
            </w:r>
            <w:r>
              <w:rPr>
                <w:rFonts w:hint="eastAsia" w:ascii="Times New Roman" w:hAnsi="Times New Roman" w:cs="Times New Roman"/>
                <w:color w:val="auto"/>
                <w:sz w:val="24"/>
                <w:szCs w:val="24"/>
                <w:lang w:val="en-US" w:eastAsia="zh-CN"/>
              </w:rPr>
              <w:t>三段式</w:t>
            </w:r>
            <w:r>
              <w:rPr>
                <w:rFonts w:hint="default" w:ascii="Times New Roman" w:hAnsi="Times New Roman" w:eastAsia="宋体" w:cs="Times New Roman"/>
                <w:bCs/>
                <w:iCs/>
                <w:color w:val="auto"/>
                <w:sz w:val="24"/>
                <w:szCs w:val="24"/>
              </w:rPr>
              <w:t>隔油池处理，生活污水经生化池处理，均处理达《污水综合排放标准》（GB8978-1996）三级标准后排入市政污水管网，进入鸡冠石污水处理厂进一步处理达</w:t>
            </w:r>
            <w:r>
              <w:rPr>
                <w:rFonts w:hint="default" w:ascii="Times New Roman" w:hAnsi="Times New Roman" w:eastAsia="宋体" w:cs="Times New Roman"/>
                <w:color w:val="auto"/>
                <w:sz w:val="24"/>
                <w:szCs w:val="24"/>
              </w:rPr>
              <w:t>《城镇污水处理厂污染物排放标准》（GB18918-2002）中一级A标后排入长江。各标准值详见表3.3-3所示。</w:t>
            </w:r>
          </w:p>
          <w:p w14:paraId="735BFD83">
            <w:pPr>
              <w:pStyle w:val="62"/>
              <w:spacing w:line="240" w:lineRule="auto"/>
              <w:ind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b/>
                <w:bCs w:val="0"/>
                <w:color w:val="auto"/>
              </w:rPr>
              <w:t>表3.3-3    水污染物排放标准    单位：mg/L</w:t>
            </w:r>
            <w:r>
              <w:rPr>
                <w:rFonts w:hint="default" w:ascii="Times New Roman" w:hAnsi="Times New Roman" w:eastAsia="宋体" w:cs="Times New Roman"/>
                <w:color w:val="auto"/>
              </w:rPr>
              <w:t xml:space="preserve"> </w:t>
            </w:r>
          </w:p>
          <w:tbl>
            <w:tblPr>
              <w:tblStyle w:val="19"/>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718"/>
              <w:gridCol w:w="1703"/>
              <w:gridCol w:w="2750"/>
            </w:tblGrid>
            <w:tr w14:paraId="0EFB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2D7D4A1E">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758" w:type="dxa"/>
                  <w:noWrap w:val="0"/>
                  <w:vAlign w:val="center"/>
                </w:tcPr>
                <w:p w14:paraId="495D5A67">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1727" w:type="dxa"/>
                  <w:noWrap w:val="0"/>
                  <w:vAlign w:val="center"/>
                </w:tcPr>
                <w:p w14:paraId="24497BDC">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标准限值</w:t>
                  </w:r>
                </w:p>
              </w:tc>
              <w:tc>
                <w:tcPr>
                  <w:tcW w:w="2790" w:type="dxa"/>
                  <w:noWrap w:val="0"/>
                  <w:vAlign w:val="center"/>
                </w:tcPr>
                <w:p w14:paraId="0505E4AA">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14:paraId="7740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252D6CF8">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758" w:type="dxa"/>
                  <w:noWrap w:val="0"/>
                  <w:vAlign w:val="center"/>
                </w:tcPr>
                <w:p w14:paraId="17376620">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w:t>
                  </w:r>
                </w:p>
              </w:tc>
              <w:tc>
                <w:tcPr>
                  <w:tcW w:w="1727" w:type="dxa"/>
                  <w:noWrap w:val="0"/>
                  <w:vAlign w:val="center"/>
                </w:tcPr>
                <w:p w14:paraId="03EFDFB8">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6~9</w:t>
                  </w:r>
                </w:p>
              </w:tc>
              <w:tc>
                <w:tcPr>
                  <w:tcW w:w="2790" w:type="dxa"/>
                  <w:vMerge w:val="restart"/>
                  <w:noWrap w:val="0"/>
                  <w:vAlign w:val="center"/>
                </w:tcPr>
                <w:p w14:paraId="2E3C7D19">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《城镇污水处理厂污染物排放标准》（GB18918-2002）中一级A标</w:t>
                  </w:r>
                </w:p>
              </w:tc>
            </w:tr>
            <w:tr w14:paraId="6FEB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01D4C76C">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758" w:type="dxa"/>
                  <w:noWrap w:val="0"/>
                  <w:vAlign w:val="center"/>
                </w:tcPr>
                <w:p w14:paraId="4174DAD0">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化学需氧量（COD）</w:t>
                  </w:r>
                </w:p>
              </w:tc>
              <w:tc>
                <w:tcPr>
                  <w:tcW w:w="1727" w:type="dxa"/>
                  <w:noWrap w:val="0"/>
                  <w:vAlign w:val="center"/>
                </w:tcPr>
                <w:p w14:paraId="6E6C7B8F">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50</w:t>
                  </w:r>
                </w:p>
              </w:tc>
              <w:tc>
                <w:tcPr>
                  <w:tcW w:w="2790" w:type="dxa"/>
                  <w:vMerge w:val="continue"/>
                  <w:noWrap w:val="0"/>
                  <w:vAlign w:val="center"/>
                </w:tcPr>
                <w:p w14:paraId="17CC7C91">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72CA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2A502EC0">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758" w:type="dxa"/>
                  <w:noWrap w:val="0"/>
                  <w:vAlign w:val="center"/>
                </w:tcPr>
                <w:p w14:paraId="3B7BE557">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五日生化需氧量（BOD</w:t>
                  </w:r>
                  <w:r>
                    <w:rPr>
                      <w:rFonts w:hint="default" w:ascii="Times New Roman" w:hAnsi="Times New Roman" w:eastAsia="宋体" w:cs="Times New Roman"/>
                      <w:color w:val="auto"/>
                      <w:kern w:val="0"/>
                      <w:szCs w:val="21"/>
                      <w:vertAlign w:val="subscript"/>
                    </w:rPr>
                    <w:t>5</w:t>
                  </w:r>
                  <w:r>
                    <w:rPr>
                      <w:rFonts w:hint="default" w:ascii="Times New Roman" w:hAnsi="Times New Roman" w:eastAsia="宋体" w:cs="Times New Roman"/>
                      <w:color w:val="auto"/>
                      <w:kern w:val="0"/>
                      <w:szCs w:val="21"/>
                    </w:rPr>
                    <w:t>）</w:t>
                  </w:r>
                </w:p>
              </w:tc>
              <w:tc>
                <w:tcPr>
                  <w:tcW w:w="1727" w:type="dxa"/>
                  <w:noWrap w:val="0"/>
                  <w:vAlign w:val="center"/>
                </w:tcPr>
                <w:p w14:paraId="3FF8C43D">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10</w:t>
                  </w:r>
                </w:p>
              </w:tc>
              <w:tc>
                <w:tcPr>
                  <w:tcW w:w="2790" w:type="dxa"/>
                  <w:vMerge w:val="continue"/>
                  <w:noWrap w:val="0"/>
                  <w:vAlign w:val="center"/>
                </w:tcPr>
                <w:p w14:paraId="780D673F">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5CCD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7C98B0FB">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2758" w:type="dxa"/>
                  <w:noWrap w:val="0"/>
                  <w:vAlign w:val="center"/>
                </w:tcPr>
                <w:p w14:paraId="3E781551">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悬浮物（SS）</w:t>
                  </w:r>
                </w:p>
              </w:tc>
              <w:tc>
                <w:tcPr>
                  <w:tcW w:w="1727" w:type="dxa"/>
                  <w:noWrap w:val="0"/>
                  <w:vAlign w:val="center"/>
                </w:tcPr>
                <w:p w14:paraId="70B121EA">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10</w:t>
                  </w:r>
                </w:p>
              </w:tc>
              <w:tc>
                <w:tcPr>
                  <w:tcW w:w="2790" w:type="dxa"/>
                  <w:vMerge w:val="continue"/>
                  <w:noWrap w:val="0"/>
                  <w:vAlign w:val="center"/>
                </w:tcPr>
                <w:p w14:paraId="582CF169">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7FAD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60DB60EB">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2758" w:type="dxa"/>
                  <w:noWrap w:val="0"/>
                  <w:vAlign w:val="center"/>
                </w:tcPr>
                <w:p w14:paraId="02F53240">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氨氮（NH</w:t>
                  </w:r>
                  <w:r>
                    <w:rPr>
                      <w:rFonts w:hint="default" w:ascii="Times New Roman" w:hAnsi="Times New Roman" w:eastAsia="宋体" w:cs="Times New Roman"/>
                      <w:color w:val="auto"/>
                      <w:kern w:val="0"/>
                      <w:szCs w:val="21"/>
                      <w:vertAlign w:val="subscript"/>
                    </w:rPr>
                    <w:t>3</w:t>
                  </w:r>
                  <w:r>
                    <w:rPr>
                      <w:rFonts w:hint="default" w:ascii="Times New Roman" w:hAnsi="Times New Roman" w:eastAsia="宋体" w:cs="Times New Roman"/>
                      <w:color w:val="auto"/>
                      <w:kern w:val="0"/>
                      <w:szCs w:val="21"/>
                    </w:rPr>
                    <w:t>-N）</w:t>
                  </w:r>
                </w:p>
              </w:tc>
              <w:tc>
                <w:tcPr>
                  <w:tcW w:w="1727" w:type="dxa"/>
                  <w:noWrap w:val="0"/>
                  <w:vAlign w:val="center"/>
                </w:tcPr>
                <w:p w14:paraId="5A6FFF82">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5</w:t>
                  </w:r>
                  <w:r>
                    <w:rPr>
                      <w:rFonts w:hint="eastAsia" w:cs="Times New Roman"/>
                      <w:color w:val="auto"/>
                      <w:kern w:val="0"/>
                      <w:szCs w:val="21"/>
                      <w:lang w:eastAsia="zh-CN"/>
                    </w:rPr>
                    <w:t>(</w:t>
                  </w:r>
                  <w:r>
                    <w:rPr>
                      <w:rFonts w:hint="default" w:ascii="Times New Roman" w:hAnsi="Times New Roman" w:eastAsia="宋体" w:cs="Times New Roman"/>
                      <w:color w:val="auto"/>
                      <w:kern w:val="0"/>
                      <w:szCs w:val="21"/>
                    </w:rPr>
                    <w:t>8</w:t>
                  </w:r>
                  <w:r>
                    <w:rPr>
                      <w:rFonts w:hint="eastAsia" w:cs="Times New Roman"/>
                      <w:color w:val="auto"/>
                      <w:kern w:val="0"/>
                      <w:szCs w:val="21"/>
                      <w:lang w:eastAsia="zh-CN"/>
                    </w:rPr>
                    <w:t>)</w:t>
                  </w:r>
                  <w:r>
                    <w:rPr>
                      <w:rFonts w:hint="default" w:ascii="Times New Roman" w:hAnsi="Times New Roman" w:eastAsia="宋体" w:cs="Times New Roman"/>
                      <w:color w:val="auto"/>
                      <w:kern w:val="0"/>
                      <w:szCs w:val="21"/>
                      <w:vertAlign w:val="superscript"/>
                    </w:rPr>
                    <w:t>①</w:t>
                  </w:r>
                </w:p>
              </w:tc>
              <w:tc>
                <w:tcPr>
                  <w:tcW w:w="2790" w:type="dxa"/>
                  <w:vMerge w:val="continue"/>
                  <w:noWrap w:val="0"/>
                  <w:vAlign w:val="center"/>
                </w:tcPr>
                <w:p w14:paraId="05F09FC2">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5A1A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1E710F86">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2758" w:type="dxa"/>
                  <w:noWrap w:val="0"/>
                  <w:vAlign w:val="center"/>
                </w:tcPr>
                <w:p w14:paraId="15E8CA9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石油类</w:t>
                  </w:r>
                </w:p>
              </w:tc>
              <w:tc>
                <w:tcPr>
                  <w:tcW w:w="1727" w:type="dxa"/>
                  <w:noWrap w:val="0"/>
                  <w:vAlign w:val="center"/>
                </w:tcPr>
                <w:p w14:paraId="25FDA8C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p>
              </w:tc>
              <w:tc>
                <w:tcPr>
                  <w:tcW w:w="2790" w:type="dxa"/>
                  <w:vMerge w:val="continue"/>
                  <w:noWrap w:val="0"/>
                  <w:vAlign w:val="center"/>
                </w:tcPr>
                <w:p w14:paraId="62347FF3">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14A3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68196E6B">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2758" w:type="dxa"/>
                  <w:noWrap w:val="0"/>
                  <w:vAlign w:val="center"/>
                </w:tcPr>
                <w:p w14:paraId="38701652">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LAS</w:t>
                  </w:r>
                </w:p>
              </w:tc>
              <w:tc>
                <w:tcPr>
                  <w:tcW w:w="1727" w:type="dxa"/>
                  <w:noWrap w:val="0"/>
                  <w:vAlign w:val="center"/>
                </w:tcPr>
                <w:p w14:paraId="61B30E5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0.5</w:t>
                  </w:r>
                </w:p>
              </w:tc>
              <w:tc>
                <w:tcPr>
                  <w:tcW w:w="2790" w:type="dxa"/>
                  <w:vMerge w:val="continue"/>
                  <w:noWrap w:val="0"/>
                  <w:vAlign w:val="center"/>
                </w:tcPr>
                <w:p w14:paraId="266F75FE">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7941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5CFA4810">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2758" w:type="dxa"/>
                  <w:noWrap w:val="0"/>
                  <w:vAlign w:val="center"/>
                </w:tcPr>
                <w:p w14:paraId="3F2DEF10">
                  <w:pPr>
                    <w:pStyle w:val="62"/>
                    <w:spacing w:line="240" w:lineRule="auto"/>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PH</w:t>
                  </w:r>
                </w:p>
              </w:tc>
              <w:tc>
                <w:tcPr>
                  <w:tcW w:w="1727" w:type="dxa"/>
                  <w:noWrap w:val="0"/>
                  <w:vAlign w:val="center"/>
                </w:tcPr>
                <w:p w14:paraId="1DEEC6D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6~9</w:t>
                  </w:r>
                </w:p>
              </w:tc>
              <w:tc>
                <w:tcPr>
                  <w:tcW w:w="2790" w:type="dxa"/>
                  <w:vMerge w:val="restart"/>
                  <w:noWrap w:val="0"/>
                  <w:vAlign w:val="center"/>
                </w:tcPr>
                <w:p w14:paraId="771A5950">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《污水综合排放标准》（GB8978-1996）三级标准</w:t>
                  </w:r>
                </w:p>
              </w:tc>
            </w:tr>
            <w:tr w14:paraId="1192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225F2D57">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2758" w:type="dxa"/>
                  <w:noWrap w:val="0"/>
                  <w:vAlign w:val="center"/>
                </w:tcPr>
                <w:p w14:paraId="10B834A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化学需氧量（COD）</w:t>
                  </w:r>
                </w:p>
              </w:tc>
              <w:tc>
                <w:tcPr>
                  <w:tcW w:w="1727" w:type="dxa"/>
                  <w:noWrap w:val="0"/>
                  <w:vAlign w:val="center"/>
                </w:tcPr>
                <w:p w14:paraId="70CC32A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500</w:t>
                  </w:r>
                </w:p>
              </w:tc>
              <w:tc>
                <w:tcPr>
                  <w:tcW w:w="2790" w:type="dxa"/>
                  <w:vMerge w:val="continue"/>
                  <w:noWrap w:val="0"/>
                  <w:vAlign w:val="center"/>
                </w:tcPr>
                <w:p w14:paraId="0A84EE1D">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7A6F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587740F4">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2758" w:type="dxa"/>
                  <w:noWrap w:val="0"/>
                  <w:vAlign w:val="center"/>
                </w:tcPr>
                <w:p w14:paraId="2895E89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五日生化需氧量（BOD</w:t>
                  </w:r>
                  <w:r>
                    <w:rPr>
                      <w:rFonts w:hint="default" w:ascii="Times New Roman" w:hAnsi="Times New Roman" w:eastAsia="宋体" w:cs="Times New Roman"/>
                      <w:color w:val="auto"/>
                      <w:kern w:val="0"/>
                      <w:szCs w:val="21"/>
                      <w:vertAlign w:val="subscript"/>
                    </w:rPr>
                    <w:t>5</w:t>
                  </w:r>
                  <w:r>
                    <w:rPr>
                      <w:rFonts w:hint="default" w:ascii="Times New Roman" w:hAnsi="Times New Roman" w:eastAsia="宋体" w:cs="Times New Roman"/>
                      <w:color w:val="auto"/>
                      <w:kern w:val="0"/>
                      <w:szCs w:val="21"/>
                    </w:rPr>
                    <w:t>）</w:t>
                  </w:r>
                </w:p>
              </w:tc>
              <w:tc>
                <w:tcPr>
                  <w:tcW w:w="1727" w:type="dxa"/>
                  <w:noWrap w:val="0"/>
                  <w:vAlign w:val="center"/>
                </w:tcPr>
                <w:p w14:paraId="0B43C31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300</w:t>
                  </w:r>
                </w:p>
              </w:tc>
              <w:tc>
                <w:tcPr>
                  <w:tcW w:w="2790" w:type="dxa"/>
                  <w:vMerge w:val="continue"/>
                  <w:noWrap w:val="0"/>
                  <w:vAlign w:val="center"/>
                </w:tcPr>
                <w:p w14:paraId="0507A325">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2FAC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49D2AA22">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2758" w:type="dxa"/>
                  <w:noWrap w:val="0"/>
                  <w:vAlign w:val="center"/>
                </w:tcPr>
                <w:p w14:paraId="08B5F104">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悬浮物（SS）</w:t>
                  </w:r>
                </w:p>
              </w:tc>
              <w:tc>
                <w:tcPr>
                  <w:tcW w:w="1727" w:type="dxa"/>
                  <w:noWrap w:val="0"/>
                  <w:vAlign w:val="center"/>
                </w:tcPr>
                <w:p w14:paraId="2634363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400</w:t>
                  </w:r>
                </w:p>
              </w:tc>
              <w:tc>
                <w:tcPr>
                  <w:tcW w:w="2790" w:type="dxa"/>
                  <w:vMerge w:val="continue"/>
                  <w:noWrap w:val="0"/>
                  <w:vAlign w:val="center"/>
                </w:tcPr>
                <w:p w14:paraId="4C72055F">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34F6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43A54EED">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2758" w:type="dxa"/>
                  <w:noWrap w:val="0"/>
                  <w:vAlign w:val="center"/>
                </w:tcPr>
                <w:p w14:paraId="3C86816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氨氮</w:t>
                  </w:r>
                  <w:r>
                    <w:rPr>
                      <w:rFonts w:hint="eastAsia" w:cs="Times New Roman"/>
                      <w:color w:val="auto"/>
                      <w:kern w:val="0"/>
                      <w:szCs w:val="21"/>
                      <w:lang w:eastAsia="zh-CN"/>
                    </w:rPr>
                    <w:t>（</w:t>
                  </w:r>
                  <w:r>
                    <w:rPr>
                      <w:rFonts w:hint="default" w:ascii="Times New Roman" w:hAnsi="Times New Roman" w:eastAsia="宋体" w:cs="Times New Roman"/>
                      <w:color w:val="auto"/>
                      <w:kern w:val="0"/>
                      <w:szCs w:val="21"/>
                    </w:rPr>
                    <w:t>NH</w:t>
                  </w:r>
                  <w:r>
                    <w:rPr>
                      <w:rFonts w:hint="default" w:ascii="Times New Roman" w:hAnsi="Times New Roman" w:eastAsia="宋体" w:cs="Times New Roman"/>
                      <w:color w:val="auto"/>
                      <w:kern w:val="0"/>
                      <w:szCs w:val="21"/>
                      <w:vertAlign w:val="subscript"/>
                    </w:rPr>
                    <w:t>3</w:t>
                  </w:r>
                  <w:r>
                    <w:rPr>
                      <w:rFonts w:hint="default" w:ascii="Times New Roman" w:hAnsi="Times New Roman" w:eastAsia="宋体" w:cs="Times New Roman"/>
                      <w:color w:val="auto"/>
                      <w:kern w:val="0"/>
                      <w:szCs w:val="21"/>
                    </w:rPr>
                    <w:t>-N</w:t>
                  </w:r>
                  <w:r>
                    <w:rPr>
                      <w:rFonts w:hint="eastAsia" w:cs="Times New Roman"/>
                      <w:color w:val="auto"/>
                      <w:kern w:val="0"/>
                      <w:szCs w:val="21"/>
                      <w:lang w:eastAsia="zh-CN"/>
                    </w:rPr>
                    <w:t>）</w:t>
                  </w:r>
                </w:p>
              </w:tc>
              <w:tc>
                <w:tcPr>
                  <w:tcW w:w="1727" w:type="dxa"/>
                  <w:noWrap w:val="0"/>
                  <w:vAlign w:val="center"/>
                </w:tcPr>
                <w:p w14:paraId="3C48916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45</w:t>
                  </w:r>
                  <w:r>
                    <w:rPr>
                      <w:rFonts w:hint="default" w:ascii="Times New Roman" w:hAnsi="Times New Roman" w:eastAsia="宋体" w:cs="Times New Roman"/>
                      <w:color w:val="auto"/>
                      <w:kern w:val="0"/>
                      <w:szCs w:val="21"/>
                      <w:vertAlign w:val="superscript"/>
                    </w:rPr>
                    <w:t>②</w:t>
                  </w:r>
                </w:p>
              </w:tc>
              <w:tc>
                <w:tcPr>
                  <w:tcW w:w="2790" w:type="dxa"/>
                  <w:vMerge w:val="continue"/>
                  <w:noWrap w:val="0"/>
                  <w:vAlign w:val="center"/>
                </w:tcPr>
                <w:p w14:paraId="78E18385">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114B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54580496">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2758" w:type="dxa"/>
                  <w:noWrap w:val="0"/>
                  <w:vAlign w:val="center"/>
                </w:tcPr>
                <w:p w14:paraId="34C4705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石油类</w:t>
                  </w:r>
                </w:p>
              </w:tc>
              <w:tc>
                <w:tcPr>
                  <w:tcW w:w="1727" w:type="dxa"/>
                  <w:noWrap w:val="0"/>
                  <w:vAlign w:val="center"/>
                </w:tcPr>
                <w:p w14:paraId="5878D45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20</w:t>
                  </w:r>
                </w:p>
              </w:tc>
              <w:tc>
                <w:tcPr>
                  <w:tcW w:w="2790" w:type="dxa"/>
                  <w:vMerge w:val="continue"/>
                  <w:noWrap w:val="0"/>
                  <w:vAlign w:val="center"/>
                </w:tcPr>
                <w:p w14:paraId="75718863">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3102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51C625A0">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2758" w:type="dxa"/>
                  <w:noWrap w:val="0"/>
                  <w:vAlign w:val="center"/>
                </w:tcPr>
                <w:p w14:paraId="2673EBDE">
                  <w:pPr>
                    <w:widowControl/>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LAS</w:t>
                  </w:r>
                </w:p>
              </w:tc>
              <w:tc>
                <w:tcPr>
                  <w:tcW w:w="1727" w:type="dxa"/>
                  <w:noWrap w:val="0"/>
                  <w:vAlign w:val="center"/>
                </w:tcPr>
                <w:p w14:paraId="7169C6D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20</w:t>
                  </w:r>
                </w:p>
              </w:tc>
              <w:tc>
                <w:tcPr>
                  <w:tcW w:w="2790" w:type="dxa"/>
                  <w:vMerge w:val="continue"/>
                  <w:noWrap w:val="0"/>
                  <w:vAlign w:val="center"/>
                </w:tcPr>
                <w:p w14:paraId="377E17E5">
                  <w:pPr>
                    <w:pStyle w:val="62"/>
                    <w:spacing w:line="240" w:lineRule="auto"/>
                    <w:ind w:firstLine="0" w:firstLineChars="0"/>
                    <w:jc w:val="center"/>
                    <w:rPr>
                      <w:rFonts w:hint="default" w:ascii="Times New Roman" w:hAnsi="Times New Roman" w:eastAsia="宋体" w:cs="Times New Roman"/>
                      <w:color w:val="auto"/>
                      <w:sz w:val="21"/>
                      <w:szCs w:val="21"/>
                    </w:rPr>
                  </w:pPr>
                </w:p>
              </w:tc>
            </w:tr>
            <w:tr w14:paraId="1D6D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 w:type="dxa"/>
                  <w:noWrap w:val="0"/>
                  <w:vAlign w:val="center"/>
                </w:tcPr>
                <w:p w14:paraId="24DD5B7A">
                  <w:pPr>
                    <w:pStyle w:val="62"/>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c>
                <w:tcPr>
                  <w:tcW w:w="7275" w:type="dxa"/>
                  <w:gridSpan w:val="3"/>
                  <w:noWrap w:val="0"/>
                  <w:vAlign w:val="center"/>
                </w:tcPr>
                <w:p w14:paraId="644B62CB">
                  <w:pPr>
                    <w:pStyle w:val="78"/>
                    <w:spacing w:before="24" w:after="24"/>
                    <w:jc w:val="both"/>
                    <w:rPr>
                      <w:rFonts w:hint="default" w:ascii="Times New Roman" w:hAnsi="Times New Roman" w:eastAsia="宋体" w:cs="Times New Roman"/>
                      <w:color w:val="auto"/>
                    </w:rPr>
                  </w:pPr>
                  <w:r>
                    <w:rPr>
                      <w:rFonts w:hint="default" w:ascii="Times New Roman" w:hAnsi="Times New Roman" w:eastAsia="宋体" w:cs="Times New Roman"/>
                      <w:color w:val="auto"/>
                    </w:rPr>
                    <w:t>①括号外数值为水温＞12℃时的控制指标，括号内数值为水温≤12℃时的控制指标。</w:t>
                  </w:r>
                </w:p>
                <w:p w14:paraId="0060B542">
                  <w:pPr>
                    <w:pStyle w:val="78"/>
                    <w:spacing w:before="24" w:after="24"/>
                    <w:jc w:val="both"/>
                    <w:rPr>
                      <w:rFonts w:hint="default" w:ascii="Times New Roman" w:hAnsi="Times New Roman" w:eastAsia="宋体" w:cs="Times New Roman"/>
                      <w:color w:val="auto"/>
                    </w:rPr>
                  </w:pPr>
                  <w:r>
                    <w:rPr>
                      <w:rFonts w:hint="default" w:ascii="Times New Roman" w:hAnsi="Times New Roman" w:eastAsia="宋体" w:cs="Times New Roman"/>
                      <w:color w:val="auto"/>
                    </w:rPr>
                    <w:t>②</w:t>
                  </w:r>
                  <w:r>
                    <w:rPr>
                      <w:rFonts w:hint="default" w:ascii="Times New Roman" w:hAnsi="Times New Roman" w:cs="Times New Roman"/>
                      <w:color w:val="auto"/>
                      <w:sz w:val="21"/>
                      <w:szCs w:val="21"/>
                      <w:highlight w:val="none"/>
                    </w:rPr>
                    <w:t>NH</w:t>
                  </w:r>
                  <w:r>
                    <w:rPr>
                      <w:rFonts w:hint="default" w:ascii="Times New Roman" w:hAnsi="Times New Roman" w:cs="Times New Roman"/>
                      <w:color w:val="auto"/>
                      <w:sz w:val="21"/>
                      <w:szCs w:val="21"/>
                      <w:highlight w:val="none"/>
                      <w:vertAlign w:val="subscript"/>
                    </w:rPr>
                    <w:t>3</w:t>
                  </w:r>
                  <w:r>
                    <w:rPr>
                      <w:rFonts w:hint="default" w:ascii="Times New Roman" w:hAnsi="Times New Roman" w:cs="Times New Roman"/>
                      <w:color w:val="auto"/>
                      <w:sz w:val="21"/>
                      <w:szCs w:val="21"/>
                      <w:highlight w:val="none"/>
                    </w:rPr>
                    <w:t>-N执行《污水排入城镇下水道水质标准》（GB/T31962-2015）中</w:t>
                  </w:r>
                  <w:r>
                    <w:rPr>
                      <w:rFonts w:hint="default" w:ascii="Times New Roman" w:hAnsi="Times New Roman" w:cs="Times New Roman"/>
                      <w:color w:val="auto"/>
                      <w:sz w:val="21"/>
                      <w:szCs w:val="21"/>
                      <w:highlight w:val="none"/>
                      <w:lang w:eastAsia="zh-CN"/>
                    </w:rPr>
                    <w:t>表</w:t>
                  </w:r>
                  <w:r>
                    <w:rPr>
                      <w:rFonts w:hint="default" w:ascii="Times New Roman" w:hAnsi="Times New Roman" w:cs="Times New Roman"/>
                      <w:color w:val="auto"/>
                      <w:sz w:val="21"/>
                      <w:szCs w:val="21"/>
                      <w:highlight w:val="none"/>
                      <w:lang w:val="en-US" w:eastAsia="zh-CN"/>
                    </w:rPr>
                    <w:t>1 B级限值</w:t>
                  </w:r>
                  <w:r>
                    <w:rPr>
                      <w:rFonts w:hint="default" w:ascii="Times New Roman" w:hAnsi="Times New Roman" w:eastAsia="宋体" w:cs="Times New Roman"/>
                      <w:color w:val="auto"/>
                    </w:rPr>
                    <w:t>。</w:t>
                  </w:r>
                </w:p>
              </w:tc>
            </w:tr>
          </w:tbl>
          <w:p w14:paraId="720BF030">
            <w:pPr>
              <w:adjustRightInd w:val="0"/>
              <w:snapToGrid w:val="0"/>
              <w:spacing w:line="360" w:lineRule="auto"/>
              <w:jc w:val="left"/>
              <w:rPr>
                <w:rFonts w:hint="default" w:ascii="Times New Roman" w:hAnsi="Times New Roman" w:eastAsia="宋体" w:cs="Times New Roman"/>
                <w:b/>
                <w:color w:val="auto"/>
                <w:sz w:val="24"/>
                <w:szCs w:val="26"/>
              </w:rPr>
            </w:pPr>
          </w:p>
          <w:p w14:paraId="080C61DD">
            <w:pPr>
              <w:adjustRightInd w:val="0"/>
              <w:snapToGrid w:val="0"/>
              <w:spacing w:line="360" w:lineRule="auto"/>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3.3.3噪声排放标准</w:t>
            </w:r>
          </w:p>
          <w:p w14:paraId="602C94F9">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施工期施工噪声执行《建筑施工场界环境噪声排放标准》（GB12523-2011）标准限值，即昼间70dB（A），夜间55dB（A）。</w:t>
            </w:r>
          </w:p>
          <w:p w14:paraId="4783B0C6">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rPr>
              <w:t>本项目位于重庆市九龙坡区谢家湾</w:t>
            </w:r>
            <w:r>
              <w:rPr>
                <w:rFonts w:hint="default" w:ascii="Times New Roman" w:hAnsi="Times New Roman" w:eastAsia="宋体" w:cs="Times New Roman"/>
                <w:snapToGrid w:val="0"/>
                <w:color w:val="auto"/>
                <w:kern w:val="0"/>
                <w:sz w:val="24"/>
              </w:rPr>
              <w:t>菜袁路</w:t>
            </w:r>
            <w:r>
              <w:rPr>
                <w:rFonts w:hint="default" w:ascii="Times New Roman" w:hAnsi="Times New Roman" w:eastAsia="宋体" w:cs="Times New Roman"/>
                <w:color w:val="auto"/>
                <w:sz w:val="24"/>
              </w:rPr>
              <w:t>，站区北侧紧邻菜袁路（主干路），根据《重庆市生态环境局关于印发重庆市主城区声环境功能区划分方案的通知》（渝环〔2018〕326号），东侧、北侧和西侧属于4a类区，南侧属于</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sz w:val="24"/>
              </w:rPr>
              <w:t>类区。运营期南侧厂界执行《工业企业厂界环境噪声排放标准》（GB12348-2008）中</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sz w:val="24"/>
              </w:rPr>
              <w:t>类标准；北侧、东侧和西侧厂界执行《工业企业厂界环境噪声排放标准》（GB12348-2008）中4类标准；标准值详见表3.3-4所示。</w:t>
            </w:r>
          </w:p>
          <w:p w14:paraId="5839EE16">
            <w:pPr>
              <w:pStyle w:val="26"/>
              <w:jc w:val="center"/>
              <w:rPr>
                <w:rFonts w:hint="default" w:ascii="Times New Roman" w:hAnsi="Times New Roman" w:eastAsia="宋体" w:cs="Times New Roman"/>
                <w:color w:val="auto"/>
              </w:rPr>
            </w:pPr>
            <w:r>
              <w:rPr>
                <w:rFonts w:hint="default" w:ascii="Times New Roman" w:hAnsi="Times New Roman" w:eastAsia="宋体" w:cs="Times New Roman"/>
                <w:color w:val="auto"/>
              </w:rPr>
              <w:t>表3.3-4    工业企业厂界环境噪声排放标准    单位：dB（A）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660"/>
              <w:gridCol w:w="1985"/>
              <w:gridCol w:w="2606"/>
            </w:tblGrid>
            <w:tr w14:paraId="2140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noWrap w:val="0"/>
                  <w:vAlign w:val="center"/>
                </w:tcPr>
                <w:p w14:paraId="1469AB50">
                  <w:pPr>
                    <w:pStyle w:val="77"/>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1017" w:type="pct"/>
                  <w:noWrap w:val="0"/>
                  <w:vAlign w:val="center"/>
                </w:tcPr>
                <w:p w14:paraId="1954F181">
                  <w:pPr>
                    <w:pStyle w:val="77"/>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216" w:type="pct"/>
                  <w:noWrap w:val="0"/>
                  <w:vAlign w:val="center"/>
                </w:tcPr>
                <w:p w14:paraId="0763004D">
                  <w:pPr>
                    <w:pStyle w:val="77"/>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597" w:type="pct"/>
                  <w:noWrap w:val="0"/>
                  <w:vAlign w:val="center"/>
                </w:tcPr>
                <w:p w14:paraId="7489D7A4">
                  <w:pPr>
                    <w:pStyle w:val="77"/>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14:paraId="4DFD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noWrap w:val="0"/>
                  <w:vAlign w:val="center"/>
                </w:tcPr>
                <w:p w14:paraId="6EB2AAEE">
                  <w:pPr>
                    <w:pStyle w:val="77"/>
                    <w:spacing w:line="240" w:lineRule="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类</w:t>
                  </w:r>
                </w:p>
              </w:tc>
              <w:tc>
                <w:tcPr>
                  <w:tcW w:w="1017" w:type="pct"/>
                  <w:noWrap w:val="0"/>
                  <w:vAlign w:val="center"/>
                </w:tcPr>
                <w:p w14:paraId="67B97815">
                  <w:pPr>
                    <w:pStyle w:val="77"/>
                    <w:spacing w:line="240" w:lineRule="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eastAsia="zh-CN"/>
                    </w:rPr>
                    <w:t>60</w:t>
                  </w:r>
                </w:p>
              </w:tc>
              <w:tc>
                <w:tcPr>
                  <w:tcW w:w="1216" w:type="pct"/>
                  <w:noWrap w:val="0"/>
                  <w:vAlign w:val="center"/>
                </w:tcPr>
                <w:p w14:paraId="7DAA8E30">
                  <w:pPr>
                    <w:pStyle w:val="77"/>
                    <w:spacing w:line="240" w:lineRule="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eastAsia="zh-CN"/>
                    </w:rPr>
                    <w:t>50</w:t>
                  </w:r>
                </w:p>
              </w:tc>
              <w:tc>
                <w:tcPr>
                  <w:tcW w:w="1597" w:type="pct"/>
                  <w:noWrap w:val="0"/>
                  <w:vAlign w:val="center"/>
                </w:tcPr>
                <w:p w14:paraId="29539D26">
                  <w:pPr>
                    <w:pStyle w:val="77"/>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南侧厂界</w:t>
                  </w:r>
                </w:p>
              </w:tc>
            </w:tr>
            <w:tr w14:paraId="0647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0" w:type="pct"/>
                  <w:noWrap w:val="0"/>
                  <w:vAlign w:val="center"/>
                </w:tcPr>
                <w:p w14:paraId="6D37AEAA">
                  <w:pPr>
                    <w:pStyle w:val="77"/>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4类</w:t>
                  </w:r>
                </w:p>
              </w:tc>
              <w:tc>
                <w:tcPr>
                  <w:tcW w:w="1017" w:type="pct"/>
                  <w:noWrap w:val="0"/>
                  <w:vAlign w:val="center"/>
                </w:tcPr>
                <w:p w14:paraId="2BF349CD">
                  <w:pPr>
                    <w:pStyle w:val="77"/>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1216" w:type="pct"/>
                  <w:noWrap w:val="0"/>
                  <w:vAlign w:val="center"/>
                </w:tcPr>
                <w:p w14:paraId="0CD023FF">
                  <w:pPr>
                    <w:pStyle w:val="77"/>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w:t>
                  </w:r>
                </w:p>
              </w:tc>
              <w:tc>
                <w:tcPr>
                  <w:tcW w:w="1597" w:type="pct"/>
                  <w:noWrap w:val="0"/>
                  <w:vAlign w:val="center"/>
                </w:tcPr>
                <w:p w14:paraId="72C720CD">
                  <w:pPr>
                    <w:pStyle w:val="77"/>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东、西、北侧厂界</w:t>
                  </w:r>
                </w:p>
              </w:tc>
            </w:tr>
          </w:tbl>
          <w:p w14:paraId="2BCBC894">
            <w:pPr>
              <w:adjustRightInd w:val="0"/>
              <w:snapToGrid w:val="0"/>
              <w:spacing w:line="360" w:lineRule="auto"/>
              <w:jc w:val="left"/>
              <w:rPr>
                <w:rFonts w:hint="default" w:ascii="Times New Roman" w:hAnsi="Times New Roman" w:eastAsia="宋体" w:cs="Times New Roman"/>
                <w:b/>
                <w:color w:val="auto"/>
                <w:sz w:val="24"/>
                <w:szCs w:val="26"/>
              </w:rPr>
            </w:pPr>
          </w:p>
          <w:p w14:paraId="027A9860">
            <w:pPr>
              <w:adjustRightInd w:val="0"/>
              <w:snapToGrid w:val="0"/>
              <w:spacing w:line="360" w:lineRule="auto"/>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3.3.4固体废物</w:t>
            </w:r>
          </w:p>
          <w:p w14:paraId="6F4601C4">
            <w:pPr>
              <w:keepNext w:val="0"/>
              <w:keepLines w:val="0"/>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kern w:val="44"/>
                <w:sz w:val="24"/>
                <w:szCs w:val="24"/>
                <w:highlight w:val="none"/>
                <w:lang w:val="en-US" w:eastAsia="zh-CN" w:bidi="ar-SA"/>
              </w:rPr>
              <w:t>本项目生活垃圾实行分类收集，由环卫部门统一清运处置。</w:t>
            </w:r>
          </w:p>
          <w:p w14:paraId="554B5A8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危险废物按《国家危险废物名录》（202</w:t>
            </w:r>
            <w:r>
              <w:rPr>
                <w:rFonts w:hint="default" w:ascii="Times New Roman" w:hAnsi="Times New Roman" w:cs="Times New Roman"/>
                <w:color w:val="auto"/>
                <w:sz w:val="24"/>
                <w:lang w:val="en-US" w:eastAsia="zh-CN"/>
              </w:rPr>
              <w:t>5</w:t>
            </w:r>
            <w:r>
              <w:rPr>
                <w:rFonts w:hint="default" w:ascii="Times New Roman" w:hAnsi="Times New Roman" w:eastAsia="宋体" w:cs="Times New Roman"/>
                <w:color w:val="auto"/>
                <w:sz w:val="24"/>
              </w:rPr>
              <w:t>版）、《危险废物贮存污染控制标准》（GB18597-20</w:t>
            </w:r>
            <w:r>
              <w:rPr>
                <w:rFonts w:hint="default" w:ascii="Times New Roman" w:hAnsi="Times New Roman" w:eastAsia="宋体" w:cs="Times New Roman"/>
                <w:color w:val="auto"/>
                <w:sz w:val="24"/>
                <w:lang w:val="en-US" w:eastAsia="zh-CN"/>
              </w:rPr>
              <w:t>23</w:t>
            </w:r>
            <w:r>
              <w:rPr>
                <w:rFonts w:hint="default" w:ascii="Times New Roman" w:hAnsi="Times New Roman" w:eastAsia="宋体" w:cs="Times New Roman"/>
                <w:color w:val="auto"/>
                <w:sz w:val="24"/>
              </w:rPr>
              <w:t>）进行贮存和管理。</w:t>
            </w:r>
          </w:p>
        </w:tc>
      </w:tr>
      <w:tr w14:paraId="68CE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851" w:type="dxa"/>
            <w:noWrap w:val="0"/>
            <w:vAlign w:val="center"/>
          </w:tcPr>
          <w:p w14:paraId="7FAD0C6A">
            <w:pPr>
              <w:pStyle w:val="16"/>
              <w:adjustRightInd w:val="0"/>
              <w:snapToGrid w:val="0"/>
              <w:spacing w:before="0" w:beforeAutospacing="0" w:after="0" w:afterAutospacing="0" w:line="360" w:lineRule="auto"/>
              <w:jc w:val="center"/>
              <w:rPr>
                <w:rFonts w:hint="default" w:ascii="Times New Roman" w:hAnsi="Times New Roman" w:eastAsia="宋体" w:cs="Times New Roman"/>
                <w:bCs/>
                <w:color w:val="auto"/>
                <w:kern w:val="2"/>
                <w:szCs w:val="26"/>
                <w:highlight w:val="yellow"/>
              </w:rPr>
            </w:pPr>
            <w:r>
              <w:rPr>
                <w:rFonts w:hint="default" w:ascii="Times New Roman" w:hAnsi="Times New Roman" w:eastAsia="宋体" w:cs="Times New Roman"/>
                <w:bCs/>
                <w:color w:val="auto"/>
                <w:kern w:val="2"/>
                <w:szCs w:val="26"/>
              </w:rPr>
              <w:t>总量控制指标</w:t>
            </w:r>
          </w:p>
        </w:tc>
        <w:tc>
          <w:tcPr>
            <w:tcW w:w="8386" w:type="dxa"/>
            <w:noWrap w:val="0"/>
            <w:vAlign w:val="center"/>
          </w:tcPr>
          <w:p w14:paraId="587EC0E4">
            <w:pPr>
              <w:pStyle w:val="9"/>
              <w:widowControl/>
              <w:adjustRightInd w:val="0"/>
              <w:snapToGrid w:val="0"/>
              <w:spacing w:line="360" w:lineRule="auto"/>
              <w:ind w:firstLine="480" w:firstLineChars="200"/>
              <w:jc w:val="left"/>
              <w:rPr>
                <w:rFonts w:hint="default" w:ascii="Times New Roman" w:hAnsi="Times New Roman" w:eastAsia="宋体" w:cs="Times New Roman"/>
                <w:bCs/>
                <w:color w:val="auto"/>
                <w:sz w:val="24"/>
                <w:szCs w:val="26"/>
                <w:highlight w:val="none"/>
              </w:rPr>
            </w:pPr>
            <w:r>
              <w:rPr>
                <w:rFonts w:hint="default" w:ascii="Times New Roman" w:hAnsi="Times New Roman" w:eastAsia="宋体" w:cs="Times New Roman"/>
                <w:bCs/>
                <w:color w:val="auto"/>
                <w:sz w:val="24"/>
                <w:szCs w:val="26"/>
                <w:highlight w:val="none"/>
              </w:rPr>
              <w:t>本项目建成后总量控制指标：</w:t>
            </w:r>
          </w:p>
          <w:p w14:paraId="652C2E3A">
            <w:pPr>
              <w:adjustRightInd w:val="0"/>
              <w:snapToGrid w:val="0"/>
              <w:spacing w:line="360" w:lineRule="auto"/>
              <w:ind w:firstLine="480" w:firstLineChars="200"/>
              <w:jc w:val="left"/>
              <w:rPr>
                <w:rFonts w:hint="default" w:ascii="Times New Roman" w:hAnsi="Times New Roman" w:eastAsia="宋体" w:cs="Times New Roman"/>
                <w:b/>
                <w:bCs/>
                <w:color w:val="auto"/>
                <w:sz w:val="28"/>
                <w:szCs w:val="26"/>
                <w:highlight w:val="yellow"/>
              </w:rPr>
            </w:pPr>
            <w:r>
              <w:rPr>
                <w:rFonts w:hint="default" w:ascii="Times New Roman" w:hAnsi="Times New Roman" w:eastAsia="宋体" w:cs="Times New Roman"/>
                <w:bCs/>
                <w:color w:val="auto"/>
                <w:sz w:val="24"/>
                <w:szCs w:val="26"/>
                <w:highlight w:val="none"/>
              </w:rPr>
              <w:t>废水：COD 0.0</w:t>
            </w:r>
            <w:r>
              <w:rPr>
                <w:rFonts w:hint="eastAsia" w:cs="Times New Roman"/>
                <w:bCs/>
                <w:color w:val="auto"/>
                <w:sz w:val="24"/>
                <w:szCs w:val="26"/>
                <w:highlight w:val="none"/>
                <w:lang w:val="en-US" w:eastAsia="zh-CN"/>
              </w:rPr>
              <w:t>90</w:t>
            </w:r>
            <w:r>
              <w:rPr>
                <w:rFonts w:hint="default" w:ascii="Times New Roman" w:hAnsi="Times New Roman" w:eastAsia="宋体" w:cs="Times New Roman"/>
                <w:bCs/>
                <w:color w:val="auto"/>
                <w:sz w:val="24"/>
                <w:szCs w:val="26"/>
                <w:highlight w:val="none"/>
                <w:lang w:val="en-US" w:eastAsia="zh-CN"/>
              </w:rPr>
              <w:t xml:space="preserve"> </w:t>
            </w:r>
            <w:r>
              <w:rPr>
                <w:rFonts w:hint="default" w:ascii="Times New Roman" w:hAnsi="Times New Roman" w:eastAsia="宋体" w:cs="Times New Roman"/>
                <w:bCs/>
                <w:color w:val="auto"/>
                <w:sz w:val="24"/>
                <w:szCs w:val="26"/>
                <w:highlight w:val="none"/>
              </w:rPr>
              <w:t>t/a、NH</w:t>
            </w:r>
            <w:r>
              <w:rPr>
                <w:rFonts w:hint="default" w:ascii="Times New Roman" w:hAnsi="Times New Roman" w:eastAsia="宋体" w:cs="Times New Roman"/>
                <w:bCs/>
                <w:color w:val="auto"/>
                <w:sz w:val="24"/>
                <w:szCs w:val="26"/>
                <w:highlight w:val="none"/>
                <w:vertAlign w:val="subscript"/>
              </w:rPr>
              <w:t>3</w:t>
            </w:r>
            <w:r>
              <w:rPr>
                <w:rFonts w:hint="default" w:ascii="Times New Roman" w:hAnsi="Times New Roman" w:eastAsia="宋体" w:cs="Times New Roman"/>
                <w:bCs/>
                <w:color w:val="auto"/>
                <w:sz w:val="24"/>
                <w:szCs w:val="26"/>
                <w:highlight w:val="none"/>
              </w:rPr>
              <w:t>-N 0.0</w:t>
            </w:r>
            <w:r>
              <w:rPr>
                <w:rFonts w:hint="default" w:ascii="Times New Roman" w:hAnsi="Times New Roman" w:eastAsia="宋体" w:cs="Times New Roman"/>
                <w:bCs/>
                <w:color w:val="auto"/>
                <w:sz w:val="24"/>
                <w:szCs w:val="26"/>
                <w:highlight w:val="none"/>
                <w:lang w:val="en-US" w:eastAsia="zh-CN"/>
              </w:rPr>
              <w:t>1</w:t>
            </w:r>
            <w:r>
              <w:rPr>
                <w:rFonts w:hint="eastAsia" w:cs="Times New Roman"/>
                <w:bCs/>
                <w:color w:val="auto"/>
                <w:sz w:val="24"/>
                <w:szCs w:val="26"/>
                <w:highlight w:val="none"/>
                <w:lang w:val="en-US" w:eastAsia="zh-CN"/>
              </w:rPr>
              <w:t>4</w:t>
            </w:r>
            <w:r>
              <w:rPr>
                <w:rFonts w:hint="default" w:ascii="Times New Roman" w:hAnsi="Times New Roman" w:eastAsia="宋体" w:cs="Times New Roman"/>
                <w:bCs/>
                <w:color w:val="auto"/>
                <w:sz w:val="24"/>
                <w:szCs w:val="26"/>
                <w:highlight w:val="none"/>
                <w:lang w:val="en-US" w:eastAsia="zh-CN"/>
              </w:rPr>
              <w:t xml:space="preserve"> </w:t>
            </w:r>
            <w:r>
              <w:rPr>
                <w:rFonts w:hint="default" w:ascii="Times New Roman" w:hAnsi="Times New Roman" w:eastAsia="宋体" w:cs="Times New Roman"/>
                <w:bCs/>
                <w:color w:val="auto"/>
                <w:sz w:val="24"/>
                <w:szCs w:val="26"/>
                <w:highlight w:val="none"/>
              </w:rPr>
              <w:t>t/a。</w:t>
            </w:r>
          </w:p>
        </w:tc>
      </w:tr>
    </w:tbl>
    <w:p w14:paraId="2D19FA6A">
      <w:pPr>
        <w:pStyle w:val="16"/>
        <w:jc w:val="center"/>
        <w:outlineLvl w:val="0"/>
        <w:rPr>
          <w:rFonts w:hint="default" w:ascii="Times New Roman" w:hAnsi="Times New Roman" w:eastAsia="宋体" w:cs="Times New Roman"/>
          <w:snapToGrid w:val="0"/>
          <w:color w:val="auto"/>
          <w:sz w:val="30"/>
          <w:szCs w:val="30"/>
          <w:highlight w:val="yellow"/>
        </w:rPr>
      </w:pPr>
      <w:r>
        <w:rPr>
          <w:rFonts w:hint="default" w:ascii="Times New Roman" w:hAnsi="Times New Roman" w:eastAsia="宋体" w:cs="Times New Roman"/>
          <w:snapToGrid w:val="0"/>
          <w:color w:val="auto"/>
          <w:sz w:val="36"/>
          <w:szCs w:val="36"/>
          <w:highlight w:val="yellow"/>
        </w:rPr>
        <w:br w:type="page"/>
      </w:r>
      <w:r>
        <w:rPr>
          <w:rFonts w:hint="default" w:ascii="Times New Roman" w:hAnsi="Times New Roman" w:eastAsia="宋体" w:cs="Times New Roman"/>
          <w:snapToGrid w:val="0"/>
          <w:color w:val="auto"/>
          <w:sz w:val="30"/>
          <w:szCs w:val="30"/>
        </w:rPr>
        <w:t>四、主要环境影响和保护措施</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5DE81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noWrap w:val="0"/>
            <w:tcMar>
              <w:left w:w="28" w:type="dxa"/>
              <w:right w:w="28" w:type="dxa"/>
            </w:tcMar>
            <w:vAlign w:val="center"/>
          </w:tcPr>
          <w:p w14:paraId="4B4725D9">
            <w:pPr>
              <w:pStyle w:val="16"/>
              <w:adjustRightInd w:val="0"/>
              <w:snapToGrid w:val="0"/>
              <w:spacing w:before="0" w:beforeAutospacing="0" w:after="0" w:afterAutospacing="0" w:line="360" w:lineRule="auto"/>
              <w:jc w:val="center"/>
              <w:rPr>
                <w:rFonts w:hint="default" w:ascii="Times New Roman" w:hAnsi="Times New Roman" w:eastAsia="宋体" w:cs="Times New Roman"/>
                <w:bCs/>
                <w:color w:val="auto"/>
                <w:kern w:val="2"/>
                <w:sz w:val="21"/>
                <w:szCs w:val="21"/>
                <w:highlight w:val="yellow"/>
              </w:rPr>
            </w:pPr>
            <w:r>
              <w:rPr>
                <w:rFonts w:hint="default" w:ascii="Times New Roman" w:hAnsi="Times New Roman" w:eastAsia="宋体" w:cs="Times New Roman"/>
                <w:color w:val="auto"/>
                <w:kern w:val="2"/>
                <w:szCs w:val="26"/>
              </w:rPr>
              <w:t>施工期环境保护措施</w:t>
            </w:r>
          </w:p>
        </w:tc>
        <w:tc>
          <w:tcPr>
            <w:tcW w:w="8162" w:type="dxa"/>
            <w:noWrap w:val="0"/>
            <w:vAlign w:val="center"/>
          </w:tcPr>
          <w:p w14:paraId="7840B90B">
            <w:pPr>
              <w:keepNext w:val="0"/>
              <w:keepLines w:val="0"/>
              <w:pageBreakBefore w:val="0"/>
              <w:widowControl w:val="0"/>
              <w:kinsoku/>
              <w:wordWrap/>
              <w:overflowPunct/>
              <w:topLinePunct w:val="0"/>
              <w:autoSpaceDE/>
              <w:autoSpaceDN/>
              <w:bidi w:val="0"/>
              <w:adjustRightInd w:val="0"/>
              <w:snapToGrid w:val="0"/>
              <w:spacing w:before="120" w:line="360" w:lineRule="auto"/>
              <w:jc w:val="left"/>
              <w:textAlignment w:val="auto"/>
              <w:rPr>
                <w:rFonts w:hint="default" w:ascii="Times New Roman" w:hAnsi="Times New Roman" w:eastAsia="宋体" w:cs="Times New Roman"/>
                <w:b/>
                <w:bCs/>
                <w:color w:val="auto"/>
                <w:sz w:val="28"/>
                <w:szCs w:val="26"/>
              </w:rPr>
            </w:pPr>
            <w:r>
              <w:rPr>
                <w:rFonts w:hint="default" w:ascii="Times New Roman" w:hAnsi="Times New Roman" w:eastAsia="宋体" w:cs="Times New Roman"/>
                <w:b/>
                <w:bCs/>
                <w:color w:val="auto"/>
                <w:sz w:val="28"/>
                <w:szCs w:val="26"/>
              </w:rPr>
              <w:t>4.1施工期环境保护措施</w:t>
            </w:r>
          </w:p>
          <w:p w14:paraId="6BB94098">
            <w:pPr>
              <w:pStyle w:val="9"/>
              <w:widowControl/>
              <w:spacing w:line="360" w:lineRule="auto"/>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4.1.1施工期水污染防治措施</w:t>
            </w:r>
          </w:p>
          <w:p w14:paraId="76B4BA32">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本项目仅对储罐进行更换，施工期较短，施工期废水主要包括施工废水和施工生活污水。</w:t>
            </w:r>
          </w:p>
          <w:p w14:paraId="010BF368">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（1）施工废水</w:t>
            </w:r>
          </w:p>
          <w:p w14:paraId="7CC0319D">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bCs/>
                <w:color w:val="auto"/>
                <w:kern w:val="2"/>
                <w:sz w:val="24"/>
                <w:szCs w:val="24"/>
              </w:rPr>
              <w:t>现有油罐拆除期间，清洗油罐及管线等产生的含油废水收集后经站区现有三段式隔油池处理达《污水综合排放标准》（GB8978-1996）三级标准后排入市政管网，产生的含油污泥交相应有资质单位处理。施工期混凝土养护及施工机具的清洗过程会产生少量的施工废水，经站区现有三段式隔油池处理达《污水综合排放标准》（GB8978-1996）三级标准后排入市政管网，接入鸡冠石污水处理厂。</w:t>
            </w:r>
          </w:p>
          <w:p w14:paraId="115D668E">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（2）生活污水</w:t>
            </w:r>
          </w:p>
          <w:p w14:paraId="7543258A">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本工程施工期作业人员约5人，按100L/人•d生活用水量，排水量按用水量的90%计，则生活用水量为0.5m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/d，生活污水产生量约为0.45m</w:t>
            </w:r>
            <w:r>
              <w:rPr>
                <w:rFonts w:hint="default" w:ascii="Times New Roman" w:hAnsi="Times New Roman" w:eastAsia="宋体" w:cs="Times New Roman"/>
                <w:color w:val="auto"/>
                <w:sz w:val="24"/>
                <w:szCs w:val="26"/>
                <w:vertAlign w:val="superscript"/>
              </w:rPr>
              <w:t>3</w:t>
            </w:r>
            <w:r>
              <w:rPr>
                <w:rFonts w:hint="default" w:ascii="Times New Roman" w:hAnsi="Times New Roman" w:eastAsia="宋体" w:cs="Times New Roman"/>
                <w:color w:val="auto"/>
                <w:sz w:val="24"/>
                <w:szCs w:val="26"/>
              </w:rPr>
              <w:t>/d。类比同类型污水水质，废水中主要污染物为COD、BOD</w:t>
            </w:r>
            <w:r>
              <w:rPr>
                <w:rFonts w:hint="default" w:ascii="Times New Roman" w:hAnsi="Times New Roman" w:eastAsia="宋体" w:cs="Times New Roman"/>
                <w:color w:val="auto"/>
                <w:sz w:val="24"/>
                <w:szCs w:val="26"/>
                <w:vertAlign w:val="subscript"/>
              </w:rPr>
              <w:t>5</w:t>
            </w:r>
            <w:r>
              <w:rPr>
                <w:rFonts w:hint="default" w:ascii="Times New Roman" w:hAnsi="Times New Roman" w:eastAsia="宋体" w:cs="Times New Roman"/>
                <w:color w:val="auto"/>
                <w:sz w:val="24"/>
                <w:szCs w:val="26"/>
              </w:rPr>
              <w:t>、NH</w:t>
            </w:r>
            <w:r>
              <w:rPr>
                <w:rFonts w:hint="default" w:ascii="Times New Roman" w:hAnsi="Times New Roman" w:eastAsia="宋体" w:cs="Times New Roman"/>
                <w:color w:val="auto"/>
                <w:sz w:val="24"/>
                <w:szCs w:val="26"/>
                <w:vertAlign w:val="subscript"/>
              </w:rPr>
              <w:t>3</w:t>
            </w:r>
            <w:r>
              <w:rPr>
                <w:rFonts w:hint="default" w:ascii="Times New Roman" w:hAnsi="Times New Roman" w:eastAsia="宋体" w:cs="Times New Roman"/>
                <w:color w:val="auto"/>
                <w:sz w:val="24"/>
                <w:szCs w:val="26"/>
              </w:rPr>
              <w:t>-N和SS，污染物成分较简单。项目施工期生活污水依托现有生化池收集后处理至《污水综合排放标准》（GB8978-1996）三级标准后排入市政管网，接入鸡冠石污水处理厂。</w:t>
            </w:r>
          </w:p>
          <w:p w14:paraId="5BA76BBB">
            <w:pPr>
              <w:pStyle w:val="9"/>
              <w:widowControl/>
              <w:spacing w:line="360" w:lineRule="auto"/>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4.1.2施工期大气防治措施</w:t>
            </w:r>
          </w:p>
          <w:p w14:paraId="4E406F3F">
            <w:pPr>
              <w:pStyle w:val="56"/>
              <w:spacing w:line="360" w:lineRule="auto"/>
              <w:ind w:firstLine="480" w:firstLineChars="200"/>
              <w:rPr>
                <w:rFonts w:hint="default" w:ascii="Times New Roman" w:hAnsi="Times New Roman" w:eastAsia="宋体" w:cs="Times New Roman"/>
                <w:color w:val="auto"/>
                <w:kern w:val="44"/>
              </w:rPr>
            </w:pPr>
            <w:r>
              <w:rPr>
                <w:rFonts w:hint="default" w:ascii="Times New Roman" w:hAnsi="Times New Roman" w:eastAsia="宋体" w:cs="Times New Roman"/>
                <w:color w:val="auto"/>
                <w:kern w:val="44"/>
              </w:rPr>
              <w:t>施工期废气主要为油罐拆除时排放的非甲烷总烃、施工扬尘及施工机具燃料燃烧废气。</w:t>
            </w:r>
          </w:p>
          <w:p w14:paraId="77BAE817">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4"/>
              </w:rPr>
              <w:t>施工人员在检测罐内有毒有害气体与可燃气体浓度符合安全要求的情况下进罐进行清污作业，可能会有少量油气挥发，由于拆除作业时间较短，产生的非甲烷总烃对周边环境空气影响时间较短。</w:t>
            </w:r>
            <w:r>
              <w:rPr>
                <w:rFonts w:hint="default" w:ascii="Times New Roman" w:hAnsi="Times New Roman" w:eastAsia="宋体" w:cs="Times New Roman"/>
                <w:bCs/>
                <w:color w:val="auto"/>
                <w:kern w:val="2"/>
                <w:sz w:val="24"/>
                <w:szCs w:val="24"/>
              </w:rPr>
              <w:t>项目施工期对砂石、水泥等易撒漏物质密闭运输，防止扬尘；施工时应增加洒水降尘频次，尤其是大风天气和易产生扬尘的施工阶段；将施工养护使用的水泥集中堆放在库房或临时工棚内，对破包和</w:t>
            </w:r>
            <w:r>
              <w:rPr>
                <w:rFonts w:hint="default" w:ascii="Times New Roman" w:hAnsi="Times New Roman" w:cs="Times New Roman"/>
                <w:bCs/>
                <w:color w:val="auto"/>
                <w:kern w:val="2"/>
                <w:sz w:val="24"/>
                <w:szCs w:val="24"/>
                <w:lang w:eastAsia="zh-CN"/>
              </w:rPr>
              <w:t>洒落</w:t>
            </w:r>
            <w:r>
              <w:rPr>
                <w:rFonts w:hint="default" w:ascii="Times New Roman" w:hAnsi="Times New Roman" w:eastAsia="宋体" w:cs="Times New Roman"/>
                <w:bCs/>
                <w:color w:val="auto"/>
                <w:kern w:val="2"/>
                <w:sz w:val="24"/>
                <w:szCs w:val="24"/>
              </w:rPr>
              <w:t>于地面的水泥及时清扫；施工场区不使用油耗高、效率低、废气排放严重的施工机械，对燃油设备合理配置，加强管理，工程运输车辆尾气达标。</w:t>
            </w:r>
          </w:p>
          <w:p w14:paraId="35FB27A5">
            <w:pPr>
              <w:pStyle w:val="9"/>
              <w:widowControl/>
              <w:spacing w:line="360" w:lineRule="auto"/>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4.1.3施工期噪声防治措施</w:t>
            </w:r>
          </w:p>
          <w:p w14:paraId="22F2699E">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工程施工噪声主要由施工机具引起。施工机具主要有空压机、挖掘机等，此外还有各类运输车辆产生的噪声。</w:t>
            </w:r>
          </w:p>
          <w:p w14:paraId="2A379999">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本项目施工期应避开午间及夜间施工，采取适当隔声措施及增设施工围挡，闲置不用的设备应立即关闭，运输车辆进入现场应减速，并减少鸣笛；合理安排施工计划和施工方法，使动力机械设备适当分散布置在施工场地，避免在同一地点安排大量动力机械设备，以避免局部声级过高</w:t>
            </w:r>
          </w:p>
          <w:p w14:paraId="69D77042">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噪声随施工结束而消失，因此，施工作业产生的噪声和车辆噪声对周围声环境影响较小。</w:t>
            </w:r>
          </w:p>
          <w:p w14:paraId="67ED24FF">
            <w:pPr>
              <w:pStyle w:val="9"/>
              <w:widowControl/>
              <w:spacing w:line="360" w:lineRule="auto"/>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4.1.4施工期固体废物防治措施</w:t>
            </w:r>
          </w:p>
          <w:p w14:paraId="185C912A">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施工期固体废物主要为废油罐、施工弃渣、建筑垃圾和建材垃圾以及施工人员的生活垃圾。原有加油站储罐拆除施工前需制定拆除施工方案，拆除作业必须交由专业单位进行。</w:t>
            </w:r>
          </w:p>
          <w:p w14:paraId="7BEC1105">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施工期间罐体拆除过程产生的含油油罐、含油管道、含油污泥、含油废砂等危险废物委托有资质单位收运处置。</w:t>
            </w:r>
          </w:p>
          <w:p w14:paraId="0CB34F8D">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施工期间厂区内开挖土石方主要产生于埋地油罐区的开挖，全部用于现有油罐坑回填和场地平整，基本实现土石方平衡，不产生弃方。建筑垃圾主要产生于基层建设拆除过程中，主要以废石、废木料、废钢筋等，其中能回收利用的集中收集外售资源回收单位，不能利用的集中堆放，定时清运到城市建设建管部门指定地点进行处置。施工人员生活垃圾统一收集后交由市政环卫部门统一处理。</w:t>
            </w:r>
          </w:p>
          <w:p w14:paraId="550A3BFB">
            <w:pPr>
              <w:pStyle w:val="9"/>
              <w:widowControl/>
              <w:spacing w:line="360" w:lineRule="auto"/>
              <w:ind w:firstLine="480" w:firstLineChars="200"/>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采取上述污染防治措施，施工期固体废物对环境的影响可降至最低。</w:t>
            </w:r>
          </w:p>
          <w:p w14:paraId="2DDA05ED">
            <w:pPr>
              <w:pStyle w:val="9"/>
              <w:widowControl/>
              <w:spacing w:line="360" w:lineRule="auto"/>
              <w:jc w:val="left"/>
              <w:rPr>
                <w:rFonts w:hint="default" w:ascii="Times New Roman" w:hAnsi="Times New Roman" w:eastAsia="宋体" w:cs="Times New Roman"/>
                <w:b/>
                <w:bCs/>
                <w:color w:val="auto"/>
                <w:sz w:val="24"/>
                <w:szCs w:val="26"/>
                <w:lang w:val="en-US" w:eastAsia="zh-CN"/>
              </w:rPr>
            </w:pPr>
            <w:r>
              <w:rPr>
                <w:rFonts w:hint="default" w:ascii="Times New Roman" w:hAnsi="Times New Roman" w:eastAsia="宋体" w:cs="Times New Roman"/>
                <w:b/>
                <w:bCs/>
                <w:color w:val="auto"/>
                <w:sz w:val="24"/>
                <w:szCs w:val="26"/>
                <w:lang w:val="en-US" w:eastAsia="zh-CN"/>
              </w:rPr>
              <w:t>4.1.5施工期环境风险防范措施</w:t>
            </w:r>
          </w:p>
          <w:p w14:paraId="462DAA42">
            <w:pPr>
              <w:pStyle w:val="9"/>
              <w:widowControl/>
              <w:spacing w:line="360" w:lineRule="auto"/>
              <w:ind w:firstLine="480" w:firstLineChars="200"/>
              <w:rPr>
                <w:rFonts w:hint="default" w:ascii="Times New Roman" w:hAnsi="Times New Roman" w:eastAsia="宋体" w:cs="Times New Roman"/>
                <w:color w:val="auto"/>
                <w:sz w:val="24"/>
                <w:szCs w:val="26"/>
                <w:lang w:val="en-US" w:eastAsia="zh-CN"/>
              </w:rPr>
            </w:pPr>
            <w:r>
              <w:rPr>
                <w:rFonts w:hint="default" w:ascii="Times New Roman" w:hAnsi="Times New Roman" w:eastAsia="宋体" w:cs="Times New Roman"/>
                <w:color w:val="auto"/>
                <w:sz w:val="24"/>
                <w:szCs w:val="26"/>
                <w:lang w:val="en-US" w:eastAsia="zh-CN"/>
              </w:rPr>
              <w:t>本项目施工期清罐及油罐更换等过程应严格落实安评要求的安全措施；整个施工期间严禁明火作业、严禁现场吸烟，做好静电消除等安全措施。施工期含油废水收集后经处理达标后排入市政管网，做好收集处理措施，防止溢流；由于</w:t>
            </w:r>
            <w:r>
              <w:rPr>
                <w:rFonts w:hint="default" w:ascii="Times New Roman" w:hAnsi="Times New Roman" w:eastAsia="宋体" w:cs="Times New Roman"/>
                <w:color w:val="auto"/>
                <w:sz w:val="24"/>
                <w:szCs w:val="26"/>
                <w:lang w:eastAsia="zh-CN"/>
              </w:rPr>
              <w:t>建设单位已经与重庆明珠鹏程再生资源利用有限公司签订了加油站危险废物收运处置合同，</w:t>
            </w:r>
            <w:r>
              <w:rPr>
                <w:rFonts w:hint="default" w:ascii="Times New Roman" w:hAnsi="Times New Roman" w:eastAsia="宋体" w:cs="Times New Roman"/>
                <w:color w:val="auto"/>
                <w:sz w:val="24"/>
                <w:szCs w:val="26"/>
                <w:lang w:val="en-US" w:eastAsia="zh-CN"/>
              </w:rPr>
              <w:t>清罐前联系危险废物处置单位</w:t>
            </w:r>
            <w:r>
              <w:rPr>
                <w:rFonts w:hint="default" w:ascii="Times New Roman" w:hAnsi="Times New Roman" w:eastAsia="宋体" w:cs="Times New Roman"/>
                <w:color w:val="auto"/>
                <w:sz w:val="24"/>
                <w:szCs w:val="26"/>
                <w:lang w:eastAsia="zh-CN"/>
              </w:rPr>
              <w:t>，</w:t>
            </w:r>
            <w:r>
              <w:rPr>
                <w:rFonts w:hint="default" w:ascii="Times New Roman" w:hAnsi="Times New Roman" w:eastAsia="宋体" w:cs="Times New Roman"/>
                <w:color w:val="auto"/>
                <w:sz w:val="24"/>
                <w:szCs w:val="26"/>
                <w:lang w:val="en-US" w:eastAsia="zh-CN"/>
              </w:rPr>
              <w:t>施工期清罐产生的危废等当天收运处置，减少在加油站暂存时间，降低暂存风险。</w:t>
            </w:r>
          </w:p>
        </w:tc>
      </w:tr>
      <w:tr w14:paraId="33F99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6" w:type="dxa"/>
            <w:noWrap w:val="0"/>
            <w:tcMar>
              <w:left w:w="28" w:type="dxa"/>
              <w:right w:w="28" w:type="dxa"/>
            </w:tcMar>
            <w:vAlign w:val="center"/>
          </w:tcPr>
          <w:p w14:paraId="3FDCD334">
            <w:pPr>
              <w:adjustRightInd w:val="0"/>
              <w:snapToGrid w:val="0"/>
              <w:spacing w:line="360" w:lineRule="auto"/>
              <w:jc w:val="center"/>
              <w:rPr>
                <w:rFonts w:hint="default" w:ascii="Times New Roman" w:hAnsi="Times New Roman" w:eastAsia="宋体" w:cs="Times New Roman"/>
                <w:color w:val="auto"/>
                <w:sz w:val="26"/>
                <w:szCs w:val="26"/>
                <w:highlight w:val="yellow"/>
              </w:rPr>
            </w:pPr>
            <w:r>
              <w:rPr>
                <w:rFonts w:hint="default" w:ascii="Times New Roman" w:hAnsi="Times New Roman" w:eastAsia="宋体" w:cs="Times New Roman"/>
                <w:bCs/>
                <w:color w:val="auto"/>
                <w:sz w:val="24"/>
                <w:szCs w:val="26"/>
              </w:rPr>
              <w:t>运营期环境影响和保护措施</w:t>
            </w:r>
          </w:p>
        </w:tc>
        <w:tc>
          <w:tcPr>
            <w:tcW w:w="8162" w:type="dxa"/>
            <w:noWrap w:val="0"/>
            <w:vAlign w:val="center"/>
          </w:tcPr>
          <w:p w14:paraId="08BDDB5D">
            <w:pPr>
              <w:adjustRightInd w:val="0"/>
              <w:snapToGrid w:val="0"/>
              <w:spacing w:line="360" w:lineRule="auto"/>
              <w:jc w:val="left"/>
              <w:rPr>
                <w:rFonts w:hint="default" w:ascii="Times New Roman" w:hAnsi="Times New Roman" w:eastAsia="宋体" w:cs="Times New Roman"/>
                <w:b/>
                <w:bCs/>
                <w:color w:val="auto"/>
                <w:sz w:val="28"/>
                <w:szCs w:val="26"/>
              </w:rPr>
            </w:pPr>
            <w:r>
              <w:rPr>
                <w:rFonts w:hint="default" w:ascii="Times New Roman" w:hAnsi="Times New Roman" w:eastAsia="宋体" w:cs="Times New Roman"/>
                <w:b/>
                <w:bCs/>
                <w:color w:val="auto"/>
                <w:sz w:val="28"/>
                <w:szCs w:val="26"/>
              </w:rPr>
              <w:t>4.2运营期环境影响和保护措施</w:t>
            </w:r>
          </w:p>
          <w:p w14:paraId="04BE328E">
            <w:pPr>
              <w:adjustRightInd w:val="0"/>
              <w:snapToGrid w:val="0"/>
              <w:spacing w:line="360" w:lineRule="auto"/>
              <w:ind w:firstLine="480" w:firstLineChars="2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color w:val="auto"/>
                <w:sz w:val="24"/>
              </w:rPr>
              <w:t>由于本项目对全部油罐进行了更换，</w:t>
            </w:r>
            <w:r>
              <w:rPr>
                <w:rFonts w:hint="default" w:ascii="Times New Roman" w:hAnsi="Times New Roman" w:eastAsia="宋体" w:cs="Times New Roman"/>
                <w:color w:val="auto"/>
                <w:kern w:val="0"/>
                <w:sz w:val="24"/>
                <w:lang w:bidi="ar"/>
              </w:rPr>
              <w:t>不能常规的只分析、核算改扩建新增废气产排污。因此，本次评价按照改扩建完成后整体加油规模产生的废气进行分析，现有项目排放污染物在“以新带老”中</w:t>
            </w:r>
            <w:r>
              <w:rPr>
                <w:rFonts w:hint="default" w:ascii="Times New Roman" w:hAnsi="Times New Roman" w:cs="Times New Roman"/>
                <w:color w:val="auto"/>
                <w:kern w:val="0"/>
                <w:sz w:val="24"/>
                <w:lang w:eastAsia="zh-CN" w:bidi="ar"/>
              </w:rPr>
              <w:t>做</w:t>
            </w:r>
            <w:r>
              <w:rPr>
                <w:rFonts w:hint="default" w:ascii="Times New Roman" w:hAnsi="Times New Roman" w:eastAsia="宋体" w:cs="Times New Roman"/>
                <w:color w:val="auto"/>
                <w:kern w:val="0"/>
                <w:sz w:val="24"/>
                <w:lang w:bidi="ar"/>
              </w:rPr>
              <w:t>削减分析</w:t>
            </w:r>
            <w:r>
              <w:rPr>
                <w:rFonts w:hint="default" w:ascii="Times New Roman" w:hAnsi="Times New Roman" w:eastAsia="宋体" w:cs="Times New Roman"/>
                <w:color w:val="auto"/>
                <w:sz w:val="24"/>
              </w:rPr>
              <w:t>。</w:t>
            </w:r>
          </w:p>
          <w:p w14:paraId="582405C8">
            <w:pPr>
              <w:adjustRightInd w:val="0"/>
              <w:snapToGrid w:val="0"/>
              <w:spacing w:line="360" w:lineRule="auto"/>
              <w:jc w:val="left"/>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4.2.1废气影响分析及其防治措施</w:t>
            </w:r>
          </w:p>
          <w:p w14:paraId="6AECF9E4">
            <w:pPr>
              <w:adjustRightInd w:val="0"/>
              <w:snapToGrid w:val="0"/>
              <w:spacing w:line="360" w:lineRule="auto"/>
              <w:ind w:firstLine="480" w:firstLineChars="2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（1）废气排放源强</w:t>
            </w:r>
          </w:p>
          <w:p w14:paraId="670DC7BE">
            <w:pPr>
              <w:adjustRightInd w:val="0"/>
              <w:snapToGrid w:val="0"/>
              <w:spacing w:line="360" w:lineRule="auto"/>
              <w:ind w:firstLine="480" w:firstLineChars="200"/>
              <w:jc w:val="left"/>
              <w:rPr>
                <w:rFonts w:hint="default" w:ascii="Times New Roman" w:hAnsi="Times New Roman" w:eastAsia="宋体" w:cs="Times New Roman"/>
                <w:bCs/>
                <w:color w:val="auto"/>
                <w:sz w:val="26"/>
                <w:szCs w:val="26"/>
              </w:rPr>
            </w:pPr>
            <w:r>
              <w:rPr>
                <w:rFonts w:hint="default" w:ascii="Times New Roman" w:hAnsi="Times New Roman" w:eastAsia="宋体" w:cs="Times New Roman"/>
                <w:bCs/>
                <w:color w:val="auto"/>
                <w:sz w:val="24"/>
                <w:szCs w:val="26"/>
              </w:rPr>
              <w:t>本项目主要大气污染因子为非甲烷总烃，正常营运期间产生的废气主要来自储油罐呼吸损耗、油罐车卸油灌注以及加油作业过程中排放的少量油气，以非甲烷总烃为污染物指标计算。另外，加油站运营过程中还有过往车辆产生的少量汽车尾气、生化池臭气和备用柴油发电机废气。</w:t>
            </w:r>
          </w:p>
          <w:p w14:paraId="7475C45B">
            <w:pPr>
              <w:adjustRightInd w:val="0"/>
              <w:snapToGrid w:val="0"/>
              <w:spacing w:line="360" w:lineRule="auto"/>
              <w:ind w:firstLine="480" w:firstLineChars="2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加油站油气损耗主要来自油罐车卸油损耗（当油品从油罐车卸油到储油罐中，会产生卸油损耗）、油品贮存损耗（当加油站汽油、柴油储存于储油罐中，会随着外界环境温度的变化产生油品的储存损耗，即小呼吸损耗）及油品零售损耗（当油品储油罐通过加油机输送到汽车时，会发生加油零售损耗）。油气以无组织排放的形式散逸到空气中。</w:t>
            </w:r>
          </w:p>
          <w:p w14:paraId="31044A17">
            <w:pPr>
              <w:adjustRightInd w:val="0"/>
              <w:snapToGrid w:val="0"/>
              <w:spacing w:line="360" w:lineRule="auto"/>
              <w:ind w:firstLine="480" w:firstLineChars="2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根据《散装液态石油产品损耗》（GB11085-1989）中关于四川地区油气损耗率，结合拟建项目销售量，由油品损耗量计算公式：</w:t>
            </w:r>
          </w:p>
          <w:p w14:paraId="04FD5502">
            <w:pPr>
              <w:adjustRightInd w:val="0"/>
              <w:snapToGrid w:val="0"/>
              <w:spacing w:line="360" w:lineRule="auto"/>
              <w:ind w:firstLine="480" w:firstLineChars="200"/>
              <w:jc w:val="center"/>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Q=m×q</w:t>
            </w:r>
          </w:p>
          <w:p w14:paraId="668F648F">
            <w:pPr>
              <w:adjustRightInd w:val="0"/>
              <w:snapToGrid w:val="0"/>
              <w:spacing w:line="360" w:lineRule="auto"/>
              <w:ind w:firstLine="480" w:firstLineChars="2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其中：m——油品质量；</w:t>
            </w:r>
          </w:p>
          <w:p w14:paraId="1B1C4DFE">
            <w:pPr>
              <w:adjustRightInd w:val="0"/>
              <w:snapToGrid w:val="0"/>
              <w:spacing w:line="360" w:lineRule="auto"/>
              <w:ind w:firstLine="1200" w:firstLineChars="5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q——汽油或柴油的相应损耗率。</w:t>
            </w:r>
          </w:p>
          <w:p w14:paraId="7CF02EC6">
            <w:pPr>
              <w:numPr>
                <w:ilvl w:val="0"/>
                <w:numId w:val="2"/>
              </w:numPr>
              <w:adjustRightInd w:val="0"/>
              <w:snapToGrid w:val="0"/>
              <w:spacing w:line="360" w:lineRule="auto"/>
              <w:jc w:val="left"/>
              <w:rPr>
                <w:rFonts w:hint="default" w:ascii="Times New Roman" w:hAnsi="Times New Roman" w:eastAsia="宋体" w:cs="Times New Roman"/>
                <w:b/>
                <w:bCs/>
                <w:color w:val="auto"/>
                <w:sz w:val="24"/>
                <w:szCs w:val="26"/>
              </w:rPr>
            </w:pPr>
            <w:r>
              <w:rPr>
                <w:rFonts w:hint="default" w:ascii="Times New Roman" w:hAnsi="Times New Roman" w:eastAsia="宋体" w:cs="Times New Roman"/>
                <w:b/>
                <w:bCs/>
                <w:color w:val="auto"/>
                <w:sz w:val="24"/>
                <w:szCs w:val="26"/>
              </w:rPr>
              <w:t>柴油油气</w:t>
            </w:r>
          </w:p>
          <w:p w14:paraId="71161E55">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本项目年销售柴油量</w:t>
            </w:r>
            <w:r>
              <w:rPr>
                <w:rFonts w:hint="default" w:ascii="Times New Roman" w:hAnsi="Times New Roman" w:cs="Times New Roman"/>
                <w:bCs/>
                <w:color w:val="auto"/>
                <w:sz w:val="24"/>
                <w:szCs w:val="26"/>
                <w:lang w:val="en-US" w:eastAsia="zh-CN"/>
              </w:rPr>
              <w:t>500</w:t>
            </w:r>
            <w:r>
              <w:rPr>
                <w:rFonts w:hint="default" w:ascii="Times New Roman" w:hAnsi="Times New Roman" w:eastAsia="宋体" w:cs="Times New Roman"/>
                <w:bCs/>
                <w:color w:val="auto"/>
                <w:sz w:val="24"/>
                <w:szCs w:val="26"/>
              </w:rPr>
              <w:t>t。根据《散装液态石油产品损耗》（GB11085-1989），A类地区的柴油卸油时会产生0.05%的油气；由于柴油的蒸汽压太低，约为汽油蒸气压的0.0075倍，因此油罐呼吸排放其蒸发量不予考虑，柴油呼吸损耗产生的油气直接由阻火器（起呼吸阀作用，并同时能阻燃、阻火）排放；另汽车加油过程中因加油箱都是敞开式，会向外逸散油气，当加油流速较快时会有油气产生，柴油会产生0.08%的油气排放。则柴油油气损耗量预测结果见表4.2-1。</w:t>
            </w:r>
          </w:p>
          <w:p w14:paraId="2512EF89">
            <w:pPr>
              <w:jc w:val="center"/>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 xml:space="preserve">表4.2-1    </w:t>
            </w:r>
            <w:r>
              <w:rPr>
                <w:rFonts w:hint="eastAsia" w:cs="Times New Roman"/>
                <w:b/>
                <w:color w:val="auto"/>
                <w:sz w:val="24"/>
                <w:szCs w:val="26"/>
                <w:lang w:eastAsia="zh-CN"/>
              </w:rPr>
              <w:t>本项目实施</w:t>
            </w:r>
            <w:r>
              <w:rPr>
                <w:rFonts w:hint="default" w:ascii="Times New Roman" w:hAnsi="Times New Roman" w:eastAsia="宋体" w:cs="Times New Roman"/>
                <w:b/>
                <w:color w:val="auto"/>
                <w:sz w:val="24"/>
                <w:szCs w:val="26"/>
              </w:rPr>
              <w:t>后柴油油气损耗量预测     单位：t/a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905"/>
              <w:gridCol w:w="2906"/>
            </w:tblGrid>
            <w:tr w14:paraId="2F8D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pct"/>
                  <w:vMerge w:val="restart"/>
                  <w:tcBorders>
                    <w:tl2br w:val="single" w:color="auto" w:sz="4" w:space="0"/>
                  </w:tcBorders>
                  <w:noWrap w:val="0"/>
                  <w:vAlign w:val="center"/>
                </w:tcPr>
                <w:p w14:paraId="26345E16">
                  <w:pPr>
                    <w:widowControl/>
                    <w:pBdr>
                      <w:left w:val="single" w:color="auto" w:sz="4" w:space="31"/>
                      <w:right w:val="single" w:color="auto" w:sz="4" w:space="31"/>
                    </w:pBdr>
                    <w:jc w:val="center"/>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          项目</w:t>
                  </w:r>
                </w:p>
                <w:p w14:paraId="1526BAC6">
                  <w:pPr>
                    <w:widowControl/>
                    <w:pBdr>
                      <w:left w:val="single" w:color="auto" w:sz="4" w:space="31"/>
                      <w:right w:val="single" w:color="auto" w:sz="4" w:space="31"/>
                    </w:pBdr>
                    <w:rPr>
                      <w:rFonts w:hint="default" w:ascii="Times New Roman" w:hAnsi="Times New Roman" w:eastAsia="宋体" w:cs="Times New Roman"/>
                      <w:color w:val="auto"/>
                    </w:rPr>
                  </w:pPr>
                  <w:r>
                    <w:rPr>
                      <w:rFonts w:hint="default" w:ascii="Times New Roman" w:hAnsi="Times New Roman" w:eastAsia="宋体" w:cs="Times New Roman"/>
                      <w:color w:val="auto"/>
                    </w:rPr>
                    <w:t>损耗类型</w:t>
                  </w:r>
                </w:p>
              </w:tc>
              <w:tc>
                <w:tcPr>
                  <w:tcW w:w="3661" w:type="pct"/>
                  <w:gridSpan w:val="2"/>
                  <w:noWrap w:val="0"/>
                  <w:vAlign w:val="center"/>
                </w:tcPr>
                <w:p w14:paraId="1CEAAEC5">
                  <w:pPr>
                    <w:widowControl/>
                    <w:pBdr>
                      <w:left w:val="single" w:color="auto" w:sz="4" w:space="31"/>
                      <w:right w:val="single" w:color="auto" w:sz="4" w:space="31"/>
                    </w:pBdr>
                    <w:jc w:val="center"/>
                    <w:rPr>
                      <w:rFonts w:hint="default" w:ascii="Times New Roman" w:hAnsi="Times New Roman" w:eastAsia="宋体" w:cs="Times New Roman"/>
                      <w:color w:val="auto"/>
                    </w:rPr>
                  </w:pPr>
                  <w:r>
                    <w:rPr>
                      <w:rFonts w:hint="default" w:ascii="Times New Roman" w:hAnsi="Times New Roman" w:eastAsia="宋体" w:cs="Times New Roman"/>
                      <w:color w:val="auto"/>
                    </w:rPr>
                    <w:t>柴油</w:t>
                  </w:r>
                </w:p>
              </w:tc>
            </w:tr>
            <w:tr w14:paraId="4BEE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pct"/>
                  <w:vMerge w:val="continue"/>
                  <w:tcBorders>
                    <w:tl2br w:val="single" w:color="auto" w:sz="4" w:space="0"/>
                  </w:tcBorders>
                  <w:noWrap w:val="0"/>
                  <w:vAlign w:val="center"/>
                </w:tcPr>
                <w:p w14:paraId="0795BD98">
                  <w:pPr>
                    <w:widowControl/>
                    <w:pBdr>
                      <w:left w:val="single" w:color="auto" w:sz="4" w:space="31"/>
                      <w:right w:val="single" w:color="auto" w:sz="4" w:space="31"/>
                    </w:pBdr>
                    <w:jc w:val="center"/>
                    <w:rPr>
                      <w:rFonts w:hint="default" w:ascii="Times New Roman" w:hAnsi="Times New Roman" w:eastAsia="宋体" w:cs="Times New Roman"/>
                      <w:color w:val="auto"/>
                    </w:rPr>
                  </w:pPr>
                </w:p>
              </w:tc>
              <w:tc>
                <w:tcPr>
                  <w:tcW w:w="1830" w:type="pct"/>
                  <w:noWrap w:val="0"/>
                  <w:vAlign w:val="center"/>
                </w:tcPr>
                <w:p w14:paraId="40F84DBB">
                  <w:pPr>
                    <w:widowControl/>
                    <w:pBdr>
                      <w:left w:val="single" w:color="auto" w:sz="4" w:space="31"/>
                      <w:right w:val="single" w:color="auto" w:sz="4" w:space="31"/>
                    </w:pBdr>
                    <w:jc w:val="center"/>
                    <w:rPr>
                      <w:rFonts w:hint="default" w:ascii="Times New Roman" w:hAnsi="Times New Roman" w:eastAsia="宋体" w:cs="Times New Roman"/>
                      <w:color w:val="auto"/>
                    </w:rPr>
                  </w:pPr>
                  <w:r>
                    <w:rPr>
                      <w:rFonts w:hint="default" w:ascii="Times New Roman" w:hAnsi="Times New Roman" w:eastAsia="宋体" w:cs="Times New Roman"/>
                      <w:color w:val="auto"/>
                    </w:rPr>
                    <w:t>损耗率</w:t>
                  </w:r>
                </w:p>
              </w:tc>
              <w:tc>
                <w:tcPr>
                  <w:tcW w:w="1830" w:type="pct"/>
                  <w:noWrap w:val="0"/>
                  <w:vAlign w:val="center"/>
                </w:tcPr>
                <w:p w14:paraId="3F7F9BAF">
                  <w:pPr>
                    <w:widowControl/>
                    <w:pBdr>
                      <w:left w:val="single" w:color="auto" w:sz="4" w:space="31"/>
                      <w:right w:val="single" w:color="auto" w:sz="4" w:space="31"/>
                    </w:pBdr>
                    <w:jc w:val="center"/>
                    <w:rPr>
                      <w:rFonts w:hint="default" w:ascii="Times New Roman" w:hAnsi="Times New Roman" w:eastAsia="宋体" w:cs="Times New Roman"/>
                      <w:color w:val="auto"/>
                    </w:rPr>
                  </w:pPr>
                  <w:r>
                    <w:rPr>
                      <w:rFonts w:hint="default" w:ascii="Times New Roman" w:hAnsi="Times New Roman" w:eastAsia="宋体" w:cs="Times New Roman"/>
                      <w:color w:val="auto"/>
                    </w:rPr>
                    <w:t>损耗量</w:t>
                  </w:r>
                </w:p>
              </w:tc>
            </w:tr>
            <w:tr w14:paraId="7CDD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pct"/>
                  <w:noWrap w:val="0"/>
                  <w:vAlign w:val="center"/>
                </w:tcPr>
                <w:p w14:paraId="66207CA6">
                  <w:pPr>
                    <w:widowControl/>
                    <w:pBdr>
                      <w:left w:val="single" w:color="auto" w:sz="4" w:space="31"/>
                      <w:right w:val="single" w:color="auto" w:sz="4" w:space="31"/>
                    </w:pBd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卸油损耗</w:t>
                  </w:r>
                </w:p>
              </w:tc>
              <w:tc>
                <w:tcPr>
                  <w:tcW w:w="1830" w:type="pct"/>
                  <w:noWrap w:val="0"/>
                  <w:vAlign w:val="center"/>
                </w:tcPr>
                <w:p w14:paraId="0999B72A">
                  <w:pPr>
                    <w:widowControl/>
                    <w:pBdr>
                      <w:left w:val="single" w:color="auto" w:sz="4" w:space="31"/>
                      <w:right w:val="single" w:color="auto" w:sz="4" w:space="31"/>
                    </w:pBd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0.05%</w:t>
                  </w:r>
                </w:p>
              </w:tc>
              <w:tc>
                <w:tcPr>
                  <w:tcW w:w="2906" w:type="dxa"/>
                  <w:tcBorders>
                    <w:top w:val="single" w:color="auto" w:sz="4" w:space="0"/>
                    <w:left w:val="single" w:color="auto" w:sz="4" w:space="0"/>
                    <w:bottom w:val="single" w:color="auto" w:sz="4" w:space="0"/>
                    <w:right w:val="single" w:color="auto" w:sz="4" w:space="0"/>
                  </w:tcBorders>
                  <w:noWrap w:val="0"/>
                  <w:vAlign w:val="center"/>
                </w:tcPr>
                <w:p w14:paraId="02B1BBB0">
                  <w:pPr>
                    <w:keepNext w:val="0"/>
                    <w:keepLines w:val="0"/>
                    <w:widowControl/>
                    <w:suppressLineNumbers w:val="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0.250 </w:t>
                  </w:r>
                </w:p>
              </w:tc>
            </w:tr>
            <w:tr w14:paraId="6C43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pct"/>
                  <w:noWrap w:val="0"/>
                  <w:vAlign w:val="center"/>
                </w:tcPr>
                <w:p w14:paraId="1B7093EA">
                  <w:pPr>
                    <w:widowControl/>
                    <w:pBdr>
                      <w:left w:val="single" w:color="auto" w:sz="4" w:space="31"/>
                      <w:right w:val="single" w:color="auto" w:sz="4" w:space="31"/>
                    </w:pBd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加油损耗</w:t>
                  </w:r>
                </w:p>
              </w:tc>
              <w:tc>
                <w:tcPr>
                  <w:tcW w:w="1830" w:type="pct"/>
                  <w:noWrap w:val="0"/>
                  <w:vAlign w:val="center"/>
                </w:tcPr>
                <w:p w14:paraId="3D276A34">
                  <w:pPr>
                    <w:widowControl/>
                    <w:pBdr>
                      <w:left w:val="single" w:color="auto" w:sz="4" w:space="31"/>
                      <w:right w:val="single" w:color="auto" w:sz="4" w:space="31"/>
                    </w:pBdr>
                    <w:jc w:val="center"/>
                    <w:rPr>
                      <w:rFonts w:hint="default" w:ascii="Times New Roman" w:hAnsi="Times New Roman" w:eastAsia="宋体" w:cs="Times New Roman"/>
                      <w:color w:val="auto"/>
                    </w:rPr>
                  </w:pPr>
                  <w:r>
                    <w:rPr>
                      <w:rFonts w:hint="default" w:ascii="Times New Roman" w:hAnsi="Times New Roman" w:eastAsia="宋体" w:cs="Times New Roman"/>
                      <w:color w:val="auto"/>
                    </w:rPr>
                    <w:t>0.08%</w:t>
                  </w:r>
                </w:p>
              </w:tc>
              <w:tc>
                <w:tcPr>
                  <w:tcW w:w="2906" w:type="dxa"/>
                  <w:tcBorders>
                    <w:top w:val="nil"/>
                    <w:left w:val="single" w:color="auto" w:sz="4" w:space="0"/>
                    <w:bottom w:val="single" w:color="auto" w:sz="4" w:space="0"/>
                    <w:right w:val="single" w:color="auto" w:sz="4" w:space="0"/>
                  </w:tcBorders>
                  <w:noWrap w:val="0"/>
                  <w:vAlign w:val="center"/>
                </w:tcPr>
                <w:p w14:paraId="47BF8946">
                  <w:pPr>
                    <w:keepNext w:val="0"/>
                    <w:keepLines w:val="0"/>
                    <w:widowControl/>
                    <w:suppressLineNumbers w:val="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0.400 </w:t>
                  </w:r>
                </w:p>
              </w:tc>
            </w:tr>
            <w:tr w14:paraId="15B3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9" w:type="pct"/>
                  <w:noWrap w:val="0"/>
                  <w:vAlign w:val="center"/>
                </w:tcPr>
                <w:p w14:paraId="5F029E15">
                  <w:pPr>
                    <w:widowControl/>
                    <w:pBdr>
                      <w:left w:val="single" w:color="auto" w:sz="4" w:space="31"/>
                      <w:right w:val="single" w:color="auto" w:sz="4" w:space="31"/>
                    </w:pBd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合计</w:t>
                  </w:r>
                </w:p>
              </w:tc>
              <w:tc>
                <w:tcPr>
                  <w:tcW w:w="1830" w:type="pct"/>
                  <w:noWrap w:val="0"/>
                  <w:vAlign w:val="center"/>
                </w:tcPr>
                <w:p w14:paraId="3E71ACF4">
                  <w:pPr>
                    <w:widowControl/>
                    <w:pBdr>
                      <w:left w:val="single" w:color="auto" w:sz="4" w:space="31"/>
                      <w:right w:val="single" w:color="auto" w:sz="4" w:space="31"/>
                    </w:pBdr>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2906" w:type="dxa"/>
                  <w:tcBorders>
                    <w:top w:val="nil"/>
                    <w:left w:val="single" w:color="auto" w:sz="4" w:space="0"/>
                    <w:bottom w:val="single" w:color="auto" w:sz="4" w:space="0"/>
                    <w:right w:val="single" w:color="auto" w:sz="4" w:space="0"/>
                  </w:tcBorders>
                  <w:noWrap w:val="0"/>
                  <w:vAlign w:val="center"/>
                </w:tcPr>
                <w:p w14:paraId="27465F52">
                  <w:pPr>
                    <w:keepNext w:val="0"/>
                    <w:keepLines w:val="0"/>
                    <w:widowControl/>
                    <w:suppressLineNumbers w:val="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i w:val="0"/>
                      <w:iCs w:val="0"/>
                      <w:color w:val="auto"/>
                      <w:kern w:val="0"/>
                      <w:sz w:val="21"/>
                      <w:szCs w:val="21"/>
                      <w:u w:val="none"/>
                      <w:lang w:val="en-US" w:eastAsia="zh-CN" w:bidi="ar"/>
                    </w:rPr>
                    <w:t xml:space="preserve">0.650 </w:t>
                  </w:r>
                </w:p>
              </w:tc>
            </w:tr>
          </w:tbl>
          <w:p w14:paraId="0BBE9FF5">
            <w:pPr>
              <w:adjustRightInd w:val="0"/>
              <w:snapToGrid w:val="0"/>
              <w:spacing w:line="360" w:lineRule="auto"/>
              <w:ind w:firstLine="480" w:firstLineChars="200"/>
              <w:rPr>
                <w:rFonts w:hint="default" w:ascii="Times New Roman" w:hAnsi="Times New Roman" w:eastAsia="宋体" w:cs="Times New Roman"/>
                <w:bCs/>
                <w:color w:val="auto"/>
                <w:sz w:val="24"/>
                <w:szCs w:val="26"/>
              </w:rPr>
            </w:pPr>
          </w:p>
          <w:p w14:paraId="651DF558">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由上表4.2</w:t>
            </w:r>
            <w:r>
              <w:rPr>
                <w:rFonts w:hint="default" w:ascii="Times New Roman" w:hAnsi="Times New Roman" w:cs="Times New Roman"/>
                <w:bCs/>
                <w:color w:val="auto"/>
                <w:sz w:val="24"/>
                <w:szCs w:val="26"/>
                <w:lang w:val="en-US" w:eastAsia="zh-CN"/>
              </w:rPr>
              <w:t>-</w:t>
            </w:r>
            <w:r>
              <w:rPr>
                <w:rFonts w:hint="default" w:ascii="Times New Roman" w:hAnsi="Times New Roman" w:eastAsia="宋体" w:cs="Times New Roman"/>
                <w:bCs/>
                <w:color w:val="auto"/>
                <w:sz w:val="24"/>
                <w:szCs w:val="26"/>
              </w:rPr>
              <w:t>1可知，本项目柴油营运期损耗量约0.</w:t>
            </w:r>
            <w:r>
              <w:rPr>
                <w:rFonts w:hint="default" w:ascii="Times New Roman" w:hAnsi="Times New Roman" w:cs="Times New Roman"/>
                <w:bCs/>
                <w:color w:val="auto"/>
                <w:sz w:val="24"/>
                <w:szCs w:val="26"/>
                <w:lang w:val="en-US" w:eastAsia="zh-CN"/>
              </w:rPr>
              <w:t>650</w:t>
            </w:r>
            <w:r>
              <w:rPr>
                <w:rFonts w:hint="default" w:ascii="Times New Roman" w:hAnsi="Times New Roman" w:eastAsia="宋体" w:cs="Times New Roman"/>
                <w:bCs/>
                <w:color w:val="auto"/>
                <w:sz w:val="24"/>
                <w:szCs w:val="26"/>
              </w:rPr>
              <w:t>t/a。</w:t>
            </w:r>
          </w:p>
          <w:p w14:paraId="3049D83A">
            <w:pPr>
              <w:adjustRightInd w:val="0"/>
              <w:snapToGrid w:val="0"/>
              <w:spacing w:line="360" w:lineRule="auto"/>
              <w:ind w:firstLine="482" w:firstLineChars="200"/>
              <w:jc w:val="left"/>
              <w:rPr>
                <w:rFonts w:hint="default" w:ascii="Times New Roman" w:hAnsi="Times New Roman" w:eastAsia="宋体" w:cs="Times New Roman"/>
                <w:b/>
                <w:bCs/>
                <w:color w:val="auto"/>
                <w:sz w:val="24"/>
                <w:szCs w:val="26"/>
              </w:rPr>
            </w:pPr>
            <w:r>
              <w:rPr>
                <w:rFonts w:hint="default" w:ascii="Times New Roman" w:hAnsi="Times New Roman" w:eastAsia="宋体" w:cs="Times New Roman"/>
                <w:b/>
                <w:bCs/>
                <w:color w:val="auto"/>
                <w:sz w:val="24"/>
                <w:szCs w:val="26"/>
              </w:rPr>
              <w:t>②汽油油气</w:t>
            </w:r>
          </w:p>
          <w:p w14:paraId="47B04653">
            <w:pPr>
              <w:adjustRightInd w:val="0"/>
              <w:snapToGrid w:val="0"/>
              <w:spacing w:line="360" w:lineRule="auto"/>
              <w:ind w:firstLine="480" w:firstLineChars="200"/>
              <w:jc w:val="left"/>
              <w:rPr>
                <w:rFonts w:hint="default" w:ascii="Times New Roman" w:hAnsi="Times New Roman" w:cs="Times New Roman"/>
                <w:bCs/>
                <w:color w:val="auto"/>
                <w:sz w:val="24"/>
                <w:szCs w:val="24"/>
                <w:highlight w:val="none"/>
              </w:rPr>
            </w:pPr>
            <w:r>
              <w:rPr>
                <w:rFonts w:hint="default" w:ascii="Times New Roman" w:hAnsi="Times New Roman" w:eastAsia="宋体" w:cs="Times New Roman"/>
                <w:bCs/>
                <w:color w:val="auto"/>
                <w:sz w:val="24"/>
                <w:szCs w:val="26"/>
              </w:rPr>
              <w:t>根据项目设计方案，本项目针对汽油设置有卸油油气回收系统（即一次油气回收系统）装置，同时安装集中式加油油气回收系统</w:t>
            </w:r>
            <w:r>
              <w:rPr>
                <w:rFonts w:hint="default" w:ascii="Times New Roman" w:hAnsi="Times New Roman" w:cs="Times New Roman"/>
                <w:bCs/>
                <w:color w:val="auto"/>
                <w:sz w:val="24"/>
                <w:szCs w:val="24"/>
                <w:highlight w:val="none"/>
                <w:lang w:val="en-US" w:eastAsia="zh-CN"/>
              </w:rPr>
              <w:t>和</w:t>
            </w:r>
            <w:r>
              <w:rPr>
                <w:rFonts w:hint="default" w:ascii="Times New Roman" w:hAnsi="Times New Roman" w:cs="Times New Roman"/>
                <w:bCs/>
                <w:color w:val="auto"/>
                <w:sz w:val="24"/>
                <w:szCs w:val="24"/>
                <w:highlight w:val="none"/>
              </w:rPr>
              <w:t>三次油气回收</w:t>
            </w:r>
            <w:r>
              <w:rPr>
                <w:rFonts w:hint="default" w:ascii="Times New Roman" w:hAnsi="Times New Roman" w:cs="Times New Roman"/>
                <w:bCs/>
                <w:color w:val="auto"/>
                <w:sz w:val="24"/>
                <w:szCs w:val="24"/>
                <w:highlight w:val="none"/>
                <w:lang w:val="en-US" w:eastAsia="zh-CN"/>
              </w:rPr>
              <w:t>处理</w:t>
            </w:r>
            <w:r>
              <w:rPr>
                <w:rFonts w:hint="default" w:ascii="Times New Roman" w:hAnsi="Times New Roman" w:cs="Times New Roman"/>
                <w:bCs/>
                <w:color w:val="auto"/>
                <w:sz w:val="24"/>
                <w:szCs w:val="24"/>
                <w:highlight w:val="none"/>
              </w:rPr>
              <w:t>系统。</w:t>
            </w:r>
          </w:p>
          <w:p w14:paraId="7A0D7C86">
            <w:pPr>
              <w:adjustRightInd w:val="0"/>
              <w:snapToGrid w:val="0"/>
              <w:spacing w:line="360" w:lineRule="auto"/>
              <w:ind w:firstLine="480" w:firstLineChars="2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卸油油气回收系统将油罐车向油罐卸油产生的油气密闭回收至油罐车内运往油库处理，卸油油气回收系统回收效率95%。</w:t>
            </w:r>
          </w:p>
          <w:p w14:paraId="75634CD7">
            <w:pPr>
              <w:adjustRightInd w:val="0"/>
              <w:snapToGrid w:val="0"/>
              <w:spacing w:line="360" w:lineRule="auto"/>
              <w:ind w:firstLine="480" w:firstLineChars="2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加油油气回收系统将车辆加油时将加油车辆油箱上空产生的油气通过真空辅助回收系统按气液比1.2</w:t>
            </w:r>
            <w:r>
              <w:rPr>
                <w:rFonts w:hint="eastAsia" w:cs="Times New Roman"/>
                <w:bCs/>
                <w:color w:val="auto"/>
                <w:sz w:val="24"/>
                <w:szCs w:val="26"/>
                <w:lang w:eastAsia="zh-CN"/>
              </w:rPr>
              <w:t>:</w:t>
            </w:r>
            <w:r>
              <w:rPr>
                <w:rFonts w:hint="default" w:ascii="Times New Roman" w:hAnsi="Times New Roman" w:eastAsia="宋体" w:cs="Times New Roman"/>
                <w:bCs/>
                <w:color w:val="auto"/>
                <w:sz w:val="24"/>
                <w:szCs w:val="26"/>
              </w:rPr>
              <w:t>1的比例回收至油罐内，回收效率为90%。即向汽车加入1L液态汽油，油气回收系统将抽入1.2L的油气（损耗油气的90%）和空气的混合物。</w:t>
            </w:r>
          </w:p>
          <w:p w14:paraId="1EF9F628">
            <w:pPr>
              <w:adjustRightInd w:val="0"/>
              <w:snapToGrid w:val="0"/>
              <w:spacing w:line="360" w:lineRule="auto"/>
              <w:ind w:firstLine="480" w:firstLineChars="200"/>
              <w:jc w:val="left"/>
              <w:rPr>
                <w:rFonts w:hint="default" w:ascii="Times New Roman" w:hAnsi="Times New Roman" w:cs="Times New Roman"/>
                <w:bCs/>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三次油气回收系统是通过在加油站通气管排放油气之前安装一台冷凝+膜过滤装置，将油气直接冷凝成汽油回收到油罐，未冷凝部分经膜过滤后排放。三次油气回收治理效率为90%。</w:t>
            </w:r>
          </w:p>
          <w:p w14:paraId="7B28AAD2">
            <w:pPr>
              <w:adjustRightInd w:val="0"/>
              <w:snapToGrid w:val="0"/>
              <w:spacing w:line="360" w:lineRule="auto"/>
              <w:ind w:firstLine="480" w:firstLineChars="2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通过通气立管外排的和加油时逸散的油气主要为C2~C8碳氢化合物，评价以非甲烷总烃作为油气挥发的污染物指标。</w:t>
            </w:r>
          </w:p>
          <w:p w14:paraId="5C85F764">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根据《散装液态石油产品损耗》（GB11085-89）中关于四川地区油气损耗率，不考虑卧式罐贮存损耗率。本项目年销售汽油量</w:t>
            </w:r>
            <w:r>
              <w:rPr>
                <w:rFonts w:hint="default" w:ascii="Times New Roman" w:hAnsi="Times New Roman" w:cs="Times New Roman"/>
                <w:bCs/>
                <w:color w:val="auto"/>
                <w:sz w:val="24"/>
                <w:szCs w:val="26"/>
                <w:lang w:val="en-US" w:eastAsia="zh-CN"/>
              </w:rPr>
              <w:t>4000</w:t>
            </w:r>
            <w:r>
              <w:rPr>
                <w:rFonts w:hint="default" w:ascii="Times New Roman" w:hAnsi="Times New Roman" w:eastAsia="宋体" w:cs="Times New Roman"/>
                <w:bCs/>
                <w:color w:val="auto"/>
                <w:sz w:val="24"/>
                <w:szCs w:val="26"/>
              </w:rPr>
              <w:t>t，汽油损耗产生的油气经卸油油气回收系统、</w:t>
            </w:r>
            <w:r>
              <w:rPr>
                <w:rFonts w:hint="eastAsia"/>
                <w:bCs/>
                <w:color w:val="auto"/>
                <w:sz w:val="24"/>
                <w:szCs w:val="24"/>
                <w:highlight w:val="none"/>
              </w:rPr>
              <w:t>加油油气回收系统</w:t>
            </w:r>
            <w:r>
              <w:rPr>
                <w:rFonts w:hint="eastAsia"/>
                <w:bCs/>
                <w:color w:val="auto"/>
                <w:sz w:val="24"/>
                <w:szCs w:val="24"/>
                <w:highlight w:val="none"/>
                <w:lang w:eastAsia="zh-CN"/>
              </w:rPr>
              <w:t>和储油油气回收系统处理后，</w:t>
            </w:r>
            <w:r>
              <w:rPr>
                <w:rFonts w:hint="eastAsia"/>
                <w:bCs/>
                <w:color w:val="auto"/>
                <w:sz w:val="24"/>
                <w:szCs w:val="24"/>
                <w:highlight w:val="none"/>
              </w:rPr>
              <w:t>排放量统计结果</w:t>
            </w:r>
            <w:r>
              <w:rPr>
                <w:rFonts w:hint="eastAsia"/>
                <w:bCs/>
                <w:color w:val="auto"/>
                <w:sz w:val="24"/>
                <w:szCs w:val="24"/>
                <w:highlight w:val="none"/>
                <w:lang w:eastAsia="zh-CN"/>
              </w:rPr>
              <w:t>见</w:t>
            </w:r>
            <w:r>
              <w:rPr>
                <w:rFonts w:hint="eastAsia"/>
                <w:bCs/>
                <w:color w:val="auto"/>
                <w:sz w:val="24"/>
                <w:szCs w:val="24"/>
                <w:highlight w:val="none"/>
              </w:rPr>
              <w:t>表</w:t>
            </w:r>
            <w:r>
              <w:rPr>
                <w:rFonts w:hint="default" w:ascii="Times New Roman" w:hAnsi="Times New Roman" w:eastAsia="宋体" w:cs="Times New Roman"/>
                <w:bCs/>
                <w:color w:val="auto"/>
                <w:sz w:val="24"/>
                <w:szCs w:val="26"/>
              </w:rPr>
              <w:t>4.2-2。</w:t>
            </w:r>
          </w:p>
          <w:p w14:paraId="7BA1E7B8">
            <w:pPr>
              <w:spacing w:line="240" w:lineRule="auto"/>
              <w:jc w:val="center"/>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 xml:space="preserve">表4.2-2  </w:t>
            </w:r>
            <w:r>
              <w:rPr>
                <w:rFonts w:hint="eastAsia" w:cs="Times New Roman"/>
                <w:b/>
                <w:color w:val="auto"/>
                <w:sz w:val="24"/>
                <w:szCs w:val="26"/>
                <w:lang w:eastAsia="zh-CN"/>
              </w:rPr>
              <w:t>本项目实施</w:t>
            </w:r>
            <w:r>
              <w:rPr>
                <w:rFonts w:hint="default" w:ascii="Times New Roman" w:hAnsi="Times New Roman" w:eastAsia="宋体" w:cs="Times New Roman"/>
                <w:b/>
                <w:color w:val="auto"/>
                <w:sz w:val="24"/>
                <w:szCs w:val="26"/>
              </w:rPr>
              <w:t>后汽油油气挥发统计表     单位：t/a</w:t>
            </w:r>
          </w:p>
          <w:tbl>
            <w:tblPr>
              <w:tblStyle w:val="1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2"/>
              <w:gridCol w:w="1227"/>
              <w:gridCol w:w="1405"/>
              <w:gridCol w:w="1381"/>
              <w:gridCol w:w="1317"/>
              <w:gridCol w:w="1451"/>
            </w:tblGrid>
            <w:tr w14:paraId="5B51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31" w:type="pct"/>
                  <w:vMerge w:val="restart"/>
                  <w:tcBorders>
                    <w:top w:val="single" w:color="000000" w:sz="4" w:space="0"/>
                    <w:left w:val="single" w:color="000000" w:sz="4" w:space="0"/>
                    <w:right w:val="single" w:color="000000" w:sz="4" w:space="0"/>
                  </w:tcBorders>
                  <w:noWrap w:val="0"/>
                  <w:vAlign w:val="center"/>
                  <mc:AlternateContent>
                    <mc:Choice Requires="wpsCustomData">
                      <wpsCustomData:diagonals>
                        <wpsCustomData:diagonal from="10000" to="30000">
                          <wpsCustomData:border w:val="single" w:color="000000" w:sz="4" w:space="0"/>
                        </wpsCustomData:diagonal>
                      </wpsCustomData:diagonals>
                    </mc:Choice>
                  </mc:AlternateContent>
                </w:tcPr>
                <w:p w14:paraId="19AEAC0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i w:val="0"/>
                      <w:iCs w:val="0"/>
                      <w:color w:val="auto"/>
                      <w:sz w:val="21"/>
                      <w:szCs w:val="21"/>
                      <w:u w:val="none"/>
                    </w:rPr>
                  </w:pPr>
                </w:p>
                <w:p w14:paraId="4B1672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Times New Roman" w:hAnsi="Times New Roman" w:eastAsia="宋体" w:cs="Times New Roman"/>
                      <w:i w:val="0"/>
                      <w:iCs w:val="0"/>
                      <w:color w:val="auto"/>
                      <w:sz w:val="21"/>
                      <w:szCs w:val="21"/>
                      <w:u w:val="none"/>
                    </w:rPr>
                  </w:pPr>
                </w:p>
                <w:p w14:paraId="6851CF2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cs="Times New Roman"/>
                      <w:i w:val="0"/>
                      <w:iCs w:val="0"/>
                      <w:color w:val="auto"/>
                      <w:sz w:val="21"/>
                      <w:szCs w:val="21"/>
                      <w:u w:val="none"/>
                      <w:lang w:eastAsia="zh-CN"/>
                    </w:rPr>
                  </w:pPr>
                  <w:r>
                    <w:rPr>
                      <w:rFonts w:hint="eastAsia" w:cs="Times New Roman"/>
                      <w:i w:val="0"/>
                      <w:iCs w:val="0"/>
                      <w:color w:val="auto"/>
                      <w:sz w:val="21"/>
                      <w:szCs w:val="21"/>
                      <w:u w:val="none"/>
                      <w:lang w:eastAsia="zh-CN"/>
                    </w:rPr>
                    <w:t>损耗</w:t>
                  </w:r>
                </w:p>
                <w:p w14:paraId="5194A1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cs="Times New Roman"/>
                      <w:i w:val="0"/>
                      <w:iCs w:val="0"/>
                      <w:color w:val="auto"/>
                      <w:sz w:val="21"/>
                      <w:szCs w:val="21"/>
                      <w:u w:val="none"/>
                      <w:lang w:eastAsia="zh-CN"/>
                    </w:rPr>
                  </w:pPr>
                  <w:r>
                    <w:rPr>
                      <w:rFonts w:hint="eastAsia" w:cs="Times New Roman"/>
                      <w:i w:val="0"/>
                      <w:iCs w:val="0"/>
                      <w:color w:val="auto"/>
                      <w:sz w:val="21"/>
                      <w:szCs w:val="21"/>
                      <w:u w:val="none"/>
                      <w:lang w:eastAsia="zh-CN"/>
                    </w:rPr>
                    <w:t>类型</w:t>
                  </w:r>
                </w:p>
                <w:p w14:paraId="6384549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mc:AlternateContent>
                      <mc:Choice Requires="wpsCustomData">
                        <wpsCustomData:diagonalParaType/>
                      </mc:Choice>
                    </mc:AlternateContent>
                    <w:rPr>
                      <w:rFonts w:hint="eastAsia" w:ascii="Times New Roman" w:hAnsi="Times New Roman" w:eastAsia="宋体" w:cs="Times New Roman"/>
                      <w:i w:val="0"/>
                      <w:iCs w:val="0"/>
                      <w:color w:val="auto"/>
                      <w:sz w:val="21"/>
                      <w:szCs w:val="21"/>
                      <w:u w:val="none"/>
                      <w:lang w:eastAsia="zh-CN"/>
                    </w:rPr>
                  </w:pPr>
                  <w:r>
                    <w:rPr>
                      <w:rFonts w:hint="eastAsia" w:cs="Times New Roman"/>
                      <w:i w:val="0"/>
                      <w:iCs w:val="0"/>
                      <w:color w:val="auto"/>
                      <w:sz w:val="21"/>
                      <w:szCs w:val="21"/>
                      <w:u w:val="none"/>
                      <w:lang w:eastAsia="zh-CN"/>
                    </w:rPr>
                    <w:t>型</w:t>
                  </w:r>
                </w:p>
                <w:p w14:paraId="1698CB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宋体" w:cs="Times New Roman"/>
                      <w:i w:val="0"/>
                      <w:iCs w:val="0"/>
                      <w:color w:val="auto"/>
                      <w:sz w:val="21"/>
                      <w:szCs w:val="21"/>
                      <w:u w:val="none"/>
                      <w:lang w:eastAsia="zh-CN"/>
                    </w:rPr>
                  </w:pPr>
                  <w:r>
                    <w:rPr>
                      <w:rFonts w:hint="eastAsia" w:cs="Times New Roman"/>
                      <w:i w:val="0"/>
                      <w:iCs w:val="0"/>
                      <w:color w:val="auto"/>
                      <w:sz w:val="21"/>
                      <w:szCs w:val="21"/>
                      <w:u w:val="none"/>
                      <w:lang w:eastAsia="zh-CN"/>
                    </w:rPr>
                    <w:t>项目</w:t>
                  </w:r>
                </w:p>
              </w:tc>
              <w:tc>
                <w:tcPr>
                  <w:tcW w:w="771" w:type="pct"/>
                  <w:vMerge w:val="restart"/>
                  <w:tcBorders>
                    <w:top w:val="single" w:color="000000" w:sz="4" w:space="0"/>
                    <w:left w:val="single" w:color="000000" w:sz="4" w:space="0"/>
                    <w:bottom w:val="single" w:color="000000" w:sz="4" w:space="0"/>
                    <w:right w:val="single" w:color="000000" w:sz="4" w:space="0"/>
                  </w:tcBorders>
                  <w:noWrap w:val="0"/>
                  <w:vAlign w:val="center"/>
                </w:tcPr>
                <w:p w14:paraId="383097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损耗率</w:t>
                  </w:r>
                </w:p>
              </w:tc>
              <w:tc>
                <w:tcPr>
                  <w:tcW w:w="884" w:type="pct"/>
                  <w:vMerge w:val="restart"/>
                  <w:tcBorders>
                    <w:top w:val="single" w:color="000000" w:sz="4" w:space="0"/>
                    <w:left w:val="single" w:color="000000" w:sz="4" w:space="0"/>
                    <w:bottom w:val="single" w:color="000000" w:sz="4" w:space="0"/>
                    <w:right w:val="single" w:color="000000" w:sz="4" w:space="0"/>
                  </w:tcBorders>
                  <w:noWrap w:val="0"/>
                  <w:vAlign w:val="center"/>
                </w:tcPr>
                <w:p w14:paraId="33AFA0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油气产生量</w:t>
                  </w:r>
                </w:p>
              </w:tc>
              <w:tc>
                <w:tcPr>
                  <w:tcW w:w="1698" w:type="pct"/>
                  <w:gridSpan w:val="2"/>
                  <w:tcBorders>
                    <w:top w:val="single" w:color="000000" w:sz="4" w:space="0"/>
                    <w:left w:val="single" w:color="000000" w:sz="4" w:space="0"/>
                    <w:bottom w:val="single" w:color="000000" w:sz="4" w:space="0"/>
                    <w:right w:val="single" w:color="000000" w:sz="4" w:space="0"/>
                  </w:tcBorders>
                  <w:noWrap w:val="0"/>
                  <w:vAlign w:val="center"/>
                </w:tcPr>
                <w:p w14:paraId="1247A1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油气回收系统</w:t>
                  </w:r>
                </w:p>
              </w:tc>
              <w:tc>
                <w:tcPr>
                  <w:tcW w:w="9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93FE0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油气无组织排放量</w:t>
                  </w:r>
                </w:p>
              </w:tc>
            </w:tr>
            <w:tr w14:paraId="73373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1" w:type="pct"/>
                  <w:vMerge w:val="continue"/>
                  <w:tcBorders>
                    <w:left w:val="single" w:color="000000" w:sz="4" w:space="0"/>
                    <w:bottom w:val="single" w:color="000000" w:sz="4" w:space="0"/>
                    <w:right w:val="single" w:color="000000" w:sz="4" w:space="0"/>
                  </w:tcBorders>
                  <w:noWrap w:val="0"/>
                  <w:vAlign w:val="center"/>
                </w:tcPr>
                <w:p w14:paraId="4F24C5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auto"/>
                      <w:sz w:val="21"/>
                      <w:szCs w:val="21"/>
                      <w:u w:val="none"/>
                    </w:rPr>
                  </w:pPr>
                </w:p>
              </w:tc>
              <w:tc>
                <w:tcPr>
                  <w:tcW w:w="77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0C5AE0">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auto"/>
                      <w:sz w:val="21"/>
                      <w:szCs w:val="21"/>
                      <w:u w:val="none"/>
                    </w:rPr>
                  </w:pPr>
                </w:p>
              </w:tc>
              <w:tc>
                <w:tcPr>
                  <w:tcW w:w="88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FF26B0">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auto"/>
                      <w:sz w:val="21"/>
                      <w:szCs w:val="21"/>
                      <w:u w:val="none"/>
                    </w:rPr>
                  </w:pPr>
                </w:p>
              </w:tc>
              <w:tc>
                <w:tcPr>
                  <w:tcW w:w="869" w:type="pct"/>
                  <w:tcBorders>
                    <w:top w:val="single" w:color="000000" w:sz="4" w:space="0"/>
                    <w:left w:val="single" w:color="000000" w:sz="4" w:space="0"/>
                    <w:bottom w:val="single" w:color="000000" w:sz="4" w:space="0"/>
                    <w:right w:val="single" w:color="000000" w:sz="4" w:space="0"/>
                  </w:tcBorders>
                  <w:noWrap w:val="0"/>
                  <w:vAlign w:val="center"/>
                </w:tcPr>
                <w:p w14:paraId="74C603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回收率</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46674D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回收量</w:t>
                  </w:r>
                </w:p>
              </w:tc>
              <w:tc>
                <w:tcPr>
                  <w:tcW w:w="9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8B4571">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sz w:val="21"/>
                      <w:szCs w:val="21"/>
                      <w:u w:val="none"/>
                    </w:rPr>
                  </w:pPr>
                </w:p>
              </w:tc>
            </w:tr>
            <w:tr w14:paraId="0826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14:paraId="5A3DCD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卸油损耗</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14:paraId="12A9CE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0.23%</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50F15171">
                  <w:pPr>
                    <w:keepNext w:val="0"/>
                    <w:keepLines w:val="0"/>
                    <w:widowControl/>
                    <w:suppressLineNumbers w:val="0"/>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9.200</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14:paraId="1A9FC19D">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4466B68E">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8.740</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529CBC5B">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0.460</w:t>
                  </w:r>
                </w:p>
              </w:tc>
            </w:tr>
            <w:tr w14:paraId="7771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14:paraId="434701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加油损耗</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14:paraId="4D7CE4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0.29%</w:t>
                  </w:r>
                </w:p>
              </w:tc>
              <w:tc>
                <w:tcPr>
                  <w:tcW w:w="1405" w:type="dxa"/>
                  <w:tcBorders>
                    <w:top w:val="single" w:color="000000" w:sz="4" w:space="0"/>
                    <w:left w:val="single" w:color="000000" w:sz="4" w:space="0"/>
                    <w:bottom w:val="single" w:color="000000" w:sz="4" w:space="0"/>
                    <w:right w:val="single" w:color="000000" w:sz="4" w:space="0"/>
                  </w:tcBorders>
                  <w:noWrap w:val="0"/>
                  <w:vAlign w:val="center"/>
                </w:tcPr>
                <w:p w14:paraId="12987D32">
                  <w:pPr>
                    <w:keepNext w:val="0"/>
                    <w:keepLines w:val="0"/>
                    <w:widowControl/>
                    <w:suppressLineNumbers w:val="0"/>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11.600</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14:paraId="79C1253E">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90%</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7FAB185F">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10.440</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589DD52D">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1.160</w:t>
                  </w:r>
                </w:p>
              </w:tc>
            </w:tr>
            <w:tr w14:paraId="2998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1" w:type="pct"/>
                  <w:tcBorders>
                    <w:top w:val="single" w:color="000000" w:sz="4" w:space="0"/>
                    <w:left w:val="single" w:color="000000" w:sz="4" w:space="0"/>
                    <w:bottom w:val="single" w:color="000000" w:sz="4" w:space="0"/>
                    <w:right w:val="single" w:color="000000" w:sz="4" w:space="0"/>
                  </w:tcBorders>
                  <w:noWrap w:val="0"/>
                  <w:vAlign w:val="center"/>
                </w:tcPr>
                <w:p w14:paraId="1EE6AF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储油损耗</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14:paraId="5641DA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0.01%</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4D015BBE">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0.4</w:t>
                  </w:r>
                  <w:r>
                    <w:rPr>
                      <w:rFonts w:hint="eastAsia" w:ascii="Times New Roman" w:hAnsi="Times New Roman" w:cs="Times New Roman"/>
                      <w:i w:val="0"/>
                      <w:iCs w:val="0"/>
                      <w:color w:val="auto"/>
                      <w:kern w:val="0"/>
                      <w:sz w:val="21"/>
                      <w:szCs w:val="21"/>
                      <w:u w:val="none"/>
                      <w:lang w:val="en-US" w:eastAsia="zh-CN" w:bidi="ar"/>
                    </w:rPr>
                    <w:t>00</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14:paraId="57943186">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90%</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19133021">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360</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630E260D">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0.04</w:t>
                  </w:r>
                  <w:r>
                    <w:rPr>
                      <w:rFonts w:hint="eastAsia" w:ascii="Times New Roman" w:hAnsi="Times New Roman" w:cs="Times New Roman"/>
                      <w:i w:val="0"/>
                      <w:iCs w:val="0"/>
                      <w:color w:val="auto"/>
                      <w:kern w:val="0"/>
                      <w:sz w:val="21"/>
                      <w:szCs w:val="21"/>
                      <w:u w:val="none"/>
                      <w:lang w:val="en-US" w:eastAsia="zh-CN" w:bidi="ar"/>
                    </w:rPr>
                    <w:t>0</w:t>
                  </w:r>
                </w:p>
              </w:tc>
            </w:tr>
            <w:tr w14:paraId="02B9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503" w:type="pct"/>
                  <w:gridSpan w:val="2"/>
                  <w:tcBorders>
                    <w:top w:val="single" w:color="000000" w:sz="4" w:space="0"/>
                    <w:left w:val="single" w:color="000000" w:sz="4" w:space="0"/>
                    <w:bottom w:val="single" w:color="000000" w:sz="4" w:space="0"/>
                    <w:right w:val="single" w:color="000000" w:sz="4" w:space="0"/>
                  </w:tcBorders>
                  <w:noWrap w:val="0"/>
                  <w:vAlign w:val="center"/>
                </w:tcPr>
                <w:p w14:paraId="1D4A69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755A3825">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21.200</w:t>
                  </w:r>
                </w:p>
              </w:tc>
              <w:tc>
                <w:tcPr>
                  <w:tcW w:w="869" w:type="pct"/>
                  <w:tcBorders>
                    <w:top w:val="single" w:color="000000" w:sz="4" w:space="0"/>
                    <w:left w:val="single" w:color="000000" w:sz="4" w:space="0"/>
                    <w:bottom w:val="single" w:color="000000" w:sz="4" w:space="0"/>
                    <w:right w:val="single" w:color="000000" w:sz="4" w:space="0"/>
                  </w:tcBorders>
                  <w:noWrap w:val="0"/>
                  <w:vAlign w:val="center"/>
                </w:tcPr>
                <w:p w14:paraId="74331150">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3BEFA7D6">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19.540</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14:paraId="3AEBCF13">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1.660</w:t>
                  </w:r>
                </w:p>
              </w:tc>
            </w:tr>
          </w:tbl>
          <w:p w14:paraId="215319A9">
            <w:pPr>
              <w:spacing w:line="240" w:lineRule="auto"/>
              <w:jc w:val="center"/>
              <w:rPr>
                <w:rFonts w:hint="default" w:ascii="Times New Roman" w:hAnsi="Times New Roman" w:eastAsia="宋体" w:cs="Times New Roman"/>
                <w:b/>
                <w:color w:val="auto"/>
                <w:sz w:val="24"/>
                <w:szCs w:val="26"/>
              </w:rPr>
            </w:pPr>
          </w:p>
          <w:p w14:paraId="2C107056">
            <w:pPr>
              <w:adjustRightInd w:val="0"/>
              <w:snapToGrid w:val="0"/>
              <w:spacing w:line="360" w:lineRule="auto"/>
              <w:ind w:firstLine="480" w:firstLineChars="2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由上表4.2-2可知，本项目汽油油气排放量合计为</w:t>
            </w:r>
            <w:r>
              <w:rPr>
                <w:rFonts w:hint="eastAsia" w:cs="Times New Roman"/>
                <w:bCs/>
                <w:color w:val="auto"/>
                <w:sz w:val="24"/>
                <w:szCs w:val="26"/>
                <w:lang w:val="en-US" w:eastAsia="zh-CN"/>
              </w:rPr>
              <w:t>1.660</w:t>
            </w:r>
            <w:r>
              <w:rPr>
                <w:rFonts w:hint="default" w:ascii="Times New Roman" w:hAnsi="Times New Roman" w:cs="Times New Roman"/>
                <w:bCs/>
                <w:color w:val="auto"/>
                <w:sz w:val="24"/>
                <w:szCs w:val="26"/>
                <w:lang w:val="en-US" w:eastAsia="zh-CN"/>
              </w:rPr>
              <w:t>t</w:t>
            </w:r>
            <w:r>
              <w:rPr>
                <w:rFonts w:hint="default" w:ascii="Times New Roman" w:hAnsi="Times New Roman" w:eastAsia="宋体" w:cs="Times New Roman"/>
                <w:bCs/>
                <w:color w:val="auto"/>
                <w:sz w:val="24"/>
                <w:szCs w:val="26"/>
              </w:rPr>
              <w:t>/a。</w:t>
            </w:r>
          </w:p>
          <w:p w14:paraId="2AFA3129">
            <w:pPr>
              <w:adjustRightInd w:val="0"/>
              <w:snapToGrid w:val="0"/>
              <w:spacing w:line="360" w:lineRule="auto"/>
              <w:ind w:firstLine="480" w:firstLineChars="200"/>
              <w:jc w:val="left"/>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③进出站汽车尾气</w:t>
            </w:r>
          </w:p>
          <w:p w14:paraId="26D38DE0">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本项目在营运过程中，汽车低速行驶进出加油站，加油时车辆处于停止状态，整个过程前后所排放的汽车尾气量较小，主要污染物为CO、THC、NOx。</w:t>
            </w:r>
          </w:p>
          <w:p w14:paraId="11AE0CD9">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④生化池臭气</w:t>
            </w:r>
          </w:p>
          <w:p w14:paraId="13865468">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本项目站场南侧设1座生化池，生化池运行过程将产生少量臭气，主要成分为H</w:t>
            </w:r>
            <w:r>
              <w:rPr>
                <w:rFonts w:hint="default" w:ascii="Times New Roman" w:hAnsi="Times New Roman" w:eastAsia="宋体" w:cs="Times New Roman"/>
                <w:bCs/>
                <w:color w:val="auto"/>
                <w:sz w:val="24"/>
                <w:szCs w:val="26"/>
                <w:vertAlign w:val="subscript"/>
              </w:rPr>
              <w:t>2</w:t>
            </w:r>
            <w:r>
              <w:rPr>
                <w:rFonts w:hint="default" w:ascii="Times New Roman" w:hAnsi="Times New Roman" w:eastAsia="宋体" w:cs="Times New Roman"/>
                <w:bCs/>
                <w:color w:val="auto"/>
                <w:sz w:val="24"/>
                <w:szCs w:val="26"/>
              </w:rPr>
              <w:t>S、NH</w:t>
            </w:r>
            <w:r>
              <w:rPr>
                <w:rFonts w:hint="default" w:ascii="Times New Roman" w:hAnsi="Times New Roman" w:eastAsia="宋体" w:cs="Times New Roman"/>
                <w:bCs/>
                <w:color w:val="auto"/>
                <w:sz w:val="24"/>
                <w:szCs w:val="26"/>
                <w:vertAlign w:val="subscript"/>
              </w:rPr>
              <w:t>3</w:t>
            </w:r>
            <w:r>
              <w:rPr>
                <w:rFonts w:hint="default" w:ascii="Times New Roman" w:hAnsi="Times New Roman" w:eastAsia="宋体" w:cs="Times New Roman"/>
                <w:bCs/>
                <w:color w:val="auto"/>
                <w:sz w:val="24"/>
                <w:szCs w:val="26"/>
              </w:rPr>
              <w:t>等污染物，设置专用管道引至附近绿化带排放。</w:t>
            </w:r>
          </w:p>
          <w:p w14:paraId="454452E1">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⑤备用柴油发电机废气</w:t>
            </w:r>
          </w:p>
          <w:p w14:paraId="2E6F84F0">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本项目发电机房内设有1台24kW的柴油发电机，作应急备用电源。备用柴油发电机应急使用时会产生燃油废气，污染物主要为NOx、THC。该设备使用频次少，污染物产生量少，对环境影响较小，故本次评价中忽略不计。</w:t>
            </w:r>
          </w:p>
          <w:p w14:paraId="5F411027">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本项目废气产生、治理及排放情况见下表4.2-</w:t>
            </w:r>
            <w:r>
              <w:rPr>
                <w:rFonts w:hint="default" w:ascii="Times New Roman" w:hAnsi="Times New Roman" w:cs="Times New Roman"/>
                <w:bCs/>
                <w:color w:val="auto"/>
                <w:sz w:val="24"/>
                <w:szCs w:val="26"/>
                <w:lang w:val="en-US" w:eastAsia="zh-CN"/>
              </w:rPr>
              <w:t>3</w:t>
            </w:r>
            <w:r>
              <w:rPr>
                <w:rFonts w:hint="default" w:ascii="Times New Roman" w:hAnsi="Times New Roman" w:eastAsia="宋体" w:cs="Times New Roman"/>
                <w:bCs/>
                <w:color w:val="auto"/>
                <w:sz w:val="24"/>
                <w:szCs w:val="26"/>
              </w:rPr>
              <w:t>。</w:t>
            </w:r>
          </w:p>
          <w:p w14:paraId="7525BEEB">
            <w:pPr>
              <w:adjustRightInd w:val="0"/>
              <w:snapToGrid w:val="0"/>
              <w:spacing w:line="460" w:lineRule="exact"/>
              <w:jc w:val="left"/>
              <w:rPr>
                <w:rFonts w:hint="default" w:ascii="Times New Roman" w:hAnsi="Times New Roman" w:eastAsia="宋体" w:cs="Times New Roman"/>
                <w:b/>
                <w:bCs/>
                <w:color w:val="auto"/>
                <w:sz w:val="26"/>
                <w:szCs w:val="26"/>
                <w:highlight w:val="yellow"/>
              </w:rPr>
            </w:pPr>
          </w:p>
          <w:p w14:paraId="46D4C7AC">
            <w:pPr>
              <w:adjustRightInd w:val="0"/>
              <w:snapToGrid w:val="0"/>
              <w:spacing w:line="460" w:lineRule="exact"/>
              <w:jc w:val="left"/>
              <w:rPr>
                <w:rFonts w:hint="default" w:ascii="Times New Roman" w:hAnsi="Times New Roman" w:eastAsia="宋体" w:cs="Times New Roman"/>
                <w:b/>
                <w:bCs/>
                <w:color w:val="auto"/>
                <w:sz w:val="26"/>
                <w:szCs w:val="26"/>
                <w:highlight w:val="yellow"/>
              </w:rPr>
            </w:pPr>
          </w:p>
        </w:tc>
      </w:tr>
    </w:tbl>
    <w:p w14:paraId="08D708EB">
      <w:pPr>
        <w:adjustRightInd w:val="0"/>
        <w:snapToGrid w:val="0"/>
        <w:spacing w:line="360" w:lineRule="auto"/>
        <w:rPr>
          <w:rFonts w:hint="default" w:ascii="Times New Roman" w:hAnsi="Times New Roman" w:eastAsia="宋体" w:cs="Times New Roman"/>
          <w:b/>
          <w:color w:val="auto"/>
          <w:kern w:val="0"/>
          <w:sz w:val="28"/>
          <w:szCs w:val="28"/>
          <w:highlight w:val="yellow"/>
        </w:rPr>
        <w:sectPr>
          <w:pgSz w:w="11907" w:h="16840"/>
          <w:pgMar w:top="1701" w:right="1531" w:bottom="2127" w:left="1531" w:header="851" w:footer="851" w:gutter="0"/>
          <w:pgNumType w:fmt="decimal"/>
          <w:cols w:space="720" w:num="1"/>
          <w:docGrid w:linePitch="312" w:charSpace="0"/>
        </w:sectPr>
      </w:pPr>
    </w:p>
    <w:p w14:paraId="676A52CC">
      <w:pPr>
        <w:jc w:val="center"/>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表4.2-</w:t>
      </w:r>
      <w:r>
        <w:rPr>
          <w:rFonts w:hint="default" w:ascii="Times New Roman" w:hAnsi="Times New Roman" w:cs="Times New Roman"/>
          <w:b/>
          <w:color w:val="auto"/>
          <w:sz w:val="24"/>
          <w:szCs w:val="26"/>
          <w:lang w:val="en-US" w:eastAsia="zh-CN"/>
        </w:rPr>
        <w:t>3</w:t>
      </w:r>
      <w:r>
        <w:rPr>
          <w:rFonts w:hint="default" w:ascii="Times New Roman" w:hAnsi="Times New Roman" w:eastAsia="宋体" w:cs="Times New Roman"/>
          <w:b/>
          <w:color w:val="auto"/>
          <w:sz w:val="24"/>
          <w:szCs w:val="26"/>
        </w:rPr>
        <w:t xml:space="preserve">    本项目</w:t>
      </w:r>
      <w:r>
        <w:rPr>
          <w:rFonts w:hint="eastAsia" w:cs="Times New Roman"/>
          <w:b/>
          <w:color w:val="auto"/>
          <w:sz w:val="24"/>
          <w:szCs w:val="26"/>
          <w:lang w:eastAsia="zh-CN"/>
        </w:rPr>
        <w:t>实施</w:t>
      </w:r>
      <w:r>
        <w:rPr>
          <w:rFonts w:hint="default" w:ascii="Times New Roman" w:hAnsi="Times New Roman" w:eastAsia="宋体" w:cs="Times New Roman"/>
          <w:b/>
          <w:color w:val="auto"/>
          <w:sz w:val="24"/>
          <w:szCs w:val="26"/>
        </w:rPr>
        <w:t>后</w:t>
      </w:r>
      <w:r>
        <w:rPr>
          <w:rFonts w:hint="eastAsia" w:cs="Times New Roman"/>
          <w:b/>
          <w:color w:val="auto"/>
          <w:sz w:val="24"/>
          <w:szCs w:val="26"/>
          <w:lang w:eastAsia="zh-CN"/>
        </w:rPr>
        <w:t>全站</w:t>
      </w:r>
      <w:r>
        <w:rPr>
          <w:rFonts w:hint="default" w:ascii="Times New Roman" w:hAnsi="Times New Roman" w:eastAsia="宋体" w:cs="Times New Roman"/>
          <w:b/>
          <w:color w:val="auto"/>
          <w:sz w:val="24"/>
          <w:szCs w:val="26"/>
        </w:rPr>
        <w:t>废气污染物产生、治理、排放情况一览表</w:t>
      </w:r>
    </w:p>
    <w:tbl>
      <w:tblPr>
        <w:tblStyle w:val="19"/>
        <w:tblW w:w="482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9"/>
        <w:gridCol w:w="967"/>
        <w:gridCol w:w="1169"/>
        <w:gridCol w:w="735"/>
        <w:gridCol w:w="686"/>
        <w:gridCol w:w="759"/>
        <w:gridCol w:w="951"/>
        <w:gridCol w:w="821"/>
        <w:gridCol w:w="675"/>
        <w:gridCol w:w="749"/>
        <w:gridCol w:w="749"/>
        <w:gridCol w:w="807"/>
        <w:gridCol w:w="900"/>
        <w:gridCol w:w="780"/>
        <w:gridCol w:w="1050"/>
        <w:gridCol w:w="885"/>
        <w:gridCol w:w="1868"/>
      </w:tblGrid>
      <w:tr w14:paraId="6F09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6" w:type="dxa"/>
            <w:gridSpan w:val="2"/>
            <w:vMerge w:val="restart"/>
            <w:shd w:val="clear" w:color="auto" w:fill="FFFFFF"/>
            <w:noWrap w:val="0"/>
            <w:vAlign w:val="center"/>
          </w:tcPr>
          <w:p w14:paraId="45A5F605">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产污环节</w:t>
            </w:r>
          </w:p>
        </w:tc>
        <w:tc>
          <w:tcPr>
            <w:tcW w:w="1169" w:type="dxa"/>
            <w:vMerge w:val="restart"/>
            <w:shd w:val="clear" w:color="auto" w:fill="FFFFFF"/>
            <w:noWrap w:val="0"/>
            <w:vAlign w:val="center"/>
          </w:tcPr>
          <w:p w14:paraId="46BD1C23">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污染物种类</w:t>
            </w:r>
          </w:p>
        </w:tc>
        <w:tc>
          <w:tcPr>
            <w:tcW w:w="2180" w:type="dxa"/>
            <w:gridSpan w:val="3"/>
            <w:shd w:val="clear" w:color="auto" w:fill="FFFFFF"/>
            <w:noWrap w:val="0"/>
            <w:vAlign w:val="center"/>
          </w:tcPr>
          <w:p w14:paraId="655CC8A8">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治理前</w:t>
            </w:r>
          </w:p>
        </w:tc>
        <w:tc>
          <w:tcPr>
            <w:tcW w:w="951" w:type="dxa"/>
            <w:vMerge w:val="restart"/>
            <w:shd w:val="clear" w:color="auto" w:fill="FFFFFF"/>
            <w:noWrap w:val="0"/>
            <w:vAlign w:val="center"/>
          </w:tcPr>
          <w:p w14:paraId="201B33BA">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排放形式</w:t>
            </w:r>
          </w:p>
        </w:tc>
        <w:tc>
          <w:tcPr>
            <w:tcW w:w="2994" w:type="dxa"/>
            <w:gridSpan w:val="4"/>
            <w:shd w:val="clear" w:color="auto" w:fill="FFFFFF"/>
            <w:noWrap w:val="0"/>
            <w:vAlign w:val="center"/>
          </w:tcPr>
          <w:p w14:paraId="2B8F833A">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治理后</w:t>
            </w:r>
          </w:p>
        </w:tc>
        <w:tc>
          <w:tcPr>
            <w:tcW w:w="6290" w:type="dxa"/>
            <w:gridSpan w:val="6"/>
            <w:shd w:val="clear" w:color="auto" w:fill="FFFFFF"/>
            <w:noWrap w:val="0"/>
            <w:vAlign w:val="center"/>
          </w:tcPr>
          <w:p w14:paraId="43E6FEDE">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排放标准</w:t>
            </w:r>
          </w:p>
        </w:tc>
      </w:tr>
      <w:tr w14:paraId="248BD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6" w:type="dxa"/>
            <w:gridSpan w:val="2"/>
            <w:vMerge w:val="continue"/>
            <w:shd w:val="clear" w:color="auto" w:fill="FFFFFF"/>
            <w:noWrap w:val="0"/>
            <w:vAlign w:val="center"/>
          </w:tcPr>
          <w:p w14:paraId="4EAC3FFC">
            <w:pPr>
              <w:jc w:val="center"/>
              <w:rPr>
                <w:rFonts w:hint="default" w:ascii="Times New Roman" w:hAnsi="Times New Roman" w:eastAsia="宋体" w:cs="Times New Roman"/>
                <w:bCs/>
                <w:color w:val="auto"/>
                <w:sz w:val="18"/>
                <w:szCs w:val="18"/>
              </w:rPr>
            </w:pPr>
          </w:p>
        </w:tc>
        <w:tc>
          <w:tcPr>
            <w:tcW w:w="1169" w:type="dxa"/>
            <w:vMerge w:val="continue"/>
            <w:shd w:val="clear" w:color="auto" w:fill="FFFFFF"/>
            <w:noWrap w:val="0"/>
            <w:vAlign w:val="center"/>
          </w:tcPr>
          <w:p w14:paraId="4FF18378">
            <w:pPr>
              <w:jc w:val="center"/>
              <w:rPr>
                <w:rFonts w:hint="default" w:ascii="Times New Roman" w:hAnsi="Times New Roman" w:eastAsia="宋体" w:cs="Times New Roman"/>
                <w:bCs/>
                <w:color w:val="auto"/>
                <w:sz w:val="18"/>
                <w:szCs w:val="18"/>
              </w:rPr>
            </w:pPr>
          </w:p>
        </w:tc>
        <w:tc>
          <w:tcPr>
            <w:tcW w:w="735" w:type="dxa"/>
            <w:shd w:val="clear" w:color="auto" w:fill="FFFFFF"/>
            <w:noWrap w:val="0"/>
            <w:vAlign w:val="center"/>
          </w:tcPr>
          <w:p w14:paraId="7087AEBD">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产生浓度mg/m</w:t>
            </w:r>
            <w:r>
              <w:rPr>
                <w:rStyle w:val="96"/>
                <w:rFonts w:hint="default" w:ascii="Times New Roman" w:hAnsi="Times New Roman" w:eastAsia="宋体" w:cs="Times New Roman"/>
                <w:color w:val="auto"/>
                <w:sz w:val="18"/>
                <w:szCs w:val="18"/>
                <w:lang w:bidi="ar"/>
              </w:rPr>
              <w:t>3</w:t>
            </w:r>
          </w:p>
        </w:tc>
        <w:tc>
          <w:tcPr>
            <w:tcW w:w="686" w:type="dxa"/>
            <w:shd w:val="clear" w:color="auto" w:fill="FFFFFF"/>
            <w:noWrap w:val="0"/>
            <w:vAlign w:val="center"/>
          </w:tcPr>
          <w:p w14:paraId="445EBC78">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产生速率kg/h</w:t>
            </w:r>
          </w:p>
        </w:tc>
        <w:tc>
          <w:tcPr>
            <w:tcW w:w="759" w:type="dxa"/>
            <w:shd w:val="clear" w:color="auto" w:fill="FFFFFF"/>
            <w:noWrap w:val="0"/>
            <w:vAlign w:val="center"/>
          </w:tcPr>
          <w:p w14:paraId="6B70971F">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产生量t/a</w:t>
            </w:r>
          </w:p>
        </w:tc>
        <w:tc>
          <w:tcPr>
            <w:tcW w:w="951" w:type="dxa"/>
            <w:vMerge w:val="continue"/>
            <w:shd w:val="clear" w:color="auto" w:fill="FFFFFF"/>
            <w:noWrap w:val="0"/>
            <w:vAlign w:val="center"/>
          </w:tcPr>
          <w:p w14:paraId="7945905F">
            <w:pPr>
              <w:jc w:val="center"/>
              <w:rPr>
                <w:rFonts w:hint="default" w:ascii="Times New Roman" w:hAnsi="Times New Roman" w:eastAsia="宋体" w:cs="Times New Roman"/>
                <w:bCs/>
                <w:color w:val="auto"/>
                <w:sz w:val="18"/>
                <w:szCs w:val="18"/>
              </w:rPr>
            </w:pPr>
          </w:p>
        </w:tc>
        <w:tc>
          <w:tcPr>
            <w:tcW w:w="821" w:type="dxa"/>
            <w:shd w:val="clear" w:color="auto" w:fill="FFFFFF"/>
            <w:noWrap w:val="0"/>
            <w:vAlign w:val="center"/>
          </w:tcPr>
          <w:p w14:paraId="567BADF3">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治理设施</w:t>
            </w:r>
          </w:p>
        </w:tc>
        <w:tc>
          <w:tcPr>
            <w:tcW w:w="675" w:type="dxa"/>
            <w:shd w:val="clear" w:color="auto" w:fill="FFFFFF"/>
            <w:noWrap w:val="0"/>
            <w:vAlign w:val="center"/>
          </w:tcPr>
          <w:p w14:paraId="59DBDEAE">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处理能力m</w:t>
            </w:r>
            <w:r>
              <w:rPr>
                <w:rStyle w:val="96"/>
                <w:rFonts w:hint="default" w:ascii="Times New Roman" w:hAnsi="Times New Roman" w:eastAsia="宋体" w:cs="Times New Roman"/>
                <w:color w:val="auto"/>
                <w:sz w:val="18"/>
                <w:szCs w:val="18"/>
                <w:lang w:bidi="ar"/>
              </w:rPr>
              <w:t>3</w:t>
            </w:r>
            <w:r>
              <w:rPr>
                <w:rFonts w:hint="default" w:ascii="Times New Roman" w:hAnsi="Times New Roman" w:eastAsia="宋体" w:cs="Times New Roman"/>
                <w:color w:val="auto"/>
                <w:kern w:val="0"/>
                <w:sz w:val="18"/>
                <w:szCs w:val="18"/>
                <w:lang w:bidi="ar"/>
              </w:rPr>
              <w:t>/h</w:t>
            </w:r>
          </w:p>
        </w:tc>
        <w:tc>
          <w:tcPr>
            <w:tcW w:w="749" w:type="dxa"/>
            <w:shd w:val="clear" w:color="auto" w:fill="FFFFFF"/>
            <w:noWrap w:val="0"/>
            <w:vAlign w:val="center"/>
          </w:tcPr>
          <w:p w14:paraId="15A67E8D">
            <w:pPr>
              <w:widowControl/>
              <w:jc w:val="center"/>
              <w:textAlignment w:val="bottom"/>
              <w:rPr>
                <w:rFonts w:hint="default" w:ascii="Times New Roman" w:hAnsi="Times New Roman" w:eastAsia="宋体" w:cs="Times New Roman"/>
                <w:bCs/>
                <w:color w:val="auto"/>
                <w:sz w:val="18"/>
                <w:szCs w:val="18"/>
              </w:rPr>
            </w:pPr>
            <w:r>
              <w:rPr>
                <w:rFonts w:hint="eastAsia" w:cs="Times New Roman"/>
                <w:color w:val="auto"/>
                <w:kern w:val="0"/>
                <w:sz w:val="18"/>
                <w:szCs w:val="18"/>
                <w:lang w:eastAsia="zh-CN" w:bidi="ar"/>
              </w:rPr>
              <w:t>回收</w:t>
            </w:r>
            <w:r>
              <w:rPr>
                <w:rFonts w:hint="default" w:ascii="Times New Roman" w:hAnsi="Times New Roman" w:eastAsia="宋体" w:cs="Times New Roman"/>
                <w:color w:val="auto"/>
                <w:kern w:val="0"/>
                <w:sz w:val="18"/>
                <w:szCs w:val="18"/>
                <w:lang w:bidi="ar"/>
              </w:rPr>
              <w:t>效率%</w:t>
            </w:r>
          </w:p>
        </w:tc>
        <w:tc>
          <w:tcPr>
            <w:tcW w:w="749" w:type="dxa"/>
            <w:shd w:val="clear" w:color="auto" w:fill="FFFFFF"/>
            <w:noWrap w:val="0"/>
            <w:vAlign w:val="center"/>
          </w:tcPr>
          <w:p w14:paraId="5FEF343C">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是否为可行技术</w:t>
            </w:r>
          </w:p>
        </w:tc>
        <w:tc>
          <w:tcPr>
            <w:tcW w:w="807" w:type="dxa"/>
            <w:shd w:val="clear" w:color="auto" w:fill="FFFFFF"/>
            <w:noWrap w:val="0"/>
            <w:vAlign w:val="center"/>
          </w:tcPr>
          <w:p w14:paraId="051E1F76">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排放浓度mg/m</w:t>
            </w:r>
            <w:r>
              <w:rPr>
                <w:rStyle w:val="96"/>
                <w:rFonts w:hint="default" w:ascii="Times New Roman" w:hAnsi="Times New Roman" w:eastAsia="宋体" w:cs="Times New Roman"/>
                <w:color w:val="auto"/>
                <w:sz w:val="18"/>
                <w:szCs w:val="18"/>
                <w:lang w:bidi="ar"/>
              </w:rPr>
              <w:t>3</w:t>
            </w:r>
          </w:p>
        </w:tc>
        <w:tc>
          <w:tcPr>
            <w:tcW w:w="900" w:type="dxa"/>
            <w:shd w:val="clear" w:color="auto" w:fill="FFFFFF"/>
            <w:noWrap w:val="0"/>
            <w:vAlign w:val="center"/>
          </w:tcPr>
          <w:p w14:paraId="3388C776">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排放速率kg/h</w:t>
            </w:r>
          </w:p>
        </w:tc>
        <w:tc>
          <w:tcPr>
            <w:tcW w:w="780" w:type="dxa"/>
            <w:shd w:val="clear" w:color="auto" w:fill="FFFFFF"/>
            <w:noWrap w:val="0"/>
            <w:vAlign w:val="center"/>
          </w:tcPr>
          <w:p w14:paraId="5593C42A">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污染物排放量t/a</w:t>
            </w:r>
          </w:p>
        </w:tc>
        <w:tc>
          <w:tcPr>
            <w:tcW w:w="1050" w:type="dxa"/>
            <w:shd w:val="clear" w:color="auto" w:fill="FFFFFF"/>
            <w:noWrap w:val="0"/>
            <w:vAlign w:val="center"/>
          </w:tcPr>
          <w:p w14:paraId="36B3256D">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浓度限值mg/m</w:t>
            </w:r>
            <w:r>
              <w:rPr>
                <w:rStyle w:val="96"/>
                <w:rFonts w:hint="default" w:ascii="Times New Roman" w:hAnsi="Times New Roman" w:eastAsia="宋体" w:cs="Times New Roman"/>
                <w:color w:val="auto"/>
                <w:sz w:val="18"/>
                <w:szCs w:val="18"/>
                <w:lang w:bidi="ar"/>
              </w:rPr>
              <w:t>3</w:t>
            </w:r>
          </w:p>
        </w:tc>
        <w:tc>
          <w:tcPr>
            <w:tcW w:w="885" w:type="dxa"/>
            <w:shd w:val="clear" w:color="auto" w:fill="FFFFFF"/>
            <w:noWrap w:val="0"/>
            <w:vAlign w:val="center"/>
          </w:tcPr>
          <w:p w14:paraId="1508CAB0">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速率限值kg/h</w:t>
            </w:r>
          </w:p>
        </w:tc>
        <w:tc>
          <w:tcPr>
            <w:tcW w:w="1868" w:type="dxa"/>
            <w:shd w:val="clear" w:color="auto" w:fill="FFFFFF"/>
            <w:noWrap w:val="0"/>
            <w:vAlign w:val="center"/>
          </w:tcPr>
          <w:p w14:paraId="610995F8">
            <w:pPr>
              <w:widowControl/>
              <w:jc w:val="center"/>
              <w:textAlignment w:val="bottom"/>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kern w:val="0"/>
                <w:sz w:val="18"/>
                <w:szCs w:val="18"/>
                <w:lang w:bidi="ar"/>
              </w:rPr>
              <w:t>标准名称</w:t>
            </w:r>
          </w:p>
        </w:tc>
      </w:tr>
      <w:tr w14:paraId="3F587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9" w:type="dxa"/>
            <w:vMerge w:val="restart"/>
            <w:noWrap w:val="0"/>
            <w:vAlign w:val="center"/>
          </w:tcPr>
          <w:p w14:paraId="5F6F6E9A">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柴油</w:t>
            </w:r>
          </w:p>
        </w:tc>
        <w:tc>
          <w:tcPr>
            <w:tcW w:w="967" w:type="dxa"/>
            <w:noWrap w:val="0"/>
            <w:vAlign w:val="center"/>
          </w:tcPr>
          <w:p w14:paraId="64EAC594">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卸油</w:t>
            </w:r>
          </w:p>
        </w:tc>
        <w:tc>
          <w:tcPr>
            <w:tcW w:w="1169" w:type="dxa"/>
            <w:noWrap w:val="0"/>
            <w:vAlign w:val="center"/>
          </w:tcPr>
          <w:p w14:paraId="71A55511">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非甲烷总烃</w:t>
            </w:r>
          </w:p>
        </w:tc>
        <w:tc>
          <w:tcPr>
            <w:tcW w:w="735" w:type="dxa"/>
            <w:noWrap w:val="0"/>
            <w:vAlign w:val="center"/>
          </w:tcPr>
          <w:p w14:paraId="3F4E89C5">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3110458D">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w:t>
            </w:r>
          </w:p>
        </w:tc>
        <w:tc>
          <w:tcPr>
            <w:tcW w:w="759" w:type="dxa"/>
            <w:tcBorders>
              <w:top w:val="single" w:color="auto" w:sz="4" w:space="0"/>
              <w:left w:val="nil"/>
              <w:bottom w:val="single" w:color="auto" w:sz="4" w:space="0"/>
              <w:right w:val="single" w:color="auto" w:sz="4" w:space="0"/>
            </w:tcBorders>
            <w:noWrap w:val="0"/>
            <w:vAlign w:val="center"/>
          </w:tcPr>
          <w:p w14:paraId="7A089ADC">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0.250 </w:t>
            </w:r>
          </w:p>
        </w:tc>
        <w:tc>
          <w:tcPr>
            <w:tcW w:w="951" w:type="dxa"/>
            <w:noWrap w:val="0"/>
            <w:vAlign w:val="center"/>
          </w:tcPr>
          <w:p w14:paraId="3528516F">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无组织</w:t>
            </w:r>
          </w:p>
        </w:tc>
        <w:tc>
          <w:tcPr>
            <w:tcW w:w="821" w:type="dxa"/>
            <w:noWrap w:val="0"/>
            <w:vAlign w:val="center"/>
          </w:tcPr>
          <w:p w14:paraId="0111A8C7">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w:t>
            </w:r>
          </w:p>
        </w:tc>
        <w:tc>
          <w:tcPr>
            <w:tcW w:w="675" w:type="dxa"/>
            <w:noWrap w:val="0"/>
            <w:vAlign w:val="center"/>
          </w:tcPr>
          <w:p w14:paraId="352C8F32">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749" w:type="dxa"/>
            <w:noWrap w:val="0"/>
            <w:vAlign w:val="center"/>
          </w:tcPr>
          <w:p w14:paraId="5B02BD65">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w:t>
            </w:r>
          </w:p>
        </w:tc>
        <w:tc>
          <w:tcPr>
            <w:tcW w:w="749" w:type="dxa"/>
            <w:noWrap w:val="0"/>
            <w:vAlign w:val="center"/>
          </w:tcPr>
          <w:p w14:paraId="2A5078E3">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807" w:type="dxa"/>
            <w:noWrap w:val="0"/>
            <w:vAlign w:val="center"/>
          </w:tcPr>
          <w:p w14:paraId="11F303F6">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5AF494EB">
            <w:pPr>
              <w:widowControl/>
              <w:jc w:val="center"/>
              <w:textAlignment w:val="bottom"/>
              <w:rPr>
                <w:rFonts w:hint="default" w:ascii="Times New Roman" w:hAnsi="Times New Roman" w:eastAsia="宋体" w:cs="Times New Roman"/>
                <w:b w:val="0"/>
                <w:bCs w:val="0"/>
                <w:color w:val="auto"/>
                <w:kern w:val="0"/>
                <w:sz w:val="18"/>
                <w:szCs w:val="18"/>
              </w:rPr>
            </w:pPr>
            <w:r>
              <w:rPr>
                <w:rFonts w:hint="default" w:ascii="Times New Roman" w:hAnsi="Times New Roman" w:eastAsia="宋体" w:cs="Times New Roman"/>
                <w:color w:val="auto"/>
                <w:kern w:val="0"/>
                <w:sz w:val="18"/>
                <w:szCs w:val="18"/>
                <w:lang w:bidi="ar"/>
              </w:rPr>
              <w:t>/</w:t>
            </w:r>
          </w:p>
        </w:tc>
        <w:tc>
          <w:tcPr>
            <w:tcW w:w="780" w:type="dxa"/>
            <w:tcBorders>
              <w:top w:val="single" w:color="auto" w:sz="4" w:space="0"/>
              <w:left w:val="nil"/>
              <w:bottom w:val="single" w:color="auto" w:sz="4" w:space="0"/>
              <w:right w:val="single" w:color="auto" w:sz="4" w:space="0"/>
            </w:tcBorders>
            <w:noWrap w:val="0"/>
            <w:vAlign w:val="center"/>
          </w:tcPr>
          <w:p w14:paraId="09D24E54">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0.250 </w:t>
            </w:r>
          </w:p>
        </w:tc>
        <w:tc>
          <w:tcPr>
            <w:tcW w:w="1050" w:type="dxa"/>
            <w:noWrap w:val="0"/>
            <w:vAlign w:val="center"/>
          </w:tcPr>
          <w:p w14:paraId="333AD0C7">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lang w:val="en-US"/>
              </w:rPr>
            </w:pPr>
            <w:r>
              <w:rPr>
                <w:rFonts w:hint="default" w:ascii="Times New Roman" w:hAnsi="Times New Roman" w:eastAsia="宋体" w:cs="Times New Roman"/>
                <w:b w:val="0"/>
                <w:bCs w:val="0"/>
                <w:i w:val="0"/>
                <w:iCs w:val="0"/>
                <w:color w:val="auto"/>
                <w:kern w:val="0"/>
                <w:sz w:val="18"/>
                <w:szCs w:val="18"/>
                <w:u w:val="none"/>
                <w:lang w:val="en-US" w:eastAsia="zh-CN" w:bidi="ar"/>
              </w:rPr>
              <w:t>4</w:t>
            </w:r>
          </w:p>
        </w:tc>
        <w:tc>
          <w:tcPr>
            <w:tcW w:w="885" w:type="dxa"/>
            <w:noWrap w:val="0"/>
            <w:vAlign w:val="center"/>
          </w:tcPr>
          <w:p w14:paraId="40420417">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1868" w:type="dxa"/>
            <w:vMerge w:val="restart"/>
            <w:noWrap w:val="0"/>
            <w:vAlign w:val="center"/>
          </w:tcPr>
          <w:p w14:paraId="2004006B">
            <w:pPr>
              <w:widowControl/>
              <w:jc w:val="center"/>
              <w:textAlignment w:val="bottom"/>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《加油站大气污染物排放标准》</w:t>
            </w:r>
          </w:p>
          <w:p w14:paraId="49C3ECE0">
            <w:pPr>
              <w:widowControl/>
              <w:jc w:val="center"/>
              <w:textAlignment w:val="bottom"/>
              <w:rPr>
                <w:rFonts w:hint="default" w:ascii="Times New Roman" w:hAnsi="Times New Roman" w:eastAsia="宋体" w:cs="Times New Roman"/>
                <w:color w:val="auto"/>
                <w:sz w:val="18"/>
                <w:szCs w:val="18"/>
              </w:rPr>
            </w:pPr>
            <w:r>
              <w:rPr>
                <w:rFonts w:hint="eastAsia"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bidi="ar"/>
              </w:rPr>
              <w:t>GB 20952-2020</w:t>
            </w:r>
            <w:r>
              <w:rPr>
                <w:rFonts w:hint="eastAsia" w:cs="Times New Roman"/>
                <w:color w:val="auto"/>
                <w:kern w:val="0"/>
                <w:sz w:val="18"/>
                <w:szCs w:val="18"/>
                <w:lang w:eastAsia="zh-CN" w:bidi="ar"/>
              </w:rPr>
              <w:t>)</w:t>
            </w:r>
          </w:p>
        </w:tc>
      </w:tr>
      <w:tr w14:paraId="46645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9" w:type="dxa"/>
            <w:vMerge w:val="continue"/>
            <w:noWrap w:val="0"/>
            <w:vAlign w:val="center"/>
          </w:tcPr>
          <w:p w14:paraId="662D84DF">
            <w:pPr>
              <w:jc w:val="center"/>
              <w:rPr>
                <w:rFonts w:hint="default" w:ascii="Times New Roman" w:hAnsi="Times New Roman" w:eastAsia="宋体" w:cs="Times New Roman"/>
                <w:color w:val="auto"/>
                <w:kern w:val="0"/>
                <w:sz w:val="18"/>
                <w:szCs w:val="18"/>
              </w:rPr>
            </w:pPr>
          </w:p>
        </w:tc>
        <w:tc>
          <w:tcPr>
            <w:tcW w:w="967" w:type="dxa"/>
            <w:noWrap w:val="0"/>
            <w:vAlign w:val="center"/>
          </w:tcPr>
          <w:p w14:paraId="258532D2">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加油</w:t>
            </w:r>
          </w:p>
        </w:tc>
        <w:tc>
          <w:tcPr>
            <w:tcW w:w="1169" w:type="dxa"/>
            <w:noWrap w:val="0"/>
            <w:vAlign w:val="center"/>
          </w:tcPr>
          <w:p w14:paraId="3F8667FB">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非甲烷总烃</w:t>
            </w:r>
          </w:p>
        </w:tc>
        <w:tc>
          <w:tcPr>
            <w:tcW w:w="735" w:type="dxa"/>
            <w:noWrap w:val="0"/>
            <w:vAlign w:val="center"/>
          </w:tcPr>
          <w:p w14:paraId="56F46634">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7F05983D">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759" w:type="dxa"/>
            <w:tcBorders>
              <w:top w:val="single" w:color="auto" w:sz="4" w:space="0"/>
              <w:left w:val="nil"/>
              <w:bottom w:val="single" w:color="auto" w:sz="4" w:space="0"/>
              <w:right w:val="single" w:color="auto" w:sz="4" w:space="0"/>
            </w:tcBorders>
            <w:noWrap w:val="0"/>
            <w:vAlign w:val="center"/>
          </w:tcPr>
          <w:p w14:paraId="2B649FBC">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0.400 </w:t>
            </w:r>
          </w:p>
        </w:tc>
        <w:tc>
          <w:tcPr>
            <w:tcW w:w="951" w:type="dxa"/>
            <w:noWrap w:val="0"/>
            <w:vAlign w:val="center"/>
          </w:tcPr>
          <w:p w14:paraId="284602CF">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无组织</w:t>
            </w:r>
          </w:p>
        </w:tc>
        <w:tc>
          <w:tcPr>
            <w:tcW w:w="821" w:type="dxa"/>
            <w:noWrap w:val="0"/>
            <w:vAlign w:val="center"/>
          </w:tcPr>
          <w:p w14:paraId="0A0963AC">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w:t>
            </w:r>
          </w:p>
        </w:tc>
        <w:tc>
          <w:tcPr>
            <w:tcW w:w="675" w:type="dxa"/>
            <w:noWrap w:val="0"/>
            <w:vAlign w:val="center"/>
          </w:tcPr>
          <w:p w14:paraId="0371AB01">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749" w:type="dxa"/>
            <w:noWrap w:val="0"/>
            <w:vAlign w:val="center"/>
          </w:tcPr>
          <w:p w14:paraId="266E8E52">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w:t>
            </w:r>
          </w:p>
        </w:tc>
        <w:tc>
          <w:tcPr>
            <w:tcW w:w="749" w:type="dxa"/>
            <w:noWrap w:val="0"/>
            <w:vAlign w:val="center"/>
          </w:tcPr>
          <w:p w14:paraId="7229CC13">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807" w:type="dxa"/>
            <w:noWrap w:val="0"/>
            <w:vAlign w:val="center"/>
          </w:tcPr>
          <w:p w14:paraId="71126D99">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D9F8F7A">
            <w:pPr>
              <w:jc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color w:val="auto"/>
                <w:sz w:val="18"/>
                <w:szCs w:val="18"/>
              </w:rPr>
              <w:t>/</w:t>
            </w:r>
          </w:p>
        </w:tc>
        <w:tc>
          <w:tcPr>
            <w:tcW w:w="780" w:type="dxa"/>
            <w:tcBorders>
              <w:top w:val="single" w:color="auto" w:sz="4" w:space="0"/>
              <w:left w:val="nil"/>
              <w:bottom w:val="single" w:color="auto" w:sz="4" w:space="0"/>
              <w:right w:val="single" w:color="auto" w:sz="4" w:space="0"/>
            </w:tcBorders>
            <w:noWrap w:val="0"/>
            <w:vAlign w:val="center"/>
          </w:tcPr>
          <w:p w14:paraId="4D80537B">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 xml:space="preserve">0.400 </w:t>
            </w:r>
          </w:p>
        </w:tc>
        <w:tc>
          <w:tcPr>
            <w:tcW w:w="1050" w:type="dxa"/>
            <w:noWrap w:val="0"/>
            <w:vAlign w:val="center"/>
          </w:tcPr>
          <w:p w14:paraId="6AC1BFD2">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4</w:t>
            </w:r>
          </w:p>
        </w:tc>
        <w:tc>
          <w:tcPr>
            <w:tcW w:w="885" w:type="dxa"/>
            <w:noWrap w:val="0"/>
            <w:vAlign w:val="center"/>
          </w:tcPr>
          <w:p w14:paraId="587604CF">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1868" w:type="dxa"/>
            <w:vMerge w:val="continue"/>
            <w:noWrap w:val="0"/>
            <w:vAlign w:val="center"/>
          </w:tcPr>
          <w:p w14:paraId="359B6A36">
            <w:pPr>
              <w:jc w:val="center"/>
              <w:rPr>
                <w:rFonts w:hint="default" w:ascii="Times New Roman" w:hAnsi="Times New Roman" w:eastAsia="宋体" w:cs="Times New Roman"/>
                <w:color w:val="auto"/>
                <w:sz w:val="18"/>
                <w:szCs w:val="18"/>
              </w:rPr>
            </w:pPr>
          </w:p>
        </w:tc>
      </w:tr>
      <w:tr w14:paraId="20A91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9" w:type="dxa"/>
            <w:vMerge w:val="restart"/>
            <w:noWrap w:val="0"/>
            <w:vAlign w:val="center"/>
          </w:tcPr>
          <w:p w14:paraId="6D688BD2">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汽油</w:t>
            </w:r>
          </w:p>
        </w:tc>
        <w:tc>
          <w:tcPr>
            <w:tcW w:w="967" w:type="dxa"/>
            <w:noWrap w:val="0"/>
            <w:vAlign w:val="center"/>
          </w:tcPr>
          <w:p w14:paraId="6FC72376">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卸油</w:t>
            </w:r>
          </w:p>
        </w:tc>
        <w:tc>
          <w:tcPr>
            <w:tcW w:w="1169" w:type="dxa"/>
            <w:noWrap w:val="0"/>
            <w:vAlign w:val="center"/>
          </w:tcPr>
          <w:p w14:paraId="6B30871D">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非甲烷总烃</w:t>
            </w:r>
          </w:p>
        </w:tc>
        <w:tc>
          <w:tcPr>
            <w:tcW w:w="735" w:type="dxa"/>
            <w:noWrap w:val="0"/>
            <w:vAlign w:val="center"/>
          </w:tcPr>
          <w:p w14:paraId="5A00B3E7">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686" w:type="dxa"/>
            <w:tcBorders>
              <w:top w:val="nil"/>
              <w:left w:val="single" w:color="auto" w:sz="4" w:space="0"/>
              <w:bottom w:val="single" w:color="auto" w:sz="4" w:space="0"/>
              <w:right w:val="single" w:color="auto" w:sz="4" w:space="0"/>
            </w:tcBorders>
            <w:noWrap w:val="0"/>
            <w:vAlign w:val="center"/>
          </w:tcPr>
          <w:p w14:paraId="27B974F1">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759" w:type="dxa"/>
            <w:tcBorders>
              <w:top w:val="nil"/>
              <w:left w:val="nil"/>
              <w:bottom w:val="single" w:color="auto" w:sz="4" w:space="0"/>
              <w:right w:val="single" w:color="auto" w:sz="4" w:space="0"/>
            </w:tcBorders>
            <w:noWrap w:val="0"/>
            <w:vAlign w:val="center"/>
          </w:tcPr>
          <w:p w14:paraId="759CF78D">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9.200 </w:t>
            </w:r>
          </w:p>
        </w:tc>
        <w:tc>
          <w:tcPr>
            <w:tcW w:w="951" w:type="dxa"/>
            <w:noWrap w:val="0"/>
            <w:vAlign w:val="center"/>
          </w:tcPr>
          <w:p w14:paraId="75C7D085">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无组织</w:t>
            </w:r>
          </w:p>
        </w:tc>
        <w:tc>
          <w:tcPr>
            <w:tcW w:w="821" w:type="dxa"/>
            <w:noWrap w:val="0"/>
            <w:vAlign w:val="center"/>
          </w:tcPr>
          <w:p w14:paraId="6DF10B62">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一次油气回收系统</w:t>
            </w:r>
          </w:p>
        </w:tc>
        <w:tc>
          <w:tcPr>
            <w:tcW w:w="675" w:type="dxa"/>
            <w:noWrap w:val="0"/>
            <w:vAlign w:val="center"/>
          </w:tcPr>
          <w:p w14:paraId="4CC67552">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w:t>
            </w:r>
          </w:p>
        </w:tc>
        <w:tc>
          <w:tcPr>
            <w:tcW w:w="749" w:type="dxa"/>
            <w:noWrap w:val="0"/>
            <w:vAlign w:val="center"/>
          </w:tcPr>
          <w:p w14:paraId="6B140314">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95</w:t>
            </w:r>
          </w:p>
        </w:tc>
        <w:tc>
          <w:tcPr>
            <w:tcW w:w="749" w:type="dxa"/>
            <w:noWrap w:val="0"/>
            <w:vAlign w:val="center"/>
          </w:tcPr>
          <w:p w14:paraId="5BD10FB9">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是</w:t>
            </w:r>
          </w:p>
        </w:tc>
        <w:tc>
          <w:tcPr>
            <w:tcW w:w="807" w:type="dxa"/>
            <w:noWrap w:val="0"/>
            <w:vAlign w:val="center"/>
          </w:tcPr>
          <w:p w14:paraId="6CFB6E50">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w:t>
            </w:r>
          </w:p>
        </w:tc>
        <w:tc>
          <w:tcPr>
            <w:tcW w:w="900" w:type="dxa"/>
            <w:tcBorders>
              <w:top w:val="nil"/>
              <w:left w:val="single" w:color="auto" w:sz="4" w:space="0"/>
              <w:bottom w:val="single" w:color="auto" w:sz="4" w:space="0"/>
              <w:right w:val="single" w:color="auto" w:sz="4" w:space="0"/>
            </w:tcBorders>
            <w:noWrap w:val="0"/>
            <w:vAlign w:val="center"/>
          </w:tcPr>
          <w:p w14:paraId="78C4CDAF">
            <w:pPr>
              <w:widowControl/>
              <w:jc w:val="center"/>
              <w:textAlignment w:val="bottom"/>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color w:val="auto"/>
                <w:kern w:val="0"/>
                <w:sz w:val="18"/>
                <w:szCs w:val="18"/>
                <w:lang w:bidi="ar"/>
              </w:rPr>
              <w:t>/</w:t>
            </w:r>
          </w:p>
        </w:tc>
        <w:tc>
          <w:tcPr>
            <w:tcW w:w="780" w:type="dxa"/>
            <w:tcBorders>
              <w:top w:val="nil"/>
              <w:left w:val="nil"/>
              <w:bottom w:val="single" w:color="auto" w:sz="4" w:space="0"/>
              <w:right w:val="single" w:color="auto" w:sz="4" w:space="0"/>
            </w:tcBorders>
            <w:noWrap w:val="0"/>
            <w:vAlign w:val="center"/>
          </w:tcPr>
          <w:p w14:paraId="3FFD8AEA">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0.460 </w:t>
            </w:r>
          </w:p>
        </w:tc>
        <w:tc>
          <w:tcPr>
            <w:tcW w:w="1050" w:type="dxa"/>
            <w:noWrap w:val="0"/>
            <w:vAlign w:val="center"/>
          </w:tcPr>
          <w:p w14:paraId="5CA576A5">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4</w:t>
            </w:r>
          </w:p>
        </w:tc>
        <w:tc>
          <w:tcPr>
            <w:tcW w:w="885" w:type="dxa"/>
            <w:noWrap w:val="0"/>
            <w:vAlign w:val="center"/>
          </w:tcPr>
          <w:p w14:paraId="4E43B2CF">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1868" w:type="dxa"/>
            <w:vMerge w:val="continue"/>
            <w:noWrap w:val="0"/>
            <w:vAlign w:val="center"/>
          </w:tcPr>
          <w:p w14:paraId="3AE482D3">
            <w:pPr>
              <w:jc w:val="center"/>
              <w:rPr>
                <w:rFonts w:hint="default" w:ascii="Times New Roman" w:hAnsi="Times New Roman" w:eastAsia="宋体" w:cs="Times New Roman"/>
                <w:color w:val="auto"/>
                <w:sz w:val="18"/>
                <w:szCs w:val="18"/>
              </w:rPr>
            </w:pPr>
          </w:p>
        </w:tc>
      </w:tr>
      <w:tr w14:paraId="1DAFF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9" w:type="dxa"/>
            <w:vMerge w:val="continue"/>
            <w:noWrap w:val="0"/>
            <w:vAlign w:val="center"/>
          </w:tcPr>
          <w:p w14:paraId="78A432A5">
            <w:pPr>
              <w:jc w:val="center"/>
              <w:rPr>
                <w:rFonts w:hint="default" w:ascii="Times New Roman" w:hAnsi="Times New Roman" w:eastAsia="宋体" w:cs="Times New Roman"/>
                <w:color w:val="auto"/>
                <w:kern w:val="0"/>
                <w:sz w:val="18"/>
                <w:szCs w:val="18"/>
              </w:rPr>
            </w:pPr>
          </w:p>
        </w:tc>
        <w:tc>
          <w:tcPr>
            <w:tcW w:w="967" w:type="dxa"/>
            <w:noWrap w:val="0"/>
            <w:vAlign w:val="center"/>
          </w:tcPr>
          <w:p w14:paraId="26F64801">
            <w:pPr>
              <w:widowControl/>
              <w:jc w:val="center"/>
              <w:textAlignment w:val="bottom"/>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加油</w:t>
            </w:r>
          </w:p>
        </w:tc>
        <w:tc>
          <w:tcPr>
            <w:tcW w:w="1169" w:type="dxa"/>
            <w:noWrap w:val="0"/>
            <w:vAlign w:val="center"/>
          </w:tcPr>
          <w:p w14:paraId="15C65680">
            <w:pPr>
              <w:widowControl/>
              <w:jc w:val="center"/>
              <w:textAlignment w:val="bottom"/>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非甲烷总烃</w:t>
            </w:r>
          </w:p>
        </w:tc>
        <w:tc>
          <w:tcPr>
            <w:tcW w:w="735" w:type="dxa"/>
            <w:tcBorders>
              <w:bottom w:val="single" w:color="auto" w:sz="4" w:space="0"/>
            </w:tcBorders>
            <w:noWrap w:val="0"/>
            <w:vAlign w:val="center"/>
          </w:tcPr>
          <w:p w14:paraId="1AD104B6">
            <w:pPr>
              <w:widowControl/>
              <w:jc w:val="center"/>
              <w:textAlignment w:val="bottom"/>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w:t>
            </w:r>
          </w:p>
        </w:tc>
        <w:tc>
          <w:tcPr>
            <w:tcW w:w="686" w:type="dxa"/>
            <w:tcBorders>
              <w:bottom w:val="single" w:color="auto" w:sz="4" w:space="0"/>
            </w:tcBorders>
            <w:noWrap w:val="0"/>
            <w:vAlign w:val="center"/>
          </w:tcPr>
          <w:p w14:paraId="0A695308">
            <w:pPr>
              <w:widowControl/>
              <w:jc w:val="center"/>
              <w:textAlignment w:val="bottom"/>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w:t>
            </w:r>
          </w:p>
        </w:tc>
        <w:tc>
          <w:tcPr>
            <w:tcW w:w="759" w:type="dxa"/>
            <w:tcBorders>
              <w:bottom w:val="single" w:color="auto" w:sz="4" w:space="0"/>
            </w:tcBorders>
            <w:noWrap w:val="0"/>
            <w:vAlign w:val="center"/>
          </w:tcPr>
          <w:p w14:paraId="1B22301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 xml:space="preserve">11.600 </w:t>
            </w:r>
          </w:p>
        </w:tc>
        <w:tc>
          <w:tcPr>
            <w:tcW w:w="951" w:type="dxa"/>
            <w:tcBorders>
              <w:bottom w:val="single" w:color="auto" w:sz="4" w:space="0"/>
            </w:tcBorders>
            <w:noWrap w:val="0"/>
            <w:vAlign w:val="center"/>
          </w:tcPr>
          <w:p w14:paraId="460DC36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无组织</w:t>
            </w:r>
          </w:p>
        </w:tc>
        <w:tc>
          <w:tcPr>
            <w:tcW w:w="821" w:type="dxa"/>
            <w:tcBorders>
              <w:bottom w:val="single" w:color="auto" w:sz="4" w:space="0"/>
            </w:tcBorders>
            <w:noWrap w:val="0"/>
            <w:vAlign w:val="center"/>
          </w:tcPr>
          <w:p w14:paraId="71E6AA6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二次油气回收系统</w:t>
            </w:r>
          </w:p>
        </w:tc>
        <w:tc>
          <w:tcPr>
            <w:tcW w:w="675" w:type="dxa"/>
            <w:tcBorders>
              <w:bottom w:val="single" w:color="auto" w:sz="4" w:space="0"/>
            </w:tcBorders>
            <w:noWrap w:val="0"/>
            <w:vAlign w:val="center"/>
          </w:tcPr>
          <w:p w14:paraId="15251A46">
            <w:pPr>
              <w:widowControl/>
              <w:jc w:val="center"/>
              <w:textAlignment w:val="bottom"/>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w:t>
            </w:r>
          </w:p>
        </w:tc>
        <w:tc>
          <w:tcPr>
            <w:tcW w:w="749" w:type="dxa"/>
            <w:tcBorders>
              <w:bottom w:val="single" w:color="auto" w:sz="4" w:space="0"/>
            </w:tcBorders>
            <w:noWrap w:val="0"/>
            <w:vAlign w:val="center"/>
          </w:tcPr>
          <w:p w14:paraId="18085C5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90</w:t>
            </w:r>
          </w:p>
        </w:tc>
        <w:tc>
          <w:tcPr>
            <w:tcW w:w="749" w:type="dxa"/>
            <w:tcBorders>
              <w:bottom w:val="single" w:color="auto" w:sz="4" w:space="0"/>
            </w:tcBorders>
            <w:noWrap w:val="0"/>
            <w:vAlign w:val="center"/>
          </w:tcPr>
          <w:p w14:paraId="2D2260C6">
            <w:pPr>
              <w:widowControl/>
              <w:jc w:val="center"/>
              <w:textAlignment w:val="bottom"/>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是</w:t>
            </w:r>
          </w:p>
        </w:tc>
        <w:tc>
          <w:tcPr>
            <w:tcW w:w="807" w:type="dxa"/>
            <w:tcBorders>
              <w:bottom w:val="single" w:color="auto" w:sz="4" w:space="0"/>
            </w:tcBorders>
            <w:noWrap w:val="0"/>
            <w:vAlign w:val="center"/>
          </w:tcPr>
          <w:p w14:paraId="06224063">
            <w:pPr>
              <w:widowControl/>
              <w:jc w:val="center"/>
              <w:textAlignment w:val="bottom"/>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w:t>
            </w:r>
          </w:p>
        </w:tc>
        <w:tc>
          <w:tcPr>
            <w:tcW w:w="900" w:type="dxa"/>
            <w:tcBorders>
              <w:bottom w:val="single" w:color="auto" w:sz="4" w:space="0"/>
            </w:tcBorders>
            <w:noWrap w:val="0"/>
            <w:vAlign w:val="center"/>
          </w:tcPr>
          <w:p w14:paraId="3B3F9796">
            <w:pPr>
              <w:widowControl/>
              <w:jc w:val="center"/>
              <w:textAlignment w:val="bottom"/>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w:t>
            </w:r>
          </w:p>
        </w:tc>
        <w:tc>
          <w:tcPr>
            <w:tcW w:w="780" w:type="dxa"/>
            <w:tcBorders>
              <w:bottom w:val="single" w:color="auto" w:sz="4" w:space="0"/>
            </w:tcBorders>
            <w:noWrap w:val="0"/>
            <w:vAlign w:val="center"/>
          </w:tcPr>
          <w:p w14:paraId="5889317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1.160</w:t>
            </w:r>
          </w:p>
        </w:tc>
        <w:tc>
          <w:tcPr>
            <w:tcW w:w="1050" w:type="dxa"/>
            <w:tcBorders>
              <w:bottom w:val="single" w:color="auto" w:sz="4" w:space="0"/>
            </w:tcBorders>
            <w:noWrap w:val="0"/>
            <w:vAlign w:val="center"/>
          </w:tcPr>
          <w:p w14:paraId="6DB4F4A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4</w:t>
            </w:r>
          </w:p>
        </w:tc>
        <w:tc>
          <w:tcPr>
            <w:tcW w:w="885" w:type="dxa"/>
            <w:tcBorders>
              <w:bottom w:val="single" w:color="auto" w:sz="4" w:space="0"/>
            </w:tcBorders>
            <w:noWrap w:val="0"/>
            <w:vAlign w:val="center"/>
          </w:tcPr>
          <w:p w14:paraId="23838334">
            <w:pPr>
              <w:widowControl/>
              <w:jc w:val="center"/>
              <w:textAlignment w:val="bottom"/>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w:t>
            </w:r>
          </w:p>
        </w:tc>
        <w:tc>
          <w:tcPr>
            <w:tcW w:w="1868" w:type="dxa"/>
            <w:vMerge w:val="continue"/>
            <w:tcBorders>
              <w:bottom w:val="single" w:color="auto" w:sz="4" w:space="0"/>
            </w:tcBorders>
            <w:noWrap w:val="0"/>
            <w:vAlign w:val="center"/>
          </w:tcPr>
          <w:p w14:paraId="2297B407">
            <w:pPr>
              <w:jc w:val="center"/>
              <w:rPr>
                <w:rFonts w:hint="default" w:ascii="Times New Roman" w:hAnsi="Times New Roman" w:eastAsia="宋体" w:cs="Times New Roman"/>
                <w:color w:val="auto"/>
                <w:sz w:val="18"/>
                <w:szCs w:val="18"/>
              </w:rPr>
            </w:pPr>
          </w:p>
        </w:tc>
      </w:tr>
      <w:tr w14:paraId="6F28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29" w:type="dxa"/>
            <w:vMerge w:val="continue"/>
            <w:noWrap w:val="0"/>
            <w:vAlign w:val="center"/>
          </w:tcPr>
          <w:p w14:paraId="2FA0A537">
            <w:pPr>
              <w:jc w:val="center"/>
              <w:rPr>
                <w:rFonts w:hint="default" w:ascii="Times New Roman" w:hAnsi="Times New Roman" w:eastAsia="宋体" w:cs="Times New Roman"/>
                <w:color w:val="auto"/>
                <w:kern w:val="0"/>
                <w:sz w:val="18"/>
                <w:szCs w:val="18"/>
              </w:rPr>
            </w:pPr>
          </w:p>
        </w:tc>
        <w:tc>
          <w:tcPr>
            <w:tcW w:w="967" w:type="dxa"/>
            <w:noWrap w:val="0"/>
            <w:vAlign w:val="center"/>
          </w:tcPr>
          <w:p w14:paraId="6F1011EC">
            <w:pPr>
              <w:widowControl/>
              <w:jc w:val="center"/>
              <w:textAlignment w:val="bottom"/>
              <w:rPr>
                <w:rFonts w:hint="eastAsia" w:ascii="Times New Roman" w:hAnsi="Times New Roman" w:eastAsia="宋体" w:cs="Times New Roman"/>
                <w:color w:val="auto"/>
                <w:sz w:val="18"/>
                <w:szCs w:val="18"/>
                <w:lang w:eastAsia="zh-CN"/>
              </w:rPr>
            </w:pPr>
            <w:r>
              <w:rPr>
                <w:rFonts w:hint="eastAsia" w:cs="Times New Roman"/>
                <w:color w:val="auto"/>
                <w:kern w:val="0"/>
                <w:sz w:val="18"/>
                <w:szCs w:val="18"/>
                <w:lang w:eastAsia="zh-CN" w:bidi="ar"/>
              </w:rPr>
              <w:t>储油</w:t>
            </w:r>
          </w:p>
        </w:tc>
        <w:tc>
          <w:tcPr>
            <w:tcW w:w="1169" w:type="dxa"/>
            <w:noWrap w:val="0"/>
            <w:vAlign w:val="center"/>
          </w:tcPr>
          <w:p w14:paraId="5DDA4CB0">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非甲烷总烃</w:t>
            </w:r>
          </w:p>
        </w:tc>
        <w:tc>
          <w:tcPr>
            <w:tcW w:w="735" w:type="dxa"/>
            <w:tcBorders>
              <w:bottom w:val="single" w:color="auto" w:sz="4" w:space="0"/>
            </w:tcBorders>
            <w:noWrap w:val="0"/>
            <w:vAlign w:val="center"/>
          </w:tcPr>
          <w:p w14:paraId="5BA3A5E8">
            <w:pPr>
              <w:widowControl/>
              <w:jc w:val="center"/>
              <w:textAlignment w:val="bottom"/>
              <w:rPr>
                <w:rFonts w:hint="default" w:ascii="Times New Roman" w:hAnsi="Times New Roman" w:eastAsia="宋体" w:cs="Times New Roman"/>
                <w:snapToGrid w:val="0"/>
                <w:color w:val="auto"/>
                <w:kern w:val="0"/>
                <w:sz w:val="18"/>
                <w:szCs w:val="18"/>
              </w:rPr>
            </w:pPr>
            <w:r>
              <w:rPr>
                <w:rFonts w:hint="default" w:ascii="Times New Roman" w:hAnsi="Times New Roman" w:eastAsia="宋体" w:cs="Times New Roman"/>
                <w:color w:val="auto"/>
                <w:kern w:val="0"/>
                <w:sz w:val="18"/>
                <w:szCs w:val="18"/>
                <w:lang w:bidi="ar"/>
              </w:rPr>
              <w:t>/</w:t>
            </w:r>
          </w:p>
        </w:tc>
        <w:tc>
          <w:tcPr>
            <w:tcW w:w="686" w:type="dxa"/>
            <w:tcBorders>
              <w:bottom w:val="single" w:color="auto" w:sz="4" w:space="0"/>
            </w:tcBorders>
            <w:noWrap w:val="0"/>
            <w:vAlign w:val="center"/>
          </w:tcPr>
          <w:p w14:paraId="3E0EF239">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759" w:type="dxa"/>
            <w:tcBorders>
              <w:bottom w:val="single" w:color="auto" w:sz="4" w:space="0"/>
            </w:tcBorders>
            <w:noWrap w:val="0"/>
            <w:vAlign w:val="center"/>
          </w:tcPr>
          <w:p w14:paraId="39F4ED00">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eastAsia" w:cs="Times New Roman"/>
                <w:i w:val="0"/>
                <w:iCs w:val="0"/>
                <w:color w:val="auto"/>
                <w:kern w:val="0"/>
                <w:sz w:val="18"/>
                <w:szCs w:val="18"/>
                <w:u w:val="none"/>
                <w:lang w:val="en-US" w:eastAsia="zh-CN" w:bidi="ar"/>
              </w:rPr>
              <w:t>0.40</w:t>
            </w:r>
            <w:r>
              <w:rPr>
                <w:rFonts w:hint="default" w:ascii="Times New Roman" w:hAnsi="Times New Roman" w:eastAsia="宋体" w:cs="Times New Roman"/>
                <w:i w:val="0"/>
                <w:iCs w:val="0"/>
                <w:color w:val="auto"/>
                <w:kern w:val="0"/>
                <w:sz w:val="18"/>
                <w:szCs w:val="18"/>
                <w:u w:val="none"/>
                <w:lang w:val="en-US" w:eastAsia="zh-CN" w:bidi="ar"/>
              </w:rPr>
              <w:t xml:space="preserve">0 </w:t>
            </w:r>
          </w:p>
        </w:tc>
        <w:tc>
          <w:tcPr>
            <w:tcW w:w="951" w:type="dxa"/>
            <w:tcBorders>
              <w:bottom w:val="single" w:color="auto" w:sz="4" w:space="0"/>
            </w:tcBorders>
            <w:noWrap w:val="0"/>
            <w:vAlign w:val="center"/>
          </w:tcPr>
          <w:p w14:paraId="5F417E35">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无组织</w:t>
            </w:r>
          </w:p>
        </w:tc>
        <w:tc>
          <w:tcPr>
            <w:tcW w:w="821" w:type="dxa"/>
            <w:tcBorders>
              <w:bottom w:val="single" w:color="auto" w:sz="4" w:space="0"/>
            </w:tcBorders>
            <w:noWrap w:val="0"/>
            <w:vAlign w:val="center"/>
          </w:tcPr>
          <w:p w14:paraId="54E3C3F8">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eastAsia" w:cs="Times New Roman"/>
                <w:i w:val="0"/>
                <w:iCs w:val="0"/>
                <w:color w:val="auto"/>
                <w:kern w:val="0"/>
                <w:sz w:val="18"/>
                <w:szCs w:val="18"/>
                <w:u w:val="none"/>
                <w:lang w:val="en-US" w:eastAsia="zh-CN" w:bidi="ar"/>
              </w:rPr>
              <w:t>三</w:t>
            </w:r>
            <w:r>
              <w:rPr>
                <w:rFonts w:hint="default" w:ascii="Times New Roman" w:hAnsi="Times New Roman" w:eastAsia="宋体" w:cs="Times New Roman"/>
                <w:i w:val="0"/>
                <w:iCs w:val="0"/>
                <w:color w:val="auto"/>
                <w:kern w:val="0"/>
                <w:sz w:val="18"/>
                <w:szCs w:val="18"/>
                <w:u w:val="none"/>
                <w:lang w:val="en-US" w:eastAsia="zh-CN" w:bidi="ar"/>
              </w:rPr>
              <w:t>次油气回收系统</w:t>
            </w:r>
          </w:p>
        </w:tc>
        <w:tc>
          <w:tcPr>
            <w:tcW w:w="675" w:type="dxa"/>
            <w:tcBorders>
              <w:bottom w:val="single" w:color="auto" w:sz="4" w:space="0"/>
            </w:tcBorders>
            <w:noWrap w:val="0"/>
            <w:vAlign w:val="center"/>
          </w:tcPr>
          <w:p w14:paraId="7BE529C6">
            <w:pPr>
              <w:widowControl/>
              <w:jc w:val="center"/>
              <w:textAlignment w:val="bottom"/>
              <w:rPr>
                <w:rFonts w:hint="eastAsia" w:ascii="Times New Roman" w:hAnsi="Times New Roman" w:eastAsia="宋体" w:cs="Times New Roman"/>
                <w:color w:val="auto"/>
                <w:kern w:val="0"/>
                <w:sz w:val="18"/>
                <w:szCs w:val="18"/>
                <w:lang w:eastAsia="zh-CN"/>
              </w:rPr>
            </w:pPr>
            <w:r>
              <w:rPr>
                <w:rFonts w:hint="eastAsia" w:cs="Times New Roman"/>
                <w:color w:val="auto"/>
                <w:kern w:val="0"/>
                <w:sz w:val="18"/>
                <w:szCs w:val="18"/>
                <w:lang w:val="en-US" w:eastAsia="zh-CN" w:bidi="ar"/>
              </w:rPr>
              <w:t>8</w:t>
            </w:r>
          </w:p>
        </w:tc>
        <w:tc>
          <w:tcPr>
            <w:tcW w:w="749" w:type="dxa"/>
            <w:tcBorders>
              <w:bottom w:val="single" w:color="auto" w:sz="4" w:space="0"/>
            </w:tcBorders>
            <w:noWrap w:val="0"/>
            <w:vAlign w:val="center"/>
          </w:tcPr>
          <w:p w14:paraId="0BE607DF">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90</w:t>
            </w:r>
          </w:p>
        </w:tc>
        <w:tc>
          <w:tcPr>
            <w:tcW w:w="749" w:type="dxa"/>
            <w:tcBorders>
              <w:bottom w:val="single" w:color="auto" w:sz="4" w:space="0"/>
            </w:tcBorders>
            <w:noWrap w:val="0"/>
            <w:vAlign w:val="center"/>
          </w:tcPr>
          <w:p w14:paraId="47ABEA65">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是</w:t>
            </w:r>
          </w:p>
        </w:tc>
        <w:tc>
          <w:tcPr>
            <w:tcW w:w="807" w:type="dxa"/>
            <w:tcBorders>
              <w:bottom w:val="single" w:color="auto" w:sz="4" w:space="0"/>
            </w:tcBorders>
            <w:noWrap w:val="0"/>
            <w:vAlign w:val="center"/>
          </w:tcPr>
          <w:p w14:paraId="3EF7EA6F">
            <w:pPr>
              <w:widowControl/>
              <w:jc w:val="center"/>
              <w:textAlignment w:val="bottom"/>
              <w:rPr>
                <w:rFonts w:hint="default" w:ascii="Times New Roman" w:hAnsi="Times New Roman" w:eastAsia="宋体" w:cs="Times New Roman"/>
                <w:snapToGrid w:val="0"/>
                <w:color w:val="auto"/>
                <w:kern w:val="0"/>
                <w:sz w:val="18"/>
                <w:szCs w:val="18"/>
              </w:rPr>
            </w:pPr>
            <w:r>
              <w:rPr>
                <w:rFonts w:hint="default" w:ascii="Times New Roman" w:hAnsi="Times New Roman" w:eastAsia="宋体" w:cs="Times New Roman"/>
                <w:color w:val="auto"/>
                <w:kern w:val="0"/>
                <w:sz w:val="18"/>
                <w:szCs w:val="18"/>
                <w:lang w:bidi="ar"/>
              </w:rPr>
              <w:t>/</w:t>
            </w:r>
          </w:p>
        </w:tc>
        <w:tc>
          <w:tcPr>
            <w:tcW w:w="900" w:type="dxa"/>
            <w:tcBorders>
              <w:bottom w:val="single" w:color="auto" w:sz="4" w:space="0"/>
            </w:tcBorders>
            <w:noWrap w:val="0"/>
            <w:vAlign w:val="center"/>
          </w:tcPr>
          <w:p w14:paraId="39BD97C7">
            <w:pPr>
              <w:widowControl/>
              <w:jc w:val="center"/>
              <w:textAlignment w:val="bottom"/>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color w:val="auto"/>
                <w:kern w:val="0"/>
                <w:sz w:val="18"/>
                <w:szCs w:val="18"/>
                <w:lang w:bidi="ar"/>
              </w:rPr>
              <w:t>/</w:t>
            </w:r>
          </w:p>
        </w:tc>
        <w:tc>
          <w:tcPr>
            <w:tcW w:w="780" w:type="dxa"/>
            <w:tcBorders>
              <w:bottom w:val="single" w:color="auto" w:sz="4" w:space="0"/>
            </w:tcBorders>
            <w:noWrap w:val="0"/>
            <w:vAlign w:val="center"/>
          </w:tcPr>
          <w:p w14:paraId="4735F0D2">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rPr>
            </w:pPr>
            <w:r>
              <w:rPr>
                <w:rFonts w:hint="eastAsia" w:cs="Times New Roman"/>
                <w:i w:val="0"/>
                <w:iCs w:val="0"/>
                <w:color w:val="auto"/>
                <w:kern w:val="0"/>
                <w:sz w:val="18"/>
                <w:szCs w:val="18"/>
                <w:u w:val="none"/>
                <w:lang w:val="en-US" w:eastAsia="zh-CN" w:bidi="ar"/>
              </w:rPr>
              <w:t>0.040</w:t>
            </w:r>
            <w:r>
              <w:rPr>
                <w:rFonts w:hint="default" w:ascii="Times New Roman" w:hAnsi="Times New Roman" w:eastAsia="宋体" w:cs="Times New Roman"/>
                <w:i w:val="0"/>
                <w:iCs w:val="0"/>
                <w:color w:val="auto"/>
                <w:kern w:val="0"/>
                <w:sz w:val="18"/>
                <w:szCs w:val="18"/>
                <w:u w:val="none"/>
                <w:lang w:val="en-US" w:eastAsia="zh-CN" w:bidi="ar"/>
              </w:rPr>
              <w:t xml:space="preserve"> </w:t>
            </w:r>
          </w:p>
        </w:tc>
        <w:tc>
          <w:tcPr>
            <w:tcW w:w="1050" w:type="dxa"/>
            <w:tcBorders>
              <w:bottom w:val="single" w:color="auto" w:sz="4" w:space="0"/>
            </w:tcBorders>
            <w:noWrap w:val="0"/>
            <w:vAlign w:val="center"/>
          </w:tcPr>
          <w:p w14:paraId="5D245BD4">
            <w:pPr>
              <w:keepNext w:val="0"/>
              <w:keepLines w:val="0"/>
              <w:widowControl/>
              <w:suppressLineNumbers w:val="0"/>
              <w:jc w:val="center"/>
              <w:textAlignment w:val="center"/>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4</w:t>
            </w:r>
          </w:p>
        </w:tc>
        <w:tc>
          <w:tcPr>
            <w:tcW w:w="885" w:type="dxa"/>
            <w:tcBorders>
              <w:bottom w:val="single" w:color="auto" w:sz="4" w:space="0"/>
            </w:tcBorders>
            <w:noWrap w:val="0"/>
            <w:vAlign w:val="center"/>
          </w:tcPr>
          <w:p w14:paraId="4D0B724F">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1868" w:type="dxa"/>
            <w:vMerge w:val="continue"/>
            <w:tcBorders>
              <w:bottom w:val="single" w:color="auto" w:sz="4" w:space="0"/>
            </w:tcBorders>
            <w:noWrap w:val="0"/>
            <w:vAlign w:val="center"/>
          </w:tcPr>
          <w:p w14:paraId="60C2FDD0">
            <w:pPr>
              <w:jc w:val="center"/>
              <w:rPr>
                <w:rFonts w:hint="default" w:ascii="Times New Roman" w:hAnsi="Times New Roman" w:eastAsia="宋体" w:cs="Times New Roman"/>
                <w:color w:val="auto"/>
                <w:sz w:val="18"/>
                <w:szCs w:val="18"/>
              </w:rPr>
            </w:pPr>
          </w:p>
        </w:tc>
      </w:tr>
      <w:tr w14:paraId="258DA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6" w:type="dxa"/>
            <w:gridSpan w:val="2"/>
            <w:noWrap w:val="0"/>
            <w:vAlign w:val="center"/>
          </w:tcPr>
          <w:p w14:paraId="7106B69F">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进出站汽车尾气</w:t>
            </w:r>
          </w:p>
        </w:tc>
        <w:tc>
          <w:tcPr>
            <w:tcW w:w="1169" w:type="dxa"/>
            <w:noWrap w:val="0"/>
            <w:vAlign w:val="center"/>
          </w:tcPr>
          <w:p w14:paraId="4CEFA0F7">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CO</w:t>
            </w:r>
            <w:r>
              <w:rPr>
                <w:rStyle w:val="97"/>
                <w:rFonts w:hint="default" w:ascii="Times New Roman" w:hAnsi="Times New Roman" w:eastAsia="宋体" w:cs="Times New Roman"/>
                <w:color w:val="auto"/>
                <w:sz w:val="18"/>
                <w:szCs w:val="18"/>
                <w:lang w:bidi="ar"/>
              </w:rPr>
              <w:t>、</w:t>
            </w:r>
            <w:r>
              <w:rPr>
                <w:rFonts w:hint="default" w:ascii="Times New Roman" w:hAnsi="Times New Roman" w:eastAsia="宋体" w:cs="Times New Roman"/>
                <w:color w:val="auto"/>
                <w:kern w:val="0"/>
                <w:sz w:val="18"/>
                <w:szCs w:val="18"/>
                <w:lang w:bidi="ar"/>
              </w:rPr>
              <w:t>THC</w:t>
            </w:r>
            <w:r>
              <w:rPr>
                <w:rStyle w:val="97"/>
                <w:rFonts w:hint="default" w:ascii="Times New Roman" w:hAnsi="Times New Roman" w:eastAsia="宋体" w:cs="Times New Roman"/>
                <w:color w:val="auto"/>
                <w:sz w:val="18"/>
                <w:szCs w:val="18"/>
                <w:lang w:bidi="ar"/>
              </w:rPr>
              <w:t>、</w:t>
            </w:r>
            <w:r>
              <w:rPr>
                <w:rFonts w:hint="default" w:ascii="Times New Roman" w:hAnsi="Times New Roman" w:eastAsia="宋体" w:cs="Times New Roman"/>
                <w:color w:val="auto"/>
                <w:kern w:val="0"/>
                <w:sz w:val="18"/>
                <w:szCs w:val="18"/>
                <w:lang w:bidi="ar"/>
              </w:rPr>
              <w:t>NOx</w:t>
            </w:r>
          </w:p>
        </w:tc>
        <w:tc>
          <w:tcPr>
            <w:tcW w:w="735" w:type="dxa"/>
            <w:tcBorders>
              <w:bottom w:val="single" w:color="auto" w:sz="4" w:space="0"/>
            </w:tcBorders>
            <w:noWrap w:val="0"/>
            <w:vAlign w:val="center"/>
          </w:tcPr>
          <w:p w14:paraId="3C126764">
            <w:pPr>
              <w:widowControl/>
              <w:jc w:val="center"/>
              <w:textAlignment w:val="bottom"/>
              <w:rPr>
                <w:rFonts w:hint="default" w:ascii="Times New Roman" w:hAnsi="Times New Roman" w:eastAsia="宋体" w:cs="Times New Roman"/>
                <w:snapToGrid w:val="0"/>
                <w:color w:val="auto"/>
                <w:kern w:val="0"/>
                <w:sz w:val="18"/>
                <w:szCs w:val="18"/>
              </w:rPr>
            </w:pPr>
            <w:r>
              <w:rPr>
                <w:rFonts w:hint="default" w:ascii="Times New Roman" w:hAnsi="Times New Roman" w:eastAsia="宋体" w:cs="Times New Roman"/>
                <w:color w:val="auto"/>
                <w:kern w:val="0"/>
                <w:sz w:val="18"/>
                <w:szCs w:val="18"/>
                <w:lang w:bidi="ar"/>
              </w:rPr>
              <w:t>/</w:t>
            </w:r>
          </w:p>
        </w:tc>
        <w:tc>
          <w:tcPr>
            <w:tcW w:w="686" w:type="dxa"/>
            <w:tcBorders>
              <w:bottom w:val="single" w:color="auto" w:sz="4" w:space="0"/>
            </w:tcBorders>
            <w:noWrap w:val="0"/>
            <w:vAlign w:val="center"/>
          </w:tcPr>
          <w:p w14:paraId="564FE5C5">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w:t>
            </w:r>
          </w:p>
        </w:tc>
        <w:tc>
          <w:tcPr>
            <w:tcW w:w="759" w:type="dxa"/>
            <w:tcBorders>
              <w:bottom w:val="single" w:color="auto" w:sz="4" w:space="0"/>
            </w:tcBorders>
            <w:noWrap w:val="0"/>
            <w:vAlign w:val="center"/>
          </w:tcPr>
          <w:p w14:paraId="72C8528D">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少量</w:t>
            </w:r>
          </w:p>
        </w:tc>
        <w:tc>
          <w:tcPr>
            <w:tcW w:w="951" w:type="dxa"/>
            <w:tcBorders>
              <w:bottom w:val="single" w:color="auto" w:sz="4" w:space="0"/>
            </w:tcBorders>
            <w:noWrap w:val="0"/>
            <w:vAlign w:val="center"/>
          </w:tcPr>
          <w:p w14:paraId="6A74D0AC">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无组织</w:t>
            </w:r>
          </w:p>
        </w:tc>
        <w:tc>
          <w:tcPr>
            <w:tcW w:w="821" w:type="dxa"/>
            <w:tcBorders>
              <w:bottom w:val="single" w:color="auto" w:sz="4" w:space="0"/>
            </w:tcBorders>
            <w:noWrap w:val="0"/>
            <w:vAlign w:val="center"/>
          </w:tcPr>
          <w:p w14:paraId="124AC093">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w:t>
            </w:r>
          </w:p>
        </w:tc>
        <w:tc>
          <w:tcPr>
            <w:tcW w:w="675" w:type="dxa"/>
            <w:tcBorders>
              <w:bottom w:val="single" w:color="auto" w:sz="4" w:space="0"/>
            </w:tcBorders>
            <w:noWrap w:val="0"/>
            <w:vAlign w:val="center"/>
          </w:tcPr>
          <w:p w14:paraId="192164C1">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w:t>
            </w:r>
          </w:p>
        </w:tc>
        <w:tc>
          <w:tcPr>
            <w:tcW w:w="749" w:type="dxa"/>
            <w:tcBorders>
              <w:bottom w:val="single" w:color="auto" w:sz="4" w:space="0"/>
            </w:tcBorders>
            <w:noWrap w:val="0"/>
            <w:vAlign w:val="center"/>
          </w:tcPr>
          <w:p w14:paraId="6FC93A99">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749" w:type="dxa"/>
            <w:tcBorders>
              <w:bottom w:val="single" w:color="auto" w:sz="4" w:space="0"/>
            </w:tcBorders>
            <w:noWrap w:val="0"/>
            <w:vAlign w:val="center"/>
          </w:tcPr>
          <w:p w14:paraId="68F07D43">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是</w:t>
            </w:r>
          </w:p>
        </w:tc>
        <w:tc>
          <w:tcPr>
            <w:tcW w:w="807" w:type="dxa"/>
            <w:tcBorders>
              <w:bottom w:val="single" w:color="auto" w:sz="4" w:space="0"/>
            </w:tcBorders>
            <w:noWrap w:val="0"/>
            <w:vAlign w:val="center"/>
          </w:tcPr>
          <w:p w14:paraId="09B1D790">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w:t>
            </w:r>
          </w:p>
        </w:tc>
        <w:tc>
          <w:tcPr>
            <w:tcW w:w="900" w:type="dxa"/>
            <w:tcBorders>
              <w:bottom w:val="single" w:color="auto" w:sz="4" w:space="0"/>
            </w:tcBorders>
            <w:noWrap w:val="0"/>
            <w:vAlign w:val="center"/>
          </w:tcPr>
          <w:p w14:paraId="649730F0">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w:t>
            </w:r>
          </w:p>
        </w:tc>
        <w:tc>
          <w:tcPr>
            <w:tcW w:w="780" w:type="dxa"/>
            <w:tcBorders>
              <w:bottom w:val="single" w:color="auto" w:sz="4" w:space="0"/>
            </w:tcBorders>
            <w:noWrap w:val="0"/>
            <w:vAlign w:val="center"/>
          </w:tcPr>
          <w:p w14:paraId="6B9CBC73">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1050" w:type="dxa"/>
            <w:tcBorders>
              <w:bottom w:val="single" w:color="auto" w:sz="4" w:space="0"/>
            </w:tcBorders>
            <w:noWrap w:val="0"/>
            <w:vAlign w:val="center"/>
          </w:tcPr>
          <w:p w14:paraId="728E21FE">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885" w:type="dxa"/>
            <w:tcBorders>
              <w:bottom w:val="single" w:color="auto" w:sz="4" w:space="0"/>
            </w:tcBorders>
            <w:noWrap w:val="0"/>
            <w:vAlign w:val="center"/>
          </w:tcPr>
          <w:p w14:paraId="43850520">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w:t>
            </w:r>
          </w:p>
        </w:tc>
        <w:tc>
          <w:tcPr>
            <w:tcW w:w="1868" w:type="dxa"/>
            <w:tcBorders>
              <w:bottom w:val="single" w:color="auto" w:sz="4" w:space="0"/>
            </w:tcBorders>
            <w:noWrap w:val="0"/>
            <w:vAlign w:val="center"/>
          </w:tcPr>
          <w:p w14:paraId="584FFC4B">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w:t>
            </w:r>
          </w:p>
        </w:tc>
      </w:tr>
      <w:tr w14:paraId="5A4A9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6" w:type="dxa"/>
            <w:gridSpan w:val="2"/>
            <w:noWrap w:val="0"/>
            <w:vAlign w:val="center"/>
          </w:tcPr>
          <w:p w14:paraId="06FCD022">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生化池臭气</w:t>
            </w:r>
          </w:p>
        </w:tc>
        <w:tc>
          <w:tcPr>
            <w:tcW w:w="1169" w:type="dxa"/>
            <w:tcBorders>
              <w:right w:val="single" w:color="auto" w:sz="4" w:space="0"/>
            </w:tcBorders>
            <w:noWrap w:val="0"/>
            <w:vAlign w:val="center"/>
          </w:tcPr>
          <w:p w14:paraId="0CE864F4">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臭气浓度</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247060E">
            <w:pPr>
              <w:widowControl/>
              <w:jc w:val="center"/>
              <w:textAlignment w:val="bottom"/>
              <w:rPr>
                <w:rFonts w:hint="default" w:ascii="Times New Roman" w:hAnsi="Times New Roman" w:eastAsia="宋体" w:cs="Times New Roman"/>
                <w:snapToGrid w:val="0"/>
                <w:color w:val="auto"/>
                <w:kern w:val="0"/>
                <w:sz w:val="18"/>
                <w:szCs w:val="18"/>
              </w:rPr>
            </w:pPr>
            <w:r>
              <w:rPr>
                <w:rFonts w:hint="default" w:ascii="Times New Roman" w:hAnsi="Times New Roman" w:eastAsia="宋体" w:cs="Times New Roman"/>
                <w:color w:val="auto"/>
                <w:kern w:val="0"/>
                <w:sz w:val="18"/>
                <w:szCs w:val="18"/>
                <w:lang w:bidi="ar"/>
              </w:rPr>
              <w:t>/</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4C9FF207">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0163ADF8">
            <w:pPr>
              <w:keepNext w:val="0"/>
              <w:keepLines w:val="0"/>
              <w:widowControl/>
              <w:suppressLineNumbers w:val="0"/>
              <w:jc w:val="center"/>
              <w:textAlignment w:val="center"/>
              <w:rPr>
                <w:rFonts w:hint="default" w:ascii="Times New Roman" w:hAnsi="Times New Roman" w:eastAsia="宋体" w:cs="Times New Roman"/>
                <w:snapToGrid w:val="0"/>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少量</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82C71CA">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无组织</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398AAB5E">
            <w:pPr>
              <w:keepNext w:val="0"/>
              <w:keepLines w:val="0"/>
              <w:widowControl/>
              <w:suppressLineNumbers w:val="0"/>
              <w:jc w:val="center"/>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i w:val="0"/>
                <w:iCs w:val="0"/>
                <w:color w:val="auto"/>
                <w:kern w:val="0"/>
                <w:sz w:val="18"/>
                <w:szCs w:val="18"/>
                <w:u w:val="none"/>
                <w:lang w:val="en-US" w:eastAsia="zh-CN" w:bidi="ar"/>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550B168">
            <w:pPr>
              <w:widowControl/>
              <w:jc w:val="center"/>
              <w:textAlignment w:val="bottom"/>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bidi="ar"/>
              </w:rPr>
              <w:t>/</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76C5FF4F">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B0B82D7">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是</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0EDAD0B3">
            <w:pPr>
              <w:widowControl/>
              <w:jc w:val="center"/>
              <w:textAlignment w:val="bottom"/>
              <w:rPr>
                <w:rFonts w:hint="default" w:ascii="Times New Roman" w:hAnsi="Times New Roman" w:eastAsia="宋体" w:cs="Times New Roman"/>
                <w:snapToGrid w:val="0"/>
                <w:color w:val="auto"/>
                <w:kern w:val="0"/>
                <w:sz w:val="18"/>
                <w:szCs w:val="18"/>
              </w:rPr>
            </w:pPr>
            <w:r>
              <w:rPr>
                <w:rFonts w:hint="default" w:ascii="Times New Roman" w:hAnsi="Times New Roman" w:eastAsia="宋体" w:cs="Times New Roman"/>
                <w:color w:val="auto"/>
                <w:kern w:val="0"/>
                <w:sz w:val="18"/>
                <w:szCs w:val="18"/>
                <w:lang w:bidi="ar"/>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B37B7F1">
            <w:pPr>
              <w:widowControl/>
              <w:jc w:val="center"/>
              <w:textAlignment w:val="bottom"/>
              <w:rPr>
                <w:rFonts w:hint="default" w:ascii="Times New Roman" w:hAnsi="Times New Roman" w:eastAsia="宋体" w:cs="Times New Roman"/>
                <w:snapToGrid w:val="0"/>
                <w:color w:val="auto"/>
                <w:kern w:val="0"/>
                <w:sz w:val="18"/>
                <w:szCs w:val="18"/>
              </w:rPr>
            </w:pPr>
            <w:r>
              <w:rPr>
                <w:rFonts w:hint="default" w:ascii="Times New Roman" w:hAnsi="Times New Roman" w:eastAsia="宋体" w:cs="Times New Roman"/>
                <w:color w:val="auto"/>
                <w:kern w:val="0"/>
                <w:sz w:val="18"/>
                <w:szCs w:val="18"/>
                <w:lang w:bidi="ar"/>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90FD25F">
            <w:pPr>
              <w:widowControl/>
              <w:jc w:val="center"/>
              <w:textAlignment w:val="bottom"/>
              <w:rPr>
                <w:rFonts w:hint="default" w:ascii="Times New Roman" w:hAnsi="Times New Roman" w:eastAsia="宋体" w:cs="Times New Roman"/>
                <w:snapToGrid w:val="0"/>
                <w:color w:val="auto"/>
                <w:kern w:val="0"/>
                <w:sz w:val="18"/>
                <w:szCs w:val="18"/>
              </w:rPr>
            </w:pPr>
            <w:r>
              <w:rPr>
                <w:rFonts w:hint="default" w:ascii="Times New Roman" w:hAnsi="Times New Roman" w:eastAsia="宋体" w:cs="Times New Roman"/>
                <w:color w:val="auto"/>
                <w:kern w:val="0"/>
                <w:sz w:val="18"/>
                <w:szCs w:val="18"/>
                <w:lang w:bidi="ar"/>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1715EBE">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6D3630FE">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5D05F7FD">
            <w:pPr>
              <w:widowControl/>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《恶臭污染物排放标准》（GB14554-93</w:t>
            </w:r>
            <w:r>
              <w:rPr>
                <w:rStyle w:val="97"/>
                <w:rFonts w:hint="default" w:ascii="Times New Roman" w:hAnsi="Times New Roman" w:eastAsia="宋体" w:cs="Times New Roman"/>
                <w:color w:val="auto"/>
                <w:sz w:val="18"/>
                <w:szCs w:val="18"/>
                <w:lang w:bidi="ar"/>
              </w:rPr>
              <w:t>）</w:t>
            </w:r>
          </w:p>
        </w:tc>
      </w:tr>
      <w:tr w14:paraId="7DDE2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96" w:type="dxa"/>
            <w:gridSpan w:val="2"/>
            <w:noWrap w:val="0"/>
            <w:vAlign w:val="center"/>
          </w:tcPr>
          <w:p w14:paraId="1069B912">
            <w:pPr>
              <w:widowControl/>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color w:val="auto"/>
                <w:kern w:val="0"/>
                <w:sz w:val="21"/>
                <w:szCs w:val="21"/>
                <w:highlight w:val="none"/>
              </w:rPr>
              <w:t>备用柴油发电机尾气</w:t>
            </w:r>
          </w:p>
        </w:tc>
        <w:tc>
          <w:tcPr>
            <w:tcW w:w="1169" w:type="dxa"/>
            <w:tcBorders>
              <w:right w:val="single" w:color="auto" w:sz="4" w:space="0"/>
            </w:tcBorders>
            <w:noWrap w:val="0"/>
            <w:vAlign w:val="center"/>
          </w:tcPr>
          <w:p w14:paraId="4696089E">
            <w:pPr>
              <w:widowControl/>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color w:val="auto"/>
                <w:sz w:val="21"/>
                <w:szCs w:val="21"/>
                <w:highlight w:val="none"/>
              </w:rPr>
              <w:t>THC、NOx</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8141E61">
            <w:pPr>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snapToGrid w:val="0"/>
                <w:color w:val="auto"/>
                <w:kern w:val="0"/>
                <w:sz w:val="21"/>
                <w:szCs w:val="21"/>
                <w:highlight w:val="none"/>
              </w:rPr>
              <w:t>/</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4A60C596">
            <w:pPr>
              <w:widowControl/>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snapToGrid w:val="0"/>
                <w:color w:val="auto"/>
                <w:kern w:val="0"/>
                <w:sz w:val="21"/>
                <w:szCs w:val="21"/>
                <w:highlight w:val="none"/>
              </w:rPr>
              <w:t>/</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12C4EC92">
            <w:pPr>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snapToGrid w:val="0"/>
                <w:color w:val="auto"/>
                <w:kern w:val="0"/>
                <w:sz w:val="21"/>
                <w:szCs w:val="21"/>
                <w:highlight w:val="none"/>
              </w:rPr>
              <w:t>少量</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F0E8724">
            <w:pPr>
              <w:widowControl/>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21"/>
                <w:szCs w:val="21"/>
                <w:highlight w:val="none"/>
              </w:rPr>
              <w:t>无组织</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3BEC02E">
            <w:pPr>
              <w:widowControl/>
              <w:jc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color w:val="auto"/>
                <w:kern w:val="0"/>
                <w:sz w:val="21"/>
                <w:szCs w:val="21"/>
                <w:highlight w:val="none"/>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24D43E2">
            <w:pPr>
              <w:widowControl/>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color w:val="auto"/>
                <w:kern w:val="0"/>
                <w:sz w:val="21"/>
                <w:szCs w:val="21"/>
                <w:highlight w:val="none"/>
              </w:rPr>
              <w:t>/</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05D66430">
            <w:pPr>
              <w:widowControl/>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color w:val="auto"/>
                <w:sz w:val="21"/>
                <w:szCs w:val="21"/>
                <w:highlight w:val="none"/>
              </w:rPr>
              <w:t>/</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62976C2E">
            <w:pPr>
              <w:widowControl/>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color w:val="auto"/>
                <w:sz w:val="21"/>
                <w:szCs w:val="21"/>
                <w:highlight w:val="none"/>
              </w:rPr>
              <w:t>是</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4EA65373">
            <w:pPr>
              <w:widowControl/>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color w:val="auto"/>
                <w:kern w:val="0"/>
                <w:sz w:val="21"/>
                <w:szCs w:val="21"/>
                <w:highlight w:val="none"/>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D0BC099">
            <w:pPr>
              <w:widowControl/>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color w:val="auto"/>
                <w:kern w:val="0"/>
                <w:sz w:val="21"/>
                <w:szCs w:val="21"/>
                <w:highlight w:val="none"/>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D064A3D">
            <w:pPr>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color w:val="auto"/>
                <w:sz w:val="21"/>
                <w:szCs w:val="21"/>
                <w:highlight w:val="none"/>
              </w:rPr>
              <w:t>/</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E802C78">
            <w:pPr>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color w:val="auto"/>
                <w:sz w:val="21"/>
                <w:szCs w:val="21"/>
                <w:highlight w:val="none"/>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35E7DD03">
            <w:pPr>
              <w:widowControl/>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color w:val="auto"/>
                <w:kern w:val="0"/>
                <w:sz w:val="21"/>
                <w:szCs w:val="21"/>
                <w:highlight w:val="none"/>
              </w:rPr>
              <w:t>/</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72196AA9">
            <w:pPr>
              <w:widowControl/>
              <w:jc w:val="center"/>
              <w:rPr>
                <w:rFonts w:hint="default" w:ascii="Times New Roman" w:hAnsi="Times New Roman" w:eastAsia="宋体" w:cs="Times New Roman"/>
                <w:color w:val="auto"/>
                <w:kern w:val="0"/>
                <w:sz w:val="18"/>
                <w:szCs w:val="18"/>
                <w:lang w:bidi="ar"/>
              </w:rPr>
            </w:pPr>
            <w:r>
              <w:rPr>
                <w:rFonts w:hint="default" w:ascii="Times New Roman" w:hAnsi="Times New Roman" w:cs="Times New Roman"/>
                <w:color w:val="auto"/>
                <w:kern w:val="0"/>
                <w:sz w:val="21"/>
                <w:szCs w:val="21"/>
                <w:highlight w:val="none"/>
              </w:rPr>
              <w:t>/</w:t>
            </w:r>
          </w:p>
        </w:tc>
      </w:tr>
    </w:tbl>
    <w:p w14:paraId="436DB9DF">
      <w:pPr>
        <w:pStyle w:val="16"/>
        <w:jc w:val="center"/>
        <w:outlineLvl w:val="0"/>
        <w:rPr>
          <w:rFonts w:hint="default" w:ascii="Times New Roman" w:hAnsi="Times New Roman" w:eastAsia="宋体" w:cs="Times New Roman"/>
          <w:snapToGrid w:val="0"/>
          <w:color w:val="auto"/>
          <w:sz w:val="30"/>
          <w:szCs w:val="30"/>
          <w:highlight w:val="yellow"/>
        </w:rPr>
        <w:sectPr>
          <w:pgSz w:w="16838" w:h="11906" w:orient="landscape"/>
          <w:pgMar w:top="720" w:right="720" w:bottom="720" w:left="720" w:header="851" w:footer="851" w:gutter="0"/>
          <w:pgNumType w:fmt="decimal"/>
          <w:cols w:space="720" w:num="1"/>
          <w:docGrid w:linePitch="312" w:charSpace="0"/>
        </w:sectPr>
      </w:pP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5F681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69" w:hRule="atLeast"/>
          <w:jc w:val="center"/>
        </w:trPr>
        <w:tc>
          <w:tcPr>
            <w:tcW w:w="746" w:type="dxa"/>
            <w:noWrap w:val="0"/>
            <w:tcMar>
              <w:left w:w="28" w:type="dxa"/>
              <w:right w:w="28" w:type="dxa"/>
            </w:tcMar>
            <w:vAlign w:val="center"/>
          </w:tcPr>
          <w:p w14:paraId="0E620F2D">
            <w:pPr>
              <w:adjustRightInd w:val="0"/>
              <w:snapToGrid w:val="0"/>
              <w:spacing w:line="360" w:lineRule="auto"/>
              <w:jc w:val="center"/>
              <w:rPr>
                <w:rFonts w:hint="default" w:ascii="Times New Roman" w:hAnsi="Times New Roman" w:eastAsia="宋体" w:cs="Times New Roman"/>
                <w:bCs/>
                <w:color w:val="auto"/>
                <w:szCs w:val="21"/>
                <w:highlight w:val="yellow"/>
              </w:rPr>
            </w:pPr>
            <w:r>
              <w:rPr>
                <w:rFonts w:hint="default" w:ascii="Times New Roman" w:hAnsi="Times New Roman" w:eastAsia="宋体" w:cs="Times New Roman"/>
                <w:bCs/>
                <w:color w:val="auto"/>
                <w:sz w:val="24"/>
                <w:szCs w:val="26"/>
              </w:rPr>
              <w:t>运营期环境影响和保护措施</w:t>
            </w:r>
          </w:p>
        </w:tc>
        <w:tc>
          <w:tcPr>
            <w:tcW w:w="8162" w:type="dxa"/>
            <w:noWrap w:val="0"/>
            <w:vAlign w:val="center"/>
          </w:tcPr>
          <w:p w14:paraId="1F97AB25">
            <w:pPr>
              <w:adjustRightInd w:val="0"/>
              <w:snapToGrid w:val="0"/>
              <w:spacing w:line="360" w:lineRule="auto"/>
              <w:ind w:firstLine="480" w:firstLineChars="200"/>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（2）达标分析</w:t>
            </w:r>
          </w:p>
          <w:p w14:paraId="4C1D32A9">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Cs/>
                <w:color w:val="auto"/>
                <w:sz w:val="24"/>
              </w:rPr>
              <w:t>本项目营运过程中，汽车低速进出加油站，加油时车辆处于停止状态，排放的汽车尾气量较小，对外环境影响较小；员工及外来人员产生的生活污水经生化池处理后通过专用管道引至绿化带排放</w:t>
            </w:r>
            <w:r>
              <w:rPr>
                <w:rFonts w:hint="default" w:ascii="Times New Roman" w:hAnsi="Times New Roman" w:eastAsia="宋体" w:cs="Times New Roman"/>
                <w:color w:val="auto"/>
                <w:sz w:val="24"/>
              </w:rPr>
              <w:t>，对外环境影响较小；柴油发电机为应急备用电源，使用频次少，污染物产生量小，且产生的废气通过专用管道引至屋顶排放，对环境影响小。</w:t>
            </w:r>
          </w:p>
          <w:p w14:paraId="7839A036">
            <w:pPr>
              <w:keepNext w:val="0"/>
              <w:keepLines w:val="0"/>
              <w:pageBreakBefore w:val="0"/>
              <w:widowControl w:val="0"/>
              <w:kinsoku/>
              <w:wordWrap/>
              <w:overflowPunct/>
              <w:topLinePunct w:val="0"/>
              <w:autoSpaceDN/>
              <w:bidi w:val="0"/>
              <w:adjustRightInd w:val="0"/>
              <w:snapToGrid w:val="0"/>
              <w:spacing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rPr>
              <w:t>加油站采用埋地式储油罐，汽油卸油、加油过程中分别设置了一次、二次</w:t>
            </w:r>
            <w:r>
              <w:rPr>
                <w:rFonts w:hint="eastAsia"/>
                <w:color w:val="auto"/>
                <w:sz w:val="24"/>
                <w:szCs w:val="24"/>
                <w:highlight w:val="none"/>
                <w:lang w:val="en-US" w:eastAsia="zh-CN"/>
              </w:rPr>
              <w:t>和三次</w:t>
            </w:r>
            <w:r>
              <w:rPr>
                <w:rFonts w:hint="eastAsia"/>
                <w:color w:val="auto"/>
                <w:sz w:val="24"/>
                <w:szCs w:val="24"/>
                <w:highlight w:val="none"/>
              </w:rPr>
              <w:t>油气回收</w:t>
            </w:r>
            <w:r>
              <w:rPr>
                <w:rFonts w:hint="eastAsia"/>
                <w:color w:val="auto"/>
                <w:sz w:val="24"/>
                <w:szCs w:val="24"/>
                <w:highlight w:val="none"/>
                <w:lang w:val="en-US" w:eastAsia="zh-CN"/>
              </w:rPr>
              <w:t>处理装置</w:t>
            </w:r>
            <w:r>
              <w:rPr>
                <w:rFonts w:hint="eastAsia"/>
                <w:color w:val="auto"/>
                <w:sz w:val="24"/>
                <w:szCs w:val="24"/>
                <w:highlight w:val="none"/>
              </w:rPr>
              <w:t>，油气回收系统属于《排污许可证申请和核发技术规范 储油库、加油站》（HJ1118-2020）表F.1中的可行技术。</w:t>
            </w:r>
            <w:r>
              <w:rPr>
                <w:rFonts w:hint="eastAsia" w:ascii="宋体" w:hAnsi="宋体" w:eastAsia="宋体" w:cs="宋体"/>
                <w:color w:val="auto"/>
                <w:kern w:val="0"/>
                <w:sz w:val="24"/>
                <w:szCs w:val="24"/>
                <w:highlight w:val="none"/>
                <w:lang w:val="en-US" w:eastAsia="zh-CN" w:bidi="ar"/>
              </w:rPr>
              <w:t>三次油气回收：由于二次油气回收过程回收到地下罐的油气体积经常比出油量大（气液比＞</w:t>
            </w:r>
            <w:r>
              <w:rPr>
                <w:rFonts w:hint="default"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），以及由于小呼吸等因素造成罐压上升，此时油气将通过储罐呼吸阀排放，为防止污染，在呼吸阀前端加装油气回收装置，对这部分油气的处理称为三次油气回收（</w:t>
            </w:r>
            <w:r>
              <w:rPr>
                <w:rFonts w:ascii="Times New Roman" w:hAnsi="Times New Roman"/>
                <w:color w:val="auto"/>
                <w:kern w:val="0"/>
                <w:sz w:val="24"/>
                <w:lang w:bidi="ar"/>
              </w:rPr>
              <w:t>冷凝器+</w:t>
            </w:r>
            <w:r>
              <w:rPr>
                <w:rFonts w:hint="eastAsia" w:ascii="Times New Roman" w:hAnsi="Times New Roman"/>
                <w:color w:val="auto"/>
                <w:kern w:val="0"/>
                <w:sz w:val="24"/>
                <w:lang w:eastAsia="zh-CN" w:bidi="ar"/>
              </w:rPr>
              <w:t>集液管</w:t>
            </w:r>
            <w:r>
              <w:rPr>
                <w:rFonts w:ascii="Times New Roman" w:hAnsi="Times New Roman"/>
                <w:color w:val="auto"/>
                <w:kern w:val="0"/>
                <w:sz w:val="24"/>
                <w:lang w:bidi="ar"/>
              </w:rPr>
              <w:t>+</w:t>
            </w:r>
            <w:r>
              <w:rPr>
                <w:rFonts w:hint="eastAsia" w:ascii="Times New Roman" w:hAnsi="Times New Roman"/>
                <w:color w:val="auto"/>
                <w:kern w:val="0"/>
                <w:sz w:val="24"/>
                <w:lang w:bidi="ar"/>
              </w:rPr>
              <w:t>渗透膜</w:t>
            </w:r>
            <w:r>
              <w:rPr>
                <w:rFonts w:hint="eastAsia" w:ascii="宋体" w:hAnsi="宋体" w:eastAsia="宋体" w:cs="宋体"/>
                <w:color w:val="auto"/>
                <w:kern w:val="0"/>
                <w:sz w:val="24"/>
                <w:szCs w:val="24"/>
                <w:highlight w:val="none"/>
                <w:lang w:val="en-US" w:eastAsia="zh-CN" w:bidi="ar"/>
              </w:rPr>
              <w:t>）。</w:t>
            </w:r>
            <w:r>
              <w:rPr>
                <w:rFonts w:ascii="Times New Roman" w:hAnsi="Times New Roman"/>
                <w:color w:val="auto"/>
                <w:kern w:val="0"/>
                <w:sz w:val="24"/>
                <w:lang w:bidi="ar"/>
              </w:rPr>
              <w:t>当地下储</w:t>
            </w:r>
            <w:r>
              <w:rPr>
                <w:rFonts w:hint="eastAsia" w:ascii="Times New Roman" w:hAnsi="Times New Roman"/>
                <w:color w:val="auto"/>
                <w:kern w:val="0"/>
                <w:sz w:val="24"/>
                <w:lang w:eastAsia="zh-CN" w:bidi="ar"/>
              </w:rPr>
              <w:t>油</w:t>
            </w:r>
            <w:r>
              <w:rPr>
                <w:rFonts w:ascii="Times New Roman" w:hAnsi="Times New Roman"/>
                <w:color w:val="auto"/>
                <w:kern w:val="0"/>
                <w:sz w:val="24"/>
                <w:lang w:bidi="ar"/>
              </w:rPr>
              <w:t>罐压力超过预设的压力值时自动运行，设备启动后冷凝系统运行，当冷凝箱温度降低到设定值时，压缩机停止运行</w:t>
            </w:r>
            <w:r>
              <w:rPr>
                <w:rFonts w:hint="eastAsia" w:ascii="Times New Roman" w:hAnsi="Times New Roman"/>
                <w:color w:val="auto"/>
                <w:kern w:val="0"/>
                <w:sz w:val="24"/>
                <w:lang w:eastAsia="zh-CN" w:bidi="ar"/>
              </w:rPr>
              <w:t>，三次油气回收最大处理能力为</w:t>
            </w:r>
            <w:r>
              <w:rPr>
                <w:rFonts w:hint="eastAsia" w:ascii="Times New Roman" w:hAnsi="Times New Roman"/>
                <w:color w:val="auto"/>
                <w:kern w:val="0"/>
                <w:sz w:val="24"/>
                <w:lang w:val="en-US" w:eastAsia="zh-CN" w:bidi="ar"/>
              </w:rPr>
              <w:t>8m</w:t>
            </w:r>
            <w:r>
              <w:rPr>
                <w:rFonts w:hint="eastAsia" w:ascii="Times New Roman" w:hAnsi="Times New Roman"/>
                <w:color w:val="auto"/>
                <w:kern w:val="0"/>
                <w:sz w:val="24"/>
                <w:vertAlign w:val="superscript"/>
                <w:lang w:val="en-US" w:eastAsia="zh-CN" w:bidi="ar"/>
              </w:rPr>
              <w:t>3</w:t>
            </w:r>
            <w:r>
              <w:rPr>
                <w:rFonts w:hint="eastAsia" w:ascii="Times New Roman" w:hAnsi="Times New Roman"/>
                <w:color w:val="auto"/>
                <w:kern w:val="0"/>
                <w:sz w:val="24"/>
                <w:lang w:val="en-US" w:eastAsia="zh-CN" w:bidi="ar"/>
              </w:rPr>
              <w:t>/h，间歇运行</w:t>
            </w:r>
            <w:r>
              <w:rPr>
                <w:rFonts w:hint="eastAsia" w:ascii="Times New Roman" w:hAnsi="Times New Roman"/>
                <w:color w:val="auto"/>
                <w:kern w:val="0"/>
                <w:sz w:val="24"/>
                <w:lang w:bidi="ar"/>
              </w:rPr>
              <w:t>。</w:t>
            </w:r>
            <w:r>
              <w:rPr>
                <w:rFonts w:hint="eastAsia" w:ascii="Times New Roman" w:hAnsi="Times New Roman"/>
                <w:color w:val="auto"/>
                <w:kern w:val="0"/>
                <w:sz w:val="24"/>
                <w:lang w:eastAsia="zh-CN" w:bidi="ar"/>
              </w:rPr>
              <w:t>根据建设单位其他加油站相同体积汽油罐及相同型号三次油气回收处理装置实际运行情况，三次油气回收处理装置的处理能力可满足换罐扩容后的需求。加油站采取一次、二次和三次油气回收处理措施后，油气可实现达标排放。</w:t>
            </w:r>
          </w:p>
          <w:p w14:paraId="45CF1BC7">
            <w:pPr>
              <w:adjustRightInd w:val="0"/>
              <w:snapToGrid w:val="0"/>
              <w:spacing w:line="360" w:lineRule="auto"/>
              <w:ind w:firstLine="480" w:firstLineChars="200"/>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加油站应加强油气回收装置的日常检查和维护，保证油气回收效率；对工作人员进行培训，规范化加油操作过程，严格控制油气无组织挥发。</w:t>
            </w:r>
          </w:p>
          <w:p w14:paraId="1FC21B87">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（3）监测要求</w:t>
            </w:r>
          </w:p>
          <w:p w14:paraId="4BE7479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本项目营运期废气监测要求见表4.2-</w:t>
            </w:r>
            <w:r>
              <w:rPr>
                <w:rFonts w:hint="default" w:ascii="Times New Roman" w:hAnsi="Times New Roman" w:cs="Times New Roman"/>
                <w:color w:val="auto"/>
                <w:sz w:val="24"/>
                <w:lang w:val="en-US" w:eastAsia="zh-CN"/>
              </w:rPr>
              <w:t>4</w:t>
            </w:r>
            <w:r>
              <w:rPr>
                <w:rFonts w:hint="default" w:ascii="Times New Roman" w:hAnsi="Times New Roman" w:eastAsia="宋体" w:cs="Times New Roman"/>
                <w:color w:val="auto"/>
                <w:sz w:val="24"/>
              </w:rPr>
              <w:t>。</w:t>
            </w:r>
          </w:p>
          <w:p w14:paraId="66157B25">
            <w:pPr>
              <w:jc w:val="center"/>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表4.2-</w:t>
            </w:r>
            <w:r>
              <w:rPr>
                <w:rFonts w:hint="default" w:ascii="Times New Roman" w:hAnsi="Times New Roman" w:cs="Times New Roman"/>
                <w:b/>
                <w:color w:val="auto"/>
                <w:sz w:val="24"/>
                <w:szCs w:val="26"/>
                <w:lang w:val="en-US" w:eastAsia="zh-CN"/>
              </w:rPr>
              <w:t>4</w:t>
            </w:r>
            <w:r>
              <w:rPr>
                <w:rFonts w:hint="default" w:ascii="Times New Roman" w:hAnsi="Times New Roman" w:eastAsia="宋体" w:cs="Times New Roman"/>
                <w:b/>
                <w:color w:val="auto"/>
                <w:sz w:val="24"/>
                <w:szCs w:val="26"/>
              </w:rPr>
              <w:t xml:space="preserve">  运营期环境监测要求</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0"/>
              <w:gridCol w:w="1678"/>
              <w:gridCol w:w="1463"/>
              <w:gridCol w:w="1312"/>
              <w:gridCol w:w="1433"/>
              <w:gridCol w:w="1640"/>
            </w:tblGrid>
            <w:tr w14:paraId="126F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8" w:type="pct"/>
                  <w:noWrap w:val="0"/>
                  <w:vAlign w:val="center"/>
                </w:tcPr>
                <w:p w14:paraId="4D431B87">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监测对象</w:t>
                  </w:r>
                </w:p>
              </w:tc>
              <w:tc>
                <w:tcPr>
                  <w:tcW w:w="1057" w:type="pct"/>
                  <w:noWrap w:val="0"/>
                  <w:vAlign w:val="center"/>
                </w:tcPr>
                <w:p w14:paraId="08710266">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监测点位</w:t>
                  </w:r>
                </w:p>
              </w:tc>
              <w:tc>
                <w:tcPr>
                  <w:tcW w:w="921" w:type="pct"/>
                  <w:noWrap w:val="0"/>
                  <w:vAlign w:val="center"/>
                </w:tcPr>
                <w:p w14:paraId="212A020F">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监测因子</w:t>
                  </w:r>
                </w:p>
              </w:tc>
              <w:tc>
                <w:tcPr>
                  <w:tcW w:w="826" w:type="pct"/>
                  <w:noWrap w:val="0"/>
                  <w:vAlign w:val="center"/>
                </w:tcPr>
                <w:p w14:paraId="43A8F88C">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验收监测频次</w:t>
                  </w:r>
                </w:p>
              </w:tc>
              <w:tc>
                <w:tcPr>
                  <w:tcW w:w="902" w:type="pct"/>
                  <w:noWrap w:val="0"/>
                  <w:vAlign w:val="center"/>
                </w:tcPr>
                <w:p w14:paraId="010B9FBF">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自行监测频次</w:t>
                  </w:r>
                </w:p>
              </w:tc>
              <w:tc>
                <w:tcPr>
                  <w:tcW w:w="1033" w:type="pct"/>
                  <w:noWrap w:val="0"/>
                  <w:vAlign w:val="center"/>
                </w:tcPr>
                <w:p w14:paraId="09C022A7">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执行标准</w:t>
                  </w:r>
                </w:p>
              </w:tc>
            </w:tr>
            <w:tr w14:paraId="1483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8" w:type="pct"/>
                  <w:vMerge w:val="restart"/>
                  <w:noWrap w:val="0"/>
                  <w:vAlign w:val="center"/>
                </w:tcPr>
                <w:p w14:paraId="5E6F15FF">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废气</w:t>
                  </w:r>
                </w:p>
              </w:tc>
              <w:tc>
                <w:tcPr>
                  <w:tcW w:w="1057" w:type="pct"/>
                  <w:noWrap w:val="0"/>
                  <w:vAlign w:val="center"/>
                </w:tcPr>
                <w:p w14:paraId="5577B032">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油气处理装置排气筒</w:t>
                  </w:r>
                </w:p>
              </w:tc>
              <w:tc>
                <w:tcPr>
                  <w:tcW w:w="921" w:type="pct"/>
                  <w:noWrap w:val="0"/>
                  <w:vAlign w:val="center"/>
                </w:tcPr>
                <w:p w14:paraId="3D2342A7">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挥发性有机物</w:t>
                  </w:r>
                </w:p>
              </w:tc>
              <w:tc>
                <w:tcPr>
                  <w:tcW w:w="826" w:type="pct"/>
                  <w:noWrap w:val="0"/>
                  <w:vAlign w:val="center"/>
                </w:tcPr>
                <w:p w14:paraId="0CE7926F">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1次</w:t>
                  </w:r>
                </w:p>
              </w:tc>
              <w:tc>
                <w:tcPr>
                  <w:tcW w:w="902" w:type="pct"/>
                  <w:noWrap w:val="0"/>
                  <w:vAlign w:val="center"/>
                </w:tcPr>
                <w:p w14:paraId="7D956FC7">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1次/年</w:t>
                  </w:r>
                </w:p>
              </w:tc>
              <w:tc>
                <w:tcPr>
                  <w:tcW w:w="1033" w:type="pct"/>
                  <w:vMerge w:val="restart"/>
                  <w:noWrap w:val="0"/>
                  <w:vAlign w:val="center"/>
                </w:tcPr>
                <w:p w14:paraId="139640E0">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《加油站大气污染物排放标准》（GB 20952-2020）</w:t>
                  </w:r>
                </w:p>
              </w:tc>
            </w:tr>
            <w:tr w14:paraId="1B00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58" w:type="pct"/>
                  <w:vMerge w:val="continue"/>
                  <w:noWrap w:val="0"/>
                  <w:vAlign w:val="center"/>
                </w:tcPr>
                <w:p w14:paraId="58C71BC3">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p>
              </w:tc>
              <w:tc>
                <w:tcPr>
                  <w:tcW w:w="1057" w:type="pct"/>
                  <w:noWrap w:val="0"/>
                  <w:vAlign w:val="center"/>
                </w:tcPr>
                <w:p w14:paraId="0B588600">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油气回收系统</w:t>
                  </w:r>
                </w:p>
              </w:tc>
              <w:tc>
                <w:tcPr>
                  <w:tcW w:w="921" w:type="pct"/>
                  <w:noWrap w:val="0"/>
                  <w:vAlign w:val="center"/>
                </w:tcPr>
                <w:p w14:paraId="41BC9B8C">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气液比、液阻、密闭性</w:t>
                  </w:r>
                </w:p>
              </w:tc>
              <w:tc>
                <w:tcPr>
                  <w:tcW w:w="826" w:type="pct"/>
                  <w:noWrap w:val="0"/>
                  <w:vAlign w:val="center"/>
                </w:tcPr>
                <w:p w14:paraId="68DE3F80">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1次</w:t>
                  </w:r>
                </w:p>
              </w:tc>
              <w:tc>
                <w:tcPr>
                  <w:tcW w:w="902" w:type="pct"/>
                  <w:noWrap w:val="0"/>
                  <w:vAlign w:val="center"/>
                </w:tcPr>
                <w:p w14:paraId="4880E588">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1次/年</w:t>
                  </w:r>
                </w:p>
              </w:tc>
              <w:tc>
                <w:tcPr>
                  <w:tcW w:w="1033" w:type="pct"/>
                  <w:vMerge w:val="continue"/>
                  <w:noWrap w:val="0"/>
                  <w:vAlign w:val="center"/>
                </w:tcPr>
                <w:p w14:paraId="323E7C9B">
                  <w:pPr>
                    <w:jc w:val="center"/>
                    <w:rPr>
                      <w:rFonts w:hint="default" w:ascii="Times New Roman" w:hAnsi="Times New Roman" w:eastAsia="宋体" w:cs="Times New Roman"/>
                      <w:color w:val="auto"/>
                      <w:sz w:val="18"/>
                      <w:szCs w:val="18"/>
                    </w:rPr>
                  </w:pPr>
                </w:p>
              </w:tc>
            </w:tr>
            <w:tr w14:paraId="0BA8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58" w:type="pct"/>
                  <w:vMerge w:val="continue"/>
                  <w:noWrap w:val="0"/>
                  <w:vAlign w:val="center"/>
                </w:tcPr>
                <w:p w14:paraId="5BB0987F">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p>
              </w:tc>
              <w:tc>
                <w:tcPr>
                  <w:tcW w:w="1057" w:type="pct"/>
                  <w:noWrap w:val="0"/>
                  <w:vAlign w:val="center"/>
                </w:tcPr>
                <w:p w14:paraId="29EA991E">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企业边界</w:t>
                  </w:r>
                </w:p>
              </w:tc>
              <w:tc>
                <w:tcPr>
                  <w:tcW w:w="921" w:type="pct"/>
                  <w:noWrap w:val="0"/>
                  <w:vAlign w:val="center"/>
                </w:tcPr>
                <w:p w14:paraId="1D9183D2">
                  <w:pPr>
                    <w:autoSpaceDE w:val="0"/>
                    <w:autoSpaceDN w:val="0"/>
                    <w:adjustRightInd w:val="0"/>
                    <w:snapToGrid w:val="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挥发性有机物</w:t>
                  </w:r>
                </w:p>
              </w:tc>
              <w:tc>
                <w:tcPr>
                  <w:tcW w:w="826" w:type="pct"/>
                  <w:noWrap w:val="0"/>
                  <w:vAlign w:val="center"/>
                </w:tcPr>
                <w:p w14:paraId="3F438444">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1次</w:t>
                  </w:r>
                </w:p>
              </w:tc>
              <w:tc>
                <w:tcPr>
                  <w:tcW w:w="902" w:type="pct"/>
                  <w:noWrap w:val="0"/>
                  <w:vAlign w:val="center"/>
                </w:tcPr>
                <w:p w14:paraId="4F86B7DF">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1次/年</w:t>
                  </w:r>
                </w:p>
              </w:tc>
              <w:tc>
                <w:tcPr>
                  <w:tcW w:w="1033" w:type="pct"/>
                  <w:vMerge w:val="continue"/>
                  <w:noWrap w:val="0"/>
                  <w:vAlign w:val="center"/>
                </w:tcPr>
                <w:p w14:paraId="2C6204CF">
                  <w:pPr>
                    <w:jc w:val="center"/>
                    <w:rPr>
                      <w:rFonts w:hint="default" w:ascii="Times New Roman" w:hAnsi="Times New Roman" w:eastAsia="宋体" w:cs="Times New Roman"/>
                      <w:color w:val="auto"/>
                      <w:sz w:val="18"/>
                      <w:szCs w:val="18"/>
                    </w:rPr>
                  </w:pPr>
                </w:p>
              </w:tc>
            </w:tr>
            <w:tr w14:paraId="520F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258" w:type="pct"/>
                  <w:vMerge w:val="continue"/>
                  <w:noWrap w:val="0"/>
                  <w:vAlign w:val="center"/>
                </w:tcPr>
                <w:p w14:paraId="25F96DCA">
                  <w:pPr>
                    <w:jc w:val="center"/>
                    <w:rPr>
                      <w:rFonts w:hint="default" w:ascii="Times New Roman" w:hAnsi="Times New Roman" w:eastAsia="宋体" w:cs="Times New Roman"/>
                      <w:color w:val="auto"/>
                      <w:sz w:val="18"/>
                      <w:szCs w:val="18"/>
                    </w:rPr>
                  </w:pPr>
                </w:p>
              </w:tc>
              <w:tc>
                <w:tcPr>
                  <w:tcW w:w="1057" w:type="pct"/>
                  <w:noWrap w:val="0"/>
                  <w:vAlign w:val="center"/>
                </w:tcPr>
                <w:p w14:paraId="73F8139D">
                  <w:pPr>
                    <w:keepNext w:val="0"/>
                    <w:keepLines w:val="0"/>
                    <w:widowControl w:val="0"/>
                    <w:suppressLineNumbers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vertAlign w:val="baseline"/>
                      <w:lang w:val="en-US" w:eastAsia="zh-CN" w:bidi="ar"/>
                    </w:rPr>
                    <w:t>油气处理装置排气筒</w:t>
                  </w:r>
                </w:p>
              </w:tc>
              <w:tc>
                <w:tcPr>
                  <w:tcW w:w="921" w:type="pct"/>
                  <w:noWrap w:val="0"/>
                  <w:vAlign w:val="center"/>
                </w:tcPr>
                <w:p w14:paraId="662C338F">
                  <w:pPr>
                    <w:keepNext w:val="0"/>
                    <w:keepLines w:val="0"/>
                    <w:widowControl w:val="0"/>
                    <w:suppressLineNumbers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vertAlign w:val="baseline"/>
                      <w:lang w:val="en-US" w:eastAsia="zh-CN" w:bidi="ar"/>
                    </w:rPr>
                    <w:t>非甲烷总烃</w:t>
                  </w:r>
                </w:p>
              </w:tc>
              <w:tc>
                <w:tcPr>
                  <w:tcW w:w="826" w:type="pct"/>
                  <w:noWrap w:val="0"/>
                  <w:vAlign w:val="center"/>
                </w:tcPr>
                <w:p w14:paraId="0A2809F5">
                  <w:pPr>
                    <w:keepNext w:val="0"/>
                    <w:keepLines w:val="0"/>
                    <w:widowControl w:val="0"/>
                    <w:suppressLineNumbers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lang w:val="en-US" w:eastAsia="zh-CN"/>
                    </w:rPr>
                    <w:t>1次</w:t>
                  </w:r>
                </w:p>
              </w:tc>
              <w:tc>
                <w:tcPr>
                  <w:tcW w:w="902" w:type="pct"/>
                  <w:noWrap w:val="0"/>
                  <w:vAlign w:val="center"/>
                </w:tcPr>
                <w:p w14:paraId="02547099">
                  <w:pPr>
                    <w:keepNext w:val="0"/>
                    <w:keepLines w:val="0"/>
                    <w:widowControl w:val="0"/>
                    <w:suppressLineNumbers w:val="0"/>
                    <w:autoSpaceDE w:val="0"/>
                    <w:autoSpaceDN w:val="0"/>
                    <w:adjustRightInd w:val="0"/>
                    <w:snapToGrid w:val="0"/>
                    <w:spacing w:before="0" w:beforeAutospacing="0" w:after="0" w:afterAutospacing="0"/>
                    <w:ind w:left="0" w:leftChars="0" w:right="0" w:rightChars="0"/>
                    <w:jc w:val="center"/>
                    <w:textAlignment w:val="baseline"/>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2"/>
                      <w:sz w:val="18"/>
                      <w:szCs w:val="18"/>
                      <w:vertAlign w:val="baseline"/>
                      <w:lang w:val="en-US" w:eastAsia="zh-CN" w:bidi="ar"/>
                    </w:rPr>
                    <w:t>1次/年</w:t>
                  </w:r>
                </w:p>
              </w:tc>
              <w:tc>
                <w:tcPr>
                  <w:tcW w:w="1033" w:type="pct"/>
                  <w:vMerge w:val="continue"/>
                  <w:noWrap w:val="0"/>
                  <w:vAlign w:val="center"/>
                </w:tcPr>
                <w:p w14:paraId="0D4EE162">
                  <w:pPr>
                    <w:jc w:val="center"/>
                    <w:rPr>
                      <w:rFonts w:hint="default" w:ascii="Times New Roman" w:hAnsi="Times New Roman" w:eastAsia="宋体" w:cs="Times New Roman"/>
                      <w:color w:val="auto"/>
                      <w:sz w:val="18"/>
                      <w:szCs w:val="18"/>
                    </w:rPr>
                  </w:pPr>
                </w:p>
              </w:tc>
            </w:tr>
          </w:tbl>
          <w:p w14:paraId="01EAEF5C">
            <w:pPr>
              <w:pStyle w:val="7"/>
              <w:spacing w:before="0" w:after="0" w:line="460" w:lineRule="exact"/>
              <w:ind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（4）非正常工况污染物排放情况</w:t>
            </w:r>
          </w:p>
          <w:p w14:paraId="7933A9A9">
            <w:pPr>
              <w:pStyle w:val="7"/>
              <w:spacing w:before="0" w:after="0" w:line="460" w:lineRule="exact"/>
              <w:ind w:right="0" w:firstLine="480" w:firstLineChars="200"/>
              <w:rPr>
                <w:rFonts w:hint="default" w:ascii="Times New Roman" w:hAnsi="Times New Roman" w:eastAsia="宋体" w:cs="Times New Roman"/>
                <w:b/>
                <w:bCs/>
                <w:color w:val="auto"/>
                <w:sz w:val="26"/>
                <w:szCs w:val="26"/>
              </w:rPr>
            </w:pPr>
            <w:r>
              <w:rPr>
                <w:rFonts w:hint="default" w:ascii="Times New Roman" w:hAnsi="Times New Roman" w:eastAsia="宋体" w:cs="Times New Roman"/>
                <w:color w:val="auto"/>
                <w:sz w:val="24"/>
                <w:szCs w:val="24"/>
              </w:rPr>
              <w:t>项目非正常工况废气污染物排放情况详见表4.2-</w:t>
            </w: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rPr>
              <w:t>所示。</w:t>
            </w:r>
          </w:p>
          <w:p w14:paraId="7D8C9A56">
            <w:pPr>
              <w:pStyle w:val="18"/>
              <w:spacing w:after="0" w:line="460" w:lineRule="exact"/>
              <w:ind w:firstLine="1446" w:firstLineChars="600"/>
              <w:rPr>
                <w:rFonts w:hint="default" w:ascii="Times New Roman" w:hAnsi="Times New Roman" w:eastAsia="宋体" w:cs="Times New Roman"/>
                <w:color w:val="auto"/>
                <w:sz w:val="24"/>
              </w:rPr>
            </w:pPr>
            <w:r>
              <w:rPr>
                <w:rFonts w:hint="default" w:ascii="Times New Roman" w:hAnsi="Times New Roman" w:eastAsia="宋体" w:cs="Times New Roman"/>
                <w:b/>
                <w:bCs/>
                <w:color w:val="auto"/>
                <w:sz w:val="24"/>
              </w:rPr>
              <w:t>表4.2-</w:t>
            </w:r>
            <w:r>
              <w:rPr>
                <w:rFonts w:hint="default" w:ascii="Times New Roman" w:hAnsi="Times New Roman" w:cs="Times New Roman"/>
                <w:b/>
                <w:bCs/>
                <w:color w:val="auto"/>
                <w:sz w:val="24"/>
                <w:lang w:val="en-US" w:eastAsia="zh-CN"/>
              </w:rPr>
              <w:t>5</w:t>
            </w:r>
            <w:r>
              <w:rPr>
                <w:rFonts w:hint="default" w:ascii="Times New Roman" w:hAnsi="Times New Roman" w:eastAsia="宋体" w:cs="Times New Roman"/>
                <w:b/>
                <w:bCs/>
                <w:color w:val="auto"/>
                <w:sz w:val="24"/>
              </w:rPr>
              <w:t xml:space="preserve">  非正常工况大气污染物排放量核算表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44"/>
              <w:gridCol w:w="1054"/>
              <w:gridCol w:w="767"/>
              <w:gridCol w:w="927"/>
              <w:gridCol w:w="1070"/>
              <w:gridCol w:w="773"/>
              <w:gridCol w:w="818"/>
              <w:gridCol w:w="1160"/>
            </w:tblGrid>
            <w:tr w14:paraId="3034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noWrap w:val="0"/>
                  <w:vAlign w:val="center"/>
                </w:tcPr>
                <w:p w14:paraId="29ED9637">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序号</w:t>
                  </w:r>
                </w:p>
              </w:tc>
              <w:tc>
                <w:tcPr>
                  <w:tcW w:w="531" w:type="pct"/>
                  <w:noWrap w:val="0"/>
                  <w:vAlign w:val="center"/>
                </w:tcPr>
                <w:p w14:paraId="72F00DBC">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污染源</w:t>
                  </w:r>
                </w:p>
              </w:tc>
              <w:tc>
                <w:tcPr>
                  <w:tcW w:w="664" w:type="pct"/>
                  <w:noWrap w:val="0"/>
                  <w:vAlign w:val="center"/>
                </w:tcPr>
                <w:p w14:paraId="182B21E1">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非正常排放原因</w:t>
                  </w:r>
                </w:p>
              </w:tc>
              <w:tc>
                <w:tcPr>
                  <w:tcW w:w="483" w:type="pct"/>
                  <w:noWrap w:val="0"/>
                  <w:vAlign w:val="center"/>
                </w:tcPr>
                <w:p w14:paraId="0A16BB8C">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污染物</w:t>
                  </w:r>
                </w:p>
              </w:tc>
              <w:tc>
                <w:tcPr>
                  <w:tcW w:w="584" w:type="pct"/>
                  <w:noWrap w:val="0"/>
                  <w:vAlign w:val="center"/>
                </w:tcPr>
                <w:p w14:paraId="11F65A00">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非正常排放浓度mg/m</w:t>
                  </w:r>
                  <w:r>
                    <w:rPr>
                      <w:rFonts w:hint="default" w:ascii="Times New Roman" w:hAnsi="Times New Roman" w:eastAsia="宋体" w:cs="Times New Roman"/>
                      <w:color w:val="auto"/>
                      <w:sz w:val="18"/>
                      <w:szCs w:val="18"/>
                      <w:vertAlign w:val="superscript"/>
                    </w:rPr>
                    <w:t>3</w:t>
                  </w:r>
                </w:p>
              </w:tc>
              <w:tc>
                <w:tcPr>
                  <w:tcW w:w="674" w:type="pct"/>
                  <w:noWrap w:val="0"/>
                  <w:vAlign w:val="center"/>
                </w:tcPr>
                <w:p w14:paraId="67F090A1">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非正常排放速率</w:t>
                  </w:r>
                </w:p>
                <w:p w14:paraId="67A953A3">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kg/h</w:t>
                  </w:r>
                </w:p>
              </w:tc>
              <w:tc>
                <w:tcPr>
                  <w:tcW w:w="487" w:type="pct"/>
                  <w:noWrap w:val="0"/>
                  <w:vAlign w:val="center"/>
                </w:tcPr>
                <w:p w14:paraId="27A09CE4">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单次持续时间</w:t>
                  </w:r>
                </w:p>
                <w:p w14:paraId="2455EF5D">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h</w:t>
                  </w:r>
                </w:p>
              </w:tc>
              <w:tc>
                <w:tcPr>
                  <w:tcW w:w="515" w:type="pct"/>
                  <w:noWrap w:val="0"/>
                  <w:vAlign w:val="center"/>
                </w:tcPr>
                <w:p w14:paraId="2867454B">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年发生频次/次</w:t>
                  </w:r>
                </w:p>
              </w:tc>
              <w:tc>
                <w:tcPr>
                  <w:tcW w:w="730" w:type="pct"/>
                  <w:noWrap w:val="0"/>
                  <w:vAlign w:val="center"/>
                </w:tcPr>
                <w:p w14:paraId="05773935">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应对措施</w:t>
                  </w:r>
                </w:p>
              </w:tc>
            </w:tr>
            <w:tr w14:paraId="280F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noWrap w:val="0"/>
                  <w:vAlign w:val="center"/>
                </w:tcPr>
                <w:p w14:paraId="784E955A">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531" w:type="pct"/>
                  <w:noWrap w:val="0"/>
                  <w:vAlign w:val="center"/>
                </w:tcPr>
                <w:p w14:paraId="7FB3D0B8">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汽油储罐挥发-卸车</w:t>
                  </w:r>
                </w:p>
              </w:tc>
              <w:tc>
                <w:tcPr>
                  <w:tcW w:w="664" w:type="pct"/>
                  <w:noWrap w:val="0"/>
                  <w:vAlign w:val="center"/>
                </w:tcPr>
                <w:p w14:paraId="3FC2B5AC">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卸油油气回收系统故障</w:t>
                  </w:r>
                </w:p>
              </w:tc>
              <w:tc>
                <w:tcPr>
                  <w:tcW w:w="483" w:type="pct"/>
                  <w:noWrap w:val="0"/>
                  <w:vAlign w:val="center"/>
                </w:tcPr>
                <w:p w14:paraId="5161C2CA">
                  <w:pPr>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非甲烷总烃</w:t>
                  </w:r>
                </w:p>
              </w:tc>
              <w:tc>
                <w:tcPr>
                  <w:tcW w:w="584" w:type="pct"/>
                  <w:noWrap w:val="0"/>
                  <w:vAlign w:val="center"/>
                </w:tcPr>
                <w:p w14:paraId="4CAF2306">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674" w:type="pct"/>
                  <w:noWrap w:val="0"/>
                  <w:vAlign w:val="center"/>
                </w:tcPr>
                <w:p w14:paraId="7EB7E609">
                  <w:pPr>
                    <w:jc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w:t>
                  </w:r>
                </w:p>
              </w:tc>
              <w:tc>
                <w:tcPr>
                  <w:tcW w:w="487" w:type="pct"/>
                  <w:noWrap w:val="0"/>
                  <w:vAlign w:val="center"/>
                </w:tcPr>
                <w:p w14:paraId="7038A9F2">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515" w:type="pct"/>
                  <w:noWrap w:val="0"/>
                  <w:vAlign w:val="center"/>
                </w:tcPr>
                <w:p w14:paraId="12DA9501">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小概率</w:t>
                  </w:r>
                </w:p>
              </w:tc>
              <w:tc>
                <w:tcPr>
                  <w:tcW w:w="730" w:type="pct"/>
                  <w:noWrap w:val="0"/>
                  <w:vAlign w:val="center"/>
                </w:tcPr>
                <w:p w14:paraId="782357F0">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卸油完后对卸油油气回收系统进行</w:t>
                  </w:r>
                  <w:r>
                    <w:rPr>
                      <w:rFonts w:hint="default" w:ascii="Times New Roman" w:hAnsi="Times New Roman" w:eastAsia="宋体" w:cs="Times New Roman"/>
                      <w:color w:val="auto"/>
                      <w:sz w:val="18"/>
                      <w:szCs w:val="18"/>
                      <w:lang w:val="en-US" w:eastAsia="zh-CN"/>
                    </w:rPr>
                    <w:t>检</w:t>
                  </w:r>
                  <w:r>
                    <w:rPr>
                      <w:rFonts w:hint="default" w:ascii="Times New Roman" w:hAnsi="Times New Roman" w:eastAsia="宋体" w:cs="Times New Roman"/>
                      <w:color w:val="auto"/>
                      <w:sz w:val="18"/>
                      <w:szCs w:val="18"/>
                    </w:rPr>
                    <w:t>修</w:t>
                  </w:r>
                </w:p>
              </w:tc>
            </w:tr>
            <w:tr w14:paraId="619B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noWrap w:val="0"/>
                  <w:vAlign w:val="center"/>
                </w:tcPr>
                <w:p w14:paraId="5BD3DB6A">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c>
                <w:tcPr>
                  <w:tcW w:w="531" w:type="pct"/>
                  <w:noWrap w:val="0"/>
                  <w:vAlign w:val="center"/>
                </w:tcPr>
                <w:p w14:paraId="079E30E8">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汽油加油枪挥发</w:t>
                  </w:r>
                </w:p>
              </w:tc>
              <w:tc>
                <w:tcPr>
                  <w:tcW w:w="664" w:type="pct"/>
                  <w:noWrap w:val="0"/>
                  <w:vAlign w:val="center"/>
                </w:tcPr>
                <w:p w14:paraId="76A79C34">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加油油气回收系统故障</w:t>
                  </w:r>
                </w:p>
              </w:tc>
              <w:tc>
                <w:tcPr>
                  <w:tcW w:w="483" w:type="pct"/>
                  <w:noWrap w:val="0"/>
                  <w:vAlign w:val="center"/>
                </w:tcPr>
                <w:p w14:paraId="177ECD36">
                  <w:pPr>
                    <w:adjustRightInd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非甲烷总烃</w:t>
                  </w:r>
                </w:p>
              </w:tc>
              <w:tc>
                <w:tcPr>
                  <w:tcW w:w="584" w:type="pct"/>
                  <w:noWrap w:val="0"/>
                  <w:vAlign w:val="center"/>
                </w:tcPr>
                <w:p w14:paraId="535196A3">
                  <w:pPr>
                    <w:widowControl/>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w:t>
                  </w:r>
                </w:p>
              </w:tc>
              <w:tc>
                <w:tcPr>
                  <w:tcW w:w="674" w:type="pct"/>
                  <w:noWrap w:val="0"/>
                  <w:vAlign w:val="center"/>
                </w:tcPr>
                <w:p w14:paraId="7B19AB72">
                  <w:pPr>
                    <w:jc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w:t>
                  </w:r>
                </w:p>
              </w:tc>
              <w:tc>
                <w:tcPr>
                  <w:tcW w:w="487" w:type="pct"/>
                  <w:noWrap w:val="0"/>
                  <w:vAlign w:val="center"/>
                </w:tcPr>
                <w:p w14:paraId="20537D16">
                  <w:pPr>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c>
                <w:tcPr>
                  <w:tcW w:w="515" w:type="pct"/>
                  <w:noWrap w:val="0"/>
                  <w:vAlign w:val="center"/>
                </w:tcPr>
                <w:p w14:paraId="23F3768C">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小概率</w:t>
                  </w:r>
                </w:p>
              </w:tc>
              <w:tc>
                <w:tcPr>
                  <w:tcW w:w="730" w:type="pct"/>
                  <w:noWrap w:val="0"/>
                  <w:vAlign w:val="center"/>
                </w:tcPr>
                <w:p w14:paraId="7EE284E2">
                  <w:pPr>
                    <w:pStyle w:val="77"/>
                    <w:spacing w:line="240" w:lineRule="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暂停加油，对加油油气回收系统进行检修</w:t>
                  </w:r>
                </w:p>
              </w:tc>
            </w:tr>
            <w:tr w14:paraId="2E3B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39921B5">
                  <w:pPr>
                    <w:pStyle w:val="77"/>
                    <w:spacing w:line="240" w:lineRule="auto"/>
                    <w:rPr>
                      <w:rFonts w:hint="default" w:ascii="Times New Roman" w:hAnsi="Times New Roman" w:eastAsia="宋体" w:cs="Times New Roman"/>
                      <w:color w:val="auto"/>
                      <w:sz w:val="18"/>
                      <w:szCs w:val="18"/>
                    </w:rPr>
                  </w:pPr>
                  <w:r>
                    <w:rPr>
                      <w:rFonts w:hint="eastAsia"/>
                      <w:color w:val="auto"/>
                      <w:sz w:val="18"/>
                      <w:szCs w:val="18"/>
                      <w:highlight w:val="none"/>
                      <w:lang w:val="en-US" w:eastAsia="zh-CN"/>
                    </w:rPr>
                    <w:t>3</w:t>
                  </w:r>
                </w:p>
              </w:tc>
              <w:tc>
                <w:tcPr>
                  <w:tcW w:w="1898" w:type="dxa"/>
                  <w:gridSpan w:val="2"/>
                  <w:noWrap w:val="0"/>
                  <w:vAlign w:val="center"/>
                </w:tcPr>
                <w:p w14:paraId="70788F38">
                  <w:pPr>
                    <w:pStyle w:val="77"/>
                    <w:spacing w:line="240" w:lineRule="auto"/>
                    <w:rPr>
                      <w:rFonts w:hint="default" w:ascii="Times New Roman" w:hAnsi="Times New Roman" w:eastAsia="宋体" w:cs="Times New Roman"/>
                      <w:color w:val="auto"/>
                      <w:sz w:val="18"/>
                      <w:szCs w:val="18"/>
                    </w:rPr>
                  </w:pPr>
                  <w:r>
                    <w:rPr>
                      <w:rFonts w:hint="eastAsia"/>
                      <w:color w:val="auto"/>
                      <w:sz w:val="18"/>
                      <w:szCs w:val="18"/>
                      <w:highlight w:val="none"/>
                      <w:lang w:eastAsia="zh-CN"/>
                    </w:rPr>
                    <w:t>储罐三次油气回收处理装置故障</w:t>
                  </w:r>
                </w:p>
              </w:tc>
              <w:tc>
                <w:tcPr>
                  <w:tcW w:w="767" w:type="dxa"/>
                  <w:noWrap w:val="0"/>
                  <w:vAlign w:val="center"/>
                </w:tcPr>
                <w:p w14:paraId="2040034E">
                  <w:pPr>
                    <w:adjustRightInd w:val="0"/>
                    <w:snapToGrid w:val="0"/>
                    <w:jc w:val="center"/>
                    <w:rPr>
                      <w:rFonts w:hint="default" w:ascii="Times New Roman" w:hAnsi="Times New Roman" w:eastAsia="宋体" w:cs="Times New Roman"/>
                      <w:color w:val="auto"/>
                      <w:sz w:val="18"/>
                      <w:szCs w:val="18"/>
                    </w:rPr>
                  </w:pPr>
                  <w:r>
                    <w:rPr>
                      <w:color w:val="auto"/>
                      <w:sz w:val="18"/>
                      <w:szCs w:val="18"/>
                      <w:highlight w:val="none"/>
                    </w:rPr>
                    <w:t>非甲烷总烃</w:t>
                  </w:r>
                </w:p>
              </w:tc>
              <w:tc>
                <w:tcPr>
                  <w:tcW w:w="927" w:type="dxa"/>
                  <w:noWrap w:val="0"/>
                  <w:vAlign w:val="center"/>
                </w:tcPr>
                <w:p w14:paraId="285A1C66">
                  <w:pPr>
                    <w:widowControl/>
                    <w:jc w:val="center"/>
                    <w:textAlignment w:val="center"/>
                    <w:rPr>
                      <w:rFonts w:hint="default" w:ascii="Times New Roman" w:hAnsi="Times New Roman" w:eastAsia="宋体" w:cs="Times New Roman"/>
                      <w:color w:val="auto"/>
                      <w:kern w:val="0"/>
                      <w:sz w:val="18"/>
                      <w:szCs w:val="18"/>
                      <w:lang w:bidi="ar"/>
                    </w:rPr>
                  </w:pPr>
                  <w:r>
                    <w:rPr>
                      <w:color w:val="auto"/>
                      <w:kern w:val="0"/>
                      <w:sz w:val="18"/>
                      <w:szCs w:val="18"/>
                      <w:highlight w:val="none"/>
                      <w:lang w:bidi="ar"/>
                    </w:rPr>
                    <w:t>/</w:t>
                  </w:r>
                </w:p>
              </w:tc>
              <w:tc>
                <w:tcPr>
                  <w:tcW w:w="1070" w:type="dxa"/>
                  <w:noWrap w:val="0"/>
                  <w:vAlign w:val="center"/>
                </w:tcPr>
                <w:p w14:paraId="2D28DA2B">
                  <w:pPr>
                    <w:jc w:val="center"/>
                    <w:rPr>
                      <w:rFonts w:hint="default" w:ascii="Times New Roman" w:hAnsi="Times New Roman" w:eastAsia="宋体" w:cs="Times New Roman"/>
                      <w:color w:val="auto"/>
                      <w:kern w:val="0"/>
                      <w:sz w:val="18"/>
                      <w:szCs w:val="18"/>
                      <w:lang w:bidi="ar"/>
                    </w:rPr>
                  </w:pPr>
                  <w:r>
                    <w:rPr>
                      <w:color w:val="auto"/>
                      <w:kern w:val="0"/>
                      <w:sz w:val="18"/>
                      <w:szCs w:val="18"/>
                      <w:highlight w:val="none"/>
                      <w:lang w:bidi="ar"/>
                    </w:rPr>
                    <w:t>/</w:t>
                  </w:r>
                </w:p>
              </w:tc>
              <w:tc>
                <w:tcPr>
                  <w:tcW w:w="773" w:type="dxa"/>
                  <w:noWrap w:val="0"/>
                  <w:vAlign w:val="center"/>
                </w:tcPr>
                <w:p w14:paraId="411FEB43">
                  <w:pPr>
                    <w:jc w:val="center"/>
                    <w:rPr>
                      <w:rFonts w:hint="default" w:ascii="Times New Roman" w:hAnsi="Times New Roman" w:eastAsia="宋体" w:cs="Times New Roman"/>
                      <w:color w:val="auto"/>
                      <w:sz w:val="18"/>
                      <w:szCs w:val="18"/>
                    </w:rPr>
                  </w:pPr>
                  <w:r>
                    <w:rPr>
                      <w:color w:val="auto"/>
                      <w:sz w:val="18"/>
                      <w:szCs w:val="18"/>
                      <w:highlight w:val="none"/>
                    </w:rPr>
                    <w:t>1</w:t>
                  </w:r>
                </w:p>
              </w:tc>
              <w:tc>
                <w:tcPr>
                  <w:tcW w:w="818" w:type="dxa"/>
                  <w:noWrap w:val="0"/>
                  <w:vAlign w:val="center"/>
                </w:tcPr>
                <w:p w14:paraId="5B7D99C6">
                  <w:pPr>
                    <w:pStyle w:val="77"/>
                    <w:spacing w:line="240" w:lineRule="auto"/>
                    <w:rPr>
                      <w:rFonts w:hint="default" w:ascii="Times New Roman" w:hAnsi="Times New Roman" w:eastAsia="宋体" w:cs="Times New Roman"/>
                      <w:color w:val="auto"/>
                      <w:sz w:val="18"/>
                      <w:szCs w:val="18"/>
                    </w:rPr>
                  </w:pPr>
                  <w:r>
                    <w:rPr>
                      <w:color w:val="auto"/>
                      <w:sz w:val="18"/>
                      <w:szCs w:val="18"/>
                      <w:highlight w:val="none"/>
                    </w:rPr>
                    <w:t>小概率</w:t>
                  </w:r>
                </w:p>
              </w:tc>
              <w:tc>
                <w:tcPr>
                  <w:tcW w:w="1160" w:type="dxa"/>
                  <w:noWrap w:val="0"/>
                  <w:vAlign w:val="center"/>
                </w:tcPr>
                <w:p w14:paraId="24151A7E">
                  <w:pPr>
                    <w:pStyle w:val="77"/>
                    <w:spacing w:line="240" w:lineRule="auto"/>
                    <w:rPr>
                      <w:rFonts w:hint="default" w:ascii="Times New Roman" w:hAnsi="Times New Roman" w:eastAsia="宋体" w:cs="Times New Roman"/>
                      <w:color w:val="auto"/>
                      <w:sz w:val="18"/>
                      <w:szCs w:val="18"/>
                    </w:rPr>
                  </w:pPr>
                  <w:r>
                    <w:rPr>
                      <w:color w:val="auto"/>
                      <w:sz w:val="18"/>
                      <w:szCs w:val="18"/>
                      <w:highlight w:val="none"/>
                    </w:rPr>
                    <w:t>对</w:t>
                  </w:r>
                  <w:r>
                    <w:rPr>
                      <w:rFonts w:hint="eastAsia"/>
                      <w:color w:val="auto"/>
                      <w:sz w:val="18"/>
                      <w:szCs w:val="18"/>
                      <w:highlight w:val="none"/>
                      <w:lang w:eastAsia="zh-CN"/>
                    </w:rPr>
                    <w:t>三次</w:t>
                  </w:r>
                  <w:r>
                    <w:rPr>
                      <w:color w:val="auto"/>
                      <w:sz w:val="18"/>
                      <w:szCs w:val="18"/>
                      <w:highlight w:val="none"/>
                    </w:rPr>
                    <w:t>油气回收</w:t>
                  </w:r>
                  <w:r>
                    <w:rPr>
                      <w:rFonts w:hint="eastAsia"/>
                      <w:color w:val="auto"/>
                      <w:sz w:val="18"/>
                      <w:szCs w:val="18"/>
                      <w:highlight w:val="none"/>
                      <w:lang w:eastAsia="zh-CN"/>
                    </w:rPr>
                    <w:t>处理</w:t>
                  </w:r>
                  <w:r>
                    <w:rPr>
                      <w:color w:val="auto"/>
                      <w:sz w:val="18"/>
                      <w:szCs w:val="18"/>
                      <w:highlight w:val="none"/>
                    </w:rPr>
                    <w:t>系统进行检修</w:t>
                  </w:r>
                </w:p>
              </w:tc>
            </w:tr>
          </w:tbl>
          <w:p w14:paraId="2785FFDD">
            <w:pPr>
              <w:adjustRightInd w:val="0"/>
              <w:snapToGrid w:val="0"/>
              <w:spacing w:line="360" w:lineRule="auto"/>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4.2.2废水影响分析及其防治措施</w:t>
            </w:r>
          </w:p>
          <w:p w14:paraId="0A0FD8A0">
            <w:pPr>
              <w:pStyle w:val="62"/>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本项目对</w:t>
            </w:r>
            <w:r>
              <w:rPr>
                <w:rFonts w:hint="default" w:ascii="Times New Roman" w:hAnsi="Times New Roman" w:eastAsia="宋体" w:cs="Times New Roman"/>
                <w:color w:val="auto"/>
                <w:sz w:val="24"/>
                <w:lang w:val="en-US" w:eastAsia="zh-CN"/>
              </w:rPr>
              <w:t>油罐</w:t>
            </w:r>
            <w:r>
              <w:rPr>
                <w:rFonts w:hint="default" w:ascii="Times New Roman" w:hAnsi="Times New Roman" w:eastAsia="宋体" w:cs="Times New Roman"/>
                <w:color w:val="auto"/>
                <w:sz w:val="24"/>
              </w:rPr>
              <w:t>进行更换，不新增占地，不会导致加油站场地冲洗、初期雨水、洗车废水的增加；实施后加油站劳动定员不变，驾乘人员由</w:t>
            </w:r>
            <w:r>
              <w:rPr>
                <w:rFonts w:hint="default" w:ascii="Times New Roman" w:hAnsi="Times New Roman" w:cs="Times New Roman"/>
                <w:color w:val="auto"/>
                <w:sz w:val="24"/>
                <w:lang w:val="en-US" w:eastAsia="zh-CN"/>
              </w:rPr>
              <w:t>230</w:t>
            </w:r>
            <w:r>
              <w:rPr>
                <w:rFonts w:hint="default" w:ascii="Times New Roman" w:hAnsi="Times New Roman" w:eastAsia="宋体" w:cs="Times New Roman"/>
                <w:color w:val="auto"/>
                <w:sz w:val="24"/>
              </w:rPr>
              <w:t>人增加到</w:t>
            </w:r>
            <w:r>
              <w:rPr>
                <w:rFonts w:hint="default" w:ascii="Times New Roman" w:hAnsi="Times New Roman" w:cs="Times New Roman"/>
                <w:color w:val="auto"/>
                <w:sz w:val="24"/>
                <w:lang w:val="en-US" w:eastAsia="zh-CN"/>
              </w:rPr>
              <w:t>300</w:t>
            </w:r>
            <w:r>
              <w:rPr>
                <w:rFonts w:hint="default" w:ascii="Times New Roman" w:hAnsi="Times New Roman" w:eastAsia="宋体" w:cs="Times New Roman"/>
                <w:color w:val="auto"/>
                <w:sz w:val="24"/>
              </w:rPr>
              <w:t>人，生活污水增加。</w:t>
            </w:r>
          </w:p>
          <w:p w14:paraId="21BBBB90">
            <w:pPr>
              <w:pStyle w:val="62"/>
              <w:spacing w:line="360" w:lineRule="auto"/>
              <w:ind w:firstLine="480"/>
              <w:rPr>
                <w:rFonts w:hint="default" w:ascii="Times New Roman" w:hAnsi="Times New Roman" w:eastAsia="宋体" w:cs="Times New Roman"/>
                <w:b/>
                <w:bCs w:val="0"/>
                <w:color w:val="auto"/>
                <w:sz w:val="24"/>
                <w:lang w:val="en-US" w:eastAsia="zh-CN"/>
              </w:rPr>
            </w:pPr>
            <w:r>
              <w:rPr>
                <w:rFonts w:hint="default" w:ascii="Times New Roman" w:hAnsi="Times New Roman" w:eastAsia="宋体" w:cs="Times New Roman"/>
                <w:b/>
                <w:bCs w:val="0"/>
                <w:color w:val="auto"/>
                <w:sz w:val="24"/>
              </w:rPr>
              <w:t>（1）废水排放</w:t>
            </w:r>
            <w:r>
              <w:rPr>
                <w:rFonts w:hint="default" w:ascii="Times New Roman" w:hAnsi="Times New Roman" w:eastAsia="宋体" w:cs="Times New Roman"/>
                <w:b/>
                <w:bCs w:val="0"/>
                <w:color w:val="auto"/>
                <w:sz w:val="24"/>
                <w:lang w:val="en-US" w:eastAsia="zh-CN"/>
              </w:rPr>
              <w:t>分析</w:t>
            </w:r>
          </w:p>
          <w:p w14:paraId="5CF68B47">
            <w:pPr>
              <w:pStyle w:val="62"/>
              <w:spacing w:line="360" w:lineRule="auto"/>
              <w:ind w:firstLine="480"/>
              <w:rPr>
                <w:rFonts w:hint="default" w:ascii="Times New Roman" w:hAnsi="Times New Roman" w:eastAsia="宋体" w:cs="Times New Roman"/>
                <w:color w:val="auto"/>
                <w:sz w:val="24"/>
              </w:rPr>
            </w:pPr>
            <w:r>
              <w:rPr>
                <w:rFonts w:hint="eastAsia" w:ascii="Times New Roman" w:hAnsi="Times New Roman"/>
                <w:bCs/>
                <w:color w:val="auto"/>
                <w:sz w:val="24"/>
                <w:lang w:eastAsia="zh-CN"/>
              </w:rPr>
              <w:t>根据</w:t>
            </w:r>
            <w:r>
              <w:rPr>
                <w:rFonts w:hint="eastAsia" w:ascii="Times New Roman" w:hAnsi="Times New Roman"/>
                <w:bCs/>
                <w:color w:val="auto"/>
                <w:sz w:val="24"/>
                <w:lang w:val="en-US" w:eastAsia="zh-CN"/>
              </w:rPr>
              <w:t>2.2.6小节分析，</w:t>
            </w:r>
            <w:r>
              <w:rPr>
                <w:rFonts w:hint="default" w:ascii="Times New Roman" w:hAnsi="Times New Roman" w:eastAsia="宋体" w:cs="Times New Roman"/>
                <w:color w:val="auto"/>
                <w:sz w:val="24"/>
              </w:rPr>
              <w:t>本项目实施后生活污水产生量为</w:t>
            </w:r>
            <w:r>
              <w:rPr>
                <w:rFonts w:hint="default" w:ascii="Times New Roman" w:hAnsi="Times New Roman" w:cs="Times New Roman"/>
                <w:color w:val="auto"/>
                <w:sz w:val="24"/>
                <w:lang w:val="en-US" w:eastAsia="zh-CN"/>
              </w:rPr>
              <w:t>325.763</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/a，排入</w:t>
            </w:r>
            <w:r>
              <w:rPr>
                <w:rFonts w:hint="default" w:ascii="Times New Roman" w:hAnsi="Times New Roman" w:eastAsia="宋体" w:cs="Times New Roman"/>
                <w:color w:val="auto"/>
                <w:sz w:val="24"/>
                <w:lang w:val="en-US" w:eastAsia="zh-CN"/>
              </w:rPr>
              <w:t>站区南侧</w:t>
            </w:r>
            <w:r>
              <w:rPr>
                <w:rFonts w:hint="default" w:ascii="Times New Roman" w:hAnsi="Times New Roman" w:eastAsia="宋体" w:cs="Times New Roman"/>
                <w:color w:val="auto"/>
                <w:sz w:val="24"/>
              </w:rPr>
              <w:t>的生化池进行处理，主要污染因子及浓度为COD 500mg/L、BOD</w:t>
            </w:r>
            <w:r>
              <w:rPr>
                <w:rFonts w:hint="default" w:ascii="Times New Roman" w:hAnsi="Times New Roman" w:eastAsia="宋体" w:cs="Times New Roman"/>
                <w:color w:val="auto"/>
                <w:sz w:val="24"/>
                <w:vertAlign w:val="subscript"/>
              </w:rPr>
              <w:t>5</w:t>
            </w:r>
            <w:r>
              <w:rPr>
                <w:rFonts w:hint="default" w:ascii="Times New Roman" w:hAnsi="Times New Roman" w:eastAsia="宋体" w:cs="Times New Roman"/>
                <w:color w:val="auto"/>
                <w:sz w:val="24"/>
              </w:rPr>
              <w:t xml:space="preserve"> 300mg/L、SS 350mg/L、NH</w:t>
            </w:r>
            <w:r>
              <w:rPr>
                <w:rFonts w:hint="default" w:ascii="Times New Roman" w:hAnsi="Times New Roman" w:eastAsia="宋体" w:cs="Times New Roman"/>
                <w:color w:val="auto"/>
                <w:sz w:val="24"/>
                <w:vertAlign w:val="subscript"/>
              </w:rPr>
              <w:t>3</w:t>
            </w:r>
            <w:r>
              <w:rPr>
                <w:rFonts w:hint="default" w:ascii="Times New Roman" w:hAnsi="Times New Roman" w:eastAsia="宋体" w:cs="Times New Roman"/>
                <w:color w:val="auto"/>
                <w:sz w:val="24"/>
              </w:rPr>
              <w:t>-N 45mg/L。场地冲洗废水产生量为</w:t>
            </w:r>
            <w:r>
              <w:rPr>
                <w:rFonts w:hint="default" w:ascii="Times New Roman" w:hAnsi="Times New Roman" w:eastAsia="宋体" w:cs="Times New Roman"/>
                <w:color w:val="auto"/>
                <w:sz w:val="24"/>
                <w:lang w:val="en-US" w:eastAsia="zh-CN"/>
              </w:rPr>
              <w:t xml:space="preserve">157.68 </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/a，主要污染因子及浓度为SS 300mg/L、石油类</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0mg/L。洗车废水产生量约为</w:t>
            </w:r>
            <w:r>
              <w:rPr>
                <w:rFonts w:hint="default" w:ascii="Times New Roman" w:hAnsi="Times New Roman" w:eastAsia="宋体" w:cs="Times New Roman"/>
                <w:color w:val="auto"/>
                <w:sz w:val="24"/>
                <w:lang w:val="en-US" w:eastAsia="zh-CN"/>
              </w:rPr>
              <w:t>1314.0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 xml:space="preserve">/a，主要污染因子及浓度为COD </w:t>
            </w:r>
            <w:r>
              <w:rPr>
                <w:rFonts w:hint="default" w:ascii="Times New Roman" w:hAnsi="Times New Roman" w:eastAsia="宋体" w:cs="Times New Roman"/>
                <w:color w:val="auto"/>
                <w:sz w:val="24"/>
                <w:lang w:val="en-US" w:eastAsia="zh-CN"/>
              </w:rPr>
              <w:t>3</w:t>
            </w:r>
            <w:r>
              <w:rPr>
                <w:rFonts w:hint="default" w:ascii="Times New Roman" w:hAnsi="Times New Roman" w:eastAsia="宋体" w:cs="Times New Roman"/>
                <w:color w:val="auto"/>
                <w:sz w:val="24"/>
              </w:rPr>
              <w:t>50mg/L</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rPr>
              <w:t>BOD</w:t>
            </w:r>
            <w:r>
              <w:rPr>
                <w:rFonts w:hint="default" w:ascii="Times New Roman" w:hAnsi="Times New Roman" w:eastAsia="宋体" w:cs="Times New Roman"/>
                <w:color w:val="auto"/>
                <w:sz w:val="24"/>
                <w:vertAlign w:val="subscript"/>
              </w:rPr>
              <w:t>5</w:t>
            </w:r>
            <w:r>
              <w:rPr>
                <w:rFonts w:hint="default" w:ascii="Times New Roman" w:hAnsi="Times New Roman" w:eastAsia="宋体" w:cs="Times New Roman"/>
                <w:color w:val="auto"/>
                <w:sz w:val="24"/>
                <w:vertAlign w:val="subscript"/>
                <w:lang w:val="en-US" w:eastAsia="zh-CN"/>
              </w:rPr>
              <w:t xml:space="preserve"> </w:t>
            </w:r>
            <w:r>
              <w:rPr>
                <w:rFonts w:hint="default" w:ascii="Times New Roman" w:hAnsi="Times New Roman" w:cs="Times New Roman"/>
                <w:color w:val="auto"/>
                <w:sz w:val="24"/>
              </w:rPr>
              <w:t>300mg/L</w:t>
            </w:r>
            <w:r>
              <w:rPr>
                <w:rFonts w:hint="default" w:ascii="Times New Roman" w:hAnsi="Times New Roman" w:eastAsia="宋体" w:cs="Times New Roman"/>
                <w:color w:val="auto"/>
                <w:sz w:val="24"/>
              </w:rPr>
              <w:t>、SS 5</w:t>
            </w:r>
            <w:r>
              <w:rPr>
                <w:rFonts w:hint="default" w:ascii="Times New Roman" w:hAnsi="Times New Roman" w:eastAsia="宋体" w:cs="Times New Roman"/>
                <w:color w:val="auto"/>
                <w:sz w:val="24"/>
                <w:lang w:val="en-US" w:eastAsia="zh-CN"/>
              </w:rPr>
              <w:t>0</w:t>
            </w:r>
            <w:r>
              <w:rPr>
                <w:rFonts w:hint="default" w:ascii="Times New Roman" w:hAnsi="Times New Roman" w:eastAsia="宋体" w:cs="Times New Roman"/>
                <w:color w:val="auto"/>
                <w:sz w:val="24"/>
              </w:rPr>
              <w:t>0mg/L、石油类</w:t>
            </w:r>
            <w:r>
              <w:rPr>
                <w:rFonts w:hint="default"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mg/L、LAS</w:t>
            </w:r>
            <w:r>
              <w:rPr>
                <w:rFonts w:hint="default" w:ascii="Times New Roman" w:hAnsi="Times New Roman" w:eastAsia="宋体" w:cs="Times New Roman"/>
                <w:color w:val="auto"/>
                <w:sz w:val="24"/>
                <w:lang w:val="en-US" w:eastAsia="zh-CN"/>
              </w:rPr>
              <w:t xml:space="preserve"> 20</w:t>
            </w:r>
            <w:r>
              <w:rPr>
                <w:rFonts w:hint="default" w:ascii="Times New Roman" w:hAnsi="Times New Roman" w:eastAsia="宋体" w:cs="Times New Roman"/>
                <w:color w:val="auto"/>
                <w:sz w:val="24"/>
              </w:rPr>
              <w:t>mg/L。</w:t>
            </w:r>
          </w:p>
          <w:p w14:paraId="4AE09CAF">
            <w:pPr>
              <w:pStyle w:val="62"/>
              <w:spacing w:line="360" w:lineRule="auto"/>
              <w:ind w:firstLine="480"/>
              <w:rPr>
                <w:rFonts w:hint="default" w:ascii="Times New Roman" w:hAnsi="Times New Roman" w:eastAsia="宋体" w:cs="Times New Roman"/>
                <w:b/>
                <w:bCs/>
                <w:color w:val="auto"/>
                <w:sz w:val="24"/>
              </w:rPr>
            </w:pPr>
            <w:r>
              <w:rPr>
                <w:rFonts w:hint="default" w:ascii="Times New Roman" w:hAnsi="Times New Roman" w:eastAsia="宋体" w:cs="Times New Roman"/>
                <w:color w:val="auto"/>
                <w:sz w:val="24"/>
              </w:rPr>
              <w:t>本项目</w:t>
            </w:r>
            <w:r>
              <w:rPr>
                <w:rFonts w:hint="default" w:ascii="Times New Roman" w:hAnsi="Times New Roman" w:cs="Times New Roman"/>
                <w:color w:val="auto"/>
                <w:sz w:val="24"/>
                <w:lang w:eastAsia="zh-CN"/>
              </w:rPr>
              <w:t>废水</w:t>
            </w:r>
            <w:r>
              <w:rPr>
                <w:rFonts w:hint="default" w:ascii="Times New Roman" w:hAnsi="Times New Roman" w:eastAsia="宋体" w:cs="Times New Roman"/>
                <w:color w:val="auto"/>
                <w:sz w:val="24"/>
              </w:rPr>
              <w:t>污染物产生和排放情况详见表</w:t>
            </w:r>
            <w:r>
              <w:rPr>
                <w:rFonts w:hint="default" w:ascii="Times New Roman" w:hAnsi="Times New Roman" w:eastAsia="宋体" w:cs="Times New Roman"/>
                <w:color w:val="auto"/>
                <w:sz w:val="24"/>
                <w:szCs w:val="26"/>
              </w:rPr>
              <w:t>4.2-</w:t>
            </w:r>
            <w:r>
              <w:rPr>
                <w:rFonts w:hint="default" w:ascii="Times New Roman" w:hAnsi="Times New Roman" w:cs="Times New Roman"/>
                <w:color w:val="auto"/>
                <w:sz w:val="24"/>
                <w:szCs w:val="26"/>
                <w:lang w:val="en-US" w:eastAsia="zh-CN"/>
              </w:rPr>
              <w:t>6</w:t>
            </w:r>
            <w:r>
              <w:rPr>
                <w:rFonts w:hint="default" w:ascii="Times New Roman" w:hAnsi="Times New Roman" w:eastAsia="宋体" w:cs="Times New Roman"/>
                <w:color w:val="auto"/>
                <w:sz w:val="24"/>
              </w:rPr>
              <w:t>。</w:t>
            </w:r>
          </w:p>
          <w:p w14:paraId="66957557">
            <w:pPr>
              <w:pStyle w:val="18"/>
              <w:spacing w:after="0"/>
              <w:ind w:firstLine="0" w:firstLineChars="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表4.2-</w:t>
            </w:r>
            <w:r>
              <w:rPr>
                <w:rFonts w:hint="default" w:ascii="Times New Roman" w:hAnsi="Times New Roman" w:cs="Times New Roman"/>
                <w:b/>
                <w:bCs/>
                <w:color w:val="auto"/>
                <w:sz w:val="24"/>
                <w:lang w:val="en-US" w:eastAsia="zh-CN"/>
              </w:rPr>
              <w:t xml:space="preserve">6 </w:t>
            </w:r>
            <w:r>
              <w:rPr>
                <w:b/>
                <w:bCs/>
                <w:color w:val="auto"/>
                <w:sz w:val="24"/>
                <w:szCs w:val="24"/>
                <w:highlight w:val="none"/>
              </w:rPr>
              <w:t>本项目</w:t>
            </w:r>
            <w:r>
              <w:rPr>
                <w:rFonts w:hint="eastAsia"/>
                <w:b/>
                <w:bCs/>
                <w:color w:val="auto"/>
                <w:sz w:val="24"/>
                <w:szCs w:val="24"/>
                <w:highlight w:val="none"/>
                <w:lang w:eastAsia="zh-CN"/>
              </w:rPr>
              <w:t>实施后全站废水</w:t>
            </w:r>
            <w:r>
              <w:rPr>
                <w:rFonts w:hint="default" w:ascii="Times New Roman" w:hAnsi="Times New Roman" w:eastAsia="宋体" w:cs="Times New Roman"/>
                <w:b/>
                <w:bCs/>
                <w:color w:val="auto"/>
                <w:sz w:val="24"/>
              </w:rPr>
              <w:t>污染物产生和排放情况汇总表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28" w:type="dxa"/>
              </w:tblCellMar>
            </w:tblPr>
            <w:tblGrid>
              <w:gridCol w:w="1655"/>
              <w:gridCol w:w="1605"/>
              <w:gridCol w:w="1419"/>
              <w:gridCol w:w="1603"/>
              <w:gridCol w:w="1654"/>
            </w:tblGrid>
            <w:tr w14:paraId="6564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restart"/>
                  <w:noWrap w:val="0"/>
                  <w:vAlign w:val="center"/>
                </w:tcPr>
                <w:p w14:paraId="0C1728C0">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废水类别</w:t>
                  </w:r>
                </w:p>
              </w:tc>
              <w:tc>
                <w:tcPr>
                  <w:tcW w:w="1605" w:type="dxa"/>
                  <w:vMerge w:val="restart"/>
                  <w:noWrap w:val="0"/>
                  <w:vAlign w:val="center"/>
                </w:tcPr>
                <w:p w14:paraId="379A015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废水量（m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/a）</w:t>
                  </w:r>
                </w:p>
              </w:tc>
              <w:tc>
                <w:tcPr>
                  <w:tcW w:w="1419" w:type="dxa"/>
                  <w:vMerge w:val="restart"/>
                  <w:noWrap w:val="0"/>
                  <w:vAlign w:val="center"/>
                </w:tcPr>
                <w:p w14:paraId="162E4F3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名称</w:t>
                  </w:r>
                </w:p>
              </w:tc>
              <w:tc>
                <w:tcPr>
                  <w:tcW w:w="1603" w:type="dxa"/>
                  <w:noWrap w:val="0"/>
                  <w:vAlign w:val="center"/>
                </w:tcPr>
                <w:p w14:paraId="330646C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产生浓度</w:t>
                  </w:r>
                </w:p>
              </w:tc>
              <w:tc>
                <w:tcPr>
                  <w:tcW w:w="1654" w:type="dxa"/>
                  <w:tcBorders>
                    <w:bottom w:val="single" w:color="auto" w:sz="4" w:space="0"/>
                  </w:tcBorders>
                  <w:noWrap w:val="0"/>
                  <w:vAlign w:val="center"/>
                </w:tcPr>
                <w:p w14:paraId="59E787F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产生量</w:t>
                  </w:r>
                </w:p>
              </w:tc>
            </w:tr>
            <w:tr w14:paraId="2058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4AECC8E0">
                  <w:pPr>
                    <w:jc w:val="center"/>
                    <w:rPr>
                      <w:rFonts w:hint="default" w:ascii="Times New Roman" w:hAnsi="Times New Roman" w:eastAsia="宋体" w:cs="Times New Roman"/>
                      <w:color w:val="auto"/>
                      <w:sz w:val="21"/>
                      <w:szCs w:val="21"/>
                    </w:rPr>
                  </w:pPr>
                </w:p>
              </w:tc>
              <w:tc>
                <w:tcPr>
                  <w:tcW w:w="1605" w:type="dxa"/>
                  <w:vMerge w:val="continue"/>
                  <w:noWrap w:val="0"/>
                  <w:vAlign w:val="center"/>
                </w:tcPr>
                <w:p w14:paraId="61BB1AFB">
                  <w:pPr>
                    <w:jc w:val="center"/>
                    <w:rPr>
                      <w:rFonts w:hint="default" w:ascii="Times New Roman" w:hAnsi="Times New Roman" w:eastAsia="宋体" w:cs="Times New Roman"/>
                      <w:color w:val="auto"/>
                      <w:kern w:val="0"/>
                      <w:sz w:val="21"/>
                      <w:szCs w:val="21"/>
                    </w:rPr>
                  </w:pPr>
                </w:p>
              </w:tc>
              <w:tc>
                <w:tcPr>
                  <w:tcW w:w="1419" w:type="dxa"/>
                  <w:vMerge w:val="continue"/>
                  <w:noWrap w:val="0"/>
                  <w:vAlign w:val="center"/>
                </w:tcPr>
                <w:p w14:paraId="5C1034F8">
                  <w:pPr>
                    <w:jc w:val="center"/>
                    <w:rPr>
                      <w:rFonts w:hint="default" w:ascii="Times New Roman" w:hAnsi="Times New Roman" w:eastAsia="宋体" w:cs="Times New Roman"/>
                      <w:color w:val="auto"/>
                      <w:sz w:val="21"/>
                      <w:szCs w:val="21"/>
                    </w:rPr>
                  </w:pPr>
                </w:p>
              </w:tc>
              <w:tc>
                <w:tcPr>
                  <w:tcW w:w="1603" w:type="dxa"/>
                  <w:noWrap w:val="0"/>
                  <w:vAlign w:val="center"/>
                </w:tcPr>
                <w:p w14:paraId="0A9188B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（mg/L）</w:t>
                  </w:r>
                </w:p>
              </w:tc>
              <w:tc>
                <w:tcPr>
                  <w:tcW w:w="1654" w:type="dxa"/>
                  <w:tcBorders>
                    <w:top w:val="single" w:color="auto" w:sz="4" w:space="0"/>
                    <w:left w:val="nil"/>
                    <w:bottom w:val="single" w:color="auto" w:sz="4" w:space="0"/>
                    <w:right w:val="single" w:color="auto" w:sz="4" w:space="0"/>
                  </w:tcBorders>
                  <w:noWrap w:val="0"/>
                  <w:vAlign w:val="center"/>
                </w:tcPr>
                <w:p w14:paraId="08EFBCCA">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（t/a）</w:t>
                  </w:r>
                </w:p>
              </w:tc>
            </w:tr>
            <w:tr w14:paraId="0D79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restart"/>
                  <w:noWrap w:val="0"/>
                  <w:vAlign w:val="center"/>
                </w:tcPr>
                <w:p w14:paraId="72083B4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生活污水</w:t>
                  </w:r>
                </w:p>
              </w:tc>
              <w:tc>
                <w:tcPr>
                  <w:tcW w:w="1605" w:type="dxa"/>
                  <w:vMerge w:val="restart"/>
                  <w:noWrap w:val="0"/>
                  <w:vAlign w:val="center"/>
                </w:tcPr>
                <w:p w14:paraId="53D5E788">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325.763</w:t>
                  </w:r>
                </w:p>
              </w:tc>
              <w:tc>
                <w:tcPr>
                  <w:tcW w:w="1419" w:type="dxa"/>
                  <w:noWrap w:val="0"/>
                  <w:vAlign w:val="center"/>
                </w:tcPr>
                <w:p w14:paraId="12BE573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pH</w:t>
                  </w:r>
                </w:p>
              </w:tc>
              <w:tc>
                <w:tcPr>
                  <w:tcW w:w="1603" w:type="dxa"/>
                  <w:noWrap w:val="0"/>
                  <w:vAlign w:val="center"/>
                </w:tcPr>
                <w:p w14:paraId="61F46B2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6~9</w:t>
                  </w:r>
                </w:p>
              </w:tc>
              <w:tc>
                <w:tcPr>
                  <w:tcW w:w="1654" w:type="dxa"/>
                  <w:tcBorders>
                    <w:top w:val="single" w:color="auto" w:sz="4" w:space="0"/>
                    <w:left w:val="nil"/>
                    <w:bottom w:val="single" w:color="auto" w:sz="4" w:space="0"/>
                    <w:right w:val="single" w:color="auto" w:sz="4" w:space="0"/>
                  </w:tcBorders>
                  <w:noWrap w:val="0"/>
                  <w:vAlign w:val="center"/>
                </w:tcPr>
                <w:p w14:paraId="403D5A5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14:paraId="4870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267C4BA9">
                  <w:pPr>
                    <w:jc w:val="center"/>
                    <w:rPr>
                      <w:rFonts w:hint="default" w:ascii="Times New Roman" w:hAnsi="Times New Roman" w:eastAsia="宋体" w:cs="Times New Roman"/>
                      <w:color w:val="auto"/>
                      <w:sz w:val="21"/>
                      <w:szCs w:val="21"/>
                    </w:rPr>
                  </w:pPr>
                </w:p>
              </w:tc>
              <w:tc>
                <w:tcPr>
                  <w:tcW w:w="1605" w:type="dxa"/>
                  <w:vMerge w:val="continue"/>
                  <w:noWrap w:val="0"/>
                  <w:vAlign w:val="center"/>
                </w:tcPr>
                <w:p w14:paraId="738F099A">
                  <w:pPr>
                    <w:jc w:val="center"/>
                    <w:rPr>
                      <w:rFonts w:hint="default" w:ascii="Times New Roman" w:hAnsi="Times New Roman" w:eastAsia="宋体" w:cs="Times New Roman"/>
                      <w:color w:val="auto"/>
                      <w:sz w:val="21"/>
                      <w:szCs w:val="21"/>
                    </w:rPr>
                  </w:pPr>
                </w:p>
              </w:tc>
              <w:tc>
                <w:tcPr>
                  <w:tcW w:w="1419" w:type="dxa"/>
                  <w:noWrap w:val="0"/>
                  <w:vAlign w:val="center"/>
                </w:tcPr>
                <w:p w14:paraId="3D49A7E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COD</w:t>
                  </w:r>
                </w:p>
              </w:tc>
              <w:tc>
                <w:tcPr>
                  <w:tcW w:w="1603" w:type="dxa"/>
                  <w:noWrap w:val="0"/>
                  <w:vAlign w:val="center"/>
                </w:tcPr>
                <w:p w14:paraId="22DF8CA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1654" w:type="dxa"/>
                  <w:tcBorders>
                    <w:top w:val="single" w:color="auto" w:sz="4" w:space="0"/>
                    <w:left w:val="nil"/>
                    <w:bottom w:val="single" w:color="auto" w:sz="4" w:space="0"/>
                    <w:right w:val="single" w:color="auto" w:sz="4" w:space="0"/>
                  </w:tcBorders>
                  <w:noWrap w:val="0"/>
                  <w:vAlign w:val="center"/>
                </w:tcPr>
                <w:p w14:paraId="56D059F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0.163</w:t>
                  </w:r>
                </w:p>
              </w:tc>
            </w:tr>
            <w:tr w14:paraId="2805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78340D92">
                  <w:pPr>
                    <w:jc w:val="center"/>
                    <w:rPr>
                      <w:rFonts w:hint="default" w:ascii="Times New Roman" w:hAnsi="Times New Roman" w:eastAsia="宋体" w:cs="Times New Roman"/>
                      <w:color w:val="auto"/>
                      <w:sz w:val="21"/>
                      <w:szCs w:val="21"/>
                    </w:rPr>
                  </w:pPr>
                </w:p>
              </w:tc>
              <w:tc>
                <w:tcPr>
                  <w:tcW w:w="1605" w:type="dxa"/>
                  <w:vMerge w:val="continue"/>
                  <w:noWrap w:val="0"/>
                  <w:vAlign w:val="center"/>
                </w:tcPr>
                <w:p w14:paraId="47BE72A9">
                  <w:pPr>
                    <w:jc w:val="center"/>
                    <w:rPr>
                      <w:rFonts w:hint="default" w:ascii="Times New Roman" w:hAnsi="Times New Roman" w:eastAsia="宋体" w:cs="Times New Roman"/>
                      <w:color w:val="auto"/>
                      <w:sz w:val="21"/>
                      <w:szCs w:val="21"/>
                    </w:rPr>
                  </w:pPr>
                </w:p>
              </w:tc>
              <w:tc>
                <w:tcPr>
                  <w:tcW w:w="1419" w:type="dxa"/>
                  <w:noWrap w:val="0"/>
                  <w:vAlign w:val="center"/>
                </w:tcPr>
                <w:p w14:paraId="59239C1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BOD</w:t>
                  </w:r>
                  <w:r>
                    <w:rPr>
                      <w:rFonts w:hint="default" w:ascii="Times New Roman" w:hAnsi="Times New Roman" w:eastAsia="宋体" w:cs="Times New Roman"/>
                      <w:i w:val="0"/>
                      <w:iCs w:val="0"/>
                      <w:color w:val="auto"/>
                      <w:kern w:val="0"/>
                      <w:sz w:val="21"/>
                      <w:szCs w:val="21"/>
                      <w:u w:val="none"/>
                      <w:vertAlign w:val="subscript"/>
                      <w:lang w:val="en-US" w:eastAsia="zh-CN" w:bidi="ar"/>
                    </w:rPr>
                    <w:t>5</w:t>
                  </w:r>
                </w:p>
              </w:tc>
              <w:tc>
                <w:tcPr>
                  <w:tcW w:w="1603" w:type="dxa"/>
                  <w:noWrap w:val="0"/>
                  <w:vAlign w:val="center"/>
                </w:tcPr>
                <w:p w14:paraId="4BAB10F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1654" w:type="dxa"/>
                  <w:tcBorders>
                    <w:top w:val="single" w:color="auto" w:sz="4" w:space="0"/>
                  </w:tcBorders>
                  <w:noWrap w:val="0"/>
                  <w:vAlign w:val="center"/>
                </w:tcPr>
                <w:p w14:paraId="71232F8C">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0.098</w:t>
                  </w:r>
                </w:p>
              </w:tc>
            </w:tr>
            <w:tr w14:paraId="766F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57664001">
                  <w:pPr>
                    <w:jc w:val="center"/>
                    <w:rPr>
                      <w:rFonts w:hint="default" w:ascii="Times New Roman" w:hAnsi="Times New Roman" w:eastAsia="宋体" w:cs="Times New Roman"/>
                      <w:color w:val="auto"/>
                      <w:sz w:val="21"/>
                      <w:szCs w:val="21"/>
                    </w:rPr>
                  </w:pPr>
                </w:p>
              </w:tc>
              <w:tc>
                <w:tcPr>
                  <w:tcW w:w="1605" w:type="dxa"/>
                  <w:vMerge w:val="continue"/>
                  <w:noWrap w:val="0"/>
                  <w:vAlign w:val="center"/>
                </w:tcPr>
                <w:p w14:paraId="7DE7157C">
                  <w:pPr>
                    <w:jc w:val="center"/>
                    <w:rPr>
                      <w:rFonts w:hint="default" w:ascii="Times New Roman" w:hAnsi="Times New Roman" w:eastAsia="宋体" w:cs="Times New Roman"/>
                      <w:color w:val="auto"/>
                      <w:sz w:val="21"/>
                      <w:szCs w:val="21"/>
                    </w:rPr>
                  </w:pPr>
                </w:p>
              </w:tc>
              <w:tc>
                <w:tcPr>
                  <w:tcW w:w="1419" w:type="dxa"/>
                  <w:noWrap w:val="0"/>
                  <w:vAlign w:val="center"/>
                </w:tcPr>
                <w:p w14:paraId="33D9FDD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SS</w:t>
                  </w:r>
                </w:p>
              </w:tc>
              <w:tc>
                <w:tcPr>
                  <w:tcW w:w="1603" w:type="dxa"/>
                  <w:tcBorders>
                    <w:bottom w:val="single" w:color="auto" w:sz="4" w:space="0"/>
                  </w:tcBorders>
                  <w:noWrap w:val="0"/>
                  <w:vAlign w:val="center"/>
                </w:tcPr>
                <w:p w14:paraId="695BF09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350</w:t>
                  </w:r>
                </w:p>
              </w:tc>
              <w:tc>
                <w:tcPr>
                  <w:tcW w:w="1654" w:type="dxa"/>
                  <w:tcBorders>
                    <w:bottom w:val="single" w:color="auto" w:sz="4" w:space="0"/>
                  </w:tcBorders>
                  <w:noWrap w:val="0"/>
                  <w:vAlign w:val="center"/>
                </w:tcPr>
                <w:p w14:paraId="523CAA6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0.114</w:t>
                  </w:r>
                </w:p>
              </w:tc>
            </w:tr>
            <w:tr w14:paraId="63A2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488ED7B7">
                  <w:pPr>
                    <w:jc w:val="center"/>
                    <w:rPr>
                      <w:rFonts w:hint="default" w:ascii="Times New Roman" w:hAnsi="Times New Roman" w:eastAsia="宋体" w:cs="Times New Roman"/>
                      <w:color w:val="auto"/>
                      <w:sz w:val="21"/>
                      <w:szCs w:val="21"/>
                    </w:rPr>
                  </w:pPr>
                </w:p>
              </w:tc>
              <w:tc>
                <w:tcPr>
                  <w:tcW w:w="1605" w:type="dxa"/>
                  <w:vMerge w:val="continue"/>
                  <w:noWrap w:val="0"/>
                  <w:vAlign w:val="center"/>
                </w:tcPr>
                <w:p w14:paraId="05A1978E">
                  <w:pPr>
                    <w:jc w:val="center"/>
                    <w:rPr>
                      <w:rFonts w:hint="default" w:ascii="Times New Roman" w:hAnsi="Times New Roman" w:eastAsia="宋体" w:cs="Times New Roman"/>
                      <w:color w:val="auto"/>
                      <w:sz w:val="21"/>
                      <w:szCs w:val="21"/>
                    </w:rPr>
                  </w:pPr>
                </w:p>
              </w:tc>
              <w:tc>
                <w:tcPr>
                  <w:tcW w:w="1419" w:type="dxa"/>
                  <w:noWrap w:val="0"/>
                  <w:vAlign w:val="center"/>
                </w:tcPr>
                <w:p w14:paraId="0705C82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NH</w:t>
                  </w:r>
                  <w:r>
                    <w:rPr>
                      <w:rFonts w:hint="default" w:ascii="Times New Roman" w:hAnsi="Times New Roman" w:eastAsia="宋体" w:cs="Times New Roman"/>
                      <w:i w:val="0"/>
                      <w:iCs w:val="0"/>
                      <w:color w:val="auto"/>
                      <w:kern w:val="0"/>
                      <w:sz w:val="21"/>
                      <w:szCs w:val="21"/>
                      <w:u w:val="none"/>
                      <w:vertAlign w:val="sub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-N</w:t>
                  </w:r>
                </w:p>
              </w:tc>
              <w:tc>
                <w:tcPr>
                  <w:tcW w:w="1603" w:type="dxa"/>
                  <w:tcBorders>
                    <w:top w:val="single" w:color="auto" w:sz="4" w:space="0"/>
                    <w:left w:val="nil"/>
                    <w:bottom w:val="single" w:color="auto" w:sz="4" w:space="0"/>
                    <w:right w:val="single" w:color="auto" w:sz="4" w:space="0"/>
                  </w:tcBorders>
                  <w:noWrap w:val="0"/>
                  <w:vAlign w:val="center"/>
                </w:tcPr>
                <w:p w14:paraId="57EF930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cs="Times New Roman"/>
                      <w:i w:val="0"/>
                      <w:iCs w:val="0"/>
                      <w:color w:val="auto"/>
                      <w:kern w:val="0"/>
                      <w:sz w:val="21"/>
                      <w:szCs w:val="21"/>
                      <w:u w:val="none"/>
                      <w:lang w:val="en-US" w:eastAsia="zh-CN" w:bidi="ar"/>
                    </w:rPr>
                    <w:t>50</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0DEF107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w:t>
                  </w:r>
                  <w:r>
                    <w:rPr>
                      <w:rFonts w:hint="default" w:ascii="Times New Roman" w:hAnsi="Times New Roman" w:cs="Times New Roman"/>
                      <w:i w:val="0"/>
                      <w:iCs w:val="0"/>
                      <w:color w:val="auto"/>
                      <w:kern w:val="0"/>
                      <w:sz w:val="21"/>
                      <w:szCs w:val="21"/>
                      <w:u w:val="none"/>
                      <w:lang w:val="en-US" w:eastAsia="zh-CN" w:bidi="ar"/>
                    </w:rPr>
                    <w:t>6</w:t>
                  </w:r>
                </w:p>
              </w:tc>
            </w:tr>
            <w:tr w14:paraId="55F2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restart"/>
                  <w:noWrap w:val="0"/>
                  <w:vAlign w:val="center"/>
                </w:tcPr>
                <w:p w14:paraId="0CF1703A">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场地冲洗废水</w:t>
                  </w:r>
                </w:p>
              </w:tc>
              <w:tc>
                <w:tcPr>
                  <w:tcW w:w="1605" w:type="dxa"/>
                  <w:vMerge w:val="restart"/>
                  <w:noWrap w:val="0"/>
                  <w:vAlign w:val="center"/>
                </w:tcPr>
                <w:p w14:paraId="1DA87FF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157.68</w:t>
                  </w:r>
                  <w:r>
                    <w:rPr>
                      <w:rFonts w:hint="default" w:ascii="Times New Roman" w:hAnsi="Times New Roman" w:cs="Times New Roman"/>
                      <w:i w:val="0"/>
                      <w:iCs w:val="0"/>
                      <w:color w:val="auto"/>
                      <w:kern w:val="0"/>
                      <w:sz w:val="21"/>
                      <w:szCs w:val="21"/>
                      <w:u w:val="none"/>
                      <w:lang w:val="en-US" w:eastAsia="zh-CN" w:bidi="ar"/>
                    </w:rPr>
                    <w:t>0</w:t>
                  </w:r>
                </w:p>
              </w:tc>
              <w:tc>
                <w:tcPr>
                  <w:tcW w:w="1419" w:type="dxa"/>
                  <w:noWrap w:val="0"/>
                  <w:vAlign w:val="center"/>
                </w:tcPr>
                <w:p w14:paraId="7D192C6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pH</w:t>
                  </w:r>
                </w:p>
              </w:tc>
              <w:tc>
                <w:tcPr>
                  <w:tcW w:w="1603" w:type="dxa"/>
                  <w:tcBorders>
                    <w:top w:val="single" w:color="auto" w:sz="4" w:space="0"/>
                    <w:left w:val="nil"/>
                    <w:bottom w:val="single" w:color="auto" w:sz="4" w:space="0"/>
                    <w:right w:val="single" w:color="auto" w:sz="4" w:space="0"/>
                  </w:tcBorders>
                  <w:noWrap w:val="0"/>
                  <w:vAlign w:val="center"/>
                </w:tcPr>
                <w:p w14:paraId="179A1558">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6~9</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3329712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14:paraId="7D1D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60AAC488">
                  <w:pPr>
                    <w:jc w:val="center"/>
                    <w:rPr>
                      <w:rFonts w:hint="default" w:ascii="Times New Roman" w:hAnsi="Times New Roman" w:eastAsia="宋体" w:cs="Times New Roman"/>
                      <w:color w:val="auto"/>
                      <w:sz w:val="21"/>
                      <w:szCs w:val="21"/>
                      <w:highlight w:val="yellow"/>
                    </w:rPr>
                  </w:pPr>
                </w:p>
              </w:tc>
              <w:tc>
                <w:tcPr>
                  <w:tcW w:w="1605" w:type="dxa"/>
                  <w:vMerge w:val="continue"/>
                  <w:noWrap w:val="0"/>
                  <w:vAlign w:val="center"/>
                </w:tcPr>
                <w:p w14:paraId="79B154EE">
                  <w:pPr>
                    <w:jc w:val="center"/>
                    <w:rPr>
                      <w:rFonts w:hint="default" w:ascii="Times New Roman" w:hAnsi="Times New Roman" w:eastAsia="宋体" w:cs="Times New Roman"/>
                      <w:color w:val="auto"/>
                      <w:sz w:val="21"/>
                      <w:szCs w:val="21"/>
                      <w:highlight w:val="yellow"/>
                    </w:rPr>
                  </w:pPr>
                </w:p>
              </w:tc>
              <w:tc>
                <w:tcPr>
                  <w:tcW w:w="1419" w:type="dxa"/>
                  <w:noWrap w:val="0"/>
                  <w:vAlign w:val="center"/>
                </w:tcPr>
                <w:p w14:paraId="1EA8C21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SS</w:t>
                  </w:r>
                </w:p>
              </w:tc>
              <w:tc>
                <w:tcPr>
                  <w:tcW w:w="1603" w:type="dxa"/>
                  <w:tcBorders>
                    <w:top w:val="single" w:color="auto" w:sz="4" w:space="0"/>
                    <w:left w:val="nil"/>
                    <w:bottom w:val="single" w:color="auto" w:sz="4" w:space="0"/>
                    <w:right w:val="single" w:color="auto" w:sz="4" w:space="0"/>
                  </w:tcBorders>
                  <w:noWrap w:val="0"/>
                  <w:vAlign w:val="center"/>
                </w:tcPr>
                <w:p w14:paraId="2A594DD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5167A0A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0.047</w:t>
                  </w:r>
                </w:p>
              </w:tc>
            </w:tr>
            <w:tr w14:paraId="52C9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1DA4FB41">
                  <w:pPr>
                    <w:jc w:val="center"/>
                    <w:rPr>
                      <w:rFonts w:hint="default" w:ascii="Times New Roman" w:hAnsi="Times New Roman" w:eastAsia="宋体" w:cs="Times New Roman"/>
                      <w:color w:val="auto"/>
                      <w:sz w:val="21"/>
                      <w:szCs w:val="21"/>
                      <w:highlight w:val="yellow"/>
                    </w:rPr>
                  </w:pPr>
                </w:p>
              </w:tc>
              <w:tc>
                <w:tcPr>
                  <w:tcW w:w="1605" w:type="dxa"/>
                  <w:vMerge w:val="continue"/>
                  <w:noWrap w:val="0"/>
                  <w:vAlign w:val="center"/>
                </w:tcPr>
                <w:p w14:paraId="2F7C5A23">
                  <w:pPr>
                    <w:jc w:val="center"/>
                    <w:rPr>
                      <w:rFonts w:hint="default" w:ascii="Times New Roman" w:hAnsi="Times New Roman" w:eastAsia="宋体" w:cs="Times New Roman"/>
                      <w:color w:val="auto"/>
                      <w:sz w:val="21"/>
                      <w:szCs w:val="21"/>
                      <w:highlight w:val="yellow"/>
                      <w:lang w:val="en-US"/>
                    </w:rPr>
                  </w:pPr>
                </w:p>
              </w:tc>
              <w:tc>
                <w:tcPr>
                  <w:tcW w:w="1419" w:type="dxa"/>
                  <w:noWrap w:val="0"/>
                  <w:vAlign w:val="center"/>
                </w:tcPr>
                <w:p w14:paraId="4EABA55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石油类</w:t>
                  </w:r>
                </w:p>
              </w:tc>
              <w:tc>
                <w:tcPr>
                  <w:tcW w:w="1603" w:type="dxa"/>
                  <w:tcBorders>
                    <w:top w:val="single" w:color="auto" w:sz="4" w:space="0"/>
                    <w:left w:val="nil"/>
                    <w:bottom w:val="single" w:color="auto" w:sz="4" w:space="0"/>
                    <w:right w:val="single" w:color="auto" w:sz="4" w:space="0"/>
                  </w:tcBorders>
                  <w:noWrap w:val="0"/>
                  <w:vAlign w:val="center"/>
                </w:tcPr>
                <w:p w14:paraId="6706ED5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549AABC0">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0.003</w:t>
                  </w:r>
                </w:p>
              </w:tc>
            </w:tr>
            <w:tr w14:paraId="5709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restart"/>
                  <w:noWrap w:val="0"/>
                  <w:vAlign w:val="center"/>
                </w:tcPr>
                <w:p w14:paraId="20679B5A">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i w:val="0"/>
                      <w:iCs w:val="0"/>
                      <w:color w:val="auto"/>
                      <w:kern w:val="0"/>
                      <w:sz w:val="21"/>
                      <w:szCs w:val="21"/>
                      <w:u w:val="none"/>
                      <w:lang w:val="en-US" w:eastAsia="zh-CN" w:bidi="ar"/>
                    </w:rPr>
                    <w:t>洗车废水</w:t>
                  </w:r>
                </w:p>
              </w:tc>
              <w:tc>
                <w:tcPr>
                  <w:tcW w:w="1605" w:type="dxa"/>
                  <w:vMerge w:val="restart"/>
                  <w:noWrap w:val="0"/>
                  <w:vAlign w:val="center"/>
                </w:tcPr>
                <w:p w14:paraId="5664AECD">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yellow"/>
                      <w:lang w:val="en-US"/>
                    </w:rPr>
                  </w:pPr>
                  <w:r>
                    <w:rPr>
                      <w:rFonts w:hint="default" w:ascii="Times New Roman" w:hAnsi="Times New Roman" w:eastAsia="宋体" w:cs="Times New Roman"/>
                      <w:i w:val="0"/>
                      <w:iCs w:val="0"/>
                      <w:color w:val="auto"/>
                      <w:kern w:val="0"/>
                      <w:sz w:val="21"/>
                      <w:szCs w:val="21"/>
                      <w:u w:val="none"/>
                      <w:lang w:val="en-US" w:eastAsia="zh-CN" w:bidi="ar"/>
                    </w:rPr>
                    <w:t>1314.0</w:t>
                  </w:r>
                  <w:r>
                    <w:rPr>
                      <w:rFonts w:hint="default" w:ascii="Times New Roman" w:hAnsi="Times New Roman" w:cs="Times New Roman"/>
                      <w:i w:val="0"/>
                      <w:iCs w:val="0"/>
                      <w:color w:val="auto"/>
                      <w:kern w:val="0"/>
                      <w:sz w:val="21"/>
                      <w:szCs w:val="21"/>
                      <w:u w:val="none"/>
                      <w:lang w:val="en-US" w:eastAsia="zh-CN" w:bidi="ar"/>
                    </w:rPr>
                    <w:t>00</w:t>
                  </w:r>
                </w:p>
              </w:tc>
              <w:tc>
                <w:tcPr>
                  <w:tcW w:w="1419" w:type="dxa"/>
                  <w:noWrap w:val="0"/>
                  <w:vAlign w:val="center"/>
                </w:tcPr>
                <w:p w14:paraId="1BD5ACD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pH</w:t>
                  </w:r>
                </w:p>
              </w:tc>
              <w:tc>
                <w:tcPr>
                  <w:tcW w:w="1603" w:type="dxa"/>
                  <w:tcBorders>
                    <w:top w:val="single" w:color="auto" w:sz="4" w:space="0"/>
                    <w:left w:val="nil"/>
                    <w:bottom w:val="single" w:color="auto" w:sz="4" w:space="0"/>
                    <w:right w:val="single" w:color="auto" w:sz="4" w:space="0"/>
                  </w:tcBorders>
                  <w:noWrap w:val="0"/>
                  <w:vAlign w:val="center"/>
                </w:tcPr>
                <w:p w14:paraId="7905942E">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6~9</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393F0A1E">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r>
            <w:tr w14:paraId="001D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6BA00B00">
                  <w:pPr>
                    <w:jc w:val="center"/>
                    <w:rPr>
                      <w:rFonts w:hint="default" w:ascii="Times New Roman" w:hAnsi="Times New Roman" w:eastAsia="宋体" w:cs="Times New Roman"/>
                      <w:color w:val="auto"/>
                      <w:sz w:val="21"/>
                      <w:szCs w:val="21"/>
                      <w:highlight w:val="yellow"/>
                    </w:rPr>
                  </w:pPr>
                </w:p>
              </w:tc>
              <w:tc>
                <w:tcPr>
                  <w:tcW w:w="1605" w:type="dxa"/>
                  <w:vMerge w:val="continue"/>
                  <w:noWrap w:val="0"/>
                  <w:vAlign w:val="center"/>
                </w:tcPr>
                <w:p w14:paraId="7472F7A9">
                  <w:pPr>
                    <w:jc w:val="center"/>
                    <w:rPr>
                      <w:rFonts w:hint="default" w:ascii="Times New Roman" w:hAnsi="Times New Roman" w:eastAsia="宋体" w:cs="Times New Roman"/>
                      <w:color w:val="auto"/>
                      <w:sz w:val="21"/>
                      <w:szCs w:val="21"/>
                      <w:highlight w:val="yellow"/>
                    </w:rPr>
                  </w:pPr>
                </w:p>
              </w:tc>
              <w:tc>
                <w:tcPr>
                  <w:tcW w:w="1419" w:type="dxa"/>
                  <w:noWrap w:val="0"/>
                  <w:vAlign w:val="center"/>
                </w:tcPr>
                <w:p w14:paraId="44CDB6C2">
                  <w:pPr>
                    <w:keepNext w:val="0"/>
                    <w:keepLines w:val="0"/>
                    <w:widowControl/>
                    <w:suppressLineNumbers w:val="0"/>
                    <w:jc w:val="center"/>
                    <w:textAlignment w:val="bottom"/>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COD</w:t>
                  </w:r>
                </w:p>
              </w:tc>
              <w:tc>
                <w:tcPr>
                  <w:tcW w:w="1603" w:type="dxa"/>
                  <w:tcBorders>
                    <w:top w:val="single" w:color="auto" w:sz="4" w:space="0"/>
                    <w:left w:val="nil"/>
                    <w:bottom w:val="single" w:color="auto" w:sz="4" w:space="0"/>
                    <w:right w:val="single" w:color="auto" w:sz="4" w:space="0"/>
                  </w:tcBorders>
                  <w:noWrap w:val="0"/>
                  <w:vAlign w:val="center"/>
                </w:tcPr>
                <w:p w14:paraId="04E54BA2">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350</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6A2F52A8">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0.460</w:t>
                  </w:r>
                </w:p>
              </w:tc>
            </w:tr>
            <w:tr w14:paraId="4902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7AA03C2E">
                  <w:pPr>
                    <w:jc w:val="center"/>
                    <w:rPr>
                      <w:rFonts w:hint="default" w:ascii="Times New Roman" w:hAnsi="Times New Roman" w:eastAsia="宋体" w:cs="Times New Roman"/>
                      <w:color w:val="auto"/>
                      <w:sz w:val="21"/>
                      <w:szCs w:val="21"/>
                      <w:highlight w:val="yellow"/>
                    </w:rPr>
                  </w:pPr>
                </w:p>
              </w:tc>
              <w:tc>
                <w:tcPr>
                  <w:tcW w:w="1605" w:type="dxa"/>
                  <w:vMerge w:val="continue"/>
                  <w:noWrap w:val="0"/>
                  <w:vAlign w:val="center"/>
                </w:tcPr>
                <w:p w14:paraId="1B3BE8AD">
                  <w:pPr>
                    <w:jc w:val="center"/>
                    <w:rPr>
                      <w:rFonts w:hint="default" w:ascii="Times New Roman" w:hAnsi="Times New Roman" w:eastAsia="宋体" w:cs="Times New Roman"/>
                      <w:color w:val="auto"/>
                      <w:sz w:val="21"/>
                      <w:szCs w:val="21"/>
                      <w:highlight w:val="yellow"/>
                    </w:rPr>
                  </w:pPr>
                </w:p>
              </w:tc>
              <w:tc>
                <w:tcPr>
                  <w:tcW w:w="1419" w:type="dxa"/>
                  <w:noWrap w:val="0"/>
                  <w:vAlign w:val="center"/>
                </w:tcPr>
                <w:p w14:paraId="46A74387">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BOD5</w:t>
                  </w:r>
                </w:p>
              </w:tc>
              <w:tc>
                <w:tcPr>
                  <w:tcW w:w="1603" w:type="dxa"/>
                  <w:tcBorders>
                    <w:top w:val="single" w:color="auto" w:sz="4" w:space="0"/>
                    <w:left w:val="nil"/>
                    <w:bottom w:val="single" w:color="auto" w:sz="4" w:space="0"/>
                    <w:right w:val="single" w:color="auto" w:sz="4" w:space="0"/>
                  </w:tcBorders>
                  <w:noWrap w:val="0"/>
                  <w:vAlign w:val="center"/>
                </w:tcPr>
                <w:p w14:paraId="1C2F1038">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80</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7660670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0.105</w:t>
                  </w:r>
                </w:p>
              </w:tc>
            </w:tr>
            <w:tr w14:paraId="2549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5F4DF12E">
                  <w:pPr>
                    <w:jc w:val="center"/>
                    <w:rPr>
                      <w:rFonts w:hint="default" w:ascii="Times New Roman" w:hAnsi="Times New Roman" w:eastAsia="宋体" w:cs="Times New Roman"/>
                      <w:color w:val="auto"/>
                      <w:sz w:val="21"/>
                      <w:szCs w:val="21"/>
                      <w:highlight w:val="yellow"/>
                    </w:rPr>
                  </w:pPr>
                </w:p>
              </w:tc>
              <w:tc>
                <w:tcPr>
                  <w:tcW w:w="1605" w:type="dxa"/>
                  <w:vMerge w:val="continue"/>
                  <w:noWrap w:val="0"/>
                  <w:vAlign w:val="center"/>
                </w:tcPr>
                <w:p w14:paraId="08F796BC">
                  <w:pPr>
                    <w:jc w:val="center"/>
                    <w:rPr>
                      <w:rFonts w:hint="default" w:ascii="Times New Roman" w:hAnsi="Times New Roman" w:eastAsia="宋体" w:cs="Times New Roman"/>
                      <w:color w:val="auto"/>
                      <w:sz w:val="21"/>
                      <w:szCs w:val="21"/>
                      <w:highlight w:val="yellow"/>
                    </w:rPr>
                  </w:pPr>
                </w:p>
              </w:tc>
              <w:tc>
                <w:tcPr>
                  <w:tcW w:w="1419" w:type="dxa"/>
                  <w:noWrap w:val="0"/>
                  <w:vAlign w:val="center"/>
                </w:tcPr>
                <w:p w14:paraId="57FA012D">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SS</w:t>
                  </w:r>
                </w:p>
              </w:tc>
              <w:tc>
                <w:tcPr>
                  <w:tcW w:w="1603" w:type="dxa"/>
                  <w:tcBorders>
                    <w:top w:val="single" w:color="auto" w:sz="4" w:space="0"/>
                    <w:left w:val="nil"/>
                    <w:bottom w:val="single" w:color="auto" w:sz="4" w:space="0"/>
                    <w:right w:val="single" w:color="auto" w:sz="4" w:space="0"/>
                  </w:tcBorders>
                  <w:noWrap w:val="0"/>
                  <w:vAlign w:val="center"/>
                </w:tcPr>
                <w:p w14:paraId="6789AE8E">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5F023AA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0.657</w:t>
                  </w:r>
                </w:p>
              </w:tc>
            </w:tr>
            <w:tr w14:paraId="3B5F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24FAAC76">
                  <w:pPr>
                    <w:jc w:val="center"/>
                    <w:rPr>
                      <w:rFonts w:hint="default" w:ascii="Times New Roman" w:hAnsi="Times New Roman" w:eastAsia="宋体" w:cs="Times New Roman"/>
                      <w:color w:val="auto"/>
                      <w:sz w:val="21"/>
                      <w:szCs w:val="21"/>
                      <w:highlight w:val="yellow"/>
                    </w:rPr>
                  </w:pPr>
                </w:p>
              </w:tc>
              <w:tc>
                <w:tcPr>
                  <w:tcW w:w="1605" w:type="dxa"/>
                  <w:vMerge w:val="continue"/>
                  <w:noWrap w:val="0"/>
                  <w:vAlign w:val="center"/>
                </w:tcPr>
                <w:p w14:paraId="01856901">
                  <w:pPr>
                    <w:jc w:val="center"/>
                    <w:rPr>
                      <w:rFonts w:hint="default" w:ascii="Times New Roman" w:hAnsi="Times New Roman" w:eastAsia="宋体" w:cs="Times New Roman"/>
                      <w:color w:val="auto"/>
                      <w:sz w:val="21"/>
                      <w:szCs w:val="21"/>
                      <w:highlight w:val="yellow"/>
                    </w:rPr>
                  </w:pPr>
                </w:p>
              </w:tc>
              <w:tc>
                <w:tcPr>
                  <w:tcW w:w="1419" w:type="dxa"/>
                  <w:noWrap w:val="0"/>
                  <w:vAlign w:val="center"/>
                </w:tcPr>
                <w:p w14:paraId="00F7FA20">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等线" w:cs="Times New Roman"/>
                      <w:i w:val="0"/>
                      <w:iCs w:val="0"/>
                      <w:color w:val="auto"/>
                      <w:kern w:val="0"/>
                      <w:sz w:val="21"/>
                      <w:szCs w:val="21"/>
                      <w:u w:val="none"/>
                      <w:lang w:val="en-US" w:eastAsia="zh-CN" w:bidi="ar"/>
                    </w:rPr>
                    <w:t>石油类</w:t>
                  </w:r>
                </w:p>
              </w:tc>
              <w:tc>
                <w:tcPr>
                  <w:tcW w:w="1603" w:type="dxa"/>
                  <w:tcBorders>
                    <w:top w:val="single" w:color="auto" w:sz="4" w:space="0"/>
                    <w:left w:val="nil"/>
                    <w:bottom w:val="single" w:color="auto" w:sz="4" w:space="0"/>
                    <w:right w:val="single" w:color="auto" w:sz="4" w:space="0"/>
                  </w:tcBorders>
                  <w:noWrap w:val="0"/>
                  <w:vAlign w:val="center"/>
                </w:tcPr>
                <w:p w14:paraId="26EACF75">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131886F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0.026</w:t>
                  </w:r>
                </w:p>
              </w:tc>
            </w:tr>
            <w:tr w14:paraId="5D7E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trHeight w:val="340" w:hRule="atLeast"/>
                <w:jc w:val="center"/>
              </w:trPr>
              <w:tc>
                <w:tcPr>
                  <w:tcW w:w="1655" w:type="dxa"/>
                  <w:vMerge w:val="continue"/>
                  <w:noWrap w:val="0"/>
                  <w:vAlign w:val="center"/>
                </w:tcPr>
                <w:p w14:paraId="64917E55">
                  <w:pPr>
                    <w:jc w:val="center"/>
                    <w:rPr>
                      <w:rFonts w:hint="default" w:ascii="Times New Roman" w:hAnsi="Times New Roman" w:eastAsia="宋体" w:cs="Times New Roman"/>
                      <w:color w:val="auto"/>
                      <w:sz w:val="21"/>
                      <w:szCs w:val="21"/>
                      <w:highlight w:val="yellow"/>
                    </w:rPr>
                  </w:pPr>
                </w:p>
              </w:tc>
              <w:tc>
                <w:tcPr>
                  <w:tcW w:w="1605" w:type="dxa"/>
                  <w:vMerge w:val="continue"/>
                  <w:noWrap w:val="0"/>
                  <w:vAlign w:val="center"/>
                </w:tcPr>
                <w:p w14:paraId="73978F81">
                  <w:pPr>
                    <w:jc w:val="center"/>
                    <w:rPr>
                      <w:rFonts w:hint="default" w:ascii="Times New Roman" w:hAnsi="Times New Roman" w:eastAsia="宋体" w:cs="Times New Roman"/>
                      <w:color w:val="auto"/>
                      <w:sz w:val="21"/>
                      <w:szCs w:val="21"/>
                      <w:highlight w:val="yellow"/>
                    </w:rPr>
                  </w:pPr>
                </w:p>
              </w:tc>
              <w:tc>
                <w:tcPr>
                  <w:tcW w:w="1419" w:type="dxa"/>
                  <w:noWrap w:val="0"/>
                  <w:vAlign w:val="center"/>
                </w:tcPr>
                <w:p w14:paraId="76C8FA8A">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LAS</w:t>
                  </w:r>
                </w:p>
              </w:tc>
              <w:tc>
                <w:tcPr>
                  <w:tcW w:w="1603" w:type="dxa"/>
                  <w:tcBorders>
                    <w:top w:val="single" w:color="auto" w:sz="4" w:space="0"/>
                    <w:left w:val="nil"/>
                    <w:bottom w:val="single" w:color="auto" w:sz="4" w:space="0"/>
                    <w:right w:val="single" w:color="auto" w:sz="4" w:space="0"/>
                  </w:tcBorders>
                  <w:noWrap w:val="0"/>
                  <w:vAlign w:val="center"/>
                </w:tcPr>
                <w:p w14:paraId="2C0727FA">
                  <w:pPr>
                    <w:keepNext w:val="0"/>
                    <w:keepLines w:val="0"/>
                    <w:widowControl/>
                    <w:suppressLineNumbers w:val="0"/>
                    <w:jc w:val="center"/>
                    <w:textAlignment w:val="bottom"/>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654" w:type="dxa"/>
                  <w:tcBorders>
                    <w:top w:val="single" w:color="auto" w:sz="4" w:space="0"/>
                    <w:left w:val="single" w:color="auto" w:sz="4" w:space="0"/>
                    <w:bottom w:val="single" w:color="auto" w:sz="4" w:space="0"/>
                    <w:right w:val="single" w:color="auto" w:sz="4" w:space="0"/>
                  </w:tcBorders>
                  <w:noWrap w:val="0"/>
                  <w:vAlign w:val="center"/>
                </w:tcPr>
                <w:p w14:paraId="4BD749A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0.026</w:t>
                  </w:r>
                </w:p>
              </w:tc>
            </w:tr>
          </w:tbl>
          <w:p w14:paraId="31458ABA">
            <w:pPr>
              <w:adjustRightInd w:val="0"/>
              <w:snapToGrid w:val="0"/>
              <w:spacing w:line="360" w:lineRule="auto"/>
              <w:ind w:firstLine="480" w:firstLineChars="200"/>
              <w:rPr>
                <w:rFonts w:hint="default" w:ascii="Times New Roman" w:hAnsi="Times New Roman" w:eastAsia="宋体" w:cs="Times New Roman"/>
                <w:color w:val="auto"/>
                <w:sz w:val="24"/>
                <w:szCs w:val="26"/>
              </w:rPr>
            </w:pPr>
          </w:p>
          <w:p w14:paraId="41ED0271">
            <w:pPr>
              <w:adjustRightInd w:val="0"/>
              <w:snapToGrid w:val="0"/>
              <w:spacing w:line="360" w:lineRule="auto"/>
              <w:ind w:firstLine="482" w:firstLineChars="200"/>
              <w:rPr>
                <w:rFonts w:hint="default" w:ascii="Times New Roman" w:hAnsi="Times New Roman" w:eastAsia="宋体" w:cs="Times New Roman"/>
                <w:b/>
                <w:bCs/>
                <w:color w:val="auto"/>
                <w:sz w:val="24"/>
                <w:szCs w:val="26"/>
              </w:rPr>
            </w:pPr>
            <w:r>
              <w:rPr>
                <w:rFonts w:hint="default" w:ascii="Times New Roman" w:hAnsi="Times New Roman" w:eastAsia="宋体" w:cs="Times New Roman"/>
                <w:b/>
                <w:bCs/>
                <w:color w:val="auto"/>
                <w:sz w:val="24"/>
                <w:szCs w:val="26"/>
              </w:rPr>
              <w:t>（2）废水影响分析</w:t>
            </w:r>
          </w:p>
          <w:p w14:paraId="5BBCC664">
            <w:pPr>
              <w:adjustRightInd w:val="0"/>
              <w:snapToGrid w:val="0"/>
              <w:spacing w:line="360" w:lineRule="auto"/>
              <w:ind w:firstLine="480" w:firstLineChars="200"/>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项目采用雨污分流制。雨水通过站区内雨水管网就近排入市政雨水管网。场地冲洗废水、洗车废水等不新增，污水处理措施未发生变化。场地清洁废水</w:t>
            </w:r>
            <w:r>
              <w:rPr>
                <w:rFonts w:hint="eastAsia" w:cs="Times New Roman"/>
                <w:bCs/>
                <w:color w:val="auto"/>
                <w:sz w:val="24"/>
                <w:lang w:val="en-US" w:eastAsia="zh-CN"/>
              </w:rPr>
              <w:t>、洗车废水</w:t>
            </w:r>
            <w:r>
              <w:rPr>
                <w:rFonts w:hint="default" w:ascii="Times New Roman" w:hAnsi="Times New Roman" w:eastAsia="宋体" w:cs="Times New Roman"/>
                <w:bCs/>
                <w:color w:val="auto"/>
                <w:sz w:val="24"/>
                <w:lang w:val="en-US" w:eastAsia="zh-CN"/>
              </w:rPr>
              <w:t>及初期雨水三段式隔油池（处理能力</w:t>
            </w:r>
            <w:r>
              <w:rPr>
                <w:rFonts w:hint="eastAsia" w:cs="Times New Roman"/>
                <w:bCs/>
                <w:color w:val="auto"/>
                <w:sz w:val="24"/>
                <w:lang w:val="en-US" w:eastAsia="zh-CN"/>
              </w:rPr>
              <w:t>6</w:t>
            </w:r>
            <w:r>
              <w:rPr>
                <w:rFonts w:hint="default" w:ascii="Times New Roman" w:hAnsi="Times New Roman" w:eastAsia="宋体" w:cs="Times New Roman"/>
                <w:bCs/>
                <w:color w:val="auto"/>
                <w:sz w:val="24"/>
                <w:lang w:val="en-US" w:eastAsia="zh-CN"/>
              </w:rPr>
              <w:t>m</w:t>
            </w:r>
            <w:r>
              <w:rPr>
                <w:rFonts w:hint="default" w:ascii="Times New Roman" w:hAnsi="Times New Roman" w:eastAsia="宋体" w:cs="Times New Roman"/>
                <w:bCs/>
                <w:color w:val="auto"/>
                <w:sz w:val="24"/>
                <w:vertAlign w:val="superscript"/>
                <w:lang w:val="en-US" w:eastAsia="zh-CN"/>
              </w:rPr>
              <w:t>3</w:t>
            </w:r>
            <w:r>
              <w:rPr>
                <w:rFonts w:hint="default" w:ascii="Times New Roman" w:hAnsi="Times New Roman" w:eastAsia="宋体" w:cs="Times New Roman"/>
                <w:bCs/>
                <w:color w:val="auto"/>
                <w:sz w:val="24"/>
                <w:lang w:val="en-US" w:eastAsia="zh-CN"/>
              </w:rPr>
              <w:t>/d）处理后</w:t>
            </w:r>
            <w:r>
              <w:rPr>
                <w:rFonts w:hint="default" w:ascii="Times New Roman" w:hAnsi="Times New Roman" w:cs="Times New Roman"/>
                <w:bCs/>
                <w:color w:val="auto"/>
                <w:sz w:val="24"/>
                <w:lang w:val="en-US" w:eastAsia="zh-CN"/>
              </w:rPr>
              <w:t>达到</w:t>
            </w:r>
            <w:r>
              <w:rPr>
                <w:rFonts w:hint="default" w:ascii="Times New Roman" w:hAnsi="Times New Roman" w:eastAsia="宋体" w:cs="Times New Roman"/>
                <w:bCs/>
                <w:color w:val="auto"/>
                <w:sz w:val="24"/>
                <w:lang w:val="en-US" w:eastAsia="zh-CN"/>
              </w:rPr>
              <w:t>《污水综合排放标准》（GB8978-1996）三级标准排入市政污水管网；扩建后全站生活污水经站内生化池（处理能力</w:t>
            </w:r>
            <w:r>
              <w:rPr>
                <w:rFonts w:hint="eastAsia" w:cs="Times New Roman"/>
                <w:bCs/>
                <w:color w:val="auto"/>
                <w:sz w:val="24"/>
                <w:lang w:val="en-US" w:eastAsia="zh-CN"/>
              </w:rPr>
              <w:t>3</w:t>
            </w:r>
            <w:r>
              <w:rPr>
                <w:rFonts w:hint="default" w:ascii="Times New Roman" w:hAnsi="Times New Roman" w:eastAsia="宋体" w:cs="Times New Roman"/>
                <w:bCs/>
                <w:color w:val="auto"/>
                <w:sz w:val="24"/>
                <w:lang w:val="en-US" w:eastAsia="zh-CN"/>
              </w:rPr>
              <w:t>m</w:t>
            </w:r>
            <w:r>
              <w:rPr>
                <w:rFonts w:hint="default" w:ascii="Times New Roman" w:hAnsi="Times New Roman" w:eastAsia="宋体" w:cs="Times New Roman"/>
                <w:bCs/>
                <w:color w:val="auto"/>
                <w:sz w:val="24"/>
                <w:vertAlign w:val="superscript"/>
                <w:lang w:val="en-US" w:eastAsia="zh-CN"/>
              </w:rPr>
              <w:t>3</w:t>
            </w:r>
            <w:r>
              <w:rPr>
                <w:rFonts w:hint="default" w:ascii="Times New Roman" w:hAnsi="Times New Roman" w:eastAsia="宋体" w:cs="Times New Roman"/>
                <w:bCs/>
                <w:color w:val="auto"/>
                <w:sz w:val="24"/>
                <w:lang w:val="en-US" w:eastAsia="zh-CN"/>
              </w:rPr>
              <w:t>/d）处理</w:t>
            </w:r>
            <w:r>
              <w:rPr>
                <w:rFonts w:hint="default" w:ascii="Times New Roman" w:hAnsi="Times New Roman" w:cs="Times New Roman"/>
                <w:bCs/>
                <w:color w:val="auto"/>
                <w:sz w:val="24"/>
                <w:lang w:val="en-US" w:eastAsia="zh-CN"/>
              </w:rPr>
              <w:t>达到</w:t>
            </w:r>
            <w:r>
              <w:rPr>
                <w:rFonts w:hint="default" w:ascii="Times New Roman" w:hAnsi="Times New Roman" w:eastAsia="宋体" w:cs="Times New Roman"/>
                <w:bCs/>
                <w:color w:val="auto"/>
                <w:sz w:val="24"/>
                <w:lang w:val="en-US" w:eastAsia="zh-CN"/>
              </w:rPr>
              <w:t>《污水综合排放标准》（GB8978-1996）三级标准后，再与经预处理后的地面冲洗废水及初期雨水一起通过同一排口进入市政污水管网，经鸡冠石污水处理厂进一步处理</w:t>
            </w:r>
            <w:r>
              <w:rPr>
                <w:rFonts w:hint="default" w:ascii="Times New Roman" w:hAnsi="Times New Roman" w:cs="Times New Roman"/>
                <w:bCs/>
                <w:color w:val="auto"/>
                <w:sz w:val="24"/>
                <w:lang w:val="en-US" w:eastAsia="zh-CN"/>
              </w:rPr>
              <w:t>达到</w:t>
            </w:r>
            <w:r>
              <w:rPr>
                <w:rFonts w:hint="default" w:ascii="Times New Roman" w:hAnsi="Times New Roman" w:eastAsia="宋体" w:cs="Times New Roman"/>
                <w:bCs/>
                <w:color w:val="auto"/>
                <w:sz w:val="24"/>
                <w:lang w:val="en-US" w:eastAsia="zh-CN"/>
              </w:rPr>
              <w:t>《城镇污水处理厂污染物排放标准》（GB18918-2002）一级A标准后，最终排入长江。</w:t>
            </w:r>
          </w:p>
          <w:p w14:paraId="69C2F65B">
            <w:pPr>
              <w:adjustRightInd w:val="0"/>
              <w:snapToGrid w:val="0"/>
              <w:spacing w:line="360" w:lineRule="auto"/>
              <w:ind w:firstLine="480" w:firstLineChars="200"/>
              <w:rPr>
                <w:rFonts w:hint="default" w:ascii="Times New Roman" w:hAnsi="Times New Roman" w:eastAsia="宋体" w:cs="Times New Roman"/>
                <w:bCs/>
                <w:color w:val="auto"/>
                <w:spacing w:val="-10"/>
                <w:szCs w:val="21"/>
                <w:highlight w:val="yellow"/>
              </w:rPr>
            </w:pPr>
            <w:r>
              <w:rPr>
                <w:rFonts w:hint="default" w:ascii="Times New Roman" w:hAnsi="Times New Roman" w:eastAsia="宋体" w:cs="Times New Roman"/>
                <w:bCs/>
                <w:color w:val="auto"/>
                <w:sz w:val="24"/>
              </w:rPr>
              <w:t>本项目废水产生、治理及排放情况见下表4.2-</w:t>
            </w:r>
            <w:r>
              <w:rPr>
                <w:rFonts w:hint="default" w:ascii="Times New Roman" w:hAnsi="Times New Roman" w:cs="Times New Roman"/>
                <w:bCs/>
                <w:color w:val="auto"/>
                <w:sz w:val="24"/>
                <w:lang w:val="en-US" w:eastAsia="zh-CN"/>
              </w:rPr>
              <w:t>7</w:t>
            </w:r>
            <w:r>
              <w:rPr>
                <w:rFonts w:hint="default" w:ascii="Times New Roman" w:hAnsi="Times New Roman" w:eastAsia="宋体" w:cs="Times New Roman"/>
                <w:bCs/>
                <w:color w:val="auto"/>
                <w:sz w:val="24"/>
              </w:rPr>
              <w:t>。</w:t>
            </w:r>
          </w:p>
        </w:tc>
      </w:tr>
    </w:tbl>
    <w:p w14:paraId="7A7663E4">
      <w:pPr>
        <w:pStyle w:val="16"/>
        <w:jc w:val="center"/>
        <w:outlineLvl w:val="0"/>
        <w:rPr>
          <w:rFonts w:hint="default" w:ascii="Times New Roman" w:hAnsi="Times New Roman" w:eastAsia="宋体" w:cs="Times New Roman"/>
          <w:snapToGrid w:val="0"/>
          <w:color w:val="auto"/>
          <w:sz w:val="30"/>
          <w:szCs w:val="30"/>
          <w:highlight w:val="yellow"/>
        </w:rPr>
        <w:sectPr>
          <w:pgSz w:w="11906" w:h="16838"/>
          <w:pgMar w:top="1701" w:right="1531" w:bottom="1701" w:left="1531" w:header="851" w:footer="851" w:gutter="0"/>
          <w:pgNumType w:fmt="decimal"/>
          <w:cols w:space="720" w:num="1"/>
          <w:docGrid w:linePitch="312" w:charSpace="0"/>
        </w:sectPr>
      </w:pPr>
    </w:p>
    <w:p w14:paraId="75B03E2A">
      <w:pPr>
        <w:pStyle w:val="18"/>
        <w:spacing w:after="0"/>
        <w:ind w:firstLine="0" w:firstLineChars="0"/>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表4.2-</w:t>
      </w:r>
      <w:r>
        <w:rPr>
          <w:rFonts w:hint="default" w:ascii="Times New Roman" w:hAnsi="Times New Roman" w:cs="Times New Roman"/>
          <w:b/>
          <w:bCs/>
          <w:color w:val="auto"/>
          <w:sz w:val="24"/>
          <w:lang w:val="en-US" w:eastAsia="zh-CN"/>
        </w:rPr>
        <w:t>7</w:t>
      </w:r>
      <w:r>
        <w:rPr>
          <w:rFonts w:hint="default" w:ascii="Times New Roman" w:hAnsi="Times New Roman" w:eastAsia="宋体" w:cs="Times New Roman"/>
          <w:b/>
          <w:bCs/>
          <w:color w:val="auto"/>
          <w:sz w:val="24"/>
        </w:rPr>
        <w:t xml:space="preserve">   本项目废水污染物产生、治理、排放情况一览表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78"/>
        <w:gridCol w:w="870"/>
        <w:gridCol w:w="695"/>
        <w:gridCol w:w="915"/>
        <w:gridCol w:w="900"/>
        <w:gridCol w:w="800"/>
        <w:gridCol w:w="831"/>
        <w:gridCol w:w="864"/>
        <w:gridCol w:w="779"/>
        <w:gridCol w:w="820"/>
        <w:gridCol w:w="889"/>
        <w:gridCol w:w="709"/>
        <w:gridCol w:w="709"/>
        <w:gridCol w:w="461"/>
        <w:gridCol w:w="903"/>
        <w:gridCol w:w="906"/>
        <w:gridCol w:w="643"/>
        <w:gridCol w:w="827"/>
      </w:tblGrid>
      <w:tr w14:paraId="7ED3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restart"/>
            <w:noWrap w:val="0"/>
            <w:vAlign w:val="center"/>
          </w:tcPr>
          <w:p w14:paraId="5849B9E2">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污染源</w:t>
            </w:r>
          </w:p>
        </w:tc>
        <w:tc>
          <w:tcPr>
            <w:tcW w:w="1178" w:type="dxa"/>
            <w:vMerge w:val="restart"/>
            <w:noWrap w:val="0"/>
            <w:vAlign w:val="center"/>
          </w:tcPr>
          <w:p w14:paraId="7E276985">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废水量m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/a</w:t>
            </w:r>
          </w:p>
        </w:tc>
        <w:tc>
          <w:tcPr>
            <w:tcW w:w="870" w:type="dxa"/>
            <w:vMerge w:val="restart"/>
            <w:noWrap w:val="0"/>
            <w:vAlign w:val="center"/>
          </w:tcPr>
          <w:p w14:paraId="018C14DA">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污染物</w:t>
            </w:r>
          </w:p>
        </w:tc>
        <w:tc>
          <w:tcPr>
            <w:tcW w:w="1610" w:type="dxa"/>
            <w:gridSpan w:val="2"/>
            <w:noWrap w:val="0"/>
            <w:vAlign w:val="center"/>
          </w:tcPr>
          <w:p w14:paraId="6E88F5E8">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治理前</w:t>
            </w:r>
          </w:p>
        </w:tc>
        <w:tc>
          <w:tcPr>
            <w:tcW w:w="3395" w:type="dxa"/>
            <w:gridSpan w:val="4"/>
            <w:noWrap w:val="0"/>
            <w:vAlign w:val="center"/>
          </w:tcPr>
          <w:p w14:paraId="420189E1">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治理设施</w:t>
            </w:r>
          </w:p>
        </w:tc>
        <w:tc>
          <w:tcPr>
            <w:tcW w:w="1599" w:type="dxa"/>
            <w:gridSpan w:val="2"/>
            <w:noWrap w:val="0"/>
            <w:vAlign w:val="center"/>
          </w:tcPr>
          <w:p w14:paraId="33E608D0">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治理后</w:t>
            </w:r>
          </w:p>
        </w:tc>
        <w:tc>
          <w:tcPr>
            <w:tcW w:w="889" w:type="dxa"/>
            <w:vMerge w:val="restart"/>
            <w:noWrap w:val="0"/>
            <w:vAlign w:val="center"/>
          </w:tcPr>
          <w:p w14:paraId="0709E65E">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排放去向</w:t>
            </w:r>
          </w:p>
        </w:tc>
        <w:tc>
          <w:tcPr>
            <w:tcW w:w="709" w:type="dxa"/>
            <w:vMerge w:val="restart"/>
            <w:noWrap w:val="0"/>
            <w:vAlign w:val="center"/>
          </w:tcPr>
          <w:p w14:paraId="1D2364C0">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排放标准mg/L</w:t>
            </w:r>
          </w:p>
        </w:tc>
        <w:tc>
          <w:tcPr>
            <w:tcW w:w="709" w:type="dxa"/>
            <w:vMerge w:val="restart"/>
            <w:noWrap w:val="0"/>
            <w:vAlign w:val="center"/>
          </w:tcPr>
          <w:p w14:paraId="5D6CCF7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p w14:paraId="70564F79">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情况</w:t>
            </w:r>
          </w:p>
        </w:tc>
        <w:tc>
          <w:tcPr>
            <w:tcW w:w="461" w:type="dxa"/>
            <w:vMerge w:val="restart"/>
            <w:noWrap w:val="0"/>
            <w:vAlign w:val="center"/>
          </w:tcPr>
          <w:p w14:paraId="65D48332">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排放方式</w:t>
            </w:r>
          </w:p>
        </w:tc>
        <w:tc>
          <w:tcPr>
            <w:tcW w:w="903" w:type="dxa"/>
            <w:vMerge w:val="restart"/>
            <w:noWrap w:val="0"/>
            <w:vAlign w:val="center"/>
          </w:tcPr>
          <w:p w14:paraId="440F1071">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排放规律</w:t>
            </w:r>
          </w:p>
        </w:tc>
        <w:tc>
          <w:tcPr>
            <w:tcW w:w="2376" w:type="dxa"/>
            <w:gridSpan w:val="3"/>
            <w:noWrap w:val="0"/>
            <w:vAlign w:val="center"/>
          </w:tcPr>
          <w:p w14:paraId="332CAB3B">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排放口基本情况</w:t>
            </w:r>
          </w:p>
        </w:tc>
      </w:tr>
      <w:tr w14:paraId="43CF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3688B803">
            <w:pPr>
              <w:jc w:val="center"/>
              <w:rPr>
                <w:rFonts w:hint="default" w:ascii="Times New Roman" w:hAnsi="Times New Roman" w:eastAsia="宋体" w:cs="Times New Roman"/>
                <w:b/>
                <w:color w:val="auto"/>
                <w:sz w:val="21"/>
                <w:szCs w:val="21"/>
              </w:rPr>
            </w:pPr>
          </w:p>
        </w:tc>
        <w:tc>
          <w:tcPr>
            <w:tcW w:w="1178" w:type="dxa"/>
            <w:vMerge w:val="continue"/>
            <w:noWrap w:val="0"/>
            <w:vAlign w:val="center"/>
          </w:tcPr>
          <w:p w14:paraId="12885570">
            <w:pPr>
              <w:jc w:val="center"/>
              <w:rPr>
                <w:rFonts w:hint="default" w:ascii="Times New Roman" w:hAnsi="Times New Roman" w:eastAsia="宋体" w:cs="Times New Roman"/>
                <w:b/>
                <w:color w:val="auto"/>
                <w:sz w:val="21"/>
                <w:szCs w:val="21"/>
              </w:rPr>
            </w:pPr>
          </w:p>
        </w:tc>
        <w:tc>
          <w:tcPr>
            <w:tcW w:w="870" w:type="dxa"/>
            <w:vMerge w:val="continue"/>
            <w:noWrap w:val="0"/>
            <w:vAlign w:val="center"/>
          </w:tcPr>
          <w:p w14:paraId="1C9A3B31">
            <w:pPr>
              <w:jc w:val="center"/>
              <w:rPr>
                <w:rFonts w:hint="default" w:ascii="Times New Roman" w:hAnsi="Times New Roman" w:eastAsia="宋体" w:cs="Times New Roman"/>
                <w:b/>
                <w:color w:val="auto"/>
                <w:sz w:val="21"/>
                <w:szCs w:val="21"/>
              </w:rPr>
            </w:pPr>
          </w:p>
        </w:tc>
        <w:tc>
          <w:tcPr>
            <w:tcW w:w="695" w:type="dxa"/>
            <w:noWrap w:val="0"/>
            <w:vAlign w:val="center"/>
          </w:tcPr>
          <w:p w14:paraId="1C5B566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浓度</w:t>
            </w:r>
          </w:p>
          <w:p w14:paraId="16DC9A3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mg/L</w:t>
            </w:r>
          </w:p>
        </w:tc>
        <w:tc>
          <w:tcPr>
            <w:tcW w:w="915" w:type="dxa"/>
            <w:noWrap w:val="0"/>
            <w:vAlign w:val="center"/>
          </w:tcPr>
          <w:p w14:paraId="1A49020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产生量</w:t>
            </w:r>
          </w:p>
          <w:p w14:paraId="2E0A025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t/a</w:t>
            </w:r>
          </w:p>
        </w:tc>
        <w:tc>
          <w:tcPr>
            <w:tcW w:w="900" w:type="dxa"/>
            <w:noWrap w:val="0"/>
            <w:vAlign w:val="center"/>
          </w:tcPr>
          <w:p w14:paraId="621A981B">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污染防治设施名称及工艺</w:t>
            </w:r>
          </w:p>
        </w:tc>
        <w:tc>
          <w:tcPr>
            <w:tcW w:w="800" w:type="dxa"/>
            <w:noWrap w:val="0"/>
            <w:vAlign w:val="center"/>
          </w:tcPr>
          <w:p w14:paraId="088D2D7E">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处理能力(m</w:t>
            </w:r>
            <w:r>
              <w:rPr>
                <w:rFonts w:hint="default" w:ascii="Times New Roman" w:hAnsi="Times New Roman" w:eastAsia="宋体" w:cs="Times New Roman"/>
                <w:i w:val="0"/>
                <w:iCs w:val="0"/>
                <w:color w:val="auto"/>
                <w:kern w:val="0"/>
                <w:sz w:val="21"/>
                <w:szCs w:val="21"/>
                <w:u w:val="none"/>
                <w:vertAlign w:val="super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/d)</w:t>
            </w:r>
          </w:p>
        </w:tc>
        <w:tc>
          <w:tcPr>
            <w:tcW w:w="831" w:type="dxa"/>
            <w:noWrap w:val="0"/>
            <w:vAlign w:val="center"/>
          </w:tcPr>
          <w:p w14:paraId="5D619631">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治理效率(%)</w:t>
            </w:r>
          </w:p>
        </w:tc>
        <w:tc>
          <w:tcPr>
            <w:tcW w:w="864" w:type="dxa"/>
            <w:noWrap w:val="0"/>
            <w:vAlign w:val="center"/>
          </w:tcPr>
          <w:p w14:paraId="3A00D49F">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是否为可行技术</w:t>
            </w:r>
          </w:p>
        </w:tc>
        <w:tc>
          <w:tcPr>
            <w:tcW w:w="779" w:type="dxa"/>
            <w:noWrap w:val="0"/>
            <w:vAlign w:val="center"/>
          </w:tcPr>
          <w:p w14:paraId="6DC9D05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浓度</w:t>
            </w:r>
          </w:p>
          <w:p w14:paraId="0AB310F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mg/L</w:t>
            </w:r>
          </w:p>
        </w:tc>
        <w:tc>
          <w:tcPr>
            <w:tcW w:w="820" w:type="dxa"/>
            <w:noWrap w:val="0"/>
            <w:vAlign w:val="center"/>
          </w:tcPr>
          <w:p w14:paraId="237A2C0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排放量</w:t>
            </w:r>
          </w:p>
          <w:p w14:paraId="2CC4155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t/a</w:t>
            </w:r>
          </w:p>
        </w:tc>
        <w:tc>
          <w:tcPr>
            <w:tcW w:w="889" w:type="dxa"/>
            <w:vMerge w:val="continue"/>
            <w:noWrap w:val="0"/>
            <w:vAlign w:val="center"/>
          </w:tcPr>
          <w:p w14:paraId="47B24CDB">
            <w:pPr>
              <w:jc w:val="center"/>
              <w:rPr>
                <w:rFonts w:hint="default" w:ascii="Times New Roman" w:hAnsi="Times New Roman" w:eastAsia="宋体" w:cs="Times New Roman"/>
                <w:bCs/>
                <w:color w:val="auto"/>
                <w:sz w:val="21"/>
                <w:szCs w:val="21"/>
              </w:rPr>
            </w:pPr>
          </w:p>
        </w:tc>
        <w:tc>
          <w:tcPr>
            <w:tcW w:w="709" w:type="dxa"/>
            <w:vMerge w:val="continue"/>
            <w:noWrap w:val="0"/>
            <w:vAlign w:val="center"/>
          </w:tcPr>
          <w:p w14:paraId="587B5D29">
            <w:pPr>
              <w:jc w:val="center"/>
              <w:rPr>
                <w:rFonts w:hint="default" w:ascii="Times New Roman" w:hAnsi="Times New Roman" w:eastAsia="宋体" w:cs="Times New Roman"/>
                <w:bCs/>
                <w:color w:val="auto"/>
                <w:sz w:val="21"/>
                <w:szCs w:val="21"/>
              </w:rPr>
            </w:pPr>
          </w:p>
        </w:tc>
        <w:tc>
          <w:tcPr>
            <w:tcW w:w="709" w:type="dxa"/>
            <w:vMerge w:val="continue"/>
            <w:noWrap w:val="0"/>
            <w:vAlign w:val="center"/>
          </w:tcPr>
          <w:p w14:paraId="28DD0E4B">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p>
        </w:tc>
        <w:tc>
          <w:tcPr>
            <w:tcW w:w="461" w:type="dxa"/>
            <w:vMerge w:val="continue"/>
            <w:noWrap w:val="0"/>
            <w:vAlign w:val="center"/>
          </w:tcPr>
          <w:p w14:paraId="1797F34C">
            <w:pPr>
              <w:jc w:val="center"/>
              <w:rPr>
                <w:rFonts w:hint="default" w:ascii="Times New Roman" w:hAnsi="Times New Roman" w:eastAsia="宋体" w:cs="Times New Roman"/>
                <w:bCs/>
                <w:color w:val="auto"/>
                <w:sz w:val="21"/>
                <w:szCs w:val="21"/>
              </w:rPr>
            </w:pPr>
          </w:p>
        </w:tc>
        <w:tc>
          <w:tcPr>
            <w:tcW w:w="903" w:type="dxa"/>
            <w:vMerge w:val="continue"/>
            <w:noWrap w:val="0"/>
            <w:vAlign w:val="center"/>
          </w:tcPr>
          <w:p w14:paraId="1977A0BA">
            <w:pPr>
              <w:jc w:val="center"/>
              <w:rPr>
                <w:rFonts w:hint="default" w:ascii="Times New Roman" w:hAnsi="Times New Roman" w:eastAsia="宋体" w:cs="Times New Roman"/>
                <w:bCs/>
                <w:color w:val="auto"/>
                <w:sz w:val="21"/>
                <w:szCs w:val="21"/>
              </w:rPr>
            </w:pPr>
          </w:p>
        </w:tc>
        <w:tc>
          <w:tcPr>
            <w:tcW w:w="906" w:type="dxa"/>
            <w:noWrap w:val="0"/>
            <w:vAlign w:val="center"/>
          </w:tcPr>
          <w:p w14:paraId="41406FBC">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编号及名称</w:t>
            </w:r>
          </w:p>
        </w:tc>
        <w:tc>
          <w:tcPr>
            <w:tcW w:w="643" w:type="dxa"/>
            <w:noWrap w:val="0"/>
            <w:vAlign w:val="center"/>
          </w:tcPr>
          <w:p w14:paraId="150EF6D9">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排放口类型</w:t>
            </w:r>
          </w:p>
        </w:tc>
        <w:tc>
          <w:tcPr>
            <w:tcW w:w="827" w:type="dxa"/>
            <w:noWrap w:val="0"/>
            <w:vAlign w:val="center"/>
          </w:tcPr>
          <w:p w14:paraId="47B317E0">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地理坐标</w:t>
            </w:r>
          </w:p>
        </w:tc>
      </w:tr>
      <w:tr w14:paraId="3291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restart"/>
            <w:noWrap w:val="0"/>
            <w:vAlign w:val="center"/>
          </w:tcPr>
          <w:p w14:paraId="53D8C62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生活污水</w:t>
            </w:r>
          </w:p>
        </w:tc>
        <w:tc>
          <w:tcPr>
            <w:tcW w:w="1178" w:type="dxa"/>
            <w:vMerge w:val="restart"/>
            <w:noWrap w:val="0"/>
            <w:vAlign w:val="center"/>
          </w:tcPr>
          <w:p w14:paraId="65D89A5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325.763</w:t>
            </w:r>
          </w:p>
        </w:tc>
        <w:tc>
          <w:tcPr>
            <w:tcW w:w="870" w:type="dxa"/>
            <w:noWrap w:val="0"/>
            <w:vAlign w:val="center"/>
          </w:tcPr>
          <w:p w14:paraId="7F39E71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pH</w:t>
            </w:r>
          </w:p>
        </w:tc>
        <w:tc>
          <w:tcPr>
            <w:tcW w:w="695" w:type="dxa"/>
            <w:noWrap w:val="0"/>
            <w:vAlign w:val="center"/>
          </w:tcPr>
          <w:p w14:paraId="0270DFE5">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6~9</w:t>
            </w:r>
          </w:p>
        </w:tc>
        <w:tc>
          <w:tcPr>
            <w:tcW w:w="915" w:type="dxa"/>
            <w:noWrap w:val="0"/>
            <w:vAlign w:val="center"/>
          </w:tcPr>
          <w:p w14:paraId="477F4C4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vMerge w:val="restart"/>
            <w:noWrap w:val="0"/>
            <w:vAlign w:val="center"/>
          </w:tcPr>
          <w:p w14:paraId="14F4BEEC">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生化池</w:t>
            </w:r>
          </w:p>
        </w:tc>
        <w:tc>
          <w:tcPr>
            <w:tcW w:w="800" w:type="dxa"/>
            <w:vMerge w:val="restart"/>
            <w:noWrap w:val="0"/>
            <w:vAlign w:val="center"/>
          </w:tcPr>
          <w:p w14:paraId="16152FCB">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eastAsia" w:ascii="Times New Roman" w:hAnsi="Times New Roman" w:cs="Times New Roman"/>
                <w:i w:val="0"/>
                <w:iCs w:val="0"/>
                <w:color w:val="auto"/>
                <w:kern w:val="0"/>
                <w:sz w:val="21"/>
                <w:szCs w:val="21"/>
                <w:u w:val="none"/>
                <w:lang w:val="en-US" w:eastAsia="zh-CN" w:bidi="ar"/>
              </w:rPr>
              <w:t>3</w:t>
            </w:r>
          </w:p>
        </w:tc>
        <w:tc>
          <w:tcPr>
            <w:tcW w:w="831" w:type="dxa"/>
            <w:noWrap w:val="0"/>
            <w:vAlign w:val="center"/>
          </w:tcPr>
          <w:p w14:paraId="441F0140">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vMerge w:val="restart"/>
            <w:noWrap w:val="0"/>
            <w:vAlign w:val="center"/>
          </w:tcPr>
          <w:p w14:paraId="6ED755DB">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779" w:type="dxa"/>
            <w:noWrap w:val="0"/>
            <w:vAlign w:val="center"/>
          </w:tcPr>
          <w:p w14:paraId="6237DFB7">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6~9</w:t>
            </w:r>
          </w:p>
        </w:tc>
        <w:tc>
          <w:tcPr>
            <w:tcW w:w="820" w:type="dxa"/>
            <w:noWrap w:val="0"/>
            <w:vAlign w:val="center"/>
          </w:tcPr>
          <w:p w14:paraId="478B3598">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889" w:type="dxa"/>
            <w:vMerge w:val="restart"/>
            <w:noWrap w:val="0"/>
            <w:vAlign w:val="center"/>
          </w:tcPr>
          <w:p w14:paraId="15CAD4B4">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排入市政管网，进入鸡冠石污水处理厂</w:t>
            </w:r>
          </w:p>
        </w:tc>
        <w:tc>
          <w:tcPr>
            <w:tcW w:w="709" w:type="dxa"/>
            <w:noWrap w:val="0"/>
            <w:vAlign w:val="center"/>
          </w:tcPr>
          <w:p w14:paraId="2EDD46BF">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6~9</w:t>
            </w:r>
          </w:p>
        </w:tc>
        <w:tc>
          <w:tcPr>
            <w:tcW w:w="709" w:type="dxa"/>
            <w:noWrap w:val="0"/>
            <w:vAlign w:val="center"/>
          </w:tcPr>
          <w:p w14:paraId="722BACB1">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restart"/>
            <w:noWrap w:val="0"/>
            <w:vAlign w:val="center"/>
          </w:tcPr>
          <w:p w14:paraId="1BADDD6F">
            <w:pPr>
              <w:jc w:val="center"/>
              <w:rPr>
                <w:rFonts w:hint="default" w:ascii="Times New Roman" w:hAnsi="Times New Roman" w:eastAsia="宋体" w:cs="Times New Roman"/>
                <w:bCs/>
                <w:color w:val="auto"/>
                <w:sz w:val="21"/>
                <w:szCs w:val="21"/>
              </w:rPr>
            </w:pPr>
          </w:p>
        </w:tc>
        <w:tc>
          <w:tcPr>
            <w:tcW w:w="903" w:type="dxa"/>
            <w:vMerge w:val="restart"/>
            <w:noWrap w:val="0"/>
            <w:vAlign w:val="center"/>
          </w:tcPr>
          <w:p w14:paraId="1B7751C3">
            <w:pPr>
              <w:jc w:val="center"/>
              <w:rPr>
                <w:rFonts w:hint="default" w:ascii="Times New Roman" w:hAnsi="Times New Roman" w:eastAsia="宋体" w:cs="Times New Roman"/>
                <w:bCs/>
                <w:color w:val="auto"/>
                <w:sz w:val="21"/>
                <w:szCs w:val="21"/>
              </w:rPr>
            </w:pPr>
          </w:p>
        </w:tc>
        <w:tc>
          <w:tcPr>
            <w:tcW w:w="906" w:type="dxa"/>
            <w:vMerge w:val="restart"/>
            <w:noWrap w:val="0"/>
            <w:vAlign w:val="center"/>
          </w:tcPr>
          <w:p w14:paraId="42A3C2F7">
            <w:pPr>
              <w:jc w:val="center"/>
              <w:rPr>
                <w:rFonts w:hint="default" w:ascii="Times New Roman" w:hAnsi="Times New Roman" w:eastAsia="宋体" w:cs="Times New Roman"/>
                <w:bCs/>
                <w:color w:val="auto"/>
                <w:sz w:val="21"/>
                <w:szCs w:val="21"/>
              </w:rPr>
            </w:pPr>
          </w:p>
        </w:tc>
        <w:tc>
          <w:tcPr>
            <w:tcW w:w="643" w:type="dxa"/>
            <w:vMerge w:val="restart"/>
            <w:noWrap w:val="0"/>
            <w:vAlign w:val="center"/>
          </w:tcPr>
          <w:p w14:paraId="47C08C61">
            <w:pPr>
              <w:jc w:val="center"/>
              <w:rPr>
                <w:rFonts w:hint="default" w:ascii="Times New Roman" w:hAnsi="Times New Roman" w:eastAsia="宋体" w:cs="Times New Roman"/>
                <w:bCs/>
                <w:color w:val="auto"/>
                <w:sz w:val="21"/>
                <w:szCs w:val="21"/>
              </w:rPr>
            </w:pPr>
          </w:p>
        </w:tc>
        <w:tc>
          <w:tcPr>
            <w:tcW w:w="827" w:type="dxa"/>
            <w:vMerge w:val="restart"/>
            <w:noWrap w:val="0"/>
            <w:vAlign w:val="center"/>
          </w:tcPr>
          <w:p w14:paraId="294003F3">
            <w:pPr>
              <w:jc w:val="center"/>
              <w:rPr>
                <w:rFonts w:hint="default" w:ascii="Times New Roman" w:hAnsi="Times New Roman" w:eastAsia="宋体" w:cs="Times New Roman"/>
                <w:bCs/>
                <w:color w:val="auto"/>
                <w:sz w:val="21"/>
                <w:szCs w:val="21"/>
                <w:lang w:val="en-US"/>
              </w:rPr>
            </w:pPr>
          </w:p>
        </w:tc>
      </w:tr>
      <w:tr w14:paraId="7F8E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791375DC">
            <w:pPr>
              <w:jc w:val="center"/>
              <w:rPr>
                <w:rFonts w:hint="default" w:ascii="Times New Roman" w:hAnsi="Times New Roman" w:eastAsia="宋体" w:cs="Times New Roman"/>
                <w:color w:val="auto"/>
                <w:sz w:val="21"/>
                <w:szCs w:val="21"/>
              </w:rPr>
            </w:pPr>
          </w:p>
        </w:tc>
        <w:tc>
          <w:tcPr>
            <w:tcW w:w="1178" w:type="dxa"/>
            <w:vMerge w:val="continue"/>
            <w:noWrap w:val="0"/>
            <w:vAlign w:val="center"/>
          </w:tcPr>
          <w:p w14:paraId="3C13DCF4">
            <w:pPr>
              <w:jc w:val="center"/>
              <w:rPr>
                <w:rFonts w:hint="default" w:ascii="Times New Roman" w:hAnsi="Times New Roman" w:eastAsia="宋体" w:cs="Times New Roman"/>
                <w:color w:val="auto"/>
                <w:sz w:val="21"/>
                <w:szCs w:val="21"/>
              </w:rPr>
            </w:pPr>
          </w:p>
        </w:tc>
        <w:tc>
          <w:tcPr>
            <w:tcW w:w="870" w:type="dxa"/>
            <w:noWrap w:val="0"/>
            <w:vAlign w:val="center"/>
          </w:tcPr>
          <w:p w14:paraId="0A05D4D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COD</w:t>
            </w:r>
          </w:p>
        </w:tc>
        <w:tc>
          <w:tcPr>
            <w:tcW w:w="695" w:type="dxa"/>
            <w:noWrap w:val="0"/>
            <w:vAlign w:val="center"/>
          </w:tcPr>
          <w:p w14:paraId="5CAC434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915" w:type="dxa"/>
            <w:noWrap w:val="0"/>
            <w:vAlign w:val="center"/>
          </w:tcPr>
          <w:p w14:paraId="4A3884E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0.163</w:t>
            </w:r>
          </w:p>
        </w:tc>
        <w:tc>
          <w:tcPr>
            <w:tcW w:w="900" w:type="dxa"/>
            <w:vMerge w:val="continue"/>
            <w:noWrap w:val="0"/>
            <w:vAlign w:val="center"/>
          </w:tcPr>
          <w:p w14:paraId="4E86E096">
            <w:pPr>
              <w:jc w:val="center"/>
              <w:rPr>
                <w:rFonts w:hint="default" w:ascii="Times New Roman" w:hAnsi="Times New Roman" w:eastAsia="宋体" w:cs="Times New Roman"/>
                <w:bCs/>
                <w:color w:val="auto"/>
                <w:sz w:val="21"/>
                <w:szCs w:val="21"/>
              </w:rPr>
            </w:pPr>
          </w:p>
        </w:tc>
        <w:tc>
          <w:tcPr>
            <w:tcW w:w="800" w:type="dxa"/>
            <w:vMerge w:val="continue"/>
            <w:noWrap w:val="0"/>
            <w:vAlign w:val="center"/>
          </w:tcPr>
          <w:p w14:paraId="7E6ED91A">
            <w:pPr>
              <w:jc w:val="center"/>
              <w:rPr>
                <w:rFonts w:hint="default" w:ascii="Times New Roman" w:hAnsi="Times New Roman" w:eastAsia="宋体" w:cs="Times New Roman"/>
                <w:bCs/>
                <w:color w:val="auto"/>
                <w:sz w:val="21"/>
                <w:szCs w:val="21"/>
              </w:rPr>
            </w:pPr>
          </w:p>
        </w:tc>
        <w:tc>
          <w:tcPr>
            <w:tcW w:w="831" w:type="dxa"/>
            <w:noWrap w:val="0"/>
            <w:vAlign w:val="center"/>
          </w:tcPr>
          <w:p w14:paraId="7474EC11">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864" w:type="dxa"/>
            <w:vMerge w:val="continue"/>
            <w:noWrap w:val="0"/>
            <w:vAlign w:val="center"/>
          </w:tcPr>
          <w:p w14:paraId="1B28DC13">
            <w:pPr>
              <w:jc w:val="center"/>
              <w:rPr>
                <w:rFonts w:hint="default" w:ascii="Times New Roman" w:hAnsi="Times New Roman" w:eastAsia="宋体" w:cs="Times New Roman"/>
                <w:bCs/>
                <w:color w:val="auto"/>
                <w:sz w:val="21"/>
                <w:szCs w:val="21"/>
              </w:rPr>
            </w:pPr>
          </w:p>
        </w:tc>
        <w:tc>
          <w:tcPr>
            <w:tcW w:w="779" w:type="dxa"/>
            <w:noWrap w:val="0"/>
            <w:vAlign w:val="center"/>
          </w:tcPr>
          <w:p w14:paraId="79821D68">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250</w:t>
            </w:r>
          </w:p>
        </w:tc>
        <w:tc>
          <w:tcPr>
            <w:tcW w:w="820" w:type="dxa"/>
            <w:noWrap w:val="0"/>
            <w:vAlign w:val="center"/>
          </w:tcPr>
          <w:p w14:paraId="6DACC9CC">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0.081</w:t>
            </w:r>
          </w:p>
        </w:tc>
        <w:tc>
          <w:tcPr>
            <w:tcW w:w="889" w:type="dxa"/>
            <w:vMerge w:val="continue"/>
            <w:noWrap w:val="0"/>
            <w:vAlign w:val="center"/>
          </w:tcPr>
          <w:p w14:paraId="4AB8A25A">
            <w:pPr>
              <w:jc w:val="center"/>
              <w:rPr>
                <w:rFonts w:hint="default" w:ascii="Times New Roman" w:hAnsi="Times New Roman" w:eastAsia="宋体" w:cs="Times New Roman"/>
                <w:bCs/>
                <w:color w:val="auto"/>
                <w:sz w:val="21"/>
                <w:szCs w:val="21"/>
              </w:rPr>
            </w:pPr>
          </w:p>
        </w:tc>
        <w:tc>
          <w:tcPr>
            <w:tcW w:w="709" w:type="dxa"/>
            <w:noWrap w:val="0"/>
            <w:vAlign w:val="center"/>
          </w:tcPr>
          <w:p w14:paraId="62A2AD56">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709" w:type="dxa"/>
            <w:noWrap w:val="0"/>
            <w:vAlign w:val="center"/>
          </w:tcPr>
          <w:p w14:paraId="2BAC15C8">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09563ECA">
            <w:pPr>
              <w:jc w:val="center"/>
              <w:rPr>
                <w:rFonts w:hint="default" w:ascii="Times New Roman" w:hAnsi="Times New Roman" w:eastAsia="宋体" w:cs="Times New Roman"/>
                <w:bCs/>
                <w:color w:val="auto"/>
                <w:sz w:val="21"/>
                <w:szCs w:val="21"/>
                <w:highlight w:val="yellow"/>
              </w:rPr>
            </w:pPr>
          </w:p>
        </w:tc>
        <w:tc>
          <w:tcPr>
            <w:tcW w:w="903" w:type="dxa"/>
            <w:vMerge w:val="continue"/>
            <w:noWrap w:val="0"/>
            <w:vAlign w:val="center"/>
          </w:tcPr>
          <w:p w14:paraId="0FA4862F">
            <w:pPr>
              <w:jc w:val="center"/>
              <w:rPr>
                <w:rFonts w:hint="default" w:ascii="Times New Roman" w:hAnsi="Times New Roman" w:eastAsia="宋体" w:cs="Times New Roman"/>
                <w:bCs/>
                <w:color w:val="auto"/>
                <w:sz w:val="21"/>
                <w:szCs w:val="21"/>
                <w:highlight w:val="yellow"/>
              </w:rPr>
            </w:pPr>
          </w:p>
        </w:tc>
        <w:tc>
          <w:tcPr>
            <w:tcW w:w="906" w:type="dxa"/>
            <w:vMerge w:val="continue"/>
            <w:noWrap w:val="0"/>
            <w:vAlign w:val="center"/>
          </w:tcPr>
          <w:p w14:paraId="01859B8D">
            <w:pPr>
              <w:jc w:val="center"/>
              <w:rPr>
                <w:rFonts w:hint="default" w:ascii="Times New Roman" w:hAnsi="Times New Roman" w:eastAsia="宋体" w:cs="Times New Roman"/>
                <w:bCs/>
                <w:color w:val="auto"/>
                <w:sz w:val="21"/>
                <w:szCs w:val="21"/>
                <w:highlight w:val="yellow"/>
              </w:rPr>
            </w:pPr>
          </w:p>
        </w:tc>
        <w:tc>
          <w:tcPr>
            <w:tcW w:w="643" w:type="dxa"/>
            <w:vMerge w:val="continue"/>
            <w:noWrap w:val="0"/>
            <w:vAlign w:val="center"/>
          </w:tcPr>
          <w:p w14:paraId="26EAC9C8">
            <w:pPr>
              <w:jc w:val="center"/>
              <w:rPr>
                <w:rFonts w:hint="default" w:ascii="Times New Roman" w:hAnsi="Times New Roman" w:eastAsia="宋体" w:cs="Times New Roman"/>
                <w:bCs/>
                <w:color w:val="auto"/>
                <w:sz w:val="21"/>
                <w:szCs w:val="21"/>
                <w:highlight w:val="yellow"/>
              </w:rPr>
            </w:pPr>
          </w:p>
        </w:tc>
        <w:tc>
          <w:tcPr>
            <w:tcW w:w="827" w:type="dxa"/>
            <w:vMerge w:val="continue"/>
            <w:noWrap w:val="0"/>
            <w:vAlign w:val="center"/>
          </w:tcPr>
          <w:p w14:paraId="12133523">
            <w:pPr>
              <w:jc w:val="center"/>
              <w:rPr>
                <w:rFonts w:hint="default" w:ascii="Times New Roman" w:hAnsi="Times New Roman" w:eastAsia="宋体" w:cs="Times New Roman"/>
                <w:bCs/>
                <w:color w:val="auto"/>
                <w:sz w:val="21"/>
                <w:szCs w:val="21"/>
                <w:highlight w:val="yellow"/>
              </w:rPr>
            </w:pPr>
          </w:p>
        </w:tc>
      </w:tr>
      <w:tr w14:paraId="7E06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34E5D8D1">
            <w:pPr>
              <w:jc w:val="center"/>
              <w:rPr>
                <w:rFonts w:hint="default" w:ascii="Times New Roman" w:hAnsi="Times New Roman" w:eastAsia="宋体" w:cs="Times New Roman"/>
                <w:color w:val="auto"/>
                <w:sz w:val="21"/>
                <w:szCs w:val="21"/>
              </w:rPr>
            </w:pPr>
          </w:p>
        </w:tc>
        <w:tc>
          <w:tcPr>
            <w:tcW w:w="1178" w:type="dxa"/>
            <w:vMerge w:val="continue"/>
            <w:noWrap w:val="0"/>
            <w:vAlign w:val="center"/>
          </w:tcPr>
          <w:p w14:paraId="70092517">
            <w:pPr>
              <w:jc w:val="center"/>
              <w:rPr>
                <w:rFonts w:hint="default" w:ascii="Times New Roman" w:hAnsi="Times New Roman" w:eastAsia="宋体" w:cs="Times New Roman"/>
                <w:color w:val="auto"/>
                <w:sz w:val="21"/>
                <w:szCs w:val="21"/>
              </w:rPr>
            </w:pPr>
          </w:p>
        </w:tc>
        <w:tc>
          <w:tcPr>
            <w:tcW w:w="870" w:type="dxa"/>
            <w:noWrap w:val="0"/>
            <w:vAlign w:val="center"/>
          </w:tcPr>
          <w:p w14:paraId="457900FB">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BOD</w:t>
            </w:r>
            <w:r>
              <w:rPr>
                <w:rFonts w:hint="default" w:ascii="Times New Roman" w:hAnsi="Times New Roman" w:eastAsia="宋体" w:cs="Times New Roman"/>
                <w:i w:val="0"/>
                <w:iCs w:val="0"/>
                <w:color w:val="auto"/>
                <w:kern w:val="0"/>
                <w:sz w:val="21"/>
                <w:szCs w:val="21"/>
                <w:u w:val="none"/>
                <w:vertAlign w:val="subscript"/>
                <w:lang w:val="en-US" w:eastAsia="zh-CN" w:bidi="ar"/>
              </w:rPr>
              <w:t>5</w:t>
            </w:r>
          </w:p>
        </w:tc>
        <w:tc>
          <w:tcPr>
            <w:tcW w:w="695" w:type="dxa"/>
            <w:noWrap w:val="0"/>
            <w:vAlign w:val="center"/>
          </w:tcPr>
          <w:p w14:paraId="5983536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915" w:type="dxa"/>
            <w:noWrap w:val="0"/>
            <w:vAlign w:val="center"/>
          </w:tcPr>
          <w:p w14:paraId="337616E8">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0.098</w:t>
            </w:r>
          </w:p>
        </w:tc>
        <w:tc>
          <w:tcPr>
            <w:tcW w:w="900" w:type="dxa"/>
            <w:vMerge w:val="continue"/>
            <w:noWrap w:val="0"/>
            <w:vAlign w:val="center"/>
          </w:tcPr>
          <w:p w14:paraId="0E1E526D">
            <w:pPr>
              <w:jc w:val="center"/>
              <w:rPr>
                <w:rFonts w:hint="default" w:ascii="Times New Roman" w:hAnsi="Times New Roman" w:eastAsia="宋体" w:cs="Times New Roman"/>
                <w:bCs/>
                <w:color w:val="auto"/>
                <w:sz w:val="21"/>
                <w:szCs w:val="21"/>
              </w:rPr>
            </w:pPr>
          </w:p>
        </w:tc>
        <w:tc>
          <w:tcPr>
            <w:tcW w:w="800" w:type="dxa"/>
            <w:vMerge w:val="continue"/>
            <w:noWrap w:val="0"/>
            <w:vAlign w:val="center"/>
          </w:tcPr>
          <w:p w14:paraId="7E0C5FB2">
            <w:pPr>
              <w:jc w:val="center"/>
              <w:rPr>
                <w:rFonts w:hint="default" w:ascii="Times New Roman" w:hAnsi="Times New Roman" w:eastAsia="宋体" w:cs="Times New Roman"/>
                <w:bCs/>
                <w:color w:val="auto"/>
                <w:sz w:val="21"/>
                <w:szCs w:val="21"/>
              </w:rPr>
            </w:pPr>
          </w:p>
        </w:tc>
        <w:tc>
          <w:tcPr>
            <w:tcW w:w="831" w:type="dxa"/>
            <w:noWrap w:val="0"/>
            <w:vAlign w:val="center"/>
          </w:tcPr>
          <w:p w14:paraId="282EF28A">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80</w:t>
            </w:r>
          </w:p>
        </w:tc>
        <w:tc>
          <w:tcPr>
            <w:tcW w:w="864" w:type="dxa"/>
            <w:vMerge w:val="continue"/>
            <w:noWrap w:val="0"/>
            <w:vAlign w:val="center"/>
          </w:tcPr>
          <w:p w14:paraId="1FF566D8">
            <w:pPr>
              <w:jc w:val="center"/>
              <w:rPr>
                <w:rFonts w:hint="default" w:ascii="Times New Roman" w:hAnsi="Times New Roman" w:eastAsia="宋体" w:cs="Times New Roman"/>
                <w:bCs/>
                <w:color w:val="auto"/>
                <w:sz w:val="21"/>
                <w:szCs w:val="21"/>
              </w:rPr>
            </w:pPr>
          </w:p>
        </w:tc>
        <w:tc>
          <w:tcPr>
            <w:tcW w:w="779" w:type="dxa"/>
            <w:noWrap w:val="0"/>
            <w:vAlign w:val="center"/>
          </w:tcPr>
          <w:p w14:paraId="1158F965">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60</w:t>
            </w:r>
          </w:p>
        </w:tc>
        <w:tc>
          <w:tcPr>
            <w:tcW w:w="820" w:type="dxa"/>
            <w:noWrap w:val="0"/>
            <w:vAlign w:val="center"/>
          </w:tcPr>
          <w:p w14:paraId="75804AA8">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0.020</w:t>
            </w:r>
          </w:p>
        </w:tc>
        <w:tc>
          <w:tcPr>
            <w:tcW w:w="889" w:type="dxa"/>
            <w:vMerge w:val="continue"/>
            <w:noWrap w:val="0"/>
            <w:vAlign w:val="center"/>
          </w:tcPr>
          <w:p w14:paraId="01C2E8C3">
            <w:pPr>
              <w:jc w:val="center"/>
              <w:rPr>
                <w:rFonts w:hint="default" w:ascii="Times New Roman" w:hAnsi="Times New Roman" w:eastAsia="宋体" w:cs="Times New Roman"/>
                <w:bCs/>
                <w:color w:val="auto"/>
                <w:sz w:val="21"/>
                <w:szCs w:val="21"/>
              </w:rPr>
            </w:pPr>
          </w:p>
        </w:tc>
        <w:tc>
          <w:tcPr>
            <w:tcW w:w="709" w:type="dxa"/>
            <w:noWrap w:val="0"/>
            <w:vAlign w:val="center"/>
          </w:tcPr>
          <w:p w14:paraId="7004CE77">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09" w:type="dxa"/>
            <w:noWrap w:val="0"/>
            <w:vAlign w:val="center"/>
          </w:tcPr>
          <w:p w14:paraId="11E80EAB">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54D5BDF9">
            <w:pPr>
              <w:jc w:val="center"/>
              <w:rPr>
                <w:rFonts w:hint="default" w:ascii="Times New Roman" w:hAnsi="Times New Roman" w:eastAsia="宋体" w:cs="Times New Roman"/>
                <w:bCs/>
                <w:color w:val="auto"/>
                <w:sz w:val="21"/>
                <w:szCs w:val="21"/>
                <w:highlight w:val="yellow"/>
              </w:rPr>
            </w:pPr>
          </w:p>
        </w:tc>
        <w:tc>
          <w:tcPr>
            <w:tcW w:w="903" w:type="dxa"/>
            <w:vMerge w:val="continue"/>
            <w:noWrap w:val="0"/>
            <w:vAlign w:val="center"/>
          </w:tcPr>
          <w:p w14:paraId="4B120B04">
            <w:pPr>
              <w:jc w:val="center"/>
              <w:rPr>
                <w:rFonts w:hint="default" w:ascii="Times New Roman" w:hAnsi="Times New Roman" w:eastAsia="宋体" w:cs="Times New Roman"/>
                <w:bCs/>
                <w:color w:val="auto"/>
                <w:sz w:val="21"/>
                <w:szCs w:val="21"/>
                <w:highlight w:val="yellow"/>
              </w:rPr>
            </w:pPr>
          </w:p>
        </w:tc>
        <w:tc>
          <w:tcPr>
            <w:tcW w:w="906" w:type="dxa"/>
            <w:vMerge w:val="continue"/>
            <w:noWrap w:val="0"/>
            <w:vAlign w:val="center"/>
          </w:tcPr>
          <w:p w14:paraId="662730A9">
            <w:pPr>
              <w:jc w:val="center"/>
              <w:rPr>
                <w:rFonts w:hint="default" w:ascii="Times New Roman" w:hAnsi="Times New Roman" w:eastAsia="宋体" w:cs="Times New Roman"/>
                <w:bCs/>
                <w:color w:val="auto"/>
                <w:sz w:val="21"/>
                <w:szCs w:val="21"/>
                <w:highlight w:val="yellow"/>
              </w:rPr>
            </w:pPr>
          </w:p>
        </w:tc>
        <w:tc>
          <w:tcPr>
            <w:tcW w:w="643" w:type="dxa"/>
            <w:vMerge w:val="continue"/>
            <w:noWrap w:val="0"/>
            <w:vAlign w:val="center"/>
          </w:tcPr>
          <w:p w14:paraId="6126CC89">
            <w:pPr>
              <w:jc w:val="center"/>
              <w:rPr>
                <w:rFonts w:hint="default" w:ascii="Times New Roman" w:hAnsi="Times New Roman" w:eastAsia="宋体" w:cs="Times New Roman"/>
                <w:bCs/>
                <w:color w:val="auto"/>
                <w:sz w:val="21"/>
                <w:szCs w:val="21"/>
                <w:highlight w:val="yellow"/>
              </w:rPr>
            </w:pPr>
          </w:p>
        </w:tc>
        <w:tc>
          <w:tcPr>
            <w:tcW w:w="827" w:type="dxa"/>
            <w:vMerge w:val="continue"/>
            <w:noWrap w:val="0"/>
            <w:vAlign w:val="center"/>
          </w:tcPr>
          <w:p w14:paraId="7C772FB1">
            <w:pPr>
              <w:jc w:val="center"/>
              <w:rPr>
                <w:rFonts w:hint="default" w:ascii="Times New Roman" w:hAnsi="Times New Roman" w:eastAsia="宋体" w:cs="Times New Roman"/>
                <w:bCs/>
                <w:color w:val="auto"/>
                <w:sz w:val="21"/>
                <w:szCs w:val="21"/>
                <w:highlight w:val="yellow"/>
              </w:rPr>
            </w:pPr>
          </w:p>
        </w:tc>
      </w:tr>
      <w:tr w14:paraId="6987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66A6B3E9">
            <w:pPr>
              <w:jc w:val="center"/>
              <w:rPr>
                <w:rFonts w:hint="default" w:ascii="Times New Roman" w:hAnsi="Times New Roman" w:eastAsia="宋体" w:cs="Times New Roman"/>
                <w:color w:val="auto"/>
                <w:sz w:val="21"/>
                <w:szCs w:val="21"/>
              </w:rPr>
            </w:pPr>
          </w:p>
        </w:tc>
        <w:tc>
          <w:tcPr>
            <w:tcW w:w="1178" w:type="dxa"/>
            <w:vMerge w:val="continue"/>
            <w:noWrap w:val="0"/>
            <w:vAlign w:val="center"/>
          </w:tcPr>
          <w:p w14:paraId="0DC87ACB">
            <w:pPr>
              <w:jc w:val="center"/>
              <w:rPr>
                <w:rFonts w:hint="default" w:ascii="Times New Roman" w:hAnsi="Times New Roman" w:eastAsia="宋体" w:cs="Times New Roman"/>
                <w:color w:val="auto"/>
                <w:sz w:val="21"/>
                <w:szCs w:val="21"/>
              </w:rPr>
            </w:pPr>
          </w:p>
        </w:tc>
        <w:tc>
          <w:tcPr>
            <w:tcW w:w="870" w:type="dxa"/>
            <w:noWrap w:val="0"/>
            <w:vAlign w:val="center"/>
          </w:tcPr>
          <w:p w14:paraId="02685DE4">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SS</w:t>
            </w:r>
          </w:p>
        </w:tc>
        <w:tc>
          <w:tcPr>
            <w:tcW w:w="695" w:type="dxa"/>
            <w:noWrap w:val="0"/>
            <w:vAlign w:val="center"/>
          </w:tcPr>
          <w:p w14:paraId="0F6947D8">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350</w:t>
            </w:r>
          </w:p>
        </w:tc>
        <w:tc>
          <w:tcPr>
            <w:tcW w:w="915" w:type="dxa"/>
            <w:noWrap w:val="0"/>
            <w:vAlign w:val="center"/>
          </w:tcPr>
          <w:p w14:paraId="2A630BA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0.114</w:t>
            </w:r>
          </w:p>
        </w:tc>
        <w:tc>
          <w:tcPr>
            <w:tcW w:w="900" w:type="dxa"/>
            <w:vMerge w:val="continue"/>
            <w:noWrap w:val="0"/>
            <w:vAlign w:val="center"/>
          </w:tcPr>
          <w:p w14:paraId="43480C87">
            <w:pPr>
              <w:jc w:val="center"/>
              <w:rPr>
                <w:rFonts w:hint="default" w:ascii="Times New Roman" w:hAnsi="Times New Roman" w:eastAsia="宋体" w:cs="Times New Roman"/>
                <w:bCs/>
                <w:color w:val="auto"/>
                <w:sz w:val="21"/>
                <w:szCs w:val="21"/>
              </w:rPr>
            </w:pPr>
          </w:p>
        </w:tc>
        <w:tc>
          <w:tcPr>
            <w:tcW w:w="800" w:type="dxa"/>
            <w:vMerge w:val="continue"/>
            <w:noWrap w:val="0"/>
            <w:vAlign w:val="center"/>
          </w:tcPr>
          <w:p w14:paraId="25D182AF">
            <w:pPr>
              <w:jc w:val="center"/>
              <w:rPr>
                <w:rFonts w:hint="default" w:ascii="Times New Roman" w:hAnsi="Times New Roman" w:eastAsia="宋体" w:cs="Times New Roman"/>
                <w:bCs/>
                <w:color w:val="auto"/>
                <w:sz w:val="21"/>
                <w:szCs w:val="21"/>
              </w:rPr>
            </w:pPr>
          </w:p>
        </w:tc>
        <w:tc>
          <w:tcPr>
            <w:tcW w:w="831" w:type="dxa"/>
            <w:noWrap w:val="0"/>
            <w:vAlign w:val="center"/>
          </w:tcPr>
          <w:p w14:paraId="0370777A">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45</w:t>
            </w:r>
          </w:p>
        </w:tc>
        <w:tc>
          <w:tcPr>
            <w:tcW w:w="864" w:type="dxa"/>
            <w:vMerge w:val="continue"/>
            <w:noWrap w:val="0"/>
            <w:vAlign w:val="center"/>
          </w:tcPr>
          <w:p w14:paraId="362EF19E">
            <w:pPr>
              <w:jc w:val="center"/>
              <w:rPr>
                <w:rFonts w:hint="default" w:ascii="Times New Roman" w:hAnsi="Times New Roman" w:eastAsia="宋体" w:cs="Times New Roman"/>
                <w:bCs/>
                <w:color w:val="auto"/>
                <w:sz w:val="21"/>
                <w:szCs w:val="21"/>
              </w:rPr>
            </w:pPr>
          </w:p>
        </w:tc>
        <w:tc>
          <w:tcPr>
            <w:tcW w:w="779" w:type="dxa"/>
            <w:noWrap w:val="0"/>
            <w:vAlign w:val="center"/>
          </w:tcPr>
          <w:p w14:paraId="5D4E2414">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20" w:type="dxa"/>
            <w:noWrap w:val="0"/>
            <w:vAlign w:val="center"/>
          </w:tcPr>
          <w:p w14:paraId="294F5E29">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0.065</w:t>
            </w:r>
          </w:p>
        </w:tc>
        <w:tc>
          <w:tcPr>
            <w:tcW w:w="889" w:type="dxa"/>
            <w:vMerge w:val="continue"/>
            <w:noWrap w:val="0"/>
            <w:vAlign w:val="center"/>
          </w:tcPr>
          <w:p w14:paraId="65954CCB">
            <w:pPr>
              <w:jc w:val="center"/>
              <w:rPr>
                <w:rFonts w:hint="default" w:ascii="Times New Roman" w:hAnsi="Times New Roman" w:eastAsia="宋体" w:cs="Times New Roman"/>
                <w:bCs/>
                <w:color w:val="auto"/>
                <w:sz w:val="21"/>
                <w:szCs w:val="21"/>
              </w:rPr>
            </w:pPr>
          </w:p>
        </w:tc>
        <w:tc>
          <w:tcPr>
            <w:tcW w:w="709" w:type="dxa"/>
            <w:noWrap w:val="0"/>
            <w:vAlign w:val="center"/>
          </w:tcPr>
          <w:p w14:paraId="4DBC9AAE">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709" w:type="dxa"/>
            <w:noWrap w:val="0"/>
            <w:vAlign w:val="center"/>
          </w:tcPr>
          <w:p w14:paraId="31FBA300">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317DBB6C">
            <w:pPr>
              <w:jc w:val="center"/>
              <w:rPr>
                <w:rFonts w:hint="default" w:ascii="Times New Roman" w:hAnsi="Times New Roman" w:eastAsia="宋体" w:cs="Times New Roman"/>
                <w:bCs/>
                <w:color w:val="auto"/>
                <w:sz w:val="21"/>
                <w:szCs w:val="21"/>
                <w:highlight w:val="yellow"/>
              </w:rPr>
            </w:pPr>
          </w:p>
        </w:tc>
        <w:tc>
          <w:tcPr>
            <w:tcW w:w="903" w:type="dxa"/>
            <w:vMerge w:val="continue"/>
            <w:noWrap w:val="0"/>
            <w:vAlign w:val="center"/>
          </w:tcPr>
          <w:p w14:paraId="2071CDF8">
            <w:pPr>
              <w:jc w:val="center"/>
              <w:rPr>
                <w:rFonts w:hint="default" w:ascii="Times New Roman" w:hAnsi="Times New Roman" w:eastAsia="宋体" w:cs="Times New Roman"/>
                <w:bCs/>
                <w:color w:val="auto"/>
                <w:sz w:val="21"/>
                <w:szCs w:val="21"/>
                <w:highlight w:val="yellow"/>
              </w:rPr>
            </w:pPr>
          </w:p>
        </w:tc>
        <w:tc>
          <w:tcPr>
            <w:tcW w:w="906" w:type="dxa"/>
            <w:vMerge w:val="continue"/>
            <w:noWrap w:val="0"/>
            <w:vAlign w:val="center"/>
          </w:tcPr>
          <w:p w14:paraId="61C6A79C">
            <w:pPr>
              <w:jc w:val="center"/>
              <w:rPr>
                <w:rFonts w:hint="default" w:ascii="Times New Roman" w:hAnsi="Times New Roman" w:eastAsia="宋体" w:cs="Times New Roman"/>
                <w:bCs/>
                <w:color w:val="auto"/>
                <w:sz w:val="21"/>
                <w:szCs w:val="21"/>
                <w:highlight w:val="yellow"/>
              </w:rPr>
            </w:pPr>
          </w:p>
        </w:tc>
        <w:tc>
          <w:tcPr>
            <w:tcW w:w="643" w:type="dxa"/>
            <w:vMerge w:val="continue"/>
            <w:noWrap w:val="0"/>
            <w:vAlign w:val="center"/>
          </w:tcPr>
          <w:p w14:paraId="4E7F8D5E">
            <w:pPr>
              <w:jc w:val="center"/>
              <w:rPr>
                <w:rFonts w:hint="default" w:ascii="Times New Roman" w:hAnsi="Times New Roman" w:eastAsia="宋体" w:cs="Times New Roman"/>
                <w:bCs/>
                <w:color w:val="auto"/>
                <w:sz w:val="21"/>
                <w:szCs w:val="21"/>
                <w:highlight w:val="yellow"/>
              </w:rPr>
            </w:pPr>
          </w:p>
        </w:tc>
        <w:tc>
          <w:tcPr>
            <w:tcW w:w="827" w:type="dxa"/>
            <w:vMerge w:val="continue"/>
            <w:noWrap w:val="0"/>
            <w:vAlign w:val="center"/>
          </w:tcPr>
          <w:p w14:paraId="56238049">
            <w:pPr>
              <w:jc w:val="center"/>
              <w:rPr>
                <w:rFonts w:hint="default" w:ascii="Times New Roman" w:hAnsi="Times New Roman" w:eastAsia="宋体" w:cs="Times New Roman"/>
                <w:bCs/>
                <w:color w:val="auto"/>
                <w:sz w:val="21"/>
                <w:szCs w:val="21"/>
                <w:highlight w:val="yellow"/>
              </w:rPr>
            </w:pPr>
          </w:p>
        </w:tc>
      </w:tr>
      <w:tr w14:paraId="0159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70DA39EA">
            <w:pPr>
              <w:jc w:val="center"/>
              <w:rPr>
                <w:rFonts w:hint="default" w:ascii="Times New Roman" w:hAnsi="Times New Roman" w:eastAsia="宋体" w:cs="Times New Roman"/>
                <w:color w:val="auto"/>
                <w:sz w:val="21"/>
                <w:szCs w:val="21"/>
              </w:rPr>
            </w:pPr>
          </w:p>
        </w:tc>
        <w:tc>
          <w:tcPr>
            <w:tcW w:w="1178" w:type="dxa"/>
            <w:vMerge w:val="continue"/>
            <w:noWrap w:val="0"/>
            <w:vAlign w:val="center"/>
          </w:tcPr>
          <w:p w14:paraId="03B00280">
            <w:pPr>
              <w:jc w:val="center"/>
              <w:rPr>
                <w:rFonts w:hint="default" w:ascii="Times New Roman" w:hAnsi="Times New Roman" w:eastAsia="宋体" w:cs="Times New Roman"/>
                <w:color w:val="auto"/>
                <w:sz w:val="21"/>
                <w:szCs w:val="21"/>
              </w:rPr>
            </w:pPr>
          </w:p>
        </w:tc>
        <w:tc>
          <w:tcPr>
            <w:tcW w:w="870" w:type="dxa"/>
            <w:noWrap w:val="0"/>
            <w:vAlign w:val="center"/>
          </w:tcPr>
          <w:p w14:paraId="4DAF130F">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NH</w:t>
            </w:r>
            <w:r>
              <w:rPr>
                <w:rFonts w:hint="default" w:ascii="Times New Roman" w:hAnsi="Times New Roman" w:eastAsia="宋体" w:cs="Times New Roman"/>
                <w:i w:val="0"/>
                <w:iCs w:val="0"/>
                <w:color w:val="auto"/>
                <w:kern w:val="0"/>
                <w:sz w:val="21"/>
                <w:szCs w:val="21"/>
                <w:u w:val="none"/>
                <w:vertAlign w:val="sub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-N</w:t>
            </w:r>
          </w:p>
        </w:tc>
        <w:tc>
          <w:tcPr>
            <w:tcW w:w="695" w:type="dxa"/>
            <w:noWrap w:val="0"/>
            <w:vAlign w:val="center"/>
          </w:tcPr>
          <w:p w14:paraId="56703EC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915" w:type="dxa"/>
            <w:noWrap w:val="0"/>
            <w:vAlign w:val="center"/>
          </w:tcPr>
          <w:p w14:paraId="5F6A0D5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0.016</w:t>
            </w:r>
          </w:p>
        </w:tc>
        <w:tc>
          <w:tcPr>
            <w:tcW w:w="900" w:type="dxa"/>
            <w:vMerge w:val="continue"/>
            <w:noWrap w:val="0"/>
            <w:vAlign w:val="center"/>
          </w:tcPr>
          <w:p w14:paraId="176D23BE">
            <w:pPr>
              <w:jc w:val="center"/>
              <w:rPr>
                <w:rFonts w:hint="default" w:ascii="Times New Roman" w:hAnsi="Times New Roman" w:eastAsia="宋体" w:cs="Times New Roman"/>
                <w:bCs/>
                <w:color w:val="auto"/>
                <w:sz w:val="21"/>
                <w:szCs w:val="21"/>
              </w:rPr>
            </w:pPr>
          </w:p>
        </w:tc>
        <w:tc>
          <w:tcPr>
            <w:tcW w:w="800" w:type="dxa"/>
            <w:vMerge w:val="continue"/>
            <w:noWrap w:val="0"/>
            <w:vAlign w:val="center"/>
          </w:tcPr>
          <w:p w14:paraId="2F1C5E51">
            <w:pPr>
              <w:jc w:val="center"/>
              <w:rPr>
                <w:rFonts w:hint="default" w:ascii="Times New Roman" w:hAnsi="Times New Roman" w:eastAsia="宋体" w:cs="Times New Roman"/>
                <w:bCs/>
                <w:color w:val="auto"/>
                <w:sz w:val="21"/>
                <w:szCs w:val="21"/>
              </w:rPr>
            </w:pPr>
          </w:p>
        </w:tc>
        <w:tc>
          <w:tcPr>
            <w:tcW w:w="831" w:type="dxa"/>
            <w:noWrap w:val="0"/>
            <w:vAlign w:val="center"/>
          </w:tcPr>
          <w:p w14:paraId="051AEF71">
            <w:pPr>
              <w:keepNext w:val="0"/>
              <w:keepLines w:val="0"/>
              <w:widowControl/>
              <w:suppressLineNumbers w:val="0"/>
              <w:jc w:val="center"/>
              <w:textAlignment w:val="center"/>
              <w:rPr>
                <w:rFonts w:hint="default" w:ascii="Times New Roman" w:hAnsi="Times New Roman" w:eastAsia="宋体" w:cs="Times New Roman"/>
                <w:bCs/>
                <w:color w:val="auto"/>
                <w:sz w:val="21"/>
                <w:szCs w:val="21"/>
                <w:lang w:val="en-US"/>
              </w:rPr>
            </w:pPr>
            <w:r>
              <w:rPr>
                <w:rFonts w:hint="default" w:ascii="Times New Roman" w:hAnsi="Times New Roman" w:cs="Times New Roman"/>
                <w:i w:val="0"/>
                <w:iCs w:val="0"/>
                <w:color w:val="auto"/>
                <w:kern w:val="0"/>
                <w:sz w:val="21"/>
                <w:szCs w:val="21"/>
                <w:u w:val="none"/>
                <w:lang w:val="en-US" w:eastAsia="zh-CN" w:bidi="ar"/>
              </w:rPr>
              <w:t>20</w:t>
            </w:r>
          </w:p>
        </w:tc>
        <w:tc>
          <w:tcPr>
            <w:tcW w:w="864" w:type="dxa"/>
            <w:vMerge w:val="continue"/>
            <w:noWrap w:val="0"/>
            <w:vAlign w:val="center"/>
          </w:tcPr>
          <w:p w14:paraId="04405A1E">
            <w:pPr>
              <w:jc w:val="center"/>
              <w:rPr>
                <w:rFonts w:hint="default" w:ascii="Times New Roman" w:hAnsi="Times New Roman" w:eastAsia="宋体" w:cs="Times New Roman"/>
                <w:bCs/>
                <w:color w:val="auto"/>
                <w:sz w:val="21"/>
                <w:szCs w:val="21"/>
              </w:rPr>
            </w:pPr>
          </w:p>
        </w:tc>
        <w:tc>
          <w:tcPr>
            <w:tcW w:w="779" w:type="dxa"/>
            <w:noWrap w:val="0"/>
            <w:vAlign w:val="center"/>
          </w:tcPr>
          <w:p w14:paraId="5972C917">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45</w:t>
            </w:r>
          </w:p>
        </w:tc>
        <w:tc>
          <w:tcPr>
            <w:tcW w:w="820" w:type="dxa"/>
            <w:noWrap w:val="0"/>
            <w:vAlign w:val="center"/>
          </w:tcPr>
          <w:p w14:paraId="1943791B">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0.015</w:t>
            </w:r>
          </w:p>
        </w:tc>
        <w:tc>
          <w:tcPr>
            <w:tcW w:w="889" w:type="dxa"/>
            <w:vMerge w:val="continue"/>
            <w:noWrap w:val="0"/>
            <w:vAlign w:val="center"/>
          </w:tcPr>
          <w:p w14:paraId="108C6BB2">
            <w:pPr>
              <w:jc w:val="center"/>
              <w:rPr>
                <w:rFonts w:hint="default" w:ascii="Times New Roman" w:hAnsi="Times New Roman" w:eastAsia="宋体" w:cs="Times New Roman"/>
                <w:bCs/>
                <w:color w:val="auto"/>
                <w:sz w:val="21"/>
                <w:szCs w:val="21"/>
              </w:rPr>
            </w:pPr>
          </w:p>
        </w:tc>
        <w:tc>
          <w:tcPr>
            <w:tcW w:w="709" w:type="dxa"/>
            <w:noWrap w:val="0"/>
            <w:vAlign w:val="center"/>
          </w:tcPr>
          <w:p w14:paraId="12F0726A">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45</w:t>
            </w:r>
          </w:p>
        </w:tc>
        <w:tc>
          <w:tcPr>
            <w:tcW w:w="709" w:type="dxa"/>
            <w:noWrap w:val="0"/>
            <w:vAlign w:val="center"/>
          </w:tcPr>
          <w:p w14:paraId="7F3CEF7A">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320873DC">
            <w:pPr>
              <w:jc w:val="center"/>
              <w:rPr>
                <w:rFonts w:hint="default" w:ascii="Times New Roman" w:hAnsi="Times New Roman" w:eastAsia="宋体" w:cs="Times New Roman"/>
                <w:bCs/>
                <w:color w:val="auto"/>
                <w:sz w:val="21"/>
                <w:szCs w:val="21"/>
              </w:rPr>
            </w:pPr>
          </w:p>
        </w:tc>
        <w:tc>
          <w:tcPr>
            <w:tcW w:w="903" w:type="dxa"/>
            <w:vMerge w:val="continue"/>
            <w:noWrap w:val="0"/>
            <w:vAlign w:val="center"/>
          </w:tcPr>
          <w:p w14:paraId="7CA27642">
            <w:pPr>
              <w:jc w:val="center"/>
              <w:rPr>
                <w:rFonts w:hint="default" w:ascii="Times New Roman" w:hAnsi="Times New Roman" w:eastAsia="宋体" w:cs="Times New Roman"/>
                <w:bCs/>
                <w:color w:val="auto"/>
                <w:sz w:val="21"/>
                <w:szCs w:val="21"/>
              </w:rPr>
            </w:pPr>
          </w:p>
        </w:tc>
        <w:tc>
          <w:tcPr>
            <w:tcW w:w="906" w:type="dxa"/>
            <w:vMerge w:val="continue"/>
            <w:noWrap w:val="0"/>
            <w:vAlign w:val="center"/>
          </w:tcPr>
          <w:p w14:paraId="35565969">
            <w:pPr>
              <w:jc w:val="center"/>
              <w:rPr>
                <w:rFonts w:hint="default" w:ascii="Times New Roman" w:hAnsi="Times New Roman" w:eastAsia="宋体" w:cs="Times New Roman"/>
                <w:bCs/>
                <w:color w:val="auto"/>
                <w:sz w:val="21"/>
                <w:szCs w:val="21"/>
              </w:rPr>
            </w:pPr>
          </w:p>
        </w:tc>
        <w:tc>
          <w:tcPr>
            <w:tcW w:w="643" w:type="dxa"/>
            <w:vMerge w:val="continue"/>
            <w:noWrap w:val="0"/>
            <w:vAlign w:val="center"/>
          </w:tcPr>
          <w:p w14:paraId="428FB90B">
            <w:pPr>
              <w:jc w:val="center"/>
              <w:rPr>
                <w:rFonts w:hint="default" w:ascii="Times New Roman" w:hAnsi="Times New Roman" w:eastAsia="宋体" w:cs="Times New Roman"/>
                <w:bCs/>
                <w:color w:val="auto"/>
                <w:sz w:val="21"/>
                <w:szCs w:val="21"/>
              </w:rPr>
            </w:pPr>
          </w:p>
        </w:tc>
        <w:tc>
          <w:tcPr>
            <w:tcW w:w="827" w:type="dxa"/>
            <w:vMerge w:val="continue"/>
            <w:noWrap w:val="0"/>
            <w:vAlign w:val="center"/>
          </w:tcPr>
          <w:p w14:paraId="6C9B3612">
            <w:pPr>
              <w:jc w:val="center"/>
              <w:rPr>
                <w:rFonts w:hint="default" w:ascii="Times New Roman" w:hAnsi="Times New Roman" w:eastAsia="宋体" w:cs="Times New Roman"/>
                <w:bCs/>
                <w:color w:val="auto"/>
                <w:sz w:val="21"/>
                <w:szCs w:val="21"/>
              </w:rPr>
            </w:pPr>
          </w:p>
        </w:tc>
      </w:tr>
      <w:tr w14:paraId="2F29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restart"/>
            <w:noWrap w:val="0"/>
            <w:vAlign w:val="center"/>
          </w:tcPr>
          <w:p w14:paraId="70A954C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场地冲洗废水、洗车废水</w:t>
            </w:r>
          </w:p>
        </w:tc>
        <w:tc>
          <w:tcPr>
            <w:tcW w:w="1178" w:type="dxa"/>
            <w:vMerge w:val="restart"/>
            <w:noWrap w:val="0"/>
            <w:vAlign w:val="center"/>
          </w:tcPr>
          <w:p w14:paraId="0376B92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1471.680</w:t>
            </w:r>
          </w:p>
        </w:tc>
        <w:tc>
          <w:tcPr>
            <w:tcW w:w="870" w:type="dxa"/>
            <w:noWrap w:val="0"/>
            <w:vAlign w:val="center"/>
          </w:tcPr>
          <w:p w14:paraId="3AE1880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pH</w:t>
            </w:r>
          </w:p>
        </w:tc>
        <w:tc>
          <w:tcPr>
            <w:tcW w:w="695" w:type="dxa"/>
            <w:noWrap w:val="0"/>
            <w:vAlign w:val="center"/>
          </w:tcPr>
          <w:p w14:paraId="19D7360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6~9</w:t>
            </w:r>
          </w:p>
        </w:tc>
        <w:tc>
          <w:tcPr>
            <w:tcW w:w="915" w:type="dxa"/>
            <w:noWrap w:val="0"/>
            <w:vAlign w:val="center"/>
          </w:tcPr>
          <w:p w14:paraId="618F02BA">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vMerge w:val="restart"/>
            <w:noWrap w:val="0"/>
            <w:vAlign w:val="center"/>
          </w:tcPr>
          <w:p w14:paraId="08499D8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三段式隔油池</w:t>
            </w:r>
          </w:p>
        </w:tc>
        <w:tc>
          <w:tcPr>
            <w:tcW w:w="800" w:type="dxa"/>
            <w:vMerge w:val="restart"/>
            <w:noWrap w:val="0"/>
            <w:vAlign w:val="center"/>
          </w:tcPr>
          <w:p w14:paraId="454CDF9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ascii="Times New Roman" w:hAnsi="Times New Roman" w:cs="Times New Roman"/>
                <w:i w:val="0"/>
                <w:iCs w:val="0"/>
                <w:color w:val="auto"/>
                <w:kern w:val="0"/>
                <w:sz w:val="21"/>
                <w:szCs w:val="21"/>
                <w:u w:val="none"/>
                <w:lang w:val="en-US" w:eastAsia="zh-CN" w:bidi="ar"/>
              </w:rPr>
              <w:t>6</w:t>
            </w:r>
          </w:p>
        </w:tc>
        <w:tc>
          <w:tcPr>
            <w:tcW w:w="831" w:type="dxa"/>
            <w:noWrap w:val="0"/>
            <w:vAlign w:val="center"/>
          </w:tcPr>
          <w:p w14:paraId="3A75B9FC">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vMerge w:val="restart"/>
            <w:noWrap w:val="0"/>
            <w:vAlign w:val="center"/>
          </w:tcPr>
          <w:p w14:paraId="3B58B71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779" w:type="dxa"/>
            <w:noWrap w:val="0"/>
            <w:vAlign w:val="center"/>
          </w:tcPr>
          <w:p w14:paraId="5C2AA778">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6~9</w:t>
            </w:r>
          </w:p>
        </w:tc>
        <w:tc>
          <w:tcPr>
            <w:tcW w:w="820" w:type="dxa"/>
            <w:noWrap w:val="0"/>
            <w:vAlign w:val="center"/>
          </w:tcPr>
          <w:p w14:paraId="015D7CFE">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889" w:type="dxa"/>
            <w:vMerge w:val="continue"/>
            <w:noWrap w:val="0"/>
            <w:vAlign w:val="center"/>
          </w:tcPr>
          <w:p w14:paraId="0D701EF1">
            <w:pPr>
              <w:jc w:val="center"/>
              <w:rPr>
                <w:rFonts w:hint="default" w:ascii="Times New Roman" w:hAnsi="Times New Roman" w:eastAsia="宋体" w:cs="Times New Roman"/>
                <w:color w:val="auto"/>
                <w:sz w:val="21"/>
                <w:szCs w:val="21"/>
                <w:highlight w:val="yellow"/>
              </w:rPr>
            </w:pPr>
          </w:p>
        </w:tc>
        <w:tc>
          <w:tcPr>
            <w:tcW w:w="709" w:type="dxa"/>
            <w:noWrap w:val="0"/>
            <w:vAlign w:val="center"/>
          </w:tcPr>
          <w:p w14:paraId="0136E436">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6~9</w:t>
            </w:r>
          </w:p>
        </w:tc>
        <w:tc>
          <w:tcPr>
            <w:tcW w:w="709" w:type="dxa"/>
            <w:noWrap w:val="0"/>
            <w:vAlign w:val="center"/>
          </w:tcPr>
          <w:p w14:paraId="24AEFB3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restart"/>
            <w:noWrap w:val="0"/>
            <w:vAlign w:val="center"/>
          </w:tcPr>
          <w:p w14:paraId="78D8A835">
            <w:pPr>
              <w:jc w:val="center"/>
              <w:rPr>
                <w:rFonts w:hint="default" w:ascii="Times New Roman" w:hAnsi="Times New Roman" w:eastAsia="宋体" w:cs="Times New Roman"/>
                <w:color w:val="auto"/>
                <w:sz w:val="21"/>
                <w:szCs w:val="21"/>
                <w:highlight w:val="yellow"/>
              </w:rPr>
            </w:pPr>
          </w:p>
        </w:tc>
        <w:tc>
          <w:tcPr>
            <w:tcW w:w="903" w:type="dxa"/>
            <w:vMerge w:val="restart"/>
            <w:noWrap w:val="0"/>
            <w:vAlign w:val="center"/>
          </w:tcPr>
          <w:p w14:paraId="6B893ECC">
            <w:pPr>
              <w:jc w:val="center"/>
              <w:rPr>
                <w:rFonts w:hint="default" w:ascii="Times New Roman" w:hAnsi="Times New Roman" w:eastAsia="宋体" w:cs="Times New Roman"/>
                <w:color w:val="auto"/>
                <w:sz w:val="21"/>
                <w:szCs w:val="21"/>
                <w:highlight w:val="yellow"/>
              </w:rPr>
            </w:pPr>
          </w:p>
        </w:tc>
        <w:tc>
          <w:tcPr>
            <w:tcW w:w="906" w:type="dxa"/>
            <w:vMerge w:val="restart"/>
            <w:noWrap w:val="0"/>
            <w:vAlign w:val="center"/>
          </w:tcPr>
          <w:p w14:paraId="15D86D5B">
            <w:pPr>
              <w:jc w:val="center"/>
              <w:rPr>
                <w:rFonts w:hint="default" w:ascii="Times New Roman" w:hAnsi="Times New Roman" w:eastAsia="宋体" w:cs="Times New Roman"/>
                <w:color w:val="auto"/>
                <w:sz w:val="21"/>
                <w:szCs w:val="21"/>
                <w:highlight w:val="yellow"/>
              </w:rPr>
            </w:pPr>
          </w:p>
        </w:tc>
        <w:tc>
          <w:tcPr>
            <w:tcW w:w="643" w:type="dxa"/>
            <w:vMerge w:val="restart"/>
            <w:noWrap w:val="0"/>
            <w:vAlign w:val="center"/>
          </w:tcPr>
          <w:p w14:paraId="272CF830">
            <w:pPr>
              <w:jc w:val="center"/>
              <w:rPr>
                <w:rFonts w:hint="default" w:ascii="Times New Roman" w:hAnsi="Times New Roman" w:eastAsia="宋体" w:cs="Times New Roman"/>
                <w:color w:val="auto"/>
                <w:sz w:val="21"/>
                <w:szCs w:val="21"/>
                <w:highlight w:val="yellow"/>
              </w:rPr>
            </w:pPr>
          </w:p>
        </w:tc>
        <w:tc>
          <w:tcPr>
            <w:tcW w:w="827" w:type="dxa"/>
            <w:vMerge w:val="restart"/>
            <w:noWrap w:val="0"/>
            <w:vAlign w:val="center"/>
          </w:tcPr>
          <w:p w14:paraId="6B43A9B8">
            <w:pPr>
              <w:jc w:val="center"/>
              <w:rPr>
                <w:rFonts w:hint="default" w:ascii="Times New Roman" w:hAnsi="Times New Roman" w:eastAsia="宋体" w:cs="Times New Roman"/>
                <w:color w:val="auto"/>
                <w:sz w:val="21"/>
                <w:szCs w:val="21"/>
                <w:highlight w:val="yellow"/>
              </w:rPr>
            </w:pPr>
          </w:p>
        </w:tc>
      </w:tr>
      <w:tr w14:paraId="4C08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555DDABD">
            <w:pPr>
              <w:jc w:val="center"/>
              <w:rPr>
                <w:rFonts w:hint="default" w:ascii="Times New Roman" w:hAnsi="Times New Roman" w:eastAsia="宋体" w:cs="Times New Roman"/>
                <w:color w:val="auto"/>
                <w:sz w:val="21"/>
                <w:szCs w:val="21"/>
              </w:rPr>
            </w:pPr>
          </w:p>
        </w:tc>
        <w:tc>
          <w:tcPr>
            <w:tcW w:w="1178" w:type="dxa"/>
            <w:vMerge w:val="continue"/>
            <w:noWrap w:val="0"/>
            <w:vAlign w:val="center"/>
          </w:tcPr>
          <w:p w14:paraId="5435F827">
            <w:pPr>
              <w:jc w:val="center"/>
              <w:rPr>
                <w:rFonts w:hint="default" w:ascii="Times New Roman" w:hAnsi="Times New Roman" w:eastAsia="宋体" w:cs="Times New Roman"/>
                <w:color w:val="auto"/>
                <w:sz w:val="21"/>
                <w:szCs w:val="21"/>
              </w:rPr>
            </w:pPr>
          </w:p>
        </w:tc>
        <w:tc>
          <w:tcPr>
            <w:tcW w:w="870" w:type="dxa"/>
            <w:noWrap w:val="0"/>
            <w:vAlign w:val="center"/>
          </w:tcPr>
          <w:p w14:paraId="78DF650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COD</w:t>
            </w:r>
          </w:p>
        </w:tc>
        <w:tc>
          <w:tcPr>
            <w:tcW w:w="695" w:type="dxa"/>
            <w:noWrap w:val="0"/>
            <w:vAlign w:val="center"/>
          </w:tcPr>
          <w:p w14:paraId="204274E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320</w:t>
            </w:r>
          </w:p>
        </w:tc>
        <w:tc>
          <w:tcPr>
            <w:tcW w:w="915" w:type="dxa"/>
            <w:noWrap w:val="0"/>
            <w:vAlign w:val="center"/>
          </w:tcPr>
          <w:p w14:paraId="62E5045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0.460</w:t>
            </w:r>
          </w:p>
        </w:tc>
        <w:tc>
          <w:tcPr>
            <w:tcW w:w="900" w:type="dxa"/>
            <w:vMerge w:val="continue"/>
            <w:noWrap w:val="0"/>
            <w:vAlign w:val="center"/>
          </w:tcPr>
          <w:p w14:paraId="4FCDF998">
            <w:pPr>
              <w:jc w:val="center"/>
              <w:rPr>
                <w:rFonts w:hint="default" w:ascii="Times New Roman" w:hAnsi="Times New Roman" w:eastAsia="宋体" w:cs="Times New Roman"/>
                <w:color w:val="auto"/>
                <w:sz w:val="21"/>
                <w:szCs w:val="21"/>
              </w:rPr>
            </w:pPr>
          </w:p>
        </w:tc>
        <w:tc>
          <w:tcPr>
            <w:tcW w:w="800" w:type="dxa"/>
            <w:vMerge w:val="continue"/>
            <w:noWrap w:val="0"/>
            <w:vAlign w:val="center"/>
          </w:tcPr>
          <w:p w14:paraId="140AAA7C">
            <w:pPr>
              <w:jc w:val="center"/>
              <w:rPr>
                <w:rFonts w:hint="default" w:ascii="Times New Roman" w:hAnsi="Times New Roman" w:eastAsia="宋体" w:cs="Times New Roman"/>
                <w:color w:val="auto"/>
                <w:sz w:val="21"/>
                <w:szCs w:val="21"/>
              </w:rPr>
            </w:pPr>
          </w:p>
        </w:tc>
        <w:tc>
          <w:tcPr>
            <w:tcW w:w="831" w:type="dxa"/>
            <w:noWrap w:val="0"/>
            <w:vAlign w:val="center"/>
          </w:tcPr>
          <w:p w14:paraId="7E2EF7F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64" w:type="dxa"/>
            <w:vMerge w:val="continue"/>
            <w:noWrap w:val="0"/>
            <w:vAlign w:val="center"/>
          </w:tcPr>
          <w:p w14:paraId="5BE645F1">
            <w:pPr>
              <w:jc w:val="center"/>
              <w:rPr>
                <w:rFonts w:hint="default" w:ascii="Times New Roman" w:hAnsi="Times New Roman" w:eastAsia="宋体" w:cs="Times New Roman"/>
                <w:color w:val="auto"/>
                <w:sz w:val="21"/>
                <w:szCs w:val="21"/>
              </w:rPr>
            </w:pPr>
          </w:p>
        </w:tc>
        <w:tc>
          <w:tcPr>
            <w:tcW w:w="779" w:type="dxa"/>
            <w:noWrap w:val="0"/>
            <w:vAlign w:val="center"/>
          </w:tcPr>
          <w:p w14:paraId="418AC39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250</w:t>
            </w:r>
          </w:p>
        </w:tc>
        <w:tc>
          <w:tcPr>
            <w:tcW w:w="820" w:type="dxa"/>
            <w:noWrap w:val="0"/>
            <w:vAlign w:val="center"/>
          </w:tcPr>
          <w:p w14:paraId="5966480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0.368</w:t>
            </w:r>
          </w:p>
        </w:tc>
        <w:tc>
          <w:tcPr>
            <w:tcW w:w="889" w:type="dxa"/>
            <w:vMerge w:val="continue"/>
            <w:noWrap w:val="0"/>
            <w:vAlign w:val="center"/>
          </w:tcPr>
          <w:p w14:paraId="2300CF72">
            <w:pPr>
              <w:jc w:val="center"/>
              <w:rPr>
                <w:rFonts w:hint="default" w:ascii="Times New Roman" w:hAnsi="Times New Roman" w:eastAsia="宋体" w:cs="Times New Roman"/>
                <w:color w:val="auto"/>
                <w:sz w:val="21"/>
                <w:szCs w:val="21"/>
              </w:rPr>
            </w:pPr>
          </w:p>
        </w:tc>
        <w:tc>
          <w:tcPr>
            <w:tcW w:w="709" w:type="dxa"/>
            <w:noWrap w:val="0"/>
            <w:vAlign w:val="center"/>
          </w:tcPr>
          <w:p w14:paraId="3BF27E6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500</w:t>
            </w:r>
          </w:p>
        </w:tc>
        <w:tc>
          <w:tcPr>
            <w:tcW w:w="709" w:type="dxa"/>
            <w:noWrap w:val="0"/>
            <w:vAlign w:val="center"/>
          </w:tcPr>
          <w:p w14:paraId="785D9A6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3A093B9F">
            <w:pPr>
              <w:jc w:val="center"/>
              <w:rPr>
                <w:rFonts w:hint="default" w:ascii="Times New Roman" w:hAnsi="Times New Roman" w:eastAsia="宋体" w:cs="Times New Roman"/>
                <w:color w:val="auto"/>
                <w:sz w:val="21"/>
                <w:szCs w:val="21"/>
                <w:lang w:val="en-US" w:eastAsia="zh-CN"/>
              </w:rPr>
            </w:pPr>
          </w:p>
        </w:tc>
        <w:tc>
          <w:tcPr>
            <w:tcW w:w="903" w:type="dxa"/>
            <w:vMerge w:val="continue"/>
            <w:noWrap w:val="0"/>
            <w:vAlign w:val="center"/>
          </w:tcPr>
          <w:p w14:paraId="46DB4D5E">
            <w:pPr>
              <w:jc w:val="center"/>
              <w:rPr>
                <w:rFonts w:hint="default" w:ascii="Times New Roman" w:hAnsi="Times New Roman" w:eastAsia="宋体" w:cs="Times New Roman"/>
                <w:color w:val="auto"/>
                <w:sz w:val="21"/>
                <w:szCs w:val="21"/>
              </w:rPr>
            </w:pPr>
          </w:p>
        </w:tc>
        <w:tc>
          <w:tcPr>
            <w:tcW w:w="906" w:type="dxa"/>
            <w:vMerge w:val="continue"/>
            <w:noWrap w:val="0"/>
            <w:vAlign w:val="center"/>
          </w:tcPr>
          <w:p w14:paraId="1B0DB6EC">
            <w:pPr>
              <w:jc w:val="center"/>
              <w:rPr>
                <w:rFonts w:hint="default" w:ascii="Times New Roman" w:hAnsi="Times New Roman" w:eastAsia="宋体" w:cs="Times New Roman"/>
                <w:color w:val="auto"/>
                <w:sz w:val="21"/>
                <w:szCs w:val="21"/>
              </w:rPr>
            </w:pPr>
          </w:p>
        </w:tc>
        <w:tc>
          <w:tcPr>
            <w:tcW w:w="643" w:type="dxa"/>
            <w:vMerge w:val="continue"/>
            <w:noWrap w:val="0"/>
            <w:vAlign w:val="center"/>
          </w:tcPr>
          <w:p w14:paraId="33E4EC03">
            <w:pPr>
              <w:jc w:val="center"/>
              <w:rPr>
                <w:rFonts w:hint="default" w:ascii="Times New Roman" w:hAnsi="Times New Roman" w:eastAsia="宋体" w:cs="Times New Roman"/>
                <w:color w:val="auto"/>
                <w:sz w:val="21"/>
                <w:szCs w:val="21"/>
              </w:rPr>
            </w:pPr>
          </w:p>
        </w:tc>
        <w:tc>
          <w:tcPr>
            <w:tcW w:w="827" w:type="dxa"/>
            <w:vMerge w:val="continue"/>
            <w:noWrap w:val="0"/>
            <w:vAlign w:val="center"/>
          </w:tcPr>
          <w:p w14:paraId="65B40644">
            <w:pPr>
              <w:jc w:val="center"/>
              <w:rPr>
                <w:rFonts w:hint="default" w:ascii="Times New Roman" w:hAnsi="Times New Roman" w:eastAsia="宋体" w:cs="Times New Roman"/>
                <w:color w:val="auto"/>
                <w:sz w:val="21"/>
                <w:szCs w:val="21"/>
                <w:lang w:val="en-US" w:eastAsia="zh-CN"/>
              </w:rPr>
            </w:pPr>
          </w:p>
        </w:tc>
      </w:tr>
      <w:tr w14:paraId="733E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100871AE">
            <w:pPr>
              <w:jc w:val="center"/>
              <w:rPr>
                <w:rFonts w:hint="default" w:ascii="Times New Roman" w:hAnsi="Times New Roman" w:eastAsia="宋体" w:cs="Times New Roman"/>
                <w:color w:val="auto"/>
                <w:sz w:val="21"/>
                <w:szCs w:val="21"/>
              </w:rPr>
            </w:pPr>
          </w:p>
        </w:tc>
        <w:tc>
          <w:tcPr>
            <w:tcW w:w="1178" w:type="dxa"/>
            <w:vMerge w:val="continue"/>
            <w:noWrap w:val="0"/>
            <w:vAlign w:val="center"/>
          </w:tcPr>
          <w:p w14:paraId="203E8056">
            <w:pPr>
              <w:jc w:val="center"/>
              <w:rPr>
                <w:rFonts w:hint="default" w:ascii="Times New Roman" w:hAnsi="Times New Roman" w:eastAsia="宋体" w:cs="Times New Roman"/>
                <w:color w:val="auto"/>
                <w:sz w:val="21"/>
                <w:szCs w:val="21"/>
              </w:rPr>
            </w:pPr>
          </w:p>
        </w:tc>
        <w:tc>
          <w:tcPr>
            <w:tcW w:w="870" w:type="dxa"/>
            <w:noWrap w:val="0"/>
            <w:vAlign w:val="center"/>
          </w:tcPr>
          <w:p w14:paraId="5CFC6C01">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BOD5</w:t>
            </w:r>
          </w:p>
        </w:tc>
        <w:tc>
          <w:tcPr>
            <w:tcW w:w="695" w:type="dxa"/>
            <w:noWrap w:val="0"/>
            <w:vAlign w:val="center"/>
          </w:tcPr>
          <w:p w14:paraId="1B2E3CD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70</w:t>
            </w:r>
          </w:p>
        </w:tc>
        <w:tc>
          <w:tcPr>
            <w:tcW w:w="915" w:type="dxa"/>
            <w:noWrap w:val="0"/>
            <w:vAlign w:val="center"/>
          </w:tcPr>
          <w:p w14:paraId="65EFB0C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0.105</w:t>
            </w:r>
          </w:p>
        </w:tc>
        <w:tc>
          <w:tcPr>
            <w:tcW w:w="900" w:type="dxa"/>
            <w:vMerge w:val="continue"/>
            <w:noWrap w:val="0"/>
            <w:vAlign w:val="center"/>
          </w:tcPr>
          <w:p w14:paraId="24633B77">
            <w:pPr>
              <w:jc w:val="center"/>
              <w:rPr>
                <w:rFonts w:hint="default" w:ascii="Times New Roman" w:hAnsi="Times New Roman" w:eastAsia="宋体" w:cs="Times New Roman"/>
                <w:color w:val="auto"/>
                <w:sz w:val="21"/>
                <w:szCs w:val="21"/>
              </w:rPr>
            </w:pPr>
          </w:p>
        </w:tc>
        <w:tc>
          <w:tcPr>
            <w:tcW w:w="800" w:type="dxa"/>
            <w:vMerge w:val="continue"/>
            <w:noWrap w:val="0"/>
            <w:vAlign w:val="center"/>
          </w:tcPr>
          <w:p w14:paraId="3CF752A8">
            <w:pPr>
              <w:jc w:val="center"/>
              <w:rPr>
                <w:rFonts w:hint="default" w:ascii="Times New Roman" w:hAnsi="Times New Roman" w:eastAsia="宋体" w:cs="Times New Roman"/>
                <w:color w:val="auto"/>
                <w:sz w:val="21"/>
                <w:szCs w:val="21"/>
              </w:rPr>
            </w:pPr>
          </w:p>
        </w:tc>
        <w:tc>
          <w:tcPr>
            <w:tcW w:w="831" w:type="dxa"/>
            <w:noWrap w:val="0"/>
            <w:vAlign w:val="center"/>
          </w:tcPr>
          <w:p w14:paraId="0E77CE80">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vMerge w:val="continue"/>
            <w:noWrap w:val="0"/>
            <w:vAlign w:val="center"/>
          </w:tcPr>
          <w:p w14:paraId="4332450D">
            <w:pPr>
              <w:jc w:val="center"/>
              <w:rPr>
                <w:rFonts w:hint="default" w:ascii="Times New Roman" w:hAnsi="Times New Roman" w:eastAsia="宋体" w:cs="Times New Roman"/>
                <w:color w:val="auto"/>
                <w:sz w:val="21"/>
                <w:szCs w:val="21"/>
              </w:rPr>
            </w:pPr>
          </w:p>
        </w:tc>
        <w:tc>
          <w:tcPr>
            <w:tcW w:w="779" w:type="dxa"/>
            <w:noWrap w:val="0"/>
            <w:vAlign w:val="center"/>
          </w:tcPr>
          <w:p w14:paraId="33AFF46A">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70</w:t>
            </w:r>
          </w:p>
        </w:tc>
        <w:tc>
          <w:tcPr>
            <w:tcW w:w="820" w:type="dxa"/>
            <w:noWrap w:val="0"/>
            <w:vAlign w:val="center"/>
          </w:tcPr>
          <w:p w14:paraId="6D98E3B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0.105</w:t>
            </w:r>
          </w:p>
        </w:tc>
        <w:tc>
          <w:tcPr>
            <w:tcW w:w="889" w:type="dxa"/>
            <w:vMerge w:val="continue"/>
            <w:noWrap w:val="0"/>
            <w:vAlign w:val="center"/>
          </w:tcPr>
          <w:p w14:paraId="77C6AE18">
            <w:pPr>
              <w:jc w:val="center"/>
              <w:rPr>
                <w:rFonts w:hint="default" w:ascii="Times New Roman" w:hAnsi="Times New Roman" w:eastAsia="宋体" w:cs="Times New Roman"/>
                <w:color w:val="auto"/>
                <w:sz w:val="21"/>
                <w:szCs w:val="21"/>
              </w:rPr>
            </w:pPr>
          </w:p>
        </w:tc>
        <w:tc>
          <w:tcPr>
            <w:tcW w:w="709" w:type="dxa"/>
            <w:noWrap w:val="0"/>
            <w:vAlign w:val="center"/>
          </w:tcPr>
          <w:p w14:paraId="1F221ECF">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709" w:type="dxa"/>
            <w:noWrap w:val="0"/>
            <w:vAlign w:val="center"/>
          </w:tcPr>
          <w:p w14:paraId="60222E2B">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2B6160C7">
            <w:pPr>
              <w:jc w:val="center"/>
              <w:rPr>
                <w:rFonts w:hint="default" w:ascii="Times New Roman" w:hAnsi="Times New Roman" w:eastAsia="宋体" w:cs="Times New Roman"/>
                <w:color w:val="auto"/>
                <w:sz w:val="21"/>
                <w:szCs w:val="21"/>
              </w:rPr>
            </w:pPr>
          </w:p>
        </w:tc>
        <w:tc>
          <w:tcPr>
            <w:tcW w:w="903" w:type="dxa"/>
            <w:vMerge w:val="continue"/>
            <w:noWrap w:val="0"/>
            <w:vAlign w:val="center"/>
          </w:tcPr>
          <w:p w14:paraId="4D5D3547">
            <w:pPr>
              <w:jc w:val="center"/>
              <w:rPr>
                <w:rFonts w:hint="default" w:ascii="Times New Roman" w:hAnsi="Times New Roman" w:eastAsia="宋体" w:cs="Times New Roman"/>
                <w:color w:val="auto"/>
                <w:sz w:val="21"/>
                <w:szCs w:val="21"/>
              </w:rPr>
            </w:pPr>
          </w:p>
        </w:tc>
        <w:tc>
          <w:tcPr>
            <w:tcW w:w="906" w:type="dxa"/>
            <w:vMerge w:val="continue"/>
            <w:noWrap w:val="0"/>
            <w:vAlign w:val="center"/>
          </w:tcPr>
          <w:p w14:paraId="7B2E793C">
            <w:pPr>
              <w:jc w:val="center"/>
              <w:rPr>
                <w:rFonts w:hint="default" w:ascii="Times New Roman" w:hAnsi="Times New Roman" w:eastAsia="宋体" w:cs="Times New Roman"/>
                <w:color w:val="auto"/>
                <w:sz w:val="21"/>
                <w:szCs w:val="21"/>
              </w:rPr>
            </w:pPr>
          </w:p>
        </w:tc>
        <w:tc>
          <w:tcPr>
            <w:tcW w:w="643" w:type="dxa"/>
            <w:vMerge w:val="continue"/>
            <w:noWrap w:val="0"/>
            <w:vAlign w:val="center"/>
          </w:tcPr>
          <w:p w14:paraId="3C273E3A">
            <w:pPr>
              <w:jc w:val="center"/>
              <w:rPr>
                <w:rFonts w:hint="default" w:ascii="Times New Roman" w:hAnsi="Times New Roman" w:eastAsia="宋体" w:cs="Times New Roman"/>
                <w:color w:val="auto"/>
                <w:sz w:val="21"/>
                <w:szCs w:val="21"/>
              </w:rPr>
            </w:pPr>
          </w:p>
        </w:tc>
        <w:tc>
          <w:tcPr>
            <w:tcW w:w="827" w:type="dxa"/>
            <w:vMerge w:val="continue"/>
            <w:noWrap w:val="0"/>
            <w:vAlign w:val="center"/>
          </w:tcPr>
          <w:p w14:paraId="55192DD1">
            <w:pPr>
              <w:jc w:val="center"/>
              <w:rPr>
                <w:rFonts w:hint="default" w:ascii="Times New Roman" w:hAnsi="Times New Roman" w:eastAsia="宋体" w:cs="Times New Roman"/>
                <w:color w:val="auto"/>
                <w:sz w:val="21"/>
                <w:szCs w:val="21"/>
                <w:lang w:val="en-US" w:eastAsia="zh-CN"/>
              </w:rPr>
            </w:pPr>
          </w:p>
        </w:tc>
      </w:tr>
      <w:tr w14:paraId="2199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2F1B34D8">
            <w:pPr>
              <w:jc w:val="center"/>
              <w:rPr>
                <w:rFonts w:hint="default" w:ascii="Times New Roman" w:hAnsi="Times New Roman" w:eastAsia="宋体" w:cs="Times New Roman"/>
                <w:color w:val="auto"/>
                <w:sz w:val="21"/>
                <w:szCs w:val="21"/>
              </w:rPr>
            </w:pPr>
          </w:p>
        </w:tc>
        <w:tc>
          <w:tcPr>
            <w:tcW w:w="1178" w:type="dxa"/>
            <w:vMerge w:val="continue"/>
            <w:noWrap w:val="0"/>
            <w:vAlign w:val="center"/>
          </w:tcPr>
          <w:p w14:paraId="71259910">
            <w:pPr>
              <w:jc w:val="center"/>
              <w:rPr>
                <w:rFonts w:hint="default" w:ascii="Times New Roman" w:hAnsi="Times New Roman" w:eastAsia="宋体" w:cs="Times New Roman"/>
                <w:color w:val="auto"/>
                <w:sz w:val="21"/>
                <w:szCs w:val="21"/>
              </w:rPr>
            </w:pPr>
          </w:p>
        </w:tc>
        <w:tc>
          <w:tcPr>
            <w:tcW w:w="870" w:type="dxa"/>
            <w:noWrap w:val="0"/>
            <w:vAlign w:val="center"/>
          </w:tcPr>
          <w:p w14:paraId="6130CB6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SS</w:t>
            </w:r>
          </w:p>
        </w:tc>
        <w:tc>
          <w:tcPr>
            <w:tcW w:w="695" w:type="dxa"/>
            <w:noWrap w:val="0"/>
            <w:vAlign w:val="center"/>
          </w:tcPr>
          <w:p w14:paraId="617FB48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cs="Times New Roman"/>
                <w:i w:val="0"/>
                <w:iCs w:val="0"/>
                <w:color w:val="auto"/>
                <w:kern w:val="0"/>
                <w:sz w:val="21"/>
                <w:szCs w:val="21"/>
                <w:u w:val="none"/>
                <w:lang w:val="en-US" w:eastAsia="zh-CN" w:bidi="ar"/>
              </w:rPr>
              <w:t>450</w:t>
            </w:r>
          </w:p>
        </w:tc>
        <w:tc>
          <w:tcPr>
            <w:tcW w:w="915" w:type="dxa"/>
            <w:noWrap w:val="0"/>
            <w:vAlign w:val="center"/>
          </w:tcPr>
          <w:p w14:paraId="6D09B58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0.704</w:t>
            </w:r>
          </w:p>
        </w:tc>
        <w:tc>
          <w:tcPr>
            <w:tcW w:w="900" w:type="dxa"/>
            <w:vMerge w:val="continue"/>
            <w:noWrap w:val="0"/>
            <w:vAlign w:val="center"/>
          </w:tcPr>
          <w:p w14:paraId="11E321EE">
            <w:pPr>
              <w:jc w:val="center"/>
              <w:rPr>
                <w:rFonts w:hint="default" w:ascii="Times New Roman" w:hAnsi="Times New Roman" w:eastAsia="宋体" w:cs="Times New Roman"/>
                <w:color w:val="auto"/>
                <w:sz w:val="21"/>
                <w:szCs w:val="21"/>
                <w:highlight w:val="yellow"/>
              </w:rPr>
            </w:pPr>
          </w:p>
        </w:tc>
        <w:tc>
          <w:tcPr>
            <w:tcW w:w="800" w:type="dxa"/>
            <w:vMerge w:val="continue"/>
            <w:noWrap w:val="0"/>
            <w:vAlign w:val="center"/>
          </w:tcPr>
          <w:p w14:paraId="2A46CCCC">
            <w:pPr>
              <w:jc w:val="center"/>
              <w:rPr>
                <w:rFonts w:hint="default" w:ascii="Times New Roman" w:hAnsi="Times New Roman" w:eastAsia="宋体" w:cs="Times New Roman"/>
                <w:color w:val="auto"/>
                <w:sz w:val="21"/>
                <w:szCs w:val="21"/>
                <w:highlight w:val="yellow"/>
              </w:rPr>
            </w:pPr>
          </w:p>
        </w:tc>
        <w:tc>
          <w:tcPr>
            <w:tcW w:w="831" w:type="dxa"/>
            <w:noWrap w:val="0"/>
            <w:vAlign w:val="center"/>
          </w:tcPr>
          <w:p w14:paraId="1CACC55B">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cs="Times New Roman"/>
                <w:i w:val="0"/>
                <w:iCs w:val="0"/>
                <w:color w:val="auto"/>
                <w:kern w:val="0"/>
                <w:sz w:val="21"/>
                <w:szCs w:val="21"/>
                <w:u w:val="none"/>
                <w:lang w:val="en-US" w:eastAsia="zh-CN" w:bidi="ar"/>
              </w:rPr>
              <w:t>60</w:t>
            </w:r>
          </w:p>
        </w:tc>
        <w:tc>
          <w:tcPr>
            <w:tcW w:w="864" w:type="dxa"/>
            <w:vMerge w:val="continue"/>
            <w:noWrap w:val="0"/>
            <w:vAlign w:val="center"/>
          </w:tcPr>
          <w:p w14:paraId="7B0866D2">
            <w:pPr>
              <w:jc w:val="center"/>
              <w:rPr>
                <w:rFonts w:hint="default" w:ascii="Times New Roman" w:hAnsi="Times New Roman" w:eastAsia="宋体" w:cs="Times New Roman"/>
                <w:color w:val="auto"/>
                <w:sz w:val="21"/>
                <w:szCs w:val="21"/>
              </w:rPr>
            </w:pPr>
          </w:p>
        </w:tc>
        <w:tc>
          <w:tcPr>
            <w:tcW w:w="779" w:type="dxa"/>
            <w:noWrap w:val="0"/>
            <w:vAlign w:val="center"/>
          </w:tcPr>
          <w:p w14:paraId="5A8F8B7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200</w:t>
            </w:r>
          </w:p>
        </w:tc>
        <w:tc>
          <w:tcPr>
            <w:tcW w:w="820" w:type="dxa"/>
            <w:noWrap w:val="0"/>
            <w:vAlign w:val="center"/>
          </w:tcPr>
          <w:p w14:paraId="7885921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0.294</w:t>
            </w:r>
          </w:p>
        </w:tc>
        <w:tc>
          <w:tcPr>
            <w:tcW w:w="889" w:type="dxa"/>
            <w:vMerge w:val="continue"/>
            <w:noWrap w:val="0"/>
            <w:vAlign w:val="center"/>
          </w:tcPr>
          <w:p w14:paraId="351F0D83">
            <w:pPr>
              <w:jc w:val="center"/>
              <w:rPr>
                <w:rFonts w:hint="default" w:ascii="Times New Roman" w:hAnsi="Times New Roman" w:eastAsia="宋体" w:cs="Times New Roman"/>
                <w:color w:val="auto"/>
                <w:sz w:val="21"/>
                <w:szCs w:val="21"/>
              </w:rPr>
            </w:pPr>
          </w:p>
        </w:tc>
        <w:tc>
          <w:tcPr>
            <w:tcW w:w="709" w:type="dxa"/>
            <w:noWrap w:val="0"/>
            <w:vAlign w:val="center"/>
          </w:tcPr>
          <w:p w14:paraId="3F8002A6">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709" w:type="dxa"/>
            <w:noWrap w:val="0"/>
            <w:vAlign w:val="center"/>
          </w:tcPr>
          <w:p w14:paraId="49F22C01">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20C0F04A">
            <w:pPr>
              <w:jc w:val="center"/>
              <w:rPr>
                <w:rFonts w:hint="default" w:ascii="Times New Roman" w:hAnsi="Times New Roman" w:eastAsia="宋体" w:cs="Times New Roman"/>
                <w:color w:val="auto"/>
                <w:sz w:val="21"/>
                <w:szCs w:val="21"/>
                <w:highlight w:val="yellow"/>
              </w:rPr>
            </w:pPr>
          </w:p>
        </w:tc>
        <w:tc>
          <w:tcPr>
            <w:tcW w:w="903" w:type="dxa"/>
            <w:vMerge w:val="continue"/>
            <w:noWrap w:val="0"/>
            <w:vAlign w:val="center"/>
          </w:tcPr>
          <w:p w14:paraId="679B7873">
            <w:pPr>
              <w:jc w:val="center"/>
              <w:rPr>
                <w:rFonts w:hint="default" w:ascii="Times New Roman" w:hAnsi="Times New Roman" w:eastAsia="宋体" w:cs="Times New Roman"/>
                <w:color w:val="auto"/>
                <w:sz w:val="21"/>
                <w:szCs w:val="21"/>
                <w:highlight w:val="yellow"/>
              </w:rPr>
            </w:pPr>
          </w:p>
        </w:tc>
        <w:tc>
          <w:tcPr>
            <w:tcW w:w="906" w:type="dxa"/>
            <w:vMerge w:val="continue"/>
            <w:noWrap w:val="0"/>
            <w:vAlign w:val="center"/>
          </w:tcPr>
          <w:p w14:paraId="0890B24E">
            <w:pPr>
              <w:jc w:val="center"/>
              <w:rPr>
                <w:rFonts w:hint="default" w:ascii="Times New Roman" w:hAnsi="Times New Roman" w:eastAsia="宋体" w:cs="Times New Roman"/>
                <w:color w:val="auto"/>
                <w:sz w:val="21"/>
                <w:szCs w:val="21"/>
                <w:highlight w:val="yellow"/>
              </w:rPr>
            </w:pPr>
          </w:p>
        </w:tc>
        <w:tc>
          <w:tcPr>
            <w:tcW w:w="643" w:type="dxa"/>
            <w:vMerge w:val="continue"/>
            <w:noWrap w:val="0"/>
            <w:vAlign w:val="center"/>
          </w:tcPr>
          <w:p w14:paraId="52547506">
            <w:pPr>
              <w:jc w:val="center"/>
              <w:rPr>
                <w:rFonts w:hint="default" w:ascii="Times New Roman" w:hAnsi="Times New Roman" w:eastAsia="宋体" w:cs="Times New Roman"/>
                <w:color w:val="auto"/>
                <w:sz w:val="21"/>
                <w:szCs w:val="21"/>
                <w:highlight w:val="yellow"/>
              </w:rPr>
            </w:pPr>
          </w:p>
        </w:tc>
        <w:tc>
          <w:tcPr>
            <w:tcW w:w="827" w:type="dxa"/>
            <w:vMerge w:val="continue"/>
            <w:noWrap w:val="0"/>
            <w:vAlign w:val="center"/>
          </w:tcPr>
          <w:p w14:paraId="70ABE368">
            <w:pPr>
              <w:jc w:val="center"/>
              <w:rPr>
                <w:rFonts w:hint="default" w:ascii="Times New Roman" w:hAnsi="Times New Roman" w:eastAsia="宋体" w:cs="Times New Roman"/>
                <w:color w:val="auto"/>
                <w:sz w:val="21"/>
                <w:szCs w:val="21"/>
                <w:highlight w:val="yellow"/>
              </w:rPr>
            </w:pPr>
          </w:p>
        </w:tc>
      </w:tr>
      <w:tr w14:paraId="6BD6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5E7B83D7">
            <w:pPr>
              <w:jc w:val="center"/>
              <w:rPr>
                <w:rFonts w:hint="default" w:ascii="Times New Roman" w:hAnsi="Times New Roman" w:eastAsia="宋体" w:cs="Times New Roman"/>
                <w:color w:val="auto"/>
                <w:sz w:val="21"/>
                <w:szCs w:val="21"/>
              </w:rPr>
            </w:pPr>
          </w:p>
        </w:tc>
        <w:tc>
          <w:tcPr>
            <w:tcW w:w="1178" w:type="dxa"/>
            <w:vMerge w:val="continue"/>
            <w:noWrap w:val="0"/>
            <w:vAlign w:val="center"/>
          </w:tcPr>
          <w:p w14:paraId="77EDE169">
            <w:pPr>
              <w:jc w:val="center"/>
              <w:rPr>
                <w:rFonts w:hint="default" w:ascii="Times New Roman" w:hAnsi="Times New Roman" w:eastAsia="宋体" w:cs="Times New Roman"/>
                <w:color w:val="auto"/>
                <w:sz w:val="21"/>
                <w:szCs w:val="21"/>
              </w:rPr>
            </w:pPr>
          </w:p>
        </w:tc>
        <w:tc>
          <w:tcPr>
            <w:tcW w:w="870" w:type="dxa"/>
            <w:noWrap w:val="0"/>
            <w:vAlign w:val="center"/>
          </w:tcPr>
          <w:p w14:paraId="0E077AE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LAS</w:t>
            </w:r>
          </w:p>
        </w:tc>
        <w:tc>
          <w:tcPr>
            <w:tcW w:w="695" w:type="dxa"/>
            <w:noWrap w:val="0"/>
            <w:vAlign w:val="center"/>
          </w:tcPr>
          <w:p w14:paraId="11A6420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915" w:type="dxa"/>
            <w:noWrap w:val="0"/>
            <w:vAlign w:val="center"/>
          </w:tcPr>
          <w:p w14:paraId="1B6B4D9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0.026</w:t>
            </w:r>
          </w:p>
        </w:tc>
        <w:tc>
          <w:tcPr>
            <w:tcW w:w="900" w:type="dxa"/>
            <w:vMerge w:val="continue"/>
            <w:noWrap w:val="0"/>
            <w:vAlign w:val="center"/>
          </w:tcPr>
          <w:p w14:paraId="3D020367">
            <w:pPr>
              <w:jc w:val="center"/>
              <w:rPr>
                <w:rFonts w:hint="default" w:ascii="Times New Roman" w:hAnsi="Times New Roman" w:eastAsia="宋体" w:cs="Times New Roman"/>
                <w:color w:val="auto"/>
                <w:sz w:val="21"/>
                <w:szCs w:val="21"/>
                <w:highlight w:val="yellow"/>
              </w:rPr>
            </w:pPr>
          </w:p>
        </w:tc>
        <w:tc>
          <w:tcPr>
            <w:tcW w:w="800" w:type="dxa"/>
            <w:vMerge w:val="continue"/>
            <w:noWrap w:val="0"/>
            <w:vAlign w:val="center"/>
          </w:tcPr>
          <w:p w14:paraId="297B8E8C">
            <w:pPr>
              <w:jc w:val="center"/>
              <w:rPr>
                <w:rFonts w:hint="default" w:ascii="Times New Roman" w:hAnsi="Times New Roman" w:eastAsia="宋体" w:cs="Times New Roman"/>
                <w:color w:val="auto"/>
                <w:sz w:val="21"/>
                <w:szCs w:val="21"/>
                <w:highlight w:val="yellow"/>
              </w:rPr>
            </w:pPr>
          </w:p>
        </w:tc>
        <w:tc>
          <w:tcPr>
            <w:tcW w:w="831" w:type="dxa"/>
            <w:noWrap w:val="0"/>
            <w:vAlign w:val="center"/>
          </w:tcPr>
          <w:p w14:paraId="77071A5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vMerge w:val="continue"/>
            <w:noWrap w:val="0"/>
            <w:vAlign w:val="center"/>
          </w:tcPr>
          <w:p w14:paraId="68F48A89">
            <w:pPr>
              <w:jc w:val="center"/>
              <w:rPr>
                <w:rFonts w:hint="default" w:ascii="Times New Roman" w:hAnsi="Times New Roman" w:eastAsia="宋体" w:cs="Times New Roman"/>
                <w:color w:val="auto"/>
                <w:sz w:val="21"/>
                <w:szCs w:val="21"/>
              </w:rPr>
            </w:pPr>
          </w:p>
        </w:tc>
        <w:tc>
          <w:tcPr>
            <w:tcW w:w="779" w:type="dxa"/>
            <w:noWrap w:val="0"/>
            <w:vAlign w:val="center"/>
          </w:tcPr>
          <w:p w14:paraId="1282959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20" w:type="dxa"/>
            <w:noWrap w:val="0"/>
            <w:vAlign w:val="center"/>
          </w:tcPr>
          <w:p w14:paraId="0375EFB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0.026</w:t>
            </w:r>
          </w:p>
        </w:tc>
        <w:tc>
          <w:tcPr>
            <w:tcW w:w="889" w:type="dxa"/>
            <w:vMerge w:val="continue"/>
            <w:noWrap w:val="0"/>
            <w:vAlign w:val="center"/>
          </w:tcPr>
          <w:p w14:paraId="36C538EC">
            <w:pPr>
              <w:jc w:val="center"/>
              <w:rPr>
                <w:rFonts w:hint="default" w:ascii="Times New Roman" w:hAnsi="Times New Roman" w:eastAsia="宋体" w:cs="Times New Roman"/>
                <w:color w:val="auto"/>
                <w:sz w:val="21"/>
                <w:szCs w:val="21"/>
              </w:rPr>
            </w:pPr>
          </w:p>
        </w:tc>
        <w:tc>
          <w:tcPr>
            <w:tcW w:w="709" w:type="dxa"/>
            <w:noWrap w:val="0"/>
            <w:vAlign w:val="center"/>
          </w:tcPr>
          <w:p w14:paraId="38C1103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709" w:type="dxa"/>
            <w:noWrap w:val="0"/>
            <w:vAlign w:val="center"/>
          </w:tcPr>
          <w:p w14:paraId="55DDD74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6FAF11D9">
            <w:pPr>
              <w:jc w:val="center"/>
              <w:rPr>
                <w:rFonts w:hint="default" w:ascii="Times New Roman" w:hAnsi="Times New Roman" w:eastAsia="宋体" w:cs="Times New Roman"/>
                <w:color w:val="auto"/>
                <w:sz w:val="21"/>
                <w:szCs w:val="21"/>
                <w:highlight w:val="yellow"/>
              </w:rPr>
            </w:pPr>
          </w:p>
        </w:tc>
        <w:tc>
          <w:tcPr>
            <w:tcW w:w="903" w:type="dxa"/>
            <w:vMerge w:val="continue"/>
            <w:noWrap w:val="0"/>
            <w:vAlign w:val="center"/>
          </w:tcPr>
          <w:p w14:paraId="52C690A6">
            <w:pPr>
              <w:jc w:val="center"/>
              <w:rPr>
                <w:rFonts w:hint="default" w:ascii="Times New Roman" w:hAnsi="Times New Roman" w:eastAsia="宋体" w:cs="Times New Roman"/>
                <w:color w:val="auto"/>
                <w:sz w:val="21"/>
                <w:szCs w:val="21"/>
                <w:highlight w:val="yellow"/>
              </w:rPr>
            </w:pPr>
          </w:p>
        </w:tc>
        <w:tc>
          <w:tcPr>
            <w:tcW w:w="906" w:type="dxa"/>
            <w:vMerge w:val="continue"/>
            <w:noWrap w:val="0"/>
            <w:vAlign w:val="center"/>
          </w:tcPr>
          <w:p w14:paraId="5D53A44F">
            <w:pPr>
              <w:jc w:val="center"/>
              <w:rPr>
                <w:rFonts w:hint="default" w:ascii="Times New Roman" w:hAnsi="Times New Roman" w:eastAsia="宋体" w:cs="Times New Roman"/>
                <w:color w:val="auto"/>
                <w:sz w:val="21"/>
                <w:szCs w:val="21"/>
                <w:highlight w:val="yellow"/>
              </w:rPr>
            </w:pPr>
          </w:p>
        </w:tc>
        <w:tc>
          <w:tcPr>
            <w:tcW w:w="643" w:type="dxa"/>
            <w:vMerge w:val="continue"/>
            <w:noWrap w:val="0"/>
            <w:vAlign w:val="center"/>
          </w:tcPr>
          <w:p w14:paraId="2E9A3FA3">
            <w:pPr>
              <w:jc w:val="center"/>
              <w:rPr>
                <w:rFonts w:hint="default" w:ascii="Times New Roman" w:hAnsi="Times New Roman" w:eastAsia="宋体" w:cs="Times New Roman"/>
                <w:color w:val="auto"/>
                <w:sz w:val="21"/>
                <w:szCs w:val="21"/>
                <w:highlight w:val="yellow"/>
              </w:rPr>
            </w:pPr>
          </w:p>
        </w:tc>
        <w:tc>
          <w:tcPr>
            <w:tcW w:w="827" w:type="dxa"/>
            <w:vMerge w:val="continue"/>
            <w:noWrap w:val="0"/>
            <w:vAlign w:val="center"/>
          </w:tcPr>
          <w:p w14:paraId="64B67999">
            <w:pPr>
              <w:jc w:val="center"/>
              <w:rPr>
                <w:rFonts w:hint="default" w:ascii="Times New Roman" w:hAnsi="Times New Roman" w:eastAsia="宋体" w:cs="Times New Roman"/>
                <w:color w:val="auto"/>
                <w:sz w:val="21"/>
                <w:szCs w:val="21"/>
                <w:highlight w:val="yellow"/>
              </w:rPr>
            </w:pPr>
          </w:p>
        </w:tc>
      </w:tr>
      <w:tr w14:paraId="09BF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6E5D8EF0">
            <w:pPr>
              <w:jc w:val="center"/>
              <w:rPr>
                <w:rFonts w:hint="default" w:ascii="Times New Roman" w:hAnsi="Times New Roman" w:eastAsia="宋体" w:cs="Times New Roman"/>
                <w:color w:val="auto"/>
                <w:sz w:val="21"/>
                <w:szCs w:val="21"/>
              </w:rPr>
            </w:pPr>
          </w:p>
        </w:tc>
        <w:tc>
          <w:tcPr>
            <w:tcW w:w="1178" w:type="dxa"/>
            <w:vMerge w:val="continue"/>
            <w:noWrap w:val="0"/>
            <w:vAlign w:val="center"/>
          </w:tcPr>
          <w:p w14:paraId="66374BE8">
            <w:pPr>
              <w:jc w:val="center"/>
              <w:rPr>
                <w:rFonts w:hint="default" w:ascii="Times New Roman" w:hAnsi="Times New Roman" w:eastAsia="宋体" w:cs="Times New Roman"/>
                <w:color w:val="auto"/>
                <w:sz w:val="21"/>
                <w:szCs w:val="21"/>
              </w:rPr>
            </w:pPr>
          </w:p>
        </w:tc>
        <w:tc>
          <w:tcPr>
            <w:tcW w:w="870" w:type="dxa"/>
            <w:noWrap w:val="0"/>
            <w:vAlign w:val="center"/>
          </w:tcPr>
          <w:p w14:paraId="533708A9">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石油类</w:t>
            </w:r>
          </w:p>
        </w:tc>
        <w:tc>
          <w:tcPr>
            <w:tcW w:w="695" w:type="dxa"/>
            <w:noWrap w:val="0"/>
            <w:vAlign w:val="center"/>
          </w:tcPr>
          <w:p w14:paraId="6E0F8BAE">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w:t>
            </w:r>
          </w:p>
        </w:tc>
        <w:tc>
          <w:tcPr>
            <w:tcW w:w="915" w:type="dxa"/>
            <w:noWrap w:val="0"/>
            <w:vAlign w:val="center"/>
          </w:tcPr>
          <w:p w14:paraId="439ABB9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0.029</w:t>
            </w:r>
          </w:p>
        </w:tc>
        <w:tc>
          <w:tcPr>
            <w:tcW w:w="900" w:type="dxa"/>
            <w:vMerge w:val="continue"/>
            <w:noWrap w:val="0"/>
            <w:vAlign w:val="center"/>
          </w:tcPr>
          <w:p w14:paraId="795D2779">
            <w:pPr>
              <w:jc w:val="center"/>
              <w:rPr>
                <w:rFonts w:hint="default" w:ascii="Times New Roman" w:hAnsi="Times New Roman" w:eastAsia="宋体" w:cs="Times New Roman"/>
                <w:color w:val="auto"/>
                <w:sz w:val="21"/>
                <w:szCs w:val="21"/>
                <w:highlight w:val="yellow"/>
              </w:rPr>
            </w:pPr>
          </w:p>
        </w:tc>
        <w:tc>
          <w:tcPr>
            <w:tcW w:w="800" w:type="dxa"/>
            <w:vMerge w:val="continue"/>
            <w:noWrap w:val="0"/>
            <w:vAlign w:val="center"/>
          </w:tcPr>
          <w:p w14:paraId="7B0E833F">
            <w:pPr>
              <w:jc w:val="center"/>
              <w:rPr>
                <w:rFonts w:hint="default" w:ascii="Times New Roman" w:hAnsi="Times New Roman" w:eastAsia="宋体" w:cs="Times New Roman"/>
                <w:color w:val="auto"/>
                <w:sz w:val="21"/>
                <w:szCs w:val="21"/>
                <w:highlight w:val="yellow"/>
              </w:rPr>
            </w:pPr>
          </w:p>
        </w:tc>
        <w:tc>
          <w:tcPr>
            <w:tcW w:w="831" w:type="dxa"/>
            <w:noWrap w:val="0"/>
            <w:vAlign w:val="center"/>
          </w:tcPr>
          <w:p w14:paraId="116DAA4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864" w:type="dxa"/>
            <w:vMerge w:val="continue"/>
            <w:noWrap w:val="0"/>
            <w:vAlign w:val="center"/>
          </w:tcPr>
          <w:p w14:paraId="33B53503">
            <w:pPr>
              <w:jc w:val="center"/>
              <w:rPr>
                <w:rFonts w:hint="default" w:ascii="Times New Roman" w:hAnsi="Times New Roman" w:eastAsia="宋体" w:cs="Times New Roman"/>
                <w:color w:val="auto"/>
                <w:sz w:val="21"/>
                <w:szCs w:val="21"/>
              </w:rPr>
            </w:pPr>
          </w:p>
        </w:tc>
        <w:tc>
          <w:tcPr>
            <w:tcW w:w="779" w:type="dxa"/>
            <w:noWrap w:val="0"/>
            <w:vAlign w:val="center"/>
          </w:tcPr>
          <w:p w14:paraId="746178E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20" w:type="dxa"/>
            <w:noWrap w:val="0"/>
            <w:vAlign w:val="center"/>
          </w:tcPr>
          <w:p w14:paraId="383B487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0.015</w:t>
            </w:r>
          </w:p>
        </w:tc>
        <w:tc>
          <w:tcPr>
            <w:tcW w:w="889" w:type="dxa"/>
            <w:vMerge w:val="continue"/>
            <w:noWrap w:val="0"/>
            <w:vAlign w:val="center"/>
          </w:tcPr>
          <w:p w14:paraId="037B62DF">
            <w:pPr>
              <w:jc w:val="center"/>
              <w:rPr>
                <w:rFonts w:hint="default" w:ascii="Times New Roman" w:hAnsi="Times New Roman" w:eastAsia="宋体" w:cs="Times New Roman"/>
                <w:color w:val="auto"/>
                <w:sz w:val="21"/>
                <w:szCs w:val="21"/>
              </w:rPr>
            </w:pPr>
          </w:p>
        </w:tc>
        <w:tc>
          <w:tcPr>
            <w:tcW w:w="709" w:type="dxa"/>
            <w:noWrap w:val="0"/>
            <w:vAlign w:val="center"/>
          </w:tcPr>
          <w:p w14:paraId="733F1CB2">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20</w:t>
            </w:r>
          </w:p>
        </w:tc>
        <w:tc>
          <w:tcPr>
            <w:tcW w:w="709" w:type="dxa"/>
            <w:noWrap w:val="0"/>
            <w:vAlign w:val="center"/>
          </w:tcPr>
          <w:p w14:paraId="24DD6DCC">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149EFDEE">
            <w:pPr>
              <w:jc w:val="center"/>
              <w:rPr>
                <w:rFonts w:hint="default" w:ascii="Times New Roman" w:hAnsi="Times New Roman" w:eastAsia="宋体" w:cs="Times New Roman"/>
                <w:color w:val="auto"/>
                <w:sz w:val="21"/>
                <w:szCs w:val="21"/>
                <w:highlight w:val="yellow"/>
              </w:rPr>
            </w:pPr>
          </w:p>
        </w:tc>
        <w:tc>
          <w:tcPr>
            <w:tcW w:w="903" w:type="dxa"/>
            <w:vMerge w:val="continue"/>
            <w:noWrap w:val="0"/>
            <w:vAlign w:val="center"/>
          </w:tcPr>
          <w:p w14:paraId="57A68CA9">
            <w:pPr>
              <w:jc w:val="center"/>
              <w:rPr>
                <w:rFonts w:hint="default" w:ascii="Times New Roman" w:hAnsi="Times New Roman" w:eastAsia="宋体" w:cs="Times New Roman"/>
                <w:color w:val="auto"/>
                <w:sz w:val="21"/>
                <w:szCs w:val="21"/>
                <w:highlight w:val="yellow"/>
              </w:rPr>
            </w:pPr>
          </w:p>
        </w:tc>
        <w:tc>
          <w:tcPr>
            <w:tcW w:w="906" w:type="dxa"/>
            <w:vMerge w:val="continue"/>
            <w:noWrap w:val="0"/>
            <w:vAlign w:val="center"/>
          </w:tcPr>
          <w:p w14:paraId="3D39B349">
            <w:pPr>
              <w:jc w:val="center"/>
              <w:rPr>
                <w:rFonts w:hint="default" w:ascii="Times New Roman" w:hAnsi="Times New Roman" w:eastAsia="宋体" w:cs="Times New Roman"/>
                <w:color w:val="auto"/>
                <w:sz w:val="21"/>
                <w:szCs w:val="21"/>
                <w:highlight w:val="yellow"/>
              </w:rPr>
            </w:pPr>
          </w:p>
        </w:tc>
        <w:tc>
          <w:tcPr>
            <w:tcW w:w="643" w:type="dxa"/>
            <w:vMerge w:val="continue"/>
            <w:noWrap w:val="0"/>
            <w:vAlign w:val="center"/>
          </w:tcPr>
          <w:p w14:paraId="12DB9D6D">
            <w:pPr>
              <w:jc w:val="center"/>
              <w:rPr>
                <w:rFonts w:hint="default" w:ascii="Times New Roman" w:hAnsi="Times New Roman" w:eastAsia="宋体" w:cs="Times New Roman"/>
                <w:color w:val="auto"/>
                <w:sz w:val="21"/>
                <w:szCs w:val="21"/>
                <w:highlight w:val="yellow"/>
              </w:rPr>
            </w:pPr>
          </w:p>
        </w:tc>
        <w:tc>
          <w:tcPr>
            <w:tcW w:w="827" w:type="dxa"/>
            <w:vMerge w:val="continue"/>
            <w:noWrap w:val="0"/>
            <w:vAlign w:val="center"/>
          </w:tcPr>
          <w:p w14:paraId="3003F711">
            <w:pPr>
              <w:jc w:val="center"/>
              <w:rPr>
                <w:rFonts w:hint="default" w:ascii="Times New Roman" w:hAnsi="Times New Roman" w:eastAsia="宋体" w:cs="Times New Roman"/>
                <w:color w:val="auto"/>
                <w:sz w:val="21"/>
                <w:szCs w:val="21"/>
                <w:highlight w:val="yellow"/>
              </w:rPr>
            </w:pPr>
          </w:p>
        </w:tc>
      </w:tr>
      <w:tr w14:paraId="3F75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restart"/>
            <w:noWrap w:val="0"/>
            <w:vAlign w:val="center"/>
          </w:tcPr>
          <w:p w14:paraId="66F42B3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排入外环境</w:t>
            </w:r>
          </w:p>
        </w:tc>
        <w:tc>
          <w:tcPr>
            <w:tcW w:w="1178" w:type="dxa"/>
            <w:vMerge w:val="restart"/>
            <w:noWrap w:val="0"/>
            <w:vAlign w:val="center"/>
          </w:tcPr>
          <w:p w14:paraId="3519C73E">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1797.443</w:t>
            </w:r>
          </w:p>
        </w:tc>
        <w:tc>
          <w:tcPr>
            <w:tcW w:w="870" w:type="dxa"/>
            <w:noWrap w:val="0"/>
            <w:vAlign w:val="center"/>
          </w:tcPr>
          <w:p w14:paraId="75B8D41E">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pH</w:t>
            </w:r>
          </w:p>
        </w:tc>
        <w:tc>
          <w:tcPr>
            <w:tcW w:w="695" w:type="dxa"/>
            <w:noWrap w:val="0"/>
            <w:vAlign w:val="center"/>
          </w:tcPr>
          <w:p w14:paraId="19810D1A">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6~9</w:t>
            </w:r>
          </w:p>
        </w:tc>
        <w:tc>
          <w:tcPr>
            <w:tcW w:w="915" w:type="dxa"/>
            <w:noWrap w:val="0"/>
            <w:vAlign w:val="center"/>
          </w:tcPr>
          <w:p w14:paraId="02C6B232">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vMerge w:val="restart"/>
            <w:noWrap w:val="0"/>
            <w:vAlign w:val="center"/>
          </w:tcPr>
          <w:p w14:paraId="64D1841E">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i w:val="0"/>
                <w:iCs w:val="0"/>
                <w:color w:val="auto"/>
                <w:kern w:val="0"/>
                <w:sz w:val="21"/>
                <w:szCs w:val="21"/>
                <w:u w:val="none"/>
                <w:lang w:val="en-US" w:eastAsia="zh-CN" w:bidi="ar"/>
              </w:rPr>
              <w:t>A2/O</w:t>
            </w:r>
          </w:p>
        </w:tc>
        <w:tc>
          <w:tcPr>
            <w:tcW w:w="800" w:type="dxa"/>
            <w:vMerge w:val="restart"/>
            <w:noWrap w:val="0"/>
            <w:vAlign w:val="center"/>
          </w:tcPr>
          <w:p w14:paraId="320B1FA7">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i w:val="0"/>
                <w:iCs w:val="0"/>
                <w:color w:val="auto"/>
                <w:kern w:val="0"/>
                <w:sz w:val="21"/>
                <w:szCs w:val="21"/>
                <w:u w:val="none"/>
                <w:lang w:val="en-US" w:eastAsia="zh-CN" w:bidi="ar"/>
              </w:rPr>
              <w:t>/</w:t>
            </w:r>
          </w:p>
        </w:tc>
        <w:tc>
          <w:tcPr>
            <w:tcW w:w="831" w:type="dxa"/>
            <w:noWrap w:val="0"/>
            <w:vAlign w:val="center"/>
          </w:tcPr>
          <w:p w14:paraId="73315E7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vMerge w:val="restart"/>
            <w:noWrap w:val="0"/>
            <w:vAlign w:val="center"/>
          </w:tcPr>
          <w:p w14:paraId="7C6FC5A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是</w:t>
            </w:r>
          </w:p>
        </w:tc>
        <w:tc>
          <w:tcPr>
            <w:tcW w:w="779" w:type="dxa"/>
            <w:noWrap w:val="0"/>
            <w:vAlign w:val="center"/>
          </w:tcPr>
          <w:p w14:paraId="7A95046B">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6~9</w:t>
            </w:r>
          </w:p>
        </w:tc>
        <w:tc>
          <w:tcPr>
            <w:tcW w:w="820" w:type="dxa"/>
            <w:noWrap w:val="0"/>
            <w:vAlign w:val="center"/>
          </w:tcPr>
          <w:p w14:paraId="0F364C5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889" w:type="dxa"/>
            <w:vMerge w:val="restart"/>
            <w:noWrap w:val="0"/>
            <w:vAlign w:val="center"/>
          </w:tcPr>
          <w:p w14:paraId="3956A83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长江</w:t>
            </w:r>
          </w:p>
        </w:tc>
        <w:tc>
          <w:tcPr>
            <w:tcW w:w="709" w:type="dxa"/>
            <w:noWrap w:val="0"/>
            <w:vAlign w:val="center"/>
          </w:tcPr>
          <w:p w14:paraId="338BBDC6">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6~9</w:t>
            </w:r>
          </w:p>
        </w:tc>
        <w:tc>
          <w:tcPr>
            <w:tcW w:w="709" w:type="dxa"/>
            <w:noWrap w:val="0"/>
            <w:vAlign w:val="center"/>
          </w:tcPr>
          <w:p w14:paraId="095E3BB6">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restart"/>
            <w:noWrap w:val="0"/>
            <w:vAlign w:val="center"/>
          </w:tcPr>
          <w:p w14:paraId="17B80583">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i w:val="0"/>
                <w:iCs w:val="0"/>
                <w:color w:val="auto"/>
                <w:kern w:val="0"/>
                <w:sz w:val="21"/>
                <w:szCs w:val="21"/>
                <w:u w:val="none"/>
                <w:lang w:val="en-US" w:eastAsia="zh-CN" w:bidi="ar"/>
              </w:rPr>
              <w:t>间接排放</w:t>
            </w:r>
          </w:p>
        </w:tc>
        <w:tc>
          <w:tcPr>
            <w:tcW w:w="903" w:type="dxa"/>
            <w:vMerge w:val="restart"/>
            <w:noWrap w:val="0"/>
            <w:vAlign w:val="center"/>
          </w:tcPr>
          <w:p w14:paraId="730B2F22">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i w:val="0"/>
                <w:iCs w:val="0"/>
                <w:color w:val="auto"/>
                <w:kern w:val="0"/>
                <w:sz w:val="21"/>
                <w:szCs w:val="21"/>
                <w:u w:val="none"/>
                <w:lang w:val="en-US" w:eastAsia="zh-CN" w:bidi="ar"/>
              </w:rPr>
              <w:t>间断排放，排放期间流量不稳定且无规律，但不属于冲击型排放</w:t>
            </w:r>
          </w:p>
        </w:tc>
        <w:tc>
          <w:tcPr>
            <w:tcW w:w="906" w:type="dxa"/>
            <w:vMerge w:val="restart"/>
            <w:noWrap w:val="0"/>
            <w:vAlign w:val="center"/>
          </w:tcPr>
          <w:p w14:paraId="352CC9B5">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i w:val="0"/>
                <w:iCs w:val="0"/>
                <w:color w:val="auto"/>
                <w:kern w:val="0"/>
                <w:sz w:val="21"/>
                <w:szCs w:val="21"/>
                <w:u w:val="none"/>
                <w:lang w:val="en-US" w:eastAsia="zh-CN" w:bidi="ar"/>
              </w:rPr>
              <w:t>DW001</w:t>
            </w:r>
          </w:p>
        </w:tc>
        <w:tc>
          <w:tcPr>
            <w:tcW w:w="643" w:type="dxa"/>
            <w:vMerge w:val="restart"/>
            <w:noWrap w:val="0"/>
            <w:vAlign w:val="center"/>
          </w:tcPr>
          <w:p w14:paraId="0BF2CEC6">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i w:val="0"/>
                <w:iCs w:val="0"/>
                <w:color w:val="auto"/>
                <w:kern w:val="0"/>
                <w:sz w:val="21"/>
                <w:szCs w:val="21"/>
                <w:u w:val="none"/>
                <w:lang w:val="en-US" w:eastAsia="zh-CN" w:bidi="ar"/>
              </w:rPr>
              <w:t>一般排放口</w:t>
            </w:r>
          </w:p>
        </w:tc>
        <w:tc>
          <w:tcPr>
            <w:tcW w:w="827" w:type="dxa"/>
            <w:vMerge w:val="restart"/>
            <w:noWrap w:val="0"/>
            <w:vAlign w:val="center"/>
          </w:tcPr>
          <w:p w14:paraId="213835FD">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i w:val="0"/>
                <w:iCs w:val="0"/>
                <w:color w:val="auto"/>
                <w:kern w:val="0"/>
                <w:sz w:val="21"/>
                <w:szCs w:val="21"/>
                <w:u w:val="none"/>
                <w:lang w:val="en-US" w:eastAsia="zh-CN" w:bidi="ar"/>
              </w:rPr>
              <w:t>经度106°29′51.018″</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纬度29°30′58.523″</w:t>
            </w:r>
          </w:p>
        </w:tc>
      </w:tr>
      <w:tr w14:paraId="3BC6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03B12817">
            <w:pPr>
              <w:jc w:val="center"/>
              <w:rPr>
                <w:rFonts w:hint="default" w:ascii="Times New Roman" w:hAnsi="Times New Roman" w:eastAsia="宋体" w:cs="Times New Roman"/>
                <w:color w:val="auto"/>
                <w:sz w:val="21"/>
                <w:szCs w:val="21"/>
              </w:rPr>
            </w:pPr>
          </w:p>
        </w:tc>
        <w:tc>
          <w:tcPr>
            <w:tcW w:w="1178" w:type="dxa"/>
            <w:vMerge w:val="continue"/>
            <w:noWrap w:val="0"/>
            <w:vAlign w:val="center"/>
          </w:tcPr>
          <w:p w14:paraId="09DCEB5B">
            <w:pPr>
              <w:jc w:val="center"/>
              <w:rPr>
                <w:rFonts w:hint="default" w:ascii="Times New Roman" w:hAnsi="Times New Roman" w:eastAsia="宋体" w:cs="Times New Roman"/>
                <w:color w:val="auto"/>
                <w:sz w:val="21"/>
                <w:szCs w:val="21"/>
              </w:rPr>
            </w:pPr>
          </w:p>
        </w:tc>
        <w:tc>
          <w:tcPr>
            <w:tcW w:w="870" w:type="dxa"/>
            <w:noWrap w:val="0"/>
            <w:vAlign w:val="center"/>
          </w:tcPr>
          <w:p w14:paraId="57ECBB40">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COD</w:t>
            </w:r>
          </w:p>
        </w:tc>
        <w:tc>
          <w:tcPr>
            <w:tcW w:w="695" w:type="dxa"/>
            <w:noWrap w:val="0"/>
            <w:vAlign w:val="center"/>
          </w:tcPr>
          <w:p w14:paraId="71D2A64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noWrap w:val="0"/>
            <w:vAlign w:val="center"/>
          </w:tcPr>
          <w:p w14:paraId="4B544E80">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0.449</w:t>
            </w:r>
          </w:p>
        </w:tc>
        <w:tc>
          <w:tcPr>
            <w:tcW w:w="900" w:type="dxa"/>
            <w:vMerge w:val="continue"/>
            <w:noWrap w:val="0"/>
            <w:vAlign w:val="center"/>
          </w:tcPr>
          <w:p w14:paraId="71F7B2D2">
            <w:pPr>
              <w:jc w:val="center"/>
              <w:rPr>
                <w:rFonts w:hint="default" w:ascii="Times New Roman" w:hAnsi="Times New Roman" w:eastAsia="宋体" w:cs="Times New Roman"/>
                <w:color w:val="auto"/>
                <w:sz w:val="21"/>
                <w:szCs w:val="21"/>
                <w:highlight w:val="yellow"/>
              </w:rPr>
            </w:pPr>
          </w:p>
        </w:tc>
        <w:tc>
          <w:tcPr>
            <w:tcW w:w="800" w:type="dxa"/>
            <w:vMerge w:val="continue"/>
            <w:noWrap w:val="0"/>
            <w:vAlign w:val="center"/>
          </w:tcPr>
          <w:p w14:paraId="06573F0F">
            <w:pPr>
              <w:jc w:val="center"/>
              <w:rPr>
                <w:rFonts w:hint="default" w:ascii="Times New Roman" w:hAnsi="Times New Roman" w:eastAsia="宋体" w:cs="Times New Roman"/>
                <w:color w:val="auto"/>
                <w:sz w:val="21"/>
                <w:szCs w:val="21"/>
                <w:highlight w:val="yellow"/>
              </w:rPr>
            </w:pPr>
          </w:p>
        </w:tc>
        <w:tc>
          <w:tcPr>
            <w:tcW w:w="831" w:type="dxa"/>
            <w:noWrap w:val="0"/>
            <w:vAlign w:val="center"/>
          </w:tcPr>
          <w:p w14:paraId="1A261CAC">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vMerge w:val="continue"/>
            <w:noWrap w:val="0"/>
            <w:vAlign w:val="center"/>
          </w:tcPr>
          <w:p w14:paraId="7F6BA362">
            <w:pPr>
              <w:jc w:val="center"/>
              <w:rPr>
                <w:rFonts w:hint="default" w:ascii="Times New Roman" w:hAnsi="Times New Roman" w:eastAsia="宋体" w:cs="Times New Roman"/>
                <w:color w:val="auto"/>
                <w:sz w:val="21"/>
                <w:szCs w:val="21"/>
              </w:rPr>
            </w:pPr>
          </w:p>
        </w:tc>
        <w:tc>
          <w:tcPr>
            <w:tcW w:w="779" w:type="dxa"/>
            <w:noWrap w:val="0"/>
            <w:vAlign w:val="center"/>
          </w:tcPr>
          <w:p w14:paraId="021798A4">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820" w:type="dxa"/>
            <w:noWrap w:val="0"/>
            <w:vAlign w:val="center"/>
          </w:tcPr>
          <w:p w14:paraId="2CD0015A">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0.090</w:t>
            </w:r>
          </w:p>
        </w:tc>
        <w:tc>
          <w:tcPr>
            <w:tcW w:w="889" w:type="dxa"/>
            <w:vMerge w:val="continue"/>
            <w:noWrap w:val="0"/>
            <w:vAlign w:val="center"/>
          </w:tcPr>
          <w:p w14:paraId="29CEA726">
            <w:pPr>
              <w:jc w:val="center"/>
              <w:rPr>
                <w:rFonts w:hint="default" w:ascii="Times New Roman" w:hAnsi="Times New Roman" w:eastAsia="宋体" w:cs="Times New Roman"/>
                <w:color w:val="auto"/>
                <w:sz w:val="21"/>
                <w:szCs w:val="21"/>
                <w:highlight w:val="yellow"/>
              </w:rPr>
            </w:pPr>
          </w:p>
        </w:tc>
        <w:tc>
          <w:tcPr>
            <w:tcW w:w="709" w:type="dxa"/>
            <w:noWrap w:val="0"/>
            <w:vAlign w:val="center"/>
          </w:tcPr>
          <w:p w14:paraId="5B32361E">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50</w:t>
            </w:r>
          </w:p>
        </w:tc>
        <w:tc>
          <w:tcPr>
            <w:tcW w:w="709" w:type="dxa"/>
            <w:noWrap w:val="0"/>
            <w:vAlign w:val="center"/>
          </w:tcPr>
          <w:p w14:paraId="133DE89E">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0A9C408F">
            <w:pPr>
              <w:jc w:val="center"/>
              <w:rPr>
                <w:rFonts w:hint="default" w:ascii="Times New Roman" w:hAnsi="Times New Roman" w:eastAsia="宋体" w:cs="Times New Roman"/>
                <w:color w:val="auto"/>
                <w:sz w:val="21"/>
                <w:szCs w:val="21"/>
                <w:highlight w:val="yellow"/>
              </w:rPr>
            </w:pPr>
          </w:p>
        </w:tc>
        <w:tc>
          <w:tcPr>
            <w:tcW w:w="903" w:type="dxa"/>
            <w:vMerge w:val="continue"/>
            <w:noWrap w:val="0"/>
            <w:vAlign w:val="center"/>
          </w:tcPr>
          <w:p w14:paraId="51B4E157">
            <w:pPr>
              <w:jc w:val="center"/>
              <w:rPr>
                <w:rFonts w:hint="default" w:ascii="Times New Roman" w:hAnsi="Times New Roman" w:eastAsia="宋体" w:cs="Times New Roman"/>
                <w:color w:val="auto"/>
                <w:sz w:val="21"/>
                <w:szCs w:val="21"/>
                <w:highlight w:val="yellow"/>
              </w:rPr>
            </w:pPr>
          </w:p>
        </w:tc>
        <w:tc>
          <w:tcPr>
            <w:tcW w:w="906" w:type="dxa"/>
            <w:vMerge w:val="continue"/>
            <w:noWrap w:val="0"/>
            <w:vAlign w:val="center"/>
          </w:tcPr>
          <w:p w14:paraId="069A747A">
            <w:pPr>
              <w:jc w:val="center"/>
              <w:rPr>
                <w:rFonts w:hint="default" w:ascii="Times New Roman" w:hAnsi="Times New Roman" w:eastAsia="宋体" w:cs="Times New Roman"/>
                <w:color w:val="auto"/>
                <w:sz w:val="21"/>
                <w:szCs w:val="21"/>
                <w:highlight w:val="yellow"/>
              </w:rPr>
            </w:pPr>
          </w:p>
        </w:tc>
        <w:tc>
          <w:tcPr>
            <w:tcW w:w="643" w:type="dxa"/>
            <w:vMerge w:val="continue"/>
            <w:noWrap w:val="0"/>
            <w:vAlign w:val="center"/>
          </w:tcPr>
          <w:p w14:paraId="6DC41FF4">
            <w:pPr>
              <w:jc w:val="center"/>
              <w:rPr>
                <w:rFonts w:hint="default" w:ascii="Times New Roman" w:hAnsi="Times New Roman" w:eastAsia="宋体" w:cs="Times New Roman"/>
                <w:color w:val="auto"/>
                <w:sz w:val="21"/>
                <w:szCs w:val="21"/>
                <w:highlight w:val="yellow"/>
              </w:rPr>
            </w:pPr>
          </w:p>
        </w:tc>
        <w:tc>
          <w:tcPr>
            <w:tcW w:w="827" w:type="dxa"/>
            <w:vMerge w:val="continue"/>
            <w:noWrap w:val="0"/>
            <w:vAlign w:val="center"/>
          </w:tcPr>
          <w:p w14:paraId="6FF2CBE8">
            <w:pPr>
              <w:jc w:val="center"/>
              <w:rPr>
                <w:rFonts w:hint="default" w:ascii="Times New Roman" w:hAnsi="Times New Roman" w:eastAsia="宋体" w:cs="Times New Roman"/>
                <w:color w:val="auto"/>
                <w:sz w:val="21"/>
                <w:szCs w:val="21"/>
                <w:highlight w:val="yellow"/>
              </w:rPr>
            </w:pPr>
          </w:p>
        </w:tc>
      </w:tr>
      <w:tr w14:paraId="0E9D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7DE3F928">
            <w:pPr>
              <w:jc w:val="center"/>
              <w:rPr>
                <w:rFonts w:hint="default" w:ascii="Times New Roman" w:hAnsi="Times New Roman" w:eastAsia="宋体" w:cs="Times New Roman"/>
                <w:color w:val="auto"/>
                <w:sz w:val="21"/>
                <w:szCs w:val="21"/>
              </w:rPr>
            </w:pPr>
          </w:p>
        </w:tc>
        <w:tc>
          <w:tcPr>
            <w:tcW w:w="1178" w:type="dxa"/>
            <w:vMerge w:val="continue"/>
            <w:noWrap w:val="0"/>
            <w:vAlign w:val="center"/>
          </w:tcPr>
          <w:p w14:paraId="7E982908">
            <w:pPr>
              <w:jc w:val="center"/>
              <w:rPr>
                <w:rFonts w:hint="default" w:ascii="Times New Roman" w:hAnsi="Times New Roman" w:eastAsia="宋体" w:cs="Times New Roman"/>
                <w:color w:val="auto"/>
                <w:sz w:val="21"/>
                <w:szCs w:val="21"/>
              </w:rPr>
            </w:pPr>
          </w:p>
        </w:tc>
        <w:tc>
          <w:tcPr>
            <w:tcW w:w="870" w:type="dxa"/>
            <w:noWrap w:val="0"/>
            <w:vAlign w:val="center"/>
          </w:tcPr>
          <w:p w14:paraId="1DBD0DED">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BOD</w:t>
            </w:r>
            <w:r>
              <w:rPr>
                <w:rFonts w:hint="default" w:ascii="Times New Roman" w:hAnsi="Times New Roman" w:eastAsia="宋体" w:cs="Times New Roman"/>
                <w:i w:val="0"/>
                <w:iCs w:val="0"/>
                <w:color w:val="auto"/>
                <w:kern w:val="0"/>
                <w:sz w:val="21"/>
                <w:szCs w:val="21"/>
                <w:u w:val="none"/>
                <w:vertAlign w:val="subscript"/>
                <w:lang w:val="en-US" w:eastAsia="zh-CN" w:bidi="ar"/>
              </w:rPr>
              <w:t>5</w:t>
            </w:r>
          </w:p>
        </w:tc>
        <w:tc>
          <w:tcPr>
            <w:tcW w:w="695" w:type="dxa"/>
            <w:noWrap w:val="0"/>
            <w:vAlign w:val="center"/>
          </w:tcPr>
          <w:p w14:paraId="5A6FF19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noWrap w:val="0"/>
            <w:vAlign w:val="center"/>
          </w:tcPr>
          <w:p w14:paraId="67F0C33C">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0.125</w:t>
            </w:r>
          </w:p>
        </w:tc>
        <w:tc>
          <w:tcPr>
            <w:tcW w:w="900" w:type="dxa"/>
            <w:vMerge w:val="continue"/>
            <w:noWrap w:val="0"/>
            <w:vAlign w:val="center"/>
          </w:tcPr>
          <w:p w14:paraId="30199226">
            <w:pPr>
              <w:jc w:val="center"/>
              <w:rPr>
                <w:rFonts w:hint="default" w:ascii="Times New Roman" w:hAnsi="Times New Roman" w:eastAsia="宋体" w:cs="Times New Roman"/>
                <w:color w:val="auto"/>
                <w:sz w:val="21"/>
                <w:szCs w:val="21"/>
              </w:rPr>
            </w:pPr>
          </w:p>
        </w:tc>
        <w:tc>
          <w:tcPr>
            <w:tcW w:w="800" w:type="dxa"/>
            <w:vMerge w:val="continue"/>
            <w:noWrap w:val="0"/>
            <w:vAlign w:val="center"/>
          </w:tcPr>
          <w:p w14:paraId="53E0666B">
            <w:pPr>
              <w:jc w:val="center"/>
              <w:rPr>
                <w:rFonts w:hint="default" w:ascii="Times New Roman" w:hAnsi="Times New Roman" w:eastAsia="宋体" w:cs="Times New Roman"/>
                <w:color w:val="auto"/>
                <w:sz w:val="21"/>
                <w:szCs w:val="21"/>
              </w:rPr>
            </w:pPr>
          </w:p>
        </w:tc>
        <w:tc>
          <w:tcPr>
            <w:tcW w:w="831" w:type="dxa"/>
            <w:noWrap w:val="0"/>
            <w:vAlign w:val="center"/>
          </w:tcPr>
          <w:p w14:paraId="066F5E0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vMerge w:val="continue"/>
            <w:noWrap w:val="0"/>
            <w:vAlign w:val="center"/>
          </w:tcPr>
          <w:p w14:paraId="754611B4">
            <w:pPr>
              <w:jc w:val="center"/>
              <w:rPr>
                <w:rFonts w:hint="default" w:ascii="Times New Roman" w:hAnsi="Times New Roman" w:eastAsia="宋体" w:cs="Times New Roman"/>
                <w:color w:val="auto"/>
                <w:sz w:val="21"/>
                <w:szCs w:val="21"/>
              </w:rPr>
            </w:pPr>
          </w:p>
        </w:tc>
        <w:tc>
          <w:tcPr>
            <w:tcW w:w="779" w:type="dxa"/>
            <w:noWrap w:val="0"/>
            <w:vAlign w:val="center"/>
          </w:tcPr>
          <w:p w14:paraId="0DB21670">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20" w:type="dxa"/>
            <w:noWrap w:val="0"/>
            <w:vAlign w:val="center"/>
          </w:tcPr>
          <w:p w14:paraId="4876E8F0">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0.018</w:t>
            </w:r>
          </w:p>
        </w:tc>
        <w:tc>
          <w:tcPr>
            <w:tcW w:w="889" w:type="dxa"/>
            <w:vMerge w:val="continue"/>
            <w:noWrap w:val="0"/>
            <w:vAlign w:val="center"/>
          </w:tcPr>
          <w:p w14:paraId="3386A078">
            <w:pPr>
              <w:jc w:val="center"/>
              <w:rPr>
                <w:rFonts w:hint="default" w:ascii="Times New Roman" w:hAnsi="Times New Roman" w:eastAsia="宋体" w:cs="Times New Roman"/>
                <w:color w:val="auto"/>
                <w:sz w:val="21"/>
                <w:szCs w:val="21"/>
              </w:rPr>
            </w:pPr>
          </w:p>
        </w:tc>
        <w:tc>
          <w:tcPr>
            <w:tcW w:w="709" w:type="dxa"/>
            <w:noWrap w:val="0"/>
            <w:vAlign w:val="center"/>
          </w:tcPr>
          <w:p w14:paraId="75B844A1">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709" w:type="dxa"/>
            <w:noWrap w:val="0"/>
            <w:vAlign w:val="center"/>
          </w:tcPr>
          <w:p w14:paraId="50595098">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6F3A861B">
            <w:pPr>
              <w:jc w:val="center"/>
              <w:rPr>
                <w:rFonts w:hint="default" w:ascii="Times New Roman" w:hAnsi="Times New Roman" w:eastAsia="宋体" w:cs="Times New Roman"/>
                <w:color w:val="auto"/>
                <w:sz w:val="21"/>
                <w:szCs w:val="21"/>
              </w:rPr>
            </w:pPr>
          </w:p>
        </w:tc>
        <w:tc>
          <w:tcPr>
            <w:tcW w:w="903" w:type="dxa"/>
            <w:vMerge w:val="continue"/>
            <w:noWrap w:val="0"/>
            <w:vAlign w:val="center"/>
          </w:tcPr>
          <w:p w14:paraId="7D09A610">
            <w:pPr>
              <w:jc w:val="center"/>
              <w:rPr>
                <w:rFonts w:hint="default" w:ascii="Times New Roman" w:hAnsi="Times New Roman" w:eastAsia="宋体" w:cs="Times New Roman"/>
                <w:color w:val="auto"/>
                <w:sz w:val="21"/>
                <w:szCs w:val="21"/>
              </w:rPr>
            </w:pPr>
          </w:p>
        </w:tc>
        <w:tc>
          <w:tcPr>
            <w:tcW w:w="906" w:type="dxa"/>
            <w:vMerge w:val="continue"/>
            <w:noWrap w:val="0"/>
            <w:vAlign w:val="center"/>
          </w:tcPr>
          <w:p w14:paraId="0AD94590">
            <w:pPr>
              <w:jc w:val="center"/>
              <w:rPr>
                <w:rFonts w:hint="default" w:ascii="Times New Roman" w:hAnsi="Times New Roman" w:eastAsia="宋体" w:cs="Times New Roman"/>
                <w:color w:val="auto"/>
                <w:sz w:val="21"/>
                <w:szCs w:val="21"/>
              </w:rPr>
            </w:pPr>
          </w:p>
        </w:tc>
        <w:tc>
          <w:tcPr>
            <w:tcW w:w="643" w:type="dxa"/>
            <w:vMerge w:val="continue"/>
            <w:noWrap w:val="0"/>
            <w:vAlign w:val="center"/>
          </w:tcPr>
          <w:p w14:paraId="371DBD5D">
            <w:pPr>
              <w:jc w:val="center"/>
              <w:rPr>
                <w:rFonts w:hint="default" w:ascii="Times New Roman" w:hAnsi="Times New Roman" w:eastAsia="宋体" w:cs="Times New Roman"/>
                <w:color w:val="auto"/>
                <w:sz w:val="21"/>
                <w:szCs w:val="21"/>
              </w:rPr>
            </w:pPr>
          </w:p>
        </w:tc>
        <w:tc>
          <w:tcPr>
            <w:tcW w:w="827" w:type="dxa"/>
            <w:vMerge w:val="continue"/>
            <w:noWrap w:val="0"/>
            <w:vAlign w:val="center"/>
          </w:tcPr>
          <w:p w14:paraId="63CBB8BF">
            <w:pPr>
              <w:jc w:val="center"/>
              <w:rPr>
                <w:rFonts w:hint="default" w:ascii="Times New Roman" w:hAnsi="Times New Roman" w:eastAsia="宋体" w:cs="Times New Roman"/>
                <w:color w:val="auto"/>
                <w:sz w:val="21"/>
                <w:szCs w:val="21"/>
              </w:rPr>
            </w:pPr>
          </w:p>
        </w:tc>
      </w:tr>
      <w:tr w14:paraId="4239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4033FF3B">
            <w:pPr>
              <w:jc w:val="center"/>
              <w:rPr>
                <w:rFonts w:hint="default" w:ascii="Times New Roman" w:hAnsi="Times New Roman" w:eastAsia="宋体" w:cs="Times New Roman"/>
                <w:color w:val="auto"/>
                <w:sz w:val="21"/>
                <w:szCs w:val="21"/>
                <w:highlight w:val="yellow"/>
              </w:rPr>
            </w:pPr>
          </w:p>
        </w:tc>
        <w:tc>
          <w:tcPr>
            <w:tcW w:w="1178" w:type="dxa"/>
            <w:vMerge w:val="continue"/>
            <w:noWrap w:val="0"/>
            <w:vAlign w:val="center"/>
          </w:tcPr>
          <w:p w14:paraId="0BEE3D12">
            <w:pPr>
              <w:jc w:val="center"/>
              <w:rPr>
                <w:rFonts w:hint="default" w:ascii="Times New Roman" w:hAnsi="Times New Roman" w:eastAsia="宋体" w:cs="Times New Roman"/>
                <w:color w:val="auto"/>
                <w:sz w:val="21"/>
                <w:szCs w:val="21"/>
                <w:highlight w:val="yellow"/>
              </w:rPr>
            </w:pPr>
          </w:p>
        </w:tc>
        <w:tc>
          <w:tcPr>
            <w:tcW w:w="870" w:type="dxa"/>
            <w:noWrap w:val="0"/>
            <w:vAlign w:val="center"/>
          </w:tcPr>
          <w:p w14:paraId="095E9D38">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SS</w:t>
            </w:r>
          </w:p>
        </w:tc>
        <w:tc>
          <w:tcPr>
            <w:tcW w:w="695" w:type="dxa"/>
            <w:noWrap w:val="0"/>
            <w:vAlign w:val="center"/>
          </w:tcPr>
          <w:p w14:paraId="77C9E345">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noWrap w:val="0"/>
            <w:vAlign w:val="center"/>
          </w:tcPr>
          <w:p w14:paraId="658088A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0.359</w:t>
            </w:r>
          </w:p>
        </w:tc>
        <w:tc>
          <w:tcPr>
            <w:tcW w:w="900" w:type="dxa"/>
            <w:vMerge w:val="continue"/>
            <w:noWrap w:val="0"/>
            <w:vAlign w:val="center"/>
          </w:tcPr>
          <w:p w14:paraId="1A9EE3A7">
            <w:pPr>
              <w:jc w:val="center"/>
              <w:rPr>
                <w:rFonts w:hint="default" w:ascii="Times New Roman" w:hAnsi="Times New Roman" w:eastAsia="宋体" w:cs="Times New Roman"/>
                <w:color w:val="auto"/>
                <w:sz w:val="21"/>
                <w:szCs w:val="21"/>
                <w:highlight w:val="yellow"/>
              </w:rPr>
            </w:pPr>
          </w:p>
        </w:tc>
        <w:tc>
          <w:tcPr>
            <w:tcW w:w="800" w:type="dxa"/>
            <w:vMerge w:val="continue"/>
            <w:noWrap w:val="0"/>
            <w:vAlign w:val="center"/>
          </w:tcPr>
          <w:p w14:paraId="671E2458">
            <w:pPr>
              <w:jc w:val="center"/>
              <w:rPr>
                <w:rFonts w:hint="default" w:ascii="Times New Roman" w:hAnsi="Times New Roman" w:eastAsia="宋体" w:cs="Times New Roman"/>
                <w:color w:val="auto"/>
                <w:sz w:val="21"/>
                <w:szCs w:val="21"/>
                <w:highlight w:val="yellow"/>
              </w:rPr>
            </w:pPr>
          </w:p>
        </w:tc>
        <w:tc>
          <w:tcPr>
            <w:tcW w:w="831" w:type="dxa"/>
            <w:noWrap w:val="0"/>
            <w:vAlign w:val="center"/>
          </w:tcPr>
          <w:p w14:paraId="2BEDFE9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vMerge w:val="continue"/>
            <w:noWrap w:val="0"/>
            <w:vAlign w:val="center"/>
          </w:tcPr>
          <w:p w14:paraId="0892E1AC">
            <w:pPr>
              <w:jc w:val="center"/>
              <w:rPr>
                <w:rFonts w:hint="default" w:ascii="Times New Roman" w:hAnsi="Times New Roman" w:eastAsia="宋体" w:cs="Times New Roman"/>
                <w:color w:val="auto"/>
                <w:sz w:val="21"/>
                <w:szCs w:val="21"/>
                <w:highlight w:val="yellow"/>
              </w:rPr>
            </w:pPr>
          </w:p>
        </w:tc>
        <w:tc>
          <w:tcPr>
            <w:tcW w:w="779" w:type="dxa"/>
            <w:noWrap w:val="0"/>
            <w:vAlign w:val="center"/>
          </w:tcPr>
          <w:p w14:paraId="3CF7499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20" w:type="dxa"/>
            <w:noWrap w:val="0"/>
            <w:vAlign w:val="center"/>
          </w:tcPr>
          <w:p w14:paraId="514AF3E0">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0.018</w:t>
            </w:r>
          </w:p>
        </w:tc>
        <w:tc>
          <w:tcPr>
            <w:tcW w:w="889" w:type="dxa"/>
            <w:vMerge w:val="continue"/>
            <w:noWrap w:val="0"/>
            <w:vAlign w:val="center"/>
          </w:tcPr>
          <w:p w14:paraId="0582F706">
            <w:pPr>
              <w:jc w:val="center"/>
              <w:rPr>
                <w:rFonts w:hint="default" w:ascii="Times New Roman" w:hAnsi="Times New Roman" w:eastAsia="宋体" w:cs="Times New Roman"/>
                <w:color w:val="auto"/>
                <w:sz w:val="21"/>
                <w:szCs w:val="21"/>
                <w:highlight w:val="yellow"/>
              </w:rPr>
            </w:pPr>
          </w:p>
        </w:tc>
        <w:tc>
          <w:tcPr>
            <w:tcW w:w="709" w:type="dxa"/>
            <w:noWrap w:val="0"/>
            <w:vAlign w:val="center"/>
          </w:tcPr>
          <w:p w14:paraId="364FA45C">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10</w:t>
            </w:r>
          </w:p>
        </w:tc>
        <w:tc>
          <w:tcPr>
            <w:tcW w:w="709" w:type="dxa"/>
            <w:noWrap w:val="0"/>
            <w:vAlign w:val="center"/>
          </w:tcPr>
          <w:p w14:paraId="098CEC80">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25E09C6C">
            <w:pPr>
              <w:jc w:val="center"/>
              <w:rPr>
                <w:rFonts w:hint="default" w:ascii="Times New Roman" w:hAnsi="Times New Roman" w:eastAsia="宋体" w:cs="Times New Roman"/>
                <w:color w:val="auto"/>
                <w:sz w:val="21"/>
                <w:szCs w:val="21"/>
                <w:highlight w:val="yellow"/>
              </w:rPr>
            </w:pPr>
          </w:p>
        </w:tc>
        <w:tc>
          <w:tcPr>
            <w:tcW w:w="903" w:type="dxa"/>
            <w:vMerge w:val="continue"/>
            <w:noWrap w:val="0"/>
            <w:vAlign w:val="center"/>
          </w:tcPr>
          <w:p w14:paraId="4CC627D6">
            <w:pPr>
              <w:jc w:val="center"/>
              <w:rPr>
                <w:rFonts w:hint="default" w:ascii="Times New Roman" w:hAnsi="Times New Roman" w:eastAsia="宋体" w:cs="Times New Roman"/>
                <w:color w:val="auto"/>
                <w:sz w:val="21"/>
                <w:szCs w:val="21"/>
                <w:highlight w:val="yellow"/>
              </w:rPr>
            </w:pPr>
          </w:p>
        </w:tc>
        <w:tc>
          <w:tcPr>
            <w:tcW w:w="906" w:type="dxa"/>
            <w:vMerge w:val="continue"/>
            <w:noWrap w:val="0"/>
            <w:vAlign w:val="center"/>
          </w:tcPr>
          <w:p w14:paraId="3D2A067D">
            <w:pPr>
              <w:jc w:val="center"/>
              <w:rPr>
                <w:rFonts w:hint="default" w:ascii="Times New Roman" w:hAnsi="Times New Roman" w:eastAsia="宋体" w:cs="Times New Roman"/>
                <w:color w:val="auto"/>
                <w:sz w:val="21"/>
                <w:szCs w:val="21"/>
                <w:highlight w:val="yellow"/>
              </w:rPr>
            </w:pPr>
          </w:p>
        </w:tc>
        <w:tc>
          <w:tcPr>
            <w:tcW w:w="643" w:type="dxa"/>
            <w:vMerge w:val="continue"/>
            <w:noWrap w:val="0"/>
            <w:vAlign w:val="center"/>
          </w:tcPr>
          <w:p w14:paraId="4F06D09E">
            <w:pPr>
              <w:jc w:val="center"/>
              <w:rPr>
                <w:rFonts w:hint="default" w:ascii="Times New Roman" w:hAnsi="Times New Roman" w:eastAsia="宋体" w:cs="Times New Roman"/>
                <w:color w:val="auto"/>
                <w:sz w:val="21"/>
                <w:szCs w:val="21"/>
                <w:highlight w:val="yellow"/>
              </w:rPr>
            </w:pPr>
          </w:p>
        </w:tc>
        <w:tc>
          <w:tcPr>
            <w:tcW w:w="827" w:type="dxa"/>
            <w:vMerge w:val="continue"/>
            <w:noWrap w:val="0"/>
            <w:vAlign w:val="center"/>
          </w:tcPr>
          <w:p w14:paraId="1F4DA782">
            <w:pPr>
              <w:jc w:val="center"/>
              <w:rPr>
                <w:rFonts w:hint="default" w:ascii="Times New Roman" w:hAnsi="Times New Roman" w:eastAsia="宋体" w:cs="Times New Roman"/>
                <w:color w:val="auto"/>
                <w:sz w:val="21"/>
                <w:szCs w:val="21"/>
                <w:highlight w:val="yellow"/>
              </w:rPr>
            </w:pPr>
          </w:p>
        </w:tc>
      </w:tr>
      <w:tr w14:paraId="4BA5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5BAA3A75">
            <w:pPr>
              <w:jc w:val="center"/>
              <w:rPr>
                <w:rFonts w:hint="default" w:ascii="Times New Roman" w:hAnsi="Times New Roman" w:eastAsia="宋体" w:cs="Times New Roman"/>
                <w:color w:val="auto"/>
                <w:sz w:val="21"/>
                <w:szCs w:val="21"/>
                <w:highlight w:val="yellow"/>
              </w:rPr>
            </w:pPr>
          </w:p>
        </w:tc>
        <w:tc>
          <w:tcPr>
            <w:tcW w:w="1178" w:type="dxa"/>
            <w:vMerge w:val="continue"/>
            <w:noWrap w:val="0"/>
            <w:vAlign w:val="center"/>
          </w:tcPr>
          <w:p w14:paraId="7A219C81">
            <w:pPr>
              <w:jc w:val="center"/>
              <w:rPr>
                <w:rFonts w:hint="default" w:ascii="Times New Roman" w:hAnsi="Times New Roman" w:eastAsia="宋体" w:cs="Times New Roman"/>
                <w:color w:val="auto"/>
                <w:sz w:val="21"/>
                <w:szCs w:val="21"/>
                <w:highlight w:val="yellow"/>
              </w:rPr>
            </w:pPr>
          </w:p>
        </w:tc>
        <w:tc>
          <w:tcPr>
            <w:tcW w:w="870" w:type="dxa"/>
            <w:noWrap w:val="0"/>
            <w:vAlign w:val="center"/>
          </w:tcPr>
          <w:p w14:paraId="240A6A13">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iCs w:val="0"/>
                <w:color w:val="auto"/>
                <w:kern w:val="0"/>
                <w:sz w:val="21"/>
                <w:szCs w:val="21"/>
                <w:u w:val="none"/>
                <w:lang w:val="en-US" w:eastAsia="zh-CN" w:bidi="ar"/>
              </w:rPr>
              <w:t>NH</w:t>
            </w:r>
            <w:r>
              <w:rPr>
                <w:rFonts w:hint="default" w:ascii="Times New Roman" w:hAnsi="Times New Roman" w:eastAsia="宋体" w:cs="Times New Roman"/>
                <w:i w:val="0"/>
                <w:iCs w:val="0"/>
                <w:color w:val="auto"/>
                <w:kern w:val="0"/>
                <w:sz w:val="21"/>
                <w:szCs w:val="21"/>
                <w:u w:val="none"/>
                <w:vertAlign w:val="sub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-N</w:t>
            </w:r>
          </w:p>
        </w:tc>
        <w:tc>
          <w:tcPr>
            <w:tcW w:w="695" w:type="dxa"/>
            <w:noWrap w:val="0"/>
            <w:vAlign w:val="center"/>
          </w:tcPr>
          <w:p w14:paraId="1160050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noWrap w:val="0"/>
            <w:vAlign w:val="center"/>
          </w:tcPr>
          <w:p w14:paraId="2C87C78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0.015</w:t>
            </w:r>
          </w:p>
        </w:tc>
        <w:tc>
          <w:tcPr>
            <w:tcW w:w="900" w:type="dxa"/>
            <w:vMerge w:val="continue"/>
            <w:noWrap w:val="0"/>
            <w:vAlign w:val="center"/>
          </w:tcPr>
          <w:p w14:paraId="0C98A6A0">
            <w:pPr>
              <w:jc w:val="center"/>
              <w:rPr>
                <w:rFonts w:hint="default" w:ascii="Times New Roman" w:hAnsi="Times New Roman" w:eastAsia="宋体" w:cs="Times New Roman"/>
                <w:color w:val="auto"/>
                <w:sz w:val="21"/>
                <w:szCs w:val="21"/>
                <w:highlight w:val="yellow"/>
              </w:rPr>
            </w:pPr>
          </w:p>
        </w:tc>
        <w:tc>
          <w:tcPr>
            <w:tcW w:w="800" w:type="dxa"/>
            <w:vMerge w:val="continue"/>
            <w:noWrap w:val="0"/>
            <w:vAlign w:val="center"/>
          </w:tcPr>
          <w:p w14:paraId="36712E57">
            <w:pPr>
              <w:jc w:val="center"/>
              <w:rPr>
                <w:rFonts w:hint="default" w:ascii="Times New Roman" w:hAnsi="Times New Roman" w:eastAsia="宋体" w:cs="Times New Roman"/>
                <w:color w:val="auto"/>
                <w:sz w:val="21"/>
                <w:szCs w:val="21"/>
                <w:highlight w:val="yellow"/>
              </w:rPr>
            </w:pPr>
          </w:p>
        </w:tc>
        <w:tc>
          <w:tcPr>
            <w:tcW w:w="831" w:type="dxa"/>
            <w:noWrap w:val="0"/>
            <w:vAlign w:val="center"/>
          </w:tcPr>
          <w:p w14:paraId="040A2F37">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vMerge w:val="continue"/>
            <w:noWrap w:val="0"/>
            <w:vAlign w:val="center"/>
          </w:tcPr>
          <w:p w14:paraId="66309753">
            <w:pPr>
              <w:jc w:val="center"/>
              <w:rPr>
                <w:rFonts w:hint="default" w:ascii="Times New Roman" w:hAnsi="Times New Roman" w:eastAsia="宋体" w:cs="Times New Roman"/>
                <w:color w:val="auto"/>
                <w:sz w:val="21"/>
                <w:szCs w:val="21"/>
                <w:highlight w:val="yellow"/>
              </w:rPr>
            </w:pPr>
          </w:p>
        </w:tc>
        <w:tc>
          <w:tcPr>
            <w:tcW w:w="779" w:type="dxa"/>
            <w:noWrap w:val="0"/>
            <w:vAlign w:val="center"/>
          </w:tcPr>
          <w:p w14:paraId="480811C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5（8）</w:t>
            </w:r>
          </w:p>
        </w:tc>
        <w:tc>
          <w:tcPr>
            <w:tcW w:w="820" w:type="dxa"/>
            <w:noWrap w:val="0"/>
            <w:vAlign w:val="center"/>
          </w:tcPr>
          <w:p w14:paraId="2D3A5201">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0.014</w:t>
            </w:r>
          </w:p>
        </w:tc>
        <w:tc>
          <w:tcPr>
            <w:tcW w:w="889" w:type="dxa"/>
            <w:vMerge w:val="continue"/>
            <w:noWrap w:val="0"/>
            <w:vAlign w:val="center"/>
          </w:tcPr>
          <w:p w14:paraId="1504780C">
            <w:pPr>
              <w:jc w:val="center"/>
              <w:rPr>
                <w:rFonts w:hint="default" w:ascii="Times New Roman" w:hAnsi="Times New Roman" w:eastAsia="宋体" w:cs="Times New Roman"/>
                <w:color w:val="auto"/>
                <w:sz w:val="21"/>
                <w:szCs w:val="21"/>
                <w:highlight w:val="yellow"/>
              </w:rPr>
            </w:pPr>
          </w:p>
        </w:tc>
        <w:tc>
          <w:tcPr>
            <w:tcW w:w="709" w:type="dxa"/>
            <w:noWrap w:val="0"/>
            <w:vAlign w:val="center"/>
          </w:tcPr>
          <w:p w14:paraId="6FD08499">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5（8）</w:t>
            </w:r>
          </w:p>
        </w:tc>
        <w:tc>
          <w:tcPr>
            <w:tcW w:w="709" w:type="dxa"/>
            <w:noWrap w:val="0"/>
            <w:vAlign w:val="center"/>
          </w:tcPr>
          <w:p w14:paraId="31EC6D05">
            <w:pPr>
              <w:keepNext w:val="0"/>
              <w:keepLines w:val="0"/>
              <w:widowControl/>
              <w:suppressLineNumbers w:val="0"/>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184BBCD5">
            <w:pPr>
              <w:jc w:val="center"/>
              <w:rPr>
                <w:rFonts w:hint="default" w:ascii="Times New Roman" w:hAnsi="Times New Roman" w:eastAsia="宋体" w:cs="Times New Roman"/>
                <w:color w:val="auto"/>
                <w:sz w:val="21"/>
                <w:szCs w:val="21"/>
                <w:highlight w:val="yellow"/>
              </w:rPr>
            </w:pPr>
          </w:p>
        </w:tc>
        <w:tc>
          <w:tcPr>
            <w:tcW w:w="903" w:type="dxa"/>
            <w:vMerge w:val="continue"/>
            <w:noWrap w:val="0"/>
            <w:vAlign w:val="center"/>
          </w:tcPr>
          <w:p w14:paraId="6F1E7710">
            <w:pPr>
              <w:jc w:val="center"/>
              <w:rPr>
                <w:rFonts w:hint="default" w:ascii="Times New Roman" w:hAnsi="Times New Roman" w:eastAsia="宋体" w:cs="Times New Roman"/>
                <w:color w:val="auto"/>
                <w:sz w:val="21"/>
                <w:szCs w:val="21"/>
                <w:highlight w:val="yellow"/>
              </w:rPr>
            </w:pPr>
          </w:p>
        </w:tc>
        <w:tc>
          <w:tcPr>
            <w:tcW w:w="906" w:type="dxa"/>
            <w:vMerge w:val="continue"/>
            <w:noWrap w:val="0"/>
            <w:vAlign w:val="center"/>
          </w:tcPr>
          <w:p w14:paraId="2F379451">
            <w:pPr>
              <w:jc w:val="center"/>
              <w:rPr>
                <w:rFonts w:hint="default" w:ascii="Times New Roman" w:hAnsi="Times New Roman" w:eastAsia="宋体" w:cs="Times New Roman"/>
                <w:color w:val="auto"/>
                <w:sz w:val="21"/>
                <w:szCs w:val="21"/>
                <w:highlight w:val="yellow"/>
              </w:rPr>
            </w:pPr>
          </w:p>
        </w:tc>
        <w:tc>
          <w:tcPr>
            <w:tcW w:w="643" w:type="dxa"/>
            <w:vMerge w:val="continue"/>
            <w:noWrap w:val="0"/>
            <w:vAlign w:val="center"/>
          </w:tcPr>
          <w:p w14:paraId="068E7AD2">
            <w:pPr>
              <w:jc w:val="center"/>
              <w:rPr>
                <w:rFonts w:hint="default" w:ascii="Times New Roman" w:hAnsi="Times New Roman" w:eastAsia="宋体" w:cs="Times New Roman"/>
                <w:color w:val="auto"/>
                <w:sz w:val="21"/>
                <w:szCs w:val="21"/>
                <w:highlight w:val="yellow"/>
              </w:rPr>
            </w:pPr>
          </w:p>
        </w:tc>
        <w:tc>
          <w:tcPr>
            <w:tcW w:w="827" w:type="dxa"/>
            <w:vMerge w:val="continue"/>
            <w:noWrap w:val="0"/>
            <w:vAlign w:val="center"/>
          </w:tcPr>
          <w:p w14:paraId="40FB9F90">
            <w:pPr>
              <w:jc w:val="center"/>
              <w:rPr>
                <w:rFonts w:hint="default" w:ascii="Times New Roman" w:hAnsi="Times New Roman" w:eastAsia="宋体" w:cs="Times New Roman"/>
                <w:color w:val="auto"/>
                <w:sz w:val="21"/>
                <w:szCs w:val="21"/>
                <w:highlight w:val="yellow"/>
              </w:rPr>
            </w:pPr>
          </w:p>
        </w:tc>
      </w:tr>
      <w:tr w14:paraId="2AD2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05FDE277">
            <w:pPr>
              <w:jc w:val="center"/>
              <w:rPr>
                <w:rFonts w:hint="default" w:ascii="Times New Roman" w:hAnsi="Times New Roman" w:eastAsia="宋体" w:cs="Times New Roman"/>
                <w:color w:val="auto"/>
                <w:sz w:val="21"/>
                <w:szCs w:val="21"/>
                <w:highlight w:val="yellow"/>
              </w:rPr>
            </w:pPr>
          </w:p>
        </w:tc>
        <w:tc>
          <w:tcPr>
            <w:tcW w:w="1178" w:type="dxa"/>
            <w:vMerge w:val="continue"/>
            <w:noWrap w:val="0"/>
            <w:vAlign w:val="center"/>
          </w:tcPr>
          <w:p w14:paraId="594DE277">
            <w:pPr>
              <w:jc w:val="center"/>
              <w:rPr>
                <w:rFonts w:hint="default" w:ascii="Times New Roman" w:hAnsi="Times New Roman" w:eastAsia="宋体" w:cs="Times New Roman"/>
                <w:color w:val="auto"/>
                <w:sz w:val="21"/>
                <w:szCs w:val="21"/>
                <w:highlight w:val="yellow"/>
              </w:rPr>
            </w:pPr>
          </w:p>
        </w:tc>
        <w:tc>
          <w:tcPr>
            <w:tcW w:w="870" w:type="dxa"/>
            <w:noWrap w:val="0"/>
            <w:vAlign w:val="center"/>
          </w:tcPr>
          <w:p w14:paraId="5B12578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石油类</w:t>
            </w:r>
          </w:p>
        </w:tc>
        <w:tc>
          <w:tcPr>
            <w:tcW w:w="695" w:type="dxa"/>
            <w:noWrap w:val="0"/>
            <w:vAlign w:val="center"/>
          </w:tcPr>
          <w:p w14:paraId="1BF7F59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noWrap w:val="0"/>
            <w:vAlign w:val="center"/>
          </w:tcPr>
          <w:p w14:paraId="747746C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0.015</w:t>
            </w:r>
          </w:p>
        </w:tc>
        <w:tc>
          <w:tcPr>
            <w:tcW w:w="900" w:type="dxa"/>
            <w:vMerge w:val="continue"/>
            <w:noWrap w:val="0"/>
            <w:vAlign w:val="center"/>
          </w:tcPr>
          <w:p w14:paraId="0AB07641">
            <w:pPr>
              <w:jc w:val="center"/>
              <w:rPr>
                <w:rFonts w:hint="default" w:ascii="Times New Roman" w:hAnsi="Times New Roman" w:eastAsia="宋体" w:cs="Times New Roman"/>
                <w:color w:val="auto"/>
                <w:sz w:val="21"/>
                <w:szCs w:val="21"/>
                <w:highlight w:val="yellow"/>
              </w:rPr>
            </w:pPr>
          </w:p>
        </w:tc>
        <w:tc>
          <w:tcPr>
            <w:tcW w:w="800" w:type="dxa"/>
            <w:vMerge w:val="continue"/>
            <w:noWrap w:val="0"/>
            <w:vAlign w:val="center"/>
          </w:tcPr>
          <w:p w14:paraId="35ABDAC5">
            <w:pPr>
              <w:jc w:val="center"/>
              <w:rPr>
                <w:rFonts w:hint="default" w:ascii="Times New Roman" w:hAnsi="Times New Roman" w:eastAsia="宋体" w:cs="Times New Roman"/>
                <w:color w:val="auto"/>
                <w:sz w:val="21"/>
                <w:szCs w:val="21"/>
                <w:highlight w:val="yellow"/>
              </w:rPr>
            </w:pPr>
          </w:p>
        </w:tc>
        <w:tc>
          <w:tcPr>
            <w:tcW w:w="831" w:type="dxa"/>
            <w:noWrap w:val="0"/>
            <w:vAlign w:val="center"/>
          </w:tcPr>
          <w:p w14:paraId="553EBD4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vMerge w:val="continue"/>
            <w:noWrap w:val="0"/>
            <w:vAlign w:val="center"/>
          </w:tcPr>
          <w:p w14:paraId="1B06D5C7">
            <w:pPr>
              <w:jc w:val="center"/>
              <w:rPr>
                <w:rFonts w:hint="default" w:ascii="Times New Roman" w:hAnsi="Times New Roman" w:eastAsia="宋体" w:cs="Times New Roman"/>
                <w:color w:val="auto"/>
                <w:sz w:val="21"/>
                <w:szCs w:val="21"/>
                <w:highlight w:val="yellow"/>
              </w:rPr>
            </w:pPr>
          </w:p>
        </w:tc>
        <w:tc>
          <w:tcPr>
            <w:tcW w:w="779" w:type="dxa"/>
            <w:noWrap w:val="0"/>
            <w:vAlign w:val="center"/>
          </w:tcPr>
          <w:p w14:paraId="014D425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820" w:type="dxa"/>
            <w:noWrap w:val="0"/>
            <w:vAlign w:val="center"/>
          </w:tcPr>
          <w:p w14:paraId="106C75F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0.002</w:t>
            </w:r>
          </w:p>
        </w:tc>
        <w:tc>
          <w:tcPr>
            <w:tcW w:w="889" w:type="dxa"/>
            <w:vMerge w:val="continue"/>
            <w:noWrap w:val="0"/>
            <w:vAlign w:val="center"/>
          </w:tcPr>
          <w:p w14:paraId="63213E39">
            <w:pPr>
              <w:jc w:val="center"/>
              <w:rPr>
                <w:rFonts w:hint="default" w:ascii="Times New Roman" w:hAnsi="Times New Roman" w:eastAsia="宋体" w:cs="Times New Roman"/>
                <w:color w:val="auto"/>
                <w:sz w:val="21"/>
                <w:szCs w:val="21"/>
                <w:highlight w:val="yellow"/>
              </w:rPr>
            </w:pPr>
          </w:p>
        </w:tc>
        <w:tc>
          <w:tcPr>
            <w:tcW w:w="709" w:type="dxa"/>
            <w:noWrap w:val="0"/>
            <w:vAlign w:val="center"/>
          </w:tcPr>
          <w:p w14:paraId="11E7900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09" w:type="dxa"/>
            <w:noWrap w:val="0"/>
            <w:vAlign w:val="center"/>
          </w:tcPr>
          <w:p w14:paraId="47DB407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115AE65E">
            <w:pPr>
              <w:jc w:val="center"/>
              <w:rPr>
                <w:rFonts w:hint="default" w:ascii="Times New Roman" w:hAnsi="Times New Roman" w:eastAsia="宋体" w:cs="Times New Roman"/>
                <w:color w:val="auto"/>
                <w:sz w:val="21"/>
                <w:szCs w:val="21"/>
                <w:highlight w:val="yellow"/>
              </w:rPr>
            </w:pPr>
          </w:p>
        </w:tc>
        <w:tc>
          <w:tcPr>
            <w:tcW w:w="903" w:type="dxa"/>
            <w:vMerge w:val="continue"/>
            <w:noWrap w:val="0"/>
            <w:vAlign w:val="center"/>
          </w:tcPr>
          <w:p w14:paraId="41F88667">
            <w:pPr>
              <w:jc w:val="center"/>
              <w:rPr>
                <w:rFonts w:hint="default" w:ascii="Times New Roman" w:hAnsi="Times New Roman" w:eastAsia="宋体" w:cs="Times New Roman"/>
                <w:color w:val="auto"/>
                <w:sz w:val="21"/>
                <w:szCs w:val="21"/>
                <w:highlight w:val="yellow"/>
              </w:rPr>
            </w:pPr>
          </w:p>
        </w:tc>
        <w:tc>
          <w:tcPr>
            <w:tcW w:w="906" w:type="dxa"/>
            <w:vMerge w:val="continue"/>
            <w:noWrap w:val="0"/>
            <w:vAlign w:val="center"/>
          </w:tcPr>
          <w:p w14:paraId="286A5D00">
            <w:pPr>
              <w:jc w:val="center"/>
              <w:rPr>
                <w:rFonts w:hint="default" w:ascii="Times New Roman" w:hAnsi="Times New Roman" w:eastAsia="宋体" w:cs="Times New Roman"/>
                <w:color w:val="auto"/>
                <w:sz w:val="21"/>
                <w:szCs w:val="21"/>
                <w:highlight w:val="yellow"/>
              </w:rPr>
            </w:pPr>
          </w:p>
        </w:tc>
        <w:tc>
          <w:tcPr>
            <w:tcW w:w="643" w:type="dxa"/>
            <w:vMerge w:val="continue"/>
            <w:noWrap w:val="0"/>
            <w:vAlign w:val="center"/>
          </w:tcPr>
          <w:p w14:paraId="6E4E5522">
            <w:pPr>
              <w:jc w:val="center"/>
              <w:rPr>
                <w:rFonts w:hint="default" w:ascii="Times New Roman" w:hAnsi="Times New Roman" w:eastAsia="宋体" w:cs="Times New Roman"/>
                <w:color w:val="auto"/>
                <w:sz w:val="21"/>
                <w:szCs w:val="21"/>
                <w:highlight w:val="yellow"/>
              </w:rPr>
            </w:pPr>
          </w:p>
        </w:tc>
        <w:tc>
          <w:tcPr>
            <w:tcW w:w="827" w:type="dxa"/>
            <w:vMerge w:val="continue"/>
            <w:noWrap w:val="0"/>
            <w:vAlign w:val="center"/>
          </w:tcPr>
          <w:p w14:paraId="1614BD65">
            <w:pPr>
              <w:jc w:val="center"/>
              <w:rPr>
                <w:rFonts w:hint="default" w:ascii="Times New Roman" w:hAnsi="Times New Roman" w:eastAsia="宋体" w:cs="Times New Roman"/>
                <w:color w:val="auto"/>
                <w:sz w:val="21"/>
                <w:szCs w:val="21"/>
                <w:highlight w:val="yellow"/>
              </w:rPr>
            </w:pPr>
          </w:p>
        </w:tc>
      </w:tr>
      <w:tr w14:paraId="5D55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5" w:type="dxa"/>
            <w:vMerge w:val="continue"/>
            <w:noWrap w:val="0"/>
            <w:vAlign w:val="center"/>
          </w:tcPr>
          <w:p w14:paraId="0F9C342D">
            <w:pPr>
              <w:jc w:val="center"/>
              <w:rPr>
                <w:rFonts w:hint="default" w:ascii="Times New Roman" w:hAnsi="Times New Roman" w:eastAsia="宋体" w:cs="Times New Roman"/>
                <w:color w:val="auto"/>
                <w:sz w:val="21"/>
                <w:szCs w:val="21"/>
                <w:highlight w:val="yellow"/>
              </w:rPr>
            </w:pPr>
          </w:p>
        </w:tc>
        <w:tc>
          <w:tcPr>
            <w:tcW w:w="1178" w:type="dxa"/>
            <w:vMerge w:val="continue"/>
            <w:noWrap w:val="0"/>
            <w:vAlign w:val="center"/>
          </w:tcPr>
          <w:p w14:paraId="54812704">
            <w:pPr>
              <w:jc w:val="center"/>
              <w:rPr>
                <w:rFonts w:hint="default" w:ascii="Times New Roman" w:hAnsi="Times New Roman" w:eastAsia="宋体" w:cs="Times New Roman"/>
                <w:color w:val="auto"/>
                <w:sz w:val="21"/>
                <w:szCs w:val="21"/>
                <w:highlight w:val="yellow"/>
              </w:rPr>
            </w:pPr>
          </w:p>
        </w:tc>
        <w:tc>
          <w:tcPr>
            <w:tcW w:w="870" w:type="dxa"/>
            <w:noWrap w:val="0"/>
            <w:vAlign w:val="center"/>
          </w:tcPr>
          <w:p w14:paraId="7F24D264">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LAS</w:t>
            </w:r>
          </w:p>
        </w:tc>
        <w:tc>
          <w:tcPr>
            <w:tcW w:w="695" w:type="dxa"/>
            <w:noWrap w:val="0"/>
            <w:vAlign w:val="center"/>
          </w:tcPr>
          <w:p w14:paraId="3781CE3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915" w:type="dxa"/>
            <w:noWrap w:val="0"/>
            <w:vAlign w:val="center"/>
          </w:tcPr>
          <w:p w14:paraId="4C28B15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0.026</w:t>
            </w:r>
          </w:p>
        </w:tc>
        <w:tc>
          <w:tcPr>
            <w:tcW w:w="900" w:type="dxa"/>
            <w:vMerge w:val="continue"/>
            <w:noWrap w:val="0"/>
            <w:vAlign w:val="center"/>
          </w:tcPr>
          <w:p w14:paraId="67F31153">
            <w:pPr>
              <w:jc w:val="center"/>
              <w:rPr>
                <w:rFonts w:hint="default" w:ascii="Times New Roman" w:hAnsi="Times New Roman" w:eastAsia="宋体" w:cs="Times New Roman"/>
                <w:color w:val="auto"/>
                <w:sz w:val="21"/>
                <w:szCs w:val="21"/>
                <w:highlight w:val="yellow"/>
              </w:rPr>
            </w:pPr>
          </w:p>
        </w:tc>
        <w:tc>
          <w:tcPr>
            <w:tcW w:w="800" w:type="dxa"/>
            <w:vMerge w:val="continue"/>
            <w:noWrap w:val="0"/>
            <w:vAlign w:val="center"/>
          </w:tcPr>
          <w:p w14:paraId="7B9C2890">
            <w:pPr>
              <w:jc w:val="center"/>
              <w:rPr>
                <w:rFonts w:hint="default" w:ascii="Times New Roman" w:hAnsi="Times New Roman" w:eastAsia="宋体" w:cs="Times New Roman"/>
                <w:color w:val="auto"/>
                <w:sz w:val="21"/>
                <w:szCs w:val="21"/>
                <w:highlight w:val="yellow"/>
              </w:rPr>
            </w:pPr>
          </w:p>
        </w:tc>
        <w:tc>
          <w:tcPr>
            <w:tcW w:w="831" w:type="dxa"/>
            <w:noWrap w:val="0"/>
            <w:vAlign w:val="center"/>
          </w:tcPr>
          <w:p w14:paraId="6C2CCDD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vMerge w:val="continue"/>
            <w:noWrap w:val="0"/>
            <w:vAlign w:val="center"/>
          </w:tcPr>
          <w:p w14:paraId="06435F0E">
            <w:pPr>
              <w:jc w:val="center"/>
              <w:rPr>
                <w:rFonts w:hint="default" w:ascii="Times New Roman" w:hAnsi="Times New Roman" w:eastAsia="宋体" w:cs="Times New Roman"/>
                <w:color w:val="auto"/>
                <w:sz w:val="21"/>
                <w:szCs w:val="21"/>
                <w:highlight w:val="yellow"/>
              </w:rPr>
            </w:pPr>
          </w:p>
        </w:tc>
        <w:tc>
          <w:tcPr>
            <w:tcW w:w="779" w:type="dxa"/>
            <w:noWrap w:val="0"/>
            <w:vAlign w:val="center"/>
          </w:tcPr>
          <w:p w14:paraId="49D0C8F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0.5</w:t>
            </w:r>
          </w:p>
        </w:tc>
        <w:tc>
          <w:tcPr>
            <w:tcW w:w="820" w:type="dxa"/>
            <w:noWrap w:val="0"/>
            <w:vAlign w:val="center"/>
          </w:tcPr>
          <w:p w14:paraId="7AE7122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0.001</w:t>
            </w:r>
          </w:p>
        </w:tc>
        <w:tc>
          <w:tcPr>
            <w:tcW w:w="889" w:type="dxa"/>
            <w:vMerge w:val="continue"/>
            <w:noWrap w:val="0"/>
            <w:vAlign w:val="center"/>
          </w:tcPr>
          <w:p w14:paraId="592E1A69">
            <w:pPr>
              <w:jc w:val="center"/>
              <w:rPr>
                <w:rFonts w:hint="default" w:ascii="Times New Roman" w:hAnsi="Times New Roman" w:eastAsia="宋体" w:cs="Times New Roman"/>
                <w:color w:val="auto"/>
                <w:sz w:val="21"/>
                <w:szCs w:val="21"/>
                <w:highlight w:val="yellow"/>
              </w:rPr>
            </w:pPr>
          </w:p>
        </w:tc>
        <w:tc>
          <w:tcPr>
            <w:tcW w:w="709" w:type="dxa"/>
            <w:noWrap w:val="0"/>
            <w:vAlign w:val="center"/>
          </w:tcPr>
          <w:p w14:paraId="4E2A562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09" w:type="dxa"/>
            <w:noWrap w:val="0"/>
            <w:vAlign w:val="center"/>
          </w:tcPr>
          <w:p w14:paraId="2A2B316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c>
          <w:tcPr>
            <w:tcW w:w="461" w:type="dxa"/>
            <w:vMerge w:val="continue"/>
            <w:noWrap w:val="0"/>
            <w:vAlign w:val="center"/>
          </w:tcPr>
          <w:p w14:paraId="2D8E035A">
            <w:pPr>
              <w:jc w:val="center"/>
              <w:rPr>
                <w:rFonts w:hint="default" w:ascii="Times New Roman" w:hAnsi="Times New Roman" w:eastAsia="宋体" w:cs="Times New Roman"/>
                <w:color w:val="auto"/>
                <w:sz w:val="21"/>
                <w:szCs w:val="21"/>
                <w:highlight w:val="yellow"/>
              </w:rPr>
            </w:pPr>
          </w:p>
        </w:tc>
        <w:tc>
          <w:tcPr>
            <w:tcW w:w="903" w:type="dxa"/>
            <w:vMerge w:val="continue"/>
            <w:noWrap w:val="0"/>
            <w:vAlign w:val="center"/>
          </w:tcPr>
          <w:p w14:paraId="1A181B1B">
            <w:pPr>
              <w:jc w:val="center"/>
              <w:rPr>
                <w:rFonts w:hint="default" w:ascii="Times New Roman" w:hAnsi="Times New Roman" w:eastAsia="宋体" w:cs="Times New Roman"/>
                <w:color w:val="auto"/>
                <w:sz w:val="21"/>
                <w:szCs w:val="21"/>
                <w:highlight w:val="yellow"/>
              </w:rPr>
            </w:pPr>
          </w:p>
        </w:tc>
        <w:tc>
          <w:tcPr>
            <w:tcW w:w="906" w:type="dxa"/>
            <w:vMerge w:val="continue"/>
            <w:noWrap w:val="0"/>
            <w:vAlign w:val="center"/>
          </w:tcPr>
          <w:p w14:paraId="531E5E53">
            <w:pPr>
              <w:jc w:val="center"/>
              <w:rPr>
                <w:rFonts w:hint="default" w:ascii="Times New Roman" w:hAnsi="Times New Roman" w:eastAsia="宋体" w:cs="Times New Roman"/>
                <w:color w:val="auto"/>
                <w:sz w:val="21"/>
                <w:szCs w:val="21"/>
                <w:highlight w:val="yellow"/>
              </w:rPr>
            </w:pPr>
          </w:p>
        </w:tc>
        <w:tc>
          <w:tcPr>
            <w:tcW w:w="643" w:type="dxa"/>
            <w:vMerge w:val="continue"/>
            <w:noWrap w:val="0"/>
            <w:vAlign w:val="center"/>
          </w:tcPr>
          <w:p w14:paraId="5525CCC8">
            <w:pPr>
              <w:jc w:val="center"/>
              <w:rPr>
                <w:rFonts w:hint="default" w:ascii="Times New Roman" w:hAnsi="Times New Roman" w:eastAsia="宋体" w:cs="Times New Roman"/>
                <w:color w:val="auto"/>
                <w:sz w:val="21"/>
                <w:szCs w:val="21"/>
                <w:highlight w:val="yellow"/>
              </w:rPr>
            </w:pPr>
          </w:p>
        </w:tc>
        <w:tc>
          <w:tcPr>
            <w:tcW w:w="827" w:type="dxa"/>
            <w:vMerge w:val="continue"/>
            <w:noWrap w:val="0"/>
            <w:vAlign w:val="center"/>
          </w:tcPr>
          <w:p w14:paraId="12FAF577">
            <w:pPr>
              <w:jc w:val="center"/>
              <w:rPr>
                <w:rFonts w:hint="default" w:ascii="Times New Roman" w:hAnsi="Times New Roman" w:eastAsia="宋体" w:cs="Times New Roman"/>
                <w:color w:val="auto"/>
                <w:sz w:val="21"/>
                <w:szCs w:val="21"/>
                <w:highlight w:val="yellow"/>
              </w:rPr>
            </w:pPr>
          </w:p>
        </w:tc>
      </w:tr>
    </w:tbl>
    <w:p w14:paraId="0701DE0E">
      <w:pPr>
        <w:pStyle w:val="16"/>
        <w:jc w:val="center"/>
        <w:outlineLvl w:val="0"/>
        <w:rPr>
          <w:rFonts w:hint="default" w:ascii="Times New Roman" w:hAnsi="Times New Roman" w:eastAsia="宋体" w:cs="Times New Roman"/>
          <w:snapToGrid w:val="0"/>
          <w:color w:val="auto"/>
          <w:sz w:val="30"/>
          <w:szCs w:val="30"/>
          <w:highlight w:val="yellow"/>
        </w:rPr>
        <w:sectPr>
          <w:pgSz w:w="16838" w:h="11906" w:orient="landscape"/>
          <w:pgMar w:top="720" w:right="720" w:bottom="720" w:left="720" w:header="851" w:footer="851" w:gutter="0"/>
          <w:pgNumType w:fmt="decimal"/>
          <w:cols w:space="720" w:num="1"/>
          <w:docGrid w:linePitch="312" w:charSpace="0"/>
        </w:sectPr>
      </w:pP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3C117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03" w:hRule="atLeast"/>
          <w:jc w:val="center"/>
        </w:trPr>
        <w:tc>
          <w:tcPr>
            <w:tcW w:w="746" w:type="dxa"/>
            <w:noWrap w:val="0"/>
            <w:tcMar>
              <w:left w:w="28" w:type="dxa"/>
              <w:right w:w="28" w:type="dxa"/>
            </w:tcMar>
            <w:vAlign w:val="center"/>
          </w:tcPr>
          <w:p w14:paraId="3372718C">
            <w:pPr>
              <w:adjustRightInd w:val="0"/>
              <w:snapToGrid w:val="0"/>
              <w:spacing w:line="360" w:lineRule="auto"/>
              <w:jc w:val="center"/>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运营</w:t>
            </w:r>
          </w:p>
          <w:p w14:paraId="6161F4E3">
            <w:pPr>
              <w:adjustRightInd w:val="0"/>
              <w:snapToGrid w:val="0"/>
              <w:spacing w:line="360" w:lineRule="auto"/>
              <w:jc w:val="center"/>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期环</w:t>
            </w:r>
          </w:p>
          <w:p w14:paraId="12D28D33">
            <w:pPr>
              <w:adjustRightInd w:val="0"/>
              <w:snapToGrid w:val="0"/>
              <w:spacing w:line="360" w:lineRule="auto"/>
              <w:jc w:val="center"/>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境影</w:t>
            </w:r>
          </w:p>
          <w:p w14:paraId="7A9A70D6">
            <w:pPr>
              <w:adjustRightInd w:val="0"/>
              <w:snapToGrid w:val="0"/>
              <w:spacing w:line="360" w:lineRule="auto"/>
              <w:jc w:val="center"/>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响和</w:t>
            </w:r>
          </w:p>
          <w:p w14:paraId="56B85A55">
            <w:pPr>
              <w:adjustRightInd w:val="0"/>
              <w:snapToGrid w:val="0"/>
              <w:spacing w:line="360" w:lineRule="auto"/>
              <w:jc w:val="center"/>
              <w:rPr>
                <w:rFonts w:hint="default" w:ascii="Times New Roman" w:hAnsi="Times New Roman" w:eastAsia="宋体" w:cs="Times New Roman"/>
                <w:bCs/>
                <w:color w:val="auto"/>
                <w:sz w:val="24"/>
                <w:szCs w:val="26"/>
              </w:rPr>
            </w:pPr>
            <w:r>
              <w:rPr>
                <w:rFonts w:hint="default" w:ascii="Times New Roman" w:hAnsi="Times New Roman" w:eastAsia="宋体" w:cs="Times New Roman"/>
                <w:bCs/>
                <w:color w:val="auto"/>
                <w:sz w:val="24"/>
                <w:szCs w:val="26"/>
              </w:rPr>
              <w:t>保护</w:t>
            </w:r>
          </w:p>
          <w:p w14:paraId="76165AD4">
            <w:pPr>
              <w:adjustRightInd w:val="0"/>
              <w:snapToGrid w:val="0"/>
              <w:spacing w:line="360" w:lineRule="auto"/>
              <w:jc w:val="center"/>
              <w:rPr>
                <w:rFonts w:hint="default" w:ascii="Times New Roman" w:hAnsi="Times New Roman" w:eastAsia="宋体" w:cs="Times New Roman"/>
                <w:bCs/>
                <w:color w:val="auto"/>
                <w:szCs w:val="21"/>
                <w:highlight w:val="yellow"/>
              </w:rPr>
            </w:pPr>
            <w:r>
              <w:rPr>
                <w:rFonts w:hint="default" w:ascii="Times New Roman" w:hAnsi="Times New Roman" w:eastAsia="宋体" w:cs="Times New Roman"/>
                <w:bCs/>
                <w:color w:val="auto"/>
                <w:sz w:val="24"/>
                <w:szCs w:val="26"/>
              </w:rPr>
              <w:t>措施</w:t>
            </w:r>
          </w:p>
        </w:tc>
        <w:tc>
          <w:tcPr>
            <w:tcW w:w="8162" w:type="dxa"/>
            <w:noWrap w:val="0"/>
            <w:vAlign w:val="center"/>
          </w:tcPr>
          <w:p w14:paraId="5CF017FF">
            <w:pPr>
              <w:adjustRightInd w:val="0"/>
              <w:snapToGrid w:val="0"/>
              <w:spacing w:line="360" w:lineRule="auto"/>
              <w:ind w:firstLine="482" w:firstLineChars="200"/>
              <w:rPr>
                <w:rFonts w:hint="default" w:ascii="Times New Roman" w:hAnsi="Times New Roman" w:eastAsia="宋体" w:cs="Times New Roman"/>
                <w:b/>
                <w:bCs/>
                <w:color w:val="auto"/>
                <w:sz w:val="24"/>
                <w:szCs w:val="26"/>
              </w:rPr>
            </w:pPr>
            <w:r>
              <w:rPr>
                <w:rFonts w:hint="default" w:ascii="Times New Roman" w:hAnsi="Times New Roman" w:eastAsia="宋体" w:cs="Times New Roman"/>
                <w:b/>
                <w:bCs/>
                <w:color w:val="auto"/>
                <w:sz w:val="24"/>
                <w:szCs w:val="26"/>
              </w:rPr>
              <w:t>（3）可行性分析</w:t>
            </w:r>
          </w:p>
          <w:p w14:paraId="53E8D815">
            <w:pPr>
              <w:adjustRightInd w:val="0"/>
              <w:snapToGrid w:val="0"/>
              <w:spacing w:line="360" w:lineRule="auto"/>
              <w:ind w:firstLine="482" w:firstLineChars="200"/>
              <w:rPr>
                <w:rFonts w:hint="default" w:ascii="Times New Roman" w:hAnsi="Times New Roman" w:eastAsia="宋体" w:cs="Times New Roman"/>
                <w:b/>
                <w:bCs/>
                <w:color w:val="auto"/>
                <w:sz w:val="24"/>
                <w:szCs w:val="26"/>
              </w:rPr>
            </w:pPr>
            <w:r>
              <w:rPr>
                <w:rFonts w:hint="default" w:ascii="Times New Roman" w:hAnsi="Times New Roman" w:eastAsia="宋体" w:cs="Times New Roman"/>
                <w:b/>
                <w:bCs/>
                <w:color w:val="auto"/>
                <w:sz w:val="24"/>
                <w:szCs w:val="26"/>
              </w:rPr>
              <w:t>①站区生化池可行性</w:t>
            </w:r>
          </w:p>
          <w:p w14:paraId="51467526">
            <w:pPr>
              <w:pStyle w:val="62"/>
              <w:spacing w:line="360" w:lineRule="auto"/>
              <w:ind w:firstLine="470" w:firstLineChars="196"/>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本项目生活污水依托</w:t>
            </w:r>
            <w:r>
              <w:rPr>
                <w:rFonts w:hint="default" w:ascii="Times New Roman" w:hAnsi="Times New Roman" w:eastAsia="宋体" w:cs="Times New Roman"/>
                <w:color w:val="auto"/>
                <w:sz w:val="24"/>
                <w:szCs w:val="26"/>
              </w:rPr>
              <w:t>站</w:t>
            </w:r>
            <w:r>
              <w:rPr>
                <w:rFonts w:hint="default" w:ascii="Times New Roman" w:hAnsi="Times New Roman" w:eastAsia="宋体" w:cs="Times New Roman"/>
                <w:color w:val="auto"/>
                <w:sz w:val="24"/>
              </w:rPr>
              <w:t>区南侧生化池进行处理，生活污水产生量约为</w:t>
            </w:r>
            <w:r>
              <w:rPr>
                <w:rFonts w:hint="eastAsia" w:cs="Times New Roman"/>
                <w:color w:val="auto"/>
                <w:sz w:val="24"/>
                <w:lang w:val="en-US" w:eastAsia="zh-CN"/>
              </w:rPr>
              <w:t>0.893</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/d，考虑现有生化池设计处理能力为</w:t>
            </w:r>
            <w:r>
              <w:rPr>
                <w:rFonts w:hint="eastAsia" w:cs="Times New Roman"/>
                <w:color w:val="auto"/>
                <w:sz w:val="24"/>
                <w:lang w:val="en-US" w:eastAsia="zh-CN"/>
              </w:rPr>
              <w:t>3</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/d，生化池位于站内站房南侧，设计出水标准为</w:t>
            </w:r>
            <w:r>
              <w:rPr>
                <w:rFonts w:hint="default" w:ascii="Times New Roman" w:hAnsi="Times New Roman" w:eastAsia="宋体" w:cs="Times New Roman"/>
                <w:color w:val="auto"/>
                <w:sz w:val="24"/>
                <w:szCs w:val="26"/>
              </w:rPr>
              <w:t>《污水综合排放标准》（GB8978-1996）三级标准</w:t>
            </w:r>
            <w:r>
              <w:rPr>
                <w:rFonts w:hint="default" w:ascii="Times New Roman" w:hAnsi="Times New Roman" w:eastAsia="宋体" w:cs="Times New Roman"/>
                <w:color w:val="auto"/>
                <w:sz w:val="24"/>
              </w:rPr>
              <w:t>。因此，生化池能够处理该项目排放的生活污水。</w:t>
            </w:r>
          </w:p>
          <w:p w14:paraId="2A1F6825">
            <w:pPr>
              <w:adjustRightInd w:val="0"/>
              <w:snapToGrid w:val="0"/>
              <w:spacing w:line="360" w:lineRule="auto"/>
              <w:ind w:firstLine="482" w:firstLineChars="200"/>
              <w:rPr>
                <w:rFonts w:hint="default" w:ascii="Times New Roman" w:hAnsi="Times New Roman" w:eastAsia="宋体" w:cs="Times New Roman"/>
                <w:b/>
                <w:bCs/>
                <w:color w:val="auto"/>
                <w:sz w:val="24"/>
                <w:szCs w:val="26"/>
              </w:rPr>
            </w:pPr>
            <w:r>
              <w:rPr>
                <w:rFonts w:hint="default" w:ascii="Times New Roman" w:hAnsi="Times New Roman" w:eastAsia="宋体" w:cs="Times New Roman"/>
                <w:b/>
                <w:bCs/>
                <w:color w:val="auto"/>
                <w:sz w:val="24"/>
                <w:szCs w:val="26"/>
              </w:rPr>
              <w:t>②站区三段式隔油池可行性</w:t>
            </w:r>
          </w:p>
          <w:p w14:paraId="2D53BF05">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szCs w:val="26"/>
              </w:rPr>
              <w:t>本项目在站区</w:t>
            </w:r>
            <w:r>
              <w:rPr>
                <w:rFonts w:hint="eastAsia" w:cs="Times New Roman"/>
                <w:color w:val="auto"/>
                <w:sz w:val="24"/>
                <w:szCs w:val="26"/>
                <w:lang w:val="en-US" w:eastAsia="zh-CN"/>
              </w:rPr>
              <w:t>东北</w:t>
            </w:r>
            <w:r>
              <w:rPr>
                <w:rFonts w:hint="default" w:ascii="Times New Roman" w:hAnsi="Times New Roman" w:eastAsia="宋体" w:cs="Times New Roman"/>
                <w:color w:val="auto"/>
                <w:sz w:val="24"/>
                <w:szCs w:val="26"/>
              </w:rPr>
              <w:t>侧设置1座三段式隔油池，用于处理站内地面冲洗废水</w:t>
            </w:r>
            <w:r>
              <w:rPr>
                <w:rFonts w:hint="eastAsia" w:cs="Times New Roman"/>
                <w:color w:val="auto"/>
                <w:sz w:val="24"/>
                <w:szCs w:val="26"/>
                <w:lang w:val="en-US" w:eastAsia="zh-CN"/>
              </w:rPr>
              <w:t>和洗车废水</w:t>
            </w:r>
            <w:r>
              <w:rPr>
                <w:rFonts w:hint="default" w:ascii="Times New Roman" w:hAnsi="Times New Roman" w:eastAsia="宋体" w:cs="Times New Roman"/>
                <w:color w:val="auto"/>
                <w:sz w:val="24"/>
                <w:szCs w:val="26"/>
              </w:rPr>
              <w:t>，处理能力约</w:t>
            </w:r>
            <w:r>
              <w:rPr>
                <w:rFonts w:hint="eastAsia" w:cs="Times New Roman"/>
                <w:color w:val="auto"/>
                <w:sz w:val="24"/>
                <w:szCs w:val="26"/>
                <w:lang w:val="en-US" w:eastAsia="zh-CN"/>
              </w:rPr>
              <w:t>6</w:t>
            </w:r>
            <w:r>
              <w:rPr>
                <w:rFonts w:hint="default" w:ascii="Times New Roman" w:hAnsi="Times New Roman" w:eastAsia="宋体" w:cs="Times New Roman"/>
                <w:bCs/>
                <w:color w:val="auto"/>
                <w:sz w:val="24"/>
                <w:szCs w:val="26"/>
              </w:rPr>
              <w:t>m</w:t>
            </w:r>
            <w:r>
              <w:rPr>
                <w:rFonts w:hint="default" w:ascii="Times New Roman" w:hAnsi="Times New Roman" w:eastAsia="宋体" w:cs="Times New Roman"/>
                <w:bCs/>
                <w:color w:val="auto"/>
                <w:sz w:val="24"/>
                <w:szCs w:val="26"/>
                <w:vertAlign w:val="superscript"/>
              </w:rPr>
              <w:t>3</w:t>
            </w:r>
            <w:r>
              <w:rPr>
                <w:rFonts w:hint="default" w:ascii="Times New Roman" w:hAnsi="Times New Roman" w:eastAsia="宋体" w:cs="Times New Roman"/>
                <w:bCs/>
                <w:color w:val="auto"/>
                <w:sz w:val="24"/>
                <w:szCs w:val="26"/>
              </w:rPr>
              <w:t>/d。本项目站内地面冲洗废水</w:t>
            </w:r>
            <w:r>
              <w:rPr>
                <w:rFonts w:hint="eastAsia" w:cs="Times New Roman"/>
                <w:bCs/>
                <w:color w:val="auto"/>
                <w:sz w:val="24"/>
                <w:szCs w:val="26"/>
                <w:lang w:eastAsia="zh-CN"/>
              </w:rPr>
              <w:t>、</w:t>
            </w:r>
            <w:r>
              <w:rPr>
                <w:rFonts w:hint="eastAsia" w:cs="Times New Roman"/>
                <w:bCs/>
                <w:color w:val="auto"/>
                <w:sz w:val="24"/>
                <w:szCs w:val="26"/>
                <w:lang w:val="en-US" w:eastAsia="zh-CN"/>
              </w:rPr>
              <w:t>洗车废水</w:t>
            </w:r>
            <w:r>
              <w:rPr>
                <w:rFonts w:hint="default" w:ascii="Times New Roman" w:hAnsi="Times New Roman" w:eastAsia="宋体" w:cs="Times New Roman"/>
                <w:bCs/>
                <w:color w:val="auto"/>
                <w:sz w:val="24"/>
                <w:szCs w:val="26"/>
              </w:rPr>
              <w:t>与现有工程一致，产生量约为</w:t>
            </w:r>
            <w:r>
              <w:rPr>
                <w:rFonts w:hint="eastAsia" w:cs="Times New Roman"/>
                <w:bCs/>
                <w:color w:val="auto"/>
                <w:sz w:val="24"/>
                <w:szCs w:val="26"/>
                <w:lang w:val="en-US" w:eastAsia="zh-CN"/>
              </w:rPr>
              <w:t>5.76</w:t>
            </w:r>
            <w:r>
              <w:rPr>
                <w:rFonts w:hint="default" w:ascii="Times New Roman" w:hAnsi="Times New Roman" w:eastAsia="宋体" w:cs="Times New Roman"/>
                <w:bCs/>
                <w:color w:val="auto"/>
                <w:sz w:val="24"/>
                <w:szCs w:val="26"/>
              </w:rPr>
              <w:t>m</w:t>
            </w:r>
            <w:r>
              <w:rPr>
                <w:rFonts w:hint="default" w:ascii="Times New Roman" w:hAnsi="Times New Roman" w:eastAsia="宋体" w:cs="Times New Roman"/>
                <w:bCs/>
                <w:color w:val="auto"/>
                <w:sz w:val="24"/>
                <w:szCs w:val="26"/>
                <w:vertAlign w:val="superscript"/>
              </w:rPr>
              <w:t>3</w:t>
            </w:r>
            <w:r>
              <w:rPr>
                <w:rFonts w:hint="default" w:ascii="Times New Roman" w:hAnsi="Times New Roman" w:eastAsia="宋体" w:cs="Times New Roman"/>
                <w:bCs/>
                <w:color w:val="auto"/>
                <w:sz w:val="24"/>
                <w:szCs w:val="26"/>
              </w:rPr>
              <w:t>/次，设计出水标准为《污水综合排放标准》（GB8978-1996）三级</w:t>
            </w:r>
            <w:r>
              <w:rPr>
                <w:rFonts w:hint="default" w:ascii="Times New Roman" w:hAnsi="Times New Roman" w:eastAsia="宋体" w:cs="Times New Roman"/>
                <w:bCs/>
                <w:color w:val="auto"/>
                <w:sz w:val="24"/>
              </w:rPr>
              <w:t>标准。</w:t>
            </w:r>
            <w:r>
              <w:rPr>
                <w:rFonts w:hint="default" w:ascii="Times New Roman" w:hAnsi="Times New Roman" w:eastAsia="宋体" w:cs="Times New Roman"/>
                <w:color w:val="auto"/>
                <w:sz w:val="24"/>
              </w:rPr>
              <w:t>根据加油站例行监测报告</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rPr>
              <w:t>场地冲洗废水</w:t>
            </w:r>
            <w:r>
              <w:rPr>
                <w:rFonts w:hint="eastAsia" w:cs="Times New Roman"/>
                <w:color w:val="auto"/>
                <w:sz w:val="24"/>
                <w:lang w:eastAsia="zh-CN"/>
              </w:rPr>
              <w:t>、</w:t>
            </w:r>
            <w:r>
              <w:rPr>
                <w:rFonts w:hint="eastAsia" w:cs="Times New Roman"/>
                <w:color w:val="auto"/>
                <w:sz w:val="24"/>
                <w:lang w:val="en-US" w:eastAsia="zh-CN"/>
              </w:rPr>
              <w:t>洗车废水</w:t>
            </w:r>
            <w:r>
              <w:rPr>
                <w:rFonts w:hint="default" w:ascii="Times New Roman" w:hAnsi="Times New Roman" w:eastAsia="宋体" w:cs="Times New Roman"/>
                <w:color w:val="auto"/>
                <w:sz w:val="24"/>
              </w:rPr>
              <w:t>经三段式隔油池处理后</w:t>
            </w:r>
            <w:r>
              <w:rPr>
                <w:rFonts w:hint="default" w:ascii="Times New Roman" w:hAnsi="Times New Roman" w:eastAsia="宋体" w:cs="Times New Roman"/>
                <w:bCs/>
                <w:color w:val="auto"/>
                <w:sz w:val="24"/>
              </w:rPr>
              <w:t>能够达到《污水综合排放标准》（GB8978-1996）三级标准。因此，场地冲洗废水依托该三段式隔油池处理可行。</w:t>
            </w:r>
          </w:p>
          <w:p w14:paraId="3C2E5D19">
            <w:pPr>
              <w:adjustRightInd w:val="0"/>
              <w:snapToGrid w:val="0"/>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bCs/>
                <w:color w:val="auto"/>
                <w:sz w:val="24"/>
              </w:rPr>
              <w:t>③</w:t>
            </w:r>
            <w:r>
              <w:rPr>
                <w:rFonts w:hint="default" w:ascii="Times New Roman" w:hAnsi="Times New Roman" w:eastAsia="宋体" w:cs="Times New Roman"/>
                <w:b/>
                <w:color w:val="auto"/>
                <w:sz w:val="24"/>
              </w:rPr>
              <w:t>依托鸡冠石污水处理厂可行性</w:t>
            </w:r>
          </w:p>
          <w:p w14:paraId="48E0DB07">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rPr>
              <w:t>本项目地面清洗废水</w:t>
            </w:r>
            <w:r>
              <w:rPr>
                <w:rFonts w:hint="eastAsia" w:cs="Times New Roman"/>
                <w:color w:val="auto"/>
                <w:sz w:val="24"/>
                <w:lang w:eastAsia="zh-CN"/>
              </w:rPr>
              <w:t>、</w:t>
            </w:r>
            <w:r>
              <w:rPr>
                <w:rFonts w:hint="eastAsia" w:cs="Times New Roman"/>
                <w:color w:val="auto"/>
                <w:sz w:val="24"/>
                <w:lang w:val="en-US" w:eastAsia="zh-CN"/>
              </w:rPr>
              <w:t>洗车废水</w:t>
            </w:r>
            <w:r>
              <w:rPr>
                <w:rFonts w:hint="default" w:ascii="Times New Roman" w:hAnsi="Times New Roman" w:eastAsia="宋体" w:cs="Times New Roman"/>
                <w:color w:val="auto"/>
                <w:sz w:val="24"/>
              </w:rPr>
              <w:t>与初期雨水排入三段式隔油池处理，生活污水排入生化池处理，处理达《污水综合排放标准》（GB8978-1996）三级标准后排入市政污水管网，进入鸡冠石污水处理厂处理。本项目所在地为鸡冠石污水处理厂的服务范围，项目所在区域市政污水管网已经接通至鸡冠石污水处理厂设计处理能力为80万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/d，本项目产生的废水污染物为</w:t>
            </w:r>
            <w:r>
              <w:rPr>
                <w:rFonts w:hint="default" w:ascii="Times New Roman" w:hAnsi="Times New Roman" w:eastAsia="宋体" w:cs="Times New Roman"/>
                <w:color w:val="auto"/>
                <w:sz w:val="24"/>
                <w:lang w:val="en-US" w:eastAsia="zh-CN"/>
              </w:rPr>
              <w:t>pH、</w:t>
            </w:r>
            <w:r>
              <w:rPr>
                <w:rFonts w:hint="default" w:ascii="Times New Roman" w:hAnsi="Times New Roman" w:eastAsia="宋体" w:cs="Times New Roman"/>
                <w:color w:val="auto"/>
                <w:sz w:val="24"/>
              </w:rPr>
              <w:t>COD、</w:t>
            </w:r>
            <w:r>
              <w:rPr>
                <w:rFonts w:hint="default" w:ascii="Times New Roman" w:hAnsi="Times New Roman" w:eastAsia="宋体" w:cs="Times New Roman"/>
                <w:color w:val="auto"/>
                <w:sz w:val="24"/>
                <w:lang w:val="en-US" w:eastAsia="zh-CN"/>
              </w:rPr>
              <w:t>BOD</w:t>
            </w:r>
            <w:r>
              <w:rPr>
                <w:rFonts w:hint="default" w:ascii="Times New Roman" w:hAnsi="Times New Roman" w:eastAsia="宋体" w:cs="Times New Roman"/>
                <w:color w:val="auto"/>
                <w:sz w:val="24"/>
                <w:vertAlign w:val="subscript"/>
                <w:lang w:val="en-US" w:eastAsia="zh-CN"/>
              </w:rPr>
              <w:t>5</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SS、氨氮、石油类</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LAS</w:t>
            </w:r>
            <w:r>
              <w:rPr>
                <w:rFonts w:hint="default" w:ascii="Times New Roman" w:hAnsi="Times New Roman" w:eastAsia="宋体" w:cs="Times New Roman"/>
                <w:color w:val="auto"/>
                <w:sz w:val="24"/>
              </w:rPr>
              <w:t>等常规污染物，均在鸡冠石污水处理厂包含处理的污染物的范围内，且项目产生的废水经生化池、隔油池处理后，废水能满足鸡冠石污水处理厂的进水水质指标。本项目产生的废水量</w:t>
            </w:r>
            <w:r>
              <w:rPr>
                <w:rFonts w:hint="default" w:ascii="Times New Roman" w:hAnsi="Times New Roman" w:eastAsia="宋体" w:cs="Times New Roman"/>
                <w:color w:val="auto"/>
                <w:sz w:val="24"/>
                <w:lang w:val="en-US" w:eastAsia="zh-CN"/>
              </w:rPr>
              <w:t>6.</w:t>
            </w:r>
            <w:r>
              <w:rPr>
                <w:rFonts w:hint="default" w:ascii="Times New Roman" w:hAnsi="Times New Roman" w:cs="Times New Roman"/>
                <w:color w:val="auto"/>
                <w:sz w:val="24"/>
                <w:lang w:val="en-US" w:eastAsia="zh-CN"/>
              </w:rPr>
              <w:t>653</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w:t>
            </w:r>
            <w:r>
              <w:rPr>
                <w:rFonts w:hint="default" w:ascii="Times New Roman" w:hAnsi="Times New Roman" w:eastAsia="宋体" w:cs="Times New Roman"/>
                <w:bCs/>
                <w:color w:val="auto"/>
                <w:sz w:val="24"/>
              </w:rPr>
              <w:t>远小于鸡冠石污水处理厂废水处理能力富余量，本项目污废水污染物简单，不会对污水处理厂处理工艺和效率造成冲击。因此，本项目依托鸡冠石污水处理厂可行。</w:t>
            </w:r>
          </w:p>
          <w:p w14:paraId="647E5C26">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综上所述，本项目产生的生活污水和场地冲洗废水经过上述废水处理设施处理后能够实现达标排放，对外环境影响较小。</w:t>
            </w:r>
          </w:p>
          <w:p w14:paraId="0B5ED8C2">
            <w:pPr>
              <w:adjustRightInd w:val="0"/>
              <w:snapToGrid w:val="0"/>
              <w:spacing w:line="360" w:lineRule="auto"/>
              <w:ind w:firstLine="482" w:firstLineChars="200"/>
              <w:rPr>
                <w:rFonts w:hint="default" w:ascii="Times New Roman" w:hAnsi="Times New Roman" w:eastAsia="宋体" w:cs="Times New Roman"/>
                <w:b/>
                <w:bCs/>
                <w:color w:val="auto"/>
                <w:sz w:val="24"/>
              </w:rPr>
            </w:pPr>
          </w:p>
          <w:p w14:paraId="2DAC0F4C">
            <w:pPr>
              <w:adjustRightInd w:val="0"/>
              <w:snapToGrid w:val="0"/>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（4）监测要求</w:t>
            </w:r>
          </w:p>
          <w:p w14:paraId="735D88EF">
            <w:pPr>
              <w:spacing w:line="360" w:lineRule="auto"/>
              <w:ind w:firstLine="480" w:firstLineChars="200"/>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color w:val="auto"/>
                <w:sz w:val="24"/>
                <w:lang w:bidi="ar"/>
              </w:rPr>
              <w:t>本工程建成投运后，废水监测要求见表4.</w:t>
            </w:r>
            <w:r>
              <w:rPr>
                <w:rFonts w:hint="default" w:ascii="Times New Roman" w:hAnsi="Times New Roman" w:eastAsia="宋体" w:cs="Times New Roman"/>
                <w:bCs/>
                <w:color w:val="auto"/>
                <w:sz w:val="24"/>
              </w:rPr>
              <w:t>2-</w:t>
            </w:r>
            <w:r>
              <w:rPr>
                <w:rFonts w:hint="default" w:ascii="Times New Roman" w:hAnsi="Times New Roman" w:cs="Times New Roman"/>
                <w:bCs/>
                <w:color w:val="auto"/>
                <w:sz w:val="24"/>
                <w:lang w:val="en-US" w:eastAsia="zh-CN"/>
              </w:rPr>
              <w:t>8</w:t>
            </w:r>
            <w:r>
              <w:rPr>
                <w:rFonts w:hint="default" w:ascii="Times New Roman" w:hAnsi="Times New Roman" w:eastAsia="宋体" w:cs="Times New Roman"/>
                <w:color w:val="auto"/>
                <w:sz w:val="24"/>
                <w:lang w:bidi="ar"/>
              </w:rPr>
              <w:t>。</w:t>
            </w:r>
          </w:p>
          <w:p w14:paraId="0BD2FE11">
            <w:pPr>
              <w:pStyle w:val="9"/>
              <w:adjustRightInd w:val="0"/>
              <w:snapToGrid w:val="0"/>
              <w:jc w:val="center"/>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表4.2-</w:t>
            </w:r>
            <w:r>
              <w:rPr>
                <w:rFonts w:hint="default" w:ascii="Times New Roman" w:hAnsi="Times New Roman" w:cs="Times New Roman"/>
                <w:b/>
                <w:bCs/>
                <w:color w:val="auto"/>
                <w:kern w:val="2"/>
                <w:sz w:val="24"/>
                <w:szCs w:val="24"/>
                <w:lang w:val="en-US" w:eastAsia="zh-CN"/>
              </w:rPr>
              <w:t>8</w:t>
            </w:r>
            <w:r>
              <w:rPr>
                <w:rFonts w:hint="default" w:ascii="Times New Roman" w:hAnsi="Times New Roman" w:eastAsia="宋体" w:cs="Times New Roman"/>
                <w:b/>
                <w:bCs/>
                <w:color w:val="auto"/>
                <w:kern w:val="2"/>
                <w:sz w:val="24"/>
                <w:szCs w:val="24"/>
              </w:rPr>
              <w:t xml:space="preserve"> </w:t>
            </w:r>
            <w:r>
              <w:rPr>
                <w:rFonts w:hint="eastAsia" w:ascii="Times New Roman" w:hAnsi="Times New Roman" w:cs="Times New Roman"/>
                <w:b/>
                <w:bCs/>
                <w:color w:val="auto"/>
                <w:kern w:val="2"/>
                <w:sz w:val="24"/>
                <w:szCs w:val="24"/>
                <w:lang w:val="en-US" w:eastAsia="zh-CN"/>
              </w:rPr>
              <w:t xml:space="preserve"> </w:t>
            </w:r>
            <w:r>
              <w:rPr>
                <w:rFonts w:hint="default" w:ascii="Times New Roman" w:hAnsi="Times New Roman" w:eastAsia="宋体" w:cs="Times New Roman"/>
                <w:b/>
                <w:bCs/>
                <w:color w:val="auto"/>
                <w:kern w:val="2"/>
                <w:sz w:val="24"/>
                <w:szCs w:val="24"/>
              </w:rPr>
              <w:t>运营期环境监测要求</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622"/>
              <w:gridCol w:w="1529"/>
              <w:gridCol w:w="1186"/>
              <w:gridCol w:w="1029"/>
              <w:gridCol w:w="1091"/>
              <w:gridCol w:w="2231"/>
            </w:tblGrid>
            <w:tr w14:paraId="292846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9" w:hRule="atLeast"/>
                <w:jc w:val="center"/>
              </w:trPr>
              <w:tc>
                <w:tcPr>
                  <w:tcW w:w="622" w:type="dxa"/>
                  <w:noWrap w:val="0"/>
                  <w:vAlign w:val="center"/>
                </w:tcPr>
                <w:p w14:paraId="638446A4">
                  <w:pPr>
                    <w:autoSpaceDE w:val="0"/>
                    <w:autoSpaceDN w:val="0"/>
                    <w:adjustRightInd w:val="0"/>
                    <w:snapToGrid w:val="0"/>
                    <w:spacing w:line="300" w:lineRule="exact"/>
                    <w:jc w:val="center"/>
                    <w:textAlignment w:val="baseline"/>
                    <w:rPr>
                      <w:color w:val="auto"/>
                      <w:sz w:val="21"/>
                      <w:szCs w:val="21"/>
                      <w:highlight w:val="none"/>
                    </w:rPr>
                  </w:pPr>
                  <w:r>
                    <w:rPr>
                      <w:color w:val="auto"/>
                      <w:sz w:val="21"/>
                      <w:szCs w:val="21"/>
                      <w:highlight w:val="none"/>
                    </w:rPr>
                    <w:t>监测对象</w:t>
                  </w:r>
                </w:p>
              </w:tc>
              <w:tc>
                <w:tcPr>
                  <w:tcW w:w="1529" w:type="dxa"/>
                  <w:noWrap w:val="0"/>
                  <w:vAlign w:val="center"/>
                </w:tcPr>
                <w:p w14:paraId="3ECB2C00">
                  <w:pPr>
                    <w:autoSpaceDE w:val="0"/>
                    <w:autoSpaceDN w:val="0"/>
                    <w:adjustRightInd w:val="0"/>
                    <w:snapToGrid w:val="0"/>
                    <w:spacing w:line="300" w:lineRule="exact"/>
                    <w:jc w:val="center"/>
                    <w:textAlignment w:val="baseline"/>
                    <w:rPr>
                      <w:color w:val="auto"/>
                      <w:sz w:val="21"/>
                      <w:szCs w:val="21"/>
                      <w:highlight w:val="none"/>
                    </w:rPr>
                  </w:pPr>
                  <w:r>
                    <w:rPr>
                      <w:color w:val="auto"/>
                      <w:sz w:val="21"/>
                      <w:szCs w:val="21"/>
                      <w:highlight w:val="none"/>
                    </w:rPr>
                    <w:t>监测点位</w:t>
                  </w:r>
                </w:p>
              </w:tc>
              <w:tc>
                <w:tcPr>
                  <w:tcW w:w="1186" w:type="dxa"/>
                  <w:noWrap w:val="0"/>
                  <w:vAlign w:val="center"/>
                </w:tcPr>
                <w:p w14:paraId="01DC4FB2">
                  <w:pPr>
                    <w:autoSpaceDE w:val="0"/>
                    <w:autoSpaceDN w:val="0"/>
                    <w:adjustRightInd w:val="0"/>
                    <w:snapToGrid w:val="0"/>
                    <w:spacing w:line="300" w:lineRule="exact"/>
                    <w:jc w:val="center"/>
                    <w:textAlignment w:val="baseline"/>
                    <w:rPr>
                      <w:color w:val="auto"/>
                      <w:sz w:val="21"/>
                      <w:szCs w:val="21"/>
                      <w:highlight w:val="none"/>
                    </w:rPr>
                  </w:pPr>
                  <w:r>
                    <w:rPr>
                      <w:color w:val="auto"/>
                      <w:sz w:val="21"/>
                      <w:szCs w:val="21"/>
                      <w:highlight w:val="none"/>
                    </w:rPr>
                    <w:t>监测因子</w:t>
                  </w:r>
                </w:p>
              </w:tc>
              <w:tc>
                <w:tcPr>
                  <w:tcW w:w="1029" w:type="dxa"/>
                  <w:noWrap w:val="0"/>
                  <w:vAlign w:val="center"/>
                </w:tcPr>
                <w:p w14:paraId="32F33E3B">
                  <w:pPr>
                    <w:autoSpaceDE w:val="0"/>
                    <w:autoSpaceDN w:val="0"/>
                    <w:adjustRightInd w:val="0"/>
                    <w:snapToGrid w:val="0"/>
                    <w:spacing w:line="300" w:lineRule="exact"/>
                    <w:jc w:val="center"/>
                    <w:textAlignment w:val="baseline"/>
                    <w:rPr>
                      <w:color w:val="auto"/>
                      <w:sz w:val="21"/>
                      <w:szCs w:val="21"/>
                      <w:highlight w:val="none"/>
                    </w:rPr>
                  </w:pPr>
                  <w:r>
                    <w:rPr>
                      <w:color w:val="auto"/>
                      <w:sz w:val="21"/>
                      <w:szCs w:val="21"/>
                      <w:highlight w:val="none"/>
                    </w:rPr>
                    <w:t>验收监测</w:t>
                  </w:r>
                </w:p>
              </w:tc>
              <w:tc>
                <w:tcPr>
                  <w:tcW w:w="1091" w:type="dxa"/>
                  <w:noWrap w:val="0"/>
                  <w:vAlign w:val="center"/>
                </w:tcPr>
                <w:p w14:paraId="2D33288A">
                  <w:pPr>
                    <w:autoSpaceDE w:val="0"/>
                    <w:autoSpaceDN w:val="0"/>
                    <w:adjustRightInd w:val="0"/>
                    <w:snapToGrid w:val="0"/>
                    <w:spacing w:line="300" w:lineRule="exact"/>
                    <w:jc w:val="center"/>
                    <w:textAlignment w:val="baseline"/>
                    <w:rPr>
                      <w:color w:val="auto"/>
                      <w:sz w:val="21"/>
                      <w:szCs w:val="21"/>
                      <w:highlight w:val="none"/>
                    </w:rPr>
                  </w:pPr>
                  <w:r>
                    <w:rPr>
                      <w:rFonts w:hint="eastAsia"/>
                      <w:color w:val="auto"/>
                      <w:sz w:val="21"/>
                      <w:szCs w:val="21"/>
                      <w:highlight w:val="none"/>
                    </w:rPr>
                    <w:t>自行</w:t>
                  </w:r>
                  <w:r>
                    <w:rPr>
                      <w:color w:val="auto"/>
                      <w:sz w:val="21"/>
                      <w:szCs w:val="21"/>
                      <w:highlight w:val="none"/>
                    </w:rPr>
                    <w:t>监测</w:t>
                  </w:r>
                </w:p>
              </w:tc>
              <w:tc>
                <w:tcPr>
                  <w:tcW w:w="2231" w:type="dxa"/>
                  <w:noWrap w:val="0"/>
                  <w:vAlign w:val="center"/>
                </w:tcPr>
                <w:p w14:paraId="7719E00F">
                  <w:pPr>
                    <w:autoSpaceDE w:val="0"/>
                    <w:autoSpaceDN w:val="0"/>
                    <w:adjustRightInd w:val="0"/>
                    <w:snapToGrid w:val="0"/>
                    <w:spacing w:line="300" w:lineRule="exact"/>
                    <w:jc w:val="center"/>
                    <w:textAlignment w:val="baseline"/>
                    <w:rPr>
                      <w:color w:val="auto"/>
                      <w:sz w:val="21"/>
                      <w:szCs w:val="21"/>
                      <w:highlight w:val="none"/>
                    </w:rPr>
                  </w:pPr>
                  <w:r>
                    <w:rPr>
                      <w:color w:val="auto"/>
                      <w:sz w:val="21"/>
                      <w:szCs w:val="21"/>
                      <w:highlight w:val="none"/>
                    </w:rPr>
                    <w:t>执行标准</w:t>
                  </w:r>
                </w:p>
              </w:tc>
            </w:tr>
            <w:tr w14:paraId="21D959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520" w:hRule="atLeast"/>
                <w:jc w:val="center"/>
              </w:trPr>
              <w:tc>
                <w:tcPr>
                  <w:tcW w:w="622" w:type="dxa"/>
                  <w:noWrap w:val="0"/>
                  <w:vAlign w:val="center"/>
                </w:tcPr>
                <w:p w14:paraId="71B8855C">
                  <w:pPr>
                    <w:autoSpaceDE w:val="0"/>
                    <w:autoSpaceDN w:val="0"/>
                    <w:adjustRightInd w:val="0"/>
                    <w:snapToGrid w:val="0"/>
                    <w:spacing w:line="300" w:lineRule="exact"/>
                    <w:jc w:val="center"/>
                    <w:textAlignment w:val="baseline"/>
                    <w:rPr>
                      <w:color w:val="auto"/>
                      <w:sz w:val="21"/>
                      <w:szCs w:val="21"/>
                      <w:highlight w:val="none"/>
                    </w:rPr>
                  </w:pPr>
                  <w:r>
                    <w:rPr>
                      <w:color w:val="auto"/>
                      <w:sz w:val="21"/>
                      <w:szCs w:val="21"/>
                      <w:highlight w:val="none"/>
                    </w:rPr>
                    <w:t>废</w:t>
                  </w:r>
                  <w:r>
                    <w:rPr>
                      <w:rFonts w:hint="eastAsia"/>
                      <w:color w:val="auto"/>
                      <w:sz w:val="21"/>
                      <w:szCs w:val="21"/>
                      <w:highlight w:val="none"/>
                    </w:rPr>
                    <w:t>水</w:t>
                  </w:r>
                </w:p>
              </w:tc>
              <w:tc>
                <w:tcPr>
                  <w:tcW w:w="1529" w:type="dxa"/>
                  <w:noWrap w:val="0"/>
                  <w:vAlign w:val="center"/>
                </w:tcPr>
                <w:p w14:paraId="27F9EB88">
                  <w:pPr>
                    <w:autoSpaceDE w:val="0"/>
                    <w:autoSpaceDN w:val="0"/>
                    <w:adjustRightInd w:val="0"/>
                    <w:snapToGrid w:val="0"/>
                    <w:spacing w:line="300" w:lineRule="exact"/>
                    <w:jc w:val="center"/>
                    <w:textAlignment w:val="baseline"/>
                    <w:rPr>
                      <w:color w:val="auto"/>
                      <w:sz w:val="21"/>
                      <w:szCs w:val="21"/>
                      <w:highlight w:val="none"/>
                    </w:rPr>
                  </w:pPr>
                  <w:r>
                    <w:rPr>
                      <w:rFonts w:hint="eastAsia"/>
                      <w:color w:val="auto"/>
                      <w:sz w:val="21"/>
                      <w:szCs w:val="21"/>
                      <w:highlight w:val="none"/>
                    </w:rPr>
                    <w:t>站区总排口</w:t>
                  </w:r>
                </w:p>
              </w:tc>
              <w:tc>
                <w:tcPr>
                  <w:tcW w:w="1186" w:type="dxa"/>
                  <w:noWrap w:val="0"/>
                  <w:vAlign w:val="center"/>
                </w:tcPr>
                <w:p w14:paraId="3D843821">
                  <w:pPr>
                    <w:autoSpaceDE w:val="0"/>
                    <w:autoSpaceDN w:val="0"/>
                    <w:adjustRightInd w:val="0"/>
                    <w:snapToGrid w:val="0"/>
                    <w:spacing w:line="300" w:lineRule="exact"/>
                    <w:jc w:val="center"/>
                    <w:textAlignment w:val="baseline"/>
                    <w:rPr>
                      <w:rFonts w:hint="default" w:eastAsia="宋体"/>
                      <w:color w:val="auto"/>
                      <w:sz w:val="21"/>
                      <w:szCs w:val="21"/>
                      <w:highlight w:val="none"/>
                      <w:lang w:val="en-US" w:eastAsia="zh-CN"/>
                    </w:rPr>
                  </w:pPr>
                  <w:r>
                    <w:rPr>
                      <w:rFonts w:hint="eastAsia"/>
                      <w:color w:val="auto"/>
                      <w:sz w:val="21"/>
                      <w:szCs w:val="21"/>
                      <w:highlight w:val="none"/>
                    </w:rPr>
                    <w:t>废水量、p</w:t>
                  </w:r>
                  <w:r>
                    <w:rPr>
                      <w:color w:val="auto"/>
                      <w:sz w:val="21"/>
                      <w:szCs w:val="21"/>
                      <w:highlight w:val="none"/>
                    </w:rPr>
                    <w:t>H</w:t>
                  </w:r>
                  <w:r>
                    <w:rPr>
                      <w:rFonts w:hint="eastAsia"/>
                      <w:color w:val="auto"/>
                      <w:sz w:val="21"/>
                      <w:szCs w:val="21"/>
                      <w:highlight w:val="none"/>
                    </w:rPr>
                    <w:t>、</w:t>
                  </w:r>
                  <w:r>
                    <w:rPr>
                      <w:color w:val="auto"/>
                      <w:sz w:val="21"/>
                      <w:szCs w:val="21"/>
                      <w:highlight w:val="none"/>
                    </w:rPr>
                    <w:t>COD、BOD</w:t>
                  </w:r>
                  <w:r>
                    <w:rPr>
                      <w:color w:val="auto"/>
                      <w:sz w:val="21"/>
                      <w:szCs w:val="21"/>
                      <w:highlight w:val="none"/>
                      <w:vertAlign w:val="subscript"/>
                    </w:rPr>
                    <w:t>5</w:t>
                  </w:r>
                  <w:r>
                    <w:rPr>
                      <w:color w:val="auto"/>
                      <w:sz w:val="21"/>
                      <w:szCs w:val="21"/>
                      <w:highlight w:val="none"/>
                    </w:rPr>
                    <w:t>、SS、氨氮</w:t>
                  </w:r>
                  <w:r>
                    <w:rPr>
                      <w:rFonts w:hint="eastAsia"/>
                      <w:color w:val="auto"/>
                      <w:sz w:val="21"/>
                      <w:szCs w:val="21"/>
                      <w:highlight w:val="none"/>
                    </w:rPr>
                    <w:t>、石油类</w:t>
                  </w:r>
                  <w:r>
                    <w:rPr>
                      <w:rFonts w:hint="eastAsia"/>
                      <w:color w:val="auto"/>
                      <w:sz w:val="21"/>
                      <w:szCs w:val="21"/>
                      <w:highlight w:val="none"/>
                      <w:lang w:val="en-US" w:eastAsia="zh-CN"/>
                    </w:rPr>
                    <w:t>、LAS</w:t>
                  </w:r>
                </w:p>
              </w:tc>
              <w:tc>
                <w:tcPr>
                  <w:tcW w:w="1029" w:type="dxa"/>
                  <w:noWrap w:val="0"/>
                  <w:vAlign w:val="center"/>
                </w:tcPr>
                <w:p w14:paraId="148AF5E3">
                  <w:pPr>
                    <w:jc w:val="center"/>
                    <w:rPr>
                      <w:color w:val="auto"/>
                      <w:sz w:val="21"/>
                      <w:szCs w:val="21"/>
                      <w:highlight w:val="none"/>
                    </w:rPr>
                  </w:pPr>
                  <w:r>
                    <w:rPr>
                      <w:color w:val="auto"/>
                      <w:sz w:val="21"/>
                      <w:szCs w:val="21"/>
                      <w:highlight w:val="none"/>
                    </w:rPr>
                    <w:t>1次</w:t>
                  </w:r>
                </w:p>
              </w:tc>
              <w:tc>
                <w:tcPr>
                  <w:tcW w:w="1091" w:type="dxa"/>
                  <w:noWrap w:val="0"/>
                  <w:vAlign w:val="center"/>
                </w:tcPr>
                <w:p w14:paraId="23C63D4F">
                  <w:pPr>
                    <w:jc w:val="center"/>
                    <w:rPr>
                      <w:color w:val="auto"/>
                      <w:sz w:val="21"/>
                      <w:szCs w:val="21"/>
                      <w:highlight w:val="none"/>
                    </w:rPr>
                  </w:pPr>
                  <w:r>
                    <w:rPr>
                      <w:color w:val="auto"/>
                      <w:sz w:val="21"/>
                      <w:szCs w:val="21"/>
                      <w:highlight w:val="none"/>
                    </w:rPr>
                    <w:t>1次/年</w:t>
                  </w:r>
                </w:p>
              </w:tc>
              <w:tc>
                <w:tcPr>
                  <w:tcW w:w="2231" w:type="dxa"/>
                  <w:noWrap w:val="0"/>
                  <w:vAlign w:val="center"/>
                </w:tcPr>
                <w:p w14:paraId="28500487">
                  <w:pPr>
                    <w:jc w:val="center"/>
                    <w:rPr>
                      <w:rFonts w:hint="eastAsia" w:eastAsia="宋体"/>
                      <w:color w:val="auto"/>
                      <w:sz w:val="21"/>
                      <w:szCs w:val="21"/>
                      <w:highlight w:val="none"/>
                      <w:lang w:eastAsia="zh-CN"/>
                    </w:rPr>
                  </w:pPr>
                  <w:r>
                    <w:rPr>
                      <w:rFonts w:hint="eastAsia"/>
                      <w:color w:val="auto"/>
                      <w:sz w:val="21"/>
                      <w:szCs w:val="21"/>
                      <w:highlight w:val="none"/>
                    </w:rPr>
                    <w:t>《污水综合排放标准》（GB8978-1996）三级标准</w:t>
                  </w:r>
                  <w:r>
                    <w:rPr>
                      <w:rFonts w:hint="eastAsia"/>
                      <w:color w:val="auto"/>
                      <w:sz w:val="21"/>
                      <w:szCs w:val="21"/>
                      <w:highlight w:val="none"/>
                      <w:lang w:eastAsia="zh-CN"/>
                    </w:rPr>
                    <w:t>，</w:t>
                  </w:r>
                  <w:r>
                    <w:rPr>
                      <w:rFonts w:ascii="Times New Roman" w:hAnsi="Times New Roman"/>
                      <w:color w:val="auto"/>
                      <w:kern w:val="0"/>
                      <w:sz w:val="21"/>
                      <w:szCs w:val="21"/>
                      <w:highlight w:val="none"/>
                    </w:rPr>
                    <w:t>NH</w:t>
                  </w:r>
                  <w:r>
                    <w:rPr>
                      <w:rFonts w:ascii="Times New Roman" w:hAnsi="Times New Roman"/>
                      <w:color w:val="auto"/>
                      <w:kern w:val="0"/>
                      <w:sz w:val="21"/>
                      <w:szCs w:val="21"/>
                      <w:highlight w:val="none"/>
                      <w:vertAlign w:val="subscript"/>
                    </w:rPr>
                    <w:t>3</w:t>
                  </w:r>
                  <w:r>
                    <w:rPr>
                      <w:rFonts w:ascii="Times New Roman" w:hAnsi="Times New Roman"/>
                      <w:color w:val="auto"/>
                      <w:kern w:val="0"/>
                      <w:sz w:val="21"/>
                      <w:szCs w:val="21"/>
                      <w:highlight w:val="none"/>
                    </w:rPr>
                    <w:t>-N参照执行《污水排入城镇下水道水质标准》（GB/T31962-2015）中表1 B级</w:t>
                  </w:r>
                  <w:r>
                    <w:rPr>
                      <w:rFonts w:hint="eastAsia" w:ascii="Times New Roman" w:hAnsi="Times New Roman"/>
                      <w:color w:val="auto"/>
                      <w:kern w:val="0"/>
                      <w:sz w:val="21"/>
                      <w:szCs w:val="21"/>
                      <w:highlight w:val="none"/>
                      <w:lang w:eastAsia="zh-CN"/>
                    </w:rPr>
                    <w:t>限值</w:t>
                  </w:r>
                </w:p>
              </w:tc>
            </w:tr>
          </w:tbl>
          <w:p w14:paraId="0E636ADA">
            <w:pPr>
              <w:adjustRightInd w:val="0"/>
              <w:snapToGrid w:val="0"/>
              <w:spacing w:line="240" w:lineRule="auto"/>
              <w:rPr>
                <w:rFonts w:hint="default" w:ascii="Times New Roman" w:hAnsi="Times New Roman" w:eastAsia="宋体" w:cs="Times New Roman"/>
                <w:b/>
                <w:color w:val="auto"/>
                <w:sz w:val="24"/>
                <w:szCs w:val="26"/>
              </w:rPr>
            </w:pPr>
          </w:p>
          <w:p w14:paraId="4056AAB3">
            <w:pPr>
              <w:adjustRightInd w:val="0"/>
              <w:snapToGrid w:val="0"/>
              <w:spacing w:line="360" w:lineRule="auto"/>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4.2.3噪声影响分析及其防治措施</w:t>
            </w:r>
          </w:p>
          <w:p w14:paraId="0653FBAC">
            <w:pPr>
              <w:adjustRightInd w:val="0"/>
              <w:snapToGrid w:val="0"/>
              <w:spacing w:line="360" w:lineRule="auto"/>
              <w:ind w:firstLine="482" w:firstLineChars="200"/>
              <w:rPr>
                <w:rFonts w:hint="default" w:ascii="Times New Roman" w:hAnsi="Times New Roman" w:eastAsia="宋体" w:cs="Times New Roman"/>
                <w:b/>
                <w:bCs w:val="0"/>
                <w:color w:val="auto"/>
                <w:sz w:val="24"/>
                <w:szCs w:val="26"/>
              </w:rPr>
            </w:pPr>
            <w:r>
              <w:rPr>
                <w:rFonts w:hint="default" w:ascii="Times New Roman" w:hAnsi="Times New Roman" w:eastAsia="宋体" w:cs="Times New Roman"/>
                <w:b/>
                <w:bCs w:val="0"/>
                <w:color w:val="auto"/>
                <w:sz w:val="24"/>
                <w:szCs w:val="26"/>
              </w:rPr>
              <w:t>（1）源强分析</w:t>
            </w:r>
          </w:p>
          <w:p w14:paraId="2B979290">
            <w:pPr>
              <w:adjustRightInd w:val="0"/>
              <w:snapToGrid w:val="0"/>
              <w:spacing w:line="360" w:lineRule="auto"/>
              <w:ind w:firstLine="480" w:firstLineChars="200"/>
              <w:rPr>
                <w:rFonts w:hint="default" w:ascii="Times New Roman" w:hAnsi="Times New Roman" w:eastAsia="宋体" w:cs="Times New Roman"/>
                <w:color w:val="auto"/>
                <w:kern w:val="0"/>
                <w:sz w:val="24"/>
                <w:szCs w:val="26"/>
              </w:rPr>
            </w:pPr>
            <w:r>
              <w:rPr>
                <w:rFonts w:hint="default" w:ascii="Times New Roman" w:hAnsi="Times New Roman" w:eastAsia="宋体" w:cs="Times New Roman"/>
                <w:color w:val="auto"/>
                <w:kern w:val="0"/>
                <w:sz w:val="24"/>
                <w:szCs w:val="26"/>
              </w:rPr>
              <w:t>加油站噪声源强均较小，主要噪声源包括潜油泵、加油机、</w:t>
            </w:r>
            <w:r>
              <w:rPr>
                <w:rFonts w:hint="eastAsia"/>
                <w:color w:val="auto"/>
                <w:kern w:val="0"/>
                <w:sz w:val="24"/>
                <w:szCs w:val="24"/>
                <w:highlight w:val="none"/>
                <w:lang w:eastAsia="zh-CN"/>
              </w:rPr>
              <w:t>三次油气回收处理装置（内部压缩机、冷凝器和分离器）、</w:t>
            </w:r>
            <w:r>
              <w:rPr>
                <w:rFonts w:hint="default" w:ascii="Times New Roman" w:hAnsi="Times New Roman" w:eastAsia="宋体" w:cs="Times New Roman"/>
                <w:color w:val="auto"/>
                <w:kern w:val="0"/>
                <w:sz w:val="24"/>
                <w:szCs w:val="26"/>
              </w:rPr>
              <w:t>油罐车</w:t>
            </w:r>
            <w:r>
              <w:rPr>
                <w:rFonts w:hint="eastAsia" w:cs="Times New Roman"/>
                <w:color w:val="auto"/>
                <w:kern w:val="0"/>
                <w:sz w:val="24"/>
                <w:szCs w:val="26"/>
                <w:lang w:eastAsia="zh-CN"/>
              </w:rPr>
              <w:t>、汽车快洗装置</w:t>
            </w:r>
            <w:r>
              <w:rPr>
                <w:rFonts w:hint="default" w:ascii="Times New Roman" w:hAnsi="Times New Roman" w:eastAsia="宋体" w:cs="Times New Roman"/>
                <w:color w:val="auto"/>
                <w:kern w:val="0"/>
                <w:sz w:val="24"/>
                <w:szCs w:val="26"/>
              </w:rPr>
              <w:t>以及加油车辆进出加油站时产生的噪声，其噪声值详见下表4.2-</w:t>
            </w:r>
            <w:r>
              <w:rPr>
                <w:rFonts w:hint="default" w:ascii="Times New Roman" w:hAnsi="Times New Roman" w:cs="Times New Roman"/>
                <w:color w:val="auto"/>
                <w:kern w:val="0"/>
                <w:sz w:val="24"/>
                <w:szCs w:val="26"/>
                <w:lang w:val="en-US" w:eastAsia="zh-CN"/>
              </w:rPr>
              <w:t>9</w:t>
            </w:r>
            <w:r>
              <w:rPr>
                <w:rFonts w:hint="default" w:ascii="Times New Roman" w:hAnsi="Times New Roman" w:eastAsia="宋体" w:cs="Times New Roman"/>
                <w:color w:val="auto"/>
                <w:kern w:val="0"/>
                <w:sz w:val="24"/>
                <w:szCs w:val="26"/>
              </w:rPr>
              <w:t>。</w:t>
            </w:r>
          </w:p>
          <w:p w14:paraId="324F32E7">
            <w:pPr>
              <w:pStyle w:val="9"/>
              <w:adjustRightInd w:val="0"/>
              <w:snapToGrid w:val="0"/>
              <w:jc w:val="center"/>
              <w:rPr>
                <w:rFonts w:hint="default" w:ascii="Times New Roman" w:hAnsi="Times New Roman" w:eastAsia="宋体" w:cs="Times New Roman"/>
                <w:b/>
                <w:bCs/>
                <w:color w:val="auto"/>
                <w:kern w:val="2"/>
                <w:sz w:val="24"/>
                <w:szCs w:val="24"/>
              </w:rPr>
            </w:pPr>
            <w:r>
              <w:rPr>
                <w:rFonts w:hint="default" w:ascii="Times New Roman" w:hAnsi="Times New Roman" w:eastAsia="宋体" w:cs="Times New Roman"/>
                <w:b/>
                <w:bCs/>
                <w:color w:val="auto"/>
                <w:kern w:val="2"/>
                <w:sz w:val="24"/>
                <w:szCs w:val="24"/>
              </w:rPr>
              <w:t>表4.2-</w:t>
            </w:r>
            <w:r>
              <w:rPr>
                <w:rFonts w:hint="default" w:ascii="Times New Roman" w:hAnsi="Times New Roman" w:cs="Times New Roman"/>
                <w:b/>
                <w:bCs/>
                <w:color w:val="auto"/>
                <w:kern w:val="2"/>
                <w:sz w:val="24"/>
                <w:szCs w:val="24"/>
                <w:lang w:val="en-US" w:eastAsia="zh-CN"/>
              </w:rPr>
              <w:t>9</w:t>
            </w:r>
            <w:r>
              <w:rPr>
                <w:rFonts w:hint="default" w:ascii="Times New Roman" w:hAnsi="Times New Roman" w:eastAsia="宋体" w:cs="Times New Roman"/>
                <w:b/>
                <w:bCs/>
                <w:color w:val="auto"/>
                <w:kern w:val="2"/>
                <w:sz w:val="24"/>
                <w:szCs w:val="24"/>
              </w:rPr>
              <w:t xml:space="preserve"> </w:t>
            </w:r>
            <w:r>
              <w:rPr>
                <w:rFonts w:hint="eastAsia" w:ascii="Times New Roman" w:hAnsi="Times New Roman" w:cs="Times New Roman"/>
                <w:b/>
                <w:bCs/>
                <w:color w:val="auto"/>
                <w:kern w:val="2"/>
                <w:sz w:val="24"/>
                <w:szCs w:val="24"/>
                <w:lang w:val="en-US" w:eastAsia="zh-CN"/>
              </w:rPr>
              <w:t xml:space="preserve"> </w:t>
            </w:r>
            <w:r>
              <w:rPr>
                <w:rFonts w:hint="default" w:ascii="Times New Roman" w:hAnsi="Times New Roman" w:eastAsia="宋体" w:cs="Times New Roman"/>
                <w:b/>
                <w:bCs/>
                <w:color w:val="auto"/>
                <w:kern w:val="2"/>
                <w:sz w:val="24"/>
                <w:szCs w:val="24"/>
              </w:rPr>
              <w:t>营运期噪声排放源强</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932"/>
              <w:gridCol w:w="1488"/>
              <w:gridCol w:w="1180"/>
              <w:gridCol w:w="2055"/>
            </w:tblGrid>
            <w:tr w14:paraId="248F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7" w:type="pct"/>
                  <w:noWrap w:val="0"/>
                  <w:vAlign w:val="center"/>
                </w:tcPr>
                <w:p w14:paraId="6B92BED8">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噪声源</w:t>
                  </w:r>
                </w:p>
              </w:tc>
              <w:tc>
                <w:tcPr>
                  <w:tcW w:w="587" w:type="pct"/>
                  <w:noWrap w:val="0"/>
                  <w:vAlign w:val="center"/>
                </w:tcPr>
                <w:p w14:paraId="74D51F52">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数量</w:t>
                  </w:r>
                </w:p>
                <w:p w14:paraId="51B3A61A">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（台）</w:t>
                  </w:r>
                </w:p>
              </w:tc>
              <w:tc>
                <w:tcPr>
                  <w:tcW w:w="937" w:type="pct"/>
                  <w:noWrap w:val="0"/>
                  <w:vAlign w:val="center"/>
                </w:tcPr>
                <w:p w14:paraId="65F76943">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单台噪声源强（dB(A)）</w:t>
                  </w:r>
                </w:p>
              </w:tc>
              <w:tc>
                <w:tcPr>
                  <w:tcW w:w="743" w:type="pct"/>
                  <w:noWrap w:val="0"/>
                  <w:vAlign w:val="center"/>
                </w:tcPr>
                <w:p w14:paraId="6FEFE02F">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排放规律</w:t>
                  </w:r>
                </w:p>
              </w:tc>
              <w:tc>
                <w:tcPr>
                  <w:tcW w:w="1294" w:type="pct"/>
                  <w:noWrap w:val="0"/>
                  <w:vAlign w:val="center"/>
                </w:tcPr>
                <w:p w14:paraId="3F4FCD19">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降噪措施</w:t>
                  </w:r>
                </w:p>
              </w:tc>
            </w:tr>
            <w:tr w14:paraId="2E05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7" w:type="pct"/>
                  <w:noWrap w:val="0"/>
                  <w:vAlign w:val="center"/>
                </w:tcPr>
                <w:p w14:paraId="3F54A1A1">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潜油泵</w:t>
                  </w:r>
                </w:p>
              </w:tc>
              <w:tc>
                <w:tcPr>
                  <w:tcW w:w="587" w:type="pct"/>
                  <w:noWrap w:val="0"/>
                  <w:vAlign w:val="center"/>
                </w:tcPr>
                <w:p w14:paraId="6ADEB974">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4</w:t>
                  </w:r>
                </w:p>
              </w:tc>
              <w:tc>
                <w:tcPr>
                  <w:tcW w:w="937" w:type="pct"/>
                  <w:noWrap w:val="0"/>
                  <w:vAlign w:val="center"/>
                </w:tcPr>
                <w:p w14:paraId="448F419F">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80</w:t>
                  </w:r>
                </w:p>
              </w:tc>
              <w:tc>
                <w:tcPr>
                  <w:tcW w:w="743" w:type="pct"/>
                  <w:vMerge w:val="restart"/>
                  <w:noWrap w:val="0"/>
                  <w:vAlign w:val="center"/>
                </w:tcPr>
                <w:p w14:paraId="21C5AAD8">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间歇</w:t>
                  </w:r>
                </w:p>
              </w:tc>
              <w:tc>
                <w:tcPr>
                  <w:tcW w:w="1294" w:type="pct"/>
                  <w:vMerge w:val="restart"/>
                  <w:noWrap w:val="0"/>
                  <w:vAlign w:val="center"/>
                </w:tcPr>
                <w:p w14:paraId="7F8F050E">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采用低噪声设备，建筑隔声，采用软连接，安装减振垫，限制车速等措施</w:t>
                  </w:r>
                </w:p>
              </w:tc>
            </w:tr>
            <w:tr w14:paraId="09F0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7" w:type="pct"/>
                  <w:noWrap w:val="0"/>
                  <w:vAlign w:val="center"/>
                </w:tcPr>
                <w:p w14:paraId="1B7B9821">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油罐车、加油车辆</w:t>
                  </w:r>
                </w:p>
              </w:tc>
              <w:tc>
                <w:tcPr>
                  <w:tcW w:w="587" w:type="pct"/>
                  <w:noWrap w:val="0"/>
                  <w:vAlign w:val="center"/>
                </w:tcPr>
                <w:p w14:paraId="65AC80ED">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w:t>
                  </w:r>
                </w:p>
              </w:tc>
              <w:tc>
                <w:tcPr>
                  <w:tcW w:w="937" w:type="pct"/>
                  <w:noWrap w:val="0"/>
                  <w:vAlign w:val="center"/>
                </w:tcPr>
                <w:p w14:paraId="585EF257">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65</w:t>
                  </w:r>
                </w:p>
              </w:tc>
              <w:tc>
                <w:tcPr>
                  <w:tcW w:w="743" w:type="pct"/>
                  <w:vMerge w:val="continue"/>
                  <w:noWrap w:val="0"/>
                  <w:vAlign w:val="center"/>
                </w:tcPr>
                <w:p w14:paraId="74276EA3">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p>
              </w:tc>
              <w:tc>
                <w:tcPr>
                  <w:tcW w:w="1294" w:type="pct"/>
                  <w:vMerge w:val="continue"/>
                  <w:noWrap w:val="0"/>
                  <w:vAlign w:val="center"/>
                </w:tcPr>
                <w:p w14:paraId="230E41E6">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p>
              </w:tc>
            </w:tr>
            <w:tr w14:paraId="61E0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7" w:type="pct"/>
                  <w:noWrap w:val="0"/>
                  <w:vAlign w:val="center"/>
                </w:tcPr>
                <w:p w14:paraId="3027AD3E">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备用柴油发电机</w:t>
                  </w:r>
                </w:p>
              </w:tc>
              <w:tc>
                <w:tcPr>
                  <w:tcW w:w="587" w:type="pct"/>
                  <w:noWrap w:val="0"/>
                  <w:vAlign w:val="center"/>
                </w:tcPr>
                <w:p w14:paraId="3A5AD38A">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1</w:t>
                  </w:r>
                </w:p>
              </w:tc>
              <w:tc>
                <w:tcPr>
                  <w:tcW w:w="937" w:type="pct"/>
                  <w:noWrap w:val="0"/>
                  <w:vAlign w:val="center"/>
                </w:tcPr>
                <w:p w14:paraId="36B59AC1">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85</w:t>
                  </w:r>
                </w:p>
              </w:tc>
              <w:tc>
                <w:tcPr>
                  <w:tcW w:w="743" w:type="pct"/>
                  <w:vMerge w:val="continue"/>
                  <w:noWrap w:val="0"/>
                  <w:vAlign w:val="center"/>
                </w:tcPr>
                <w:p w14:paraId="519202F7">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p>
              </w:tc>
              <w:tc>
                <w:tcPr>
                  <w:tcW w:w="1294" w:type="pct"/>
                  <w:vMerge w:val="continue"/>
                  <w:noWrap w:val="0"/>
                  <w:vAlign w:val="center"/>
                </w:tcPr>
                <w:p w14:paraId="1B2CC42A">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p>
              </w:tc>
            </w:tr>
            <w:tr w14:paraId="394D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7" w:type="pct"/>
                  <w:noWrap w:val="0"/>
                  <w:vAlign w:val="center"/>
                </w:tcPr>
                <w:p w14:paraId="563C7EB0">
                  <w:pPr>
                    <w:pStyle w:val="59"/>
                    <w:kinsoku w:val="0"/>
                    <w:overflowPunct w:val="0"/>
                    <w:autoSpaceDE w:val="0"/>
                    <w:autoSpaceDN w:val="0"/>
                    <w:adjustRightInd w:val="0"/>
                    <w:jc w:val="center"/>
                    <w:rPr>
                      <w:rFonts w:hint="default" w:ascii="Times New Roman" w:hAnsi="Times New Roman" w:eastAsia="宋体" w:cs="Times New Roman"/>
                      <w:color w:val="auto"/>
                      <w:sz w:val="21"/>
                      <w:szCs w:val="22"/>
                      <w:lang w:val="en-US" w:eastAsia="zh-CN"/>
                    </w:rPr>
                  </w:pPr>
                  <w:r>
                    <w:rPr>
                      <w:rFonts w:hint="default" w:ascii="Times New Roman" w:hAnsi="Times New Roman" w:cs="Times New Roman"/>
                      <w:color w:val="auto"/>
                      <w:sz w:val="21"/>
                      <w:szCs w:val="22"/>
                      <w:lang w:val="en-US" w:eastAsia="zh-CN"/>
                    </w:rPr>
                    <w:t>汽车快洗装置</w:t>
                  </w:r>
                </w:p>
              </w:tc>
              <w:tc>
                <w:tcPr>
                  <w:tcW w:w="587" w:type="pct"/>
                  <w:noWrap w:val="0"/>
                  <w:vAlign w:val="center"/>
                </w:tcPr>
                <w:p w14:paraId="058374FC">
                  <w:pPr>
                    <w:pStyle w:val="59"/>
                    <w:kinsoku w:val="0"/>
                    <w:overflowPunct w:val="0"/>
                    <w:autoSpaceDE w:val="0"/>
                    <w:autoSpaceDN w:val="0"/>
                    <w:adjustRightInd w:val="0"/>
                    <w:jc w:val="center"/>
                    <w:rPr>
                      <w:rFonts w:hint="default" w:ascii="Times New Roman" w:hAnsi="Times New Roman" w:eastAsia="宋体" w:cs="Times New Roman"/>
                      <w:color w:val="auto"/>
                      <w:sz w:val="21"/>
                      <w:szCs w:val="22"/>
                      <w:lang w:val="en-US" w:eastAsia="zh-CN"/>
                    </w:rPr>
                  </w:pPr>
                  <w:r>
                    <w:rPr>
                      <w:rFonts w:hint="default" w:ascii="Times New Roman" w:hAnsi="Times New Roman" w:cs="Times New Roman"/>
                      <w:color w:val="auto"/>
                      <w:sz w:val="21"/>
                      <w:szCs w:val="22"/>
                      <w:lang w:val="en-US" w:eastAsia="zh-CN"/>
                    </w:rPr>
                    <w:t>1</w:t>
                  </w:r>
                </w:p>
              </w:tc>
              <w:tc>
                <w:tcPr>
                  <w:tcW w:w="937" w:type="pct"/>
                  <w:noWrap w:val="0"/>
                  <w:vAlign w:val="center"/>
                </w:tcPr>
                <w:p w14:paraId="5EDC979E">
                  <w:pPr>
                    <w:pStyle w:val="59"/>
                    <w:kinsoku w:val="0"/>
                    <w:overflowPunct w:val="0"/>
                    <w:autoSpaceDE w:val="0"/>
                    <w:autoSpaceDN w:val="0"/>
                    <w:adjustRightInd w:val="0"/>
                    <w:jc w:val="center"/>
                    <w:rPr>
                      <w:rFonts w:hint="default" w:ascii="Times New Roman" w:hAnsi="Times New Roman" w:eastAsia="宋体" w:cs="Times New Roman"/>
                      <w:color w:val="auto"/>
                      <w:sz w:val="21"/>
                      <w:szCs w:val="22"/>
                      <w:lang w:val="en-US" w:eastAsia="zh-CN"/>
                    </w:rPr>
                  </w:pPr>
                  <w:r>
                    <w:rPr>
                      <w:rFonts w:hint="default" w:ascii="Times New Roman" w:hAnsi="Times New Roman" w:cs="Times New Roman"/>
                      <w:color w:val="auto"/>
                      <w:sz w:val="21"/>
                      <w:szCs w:val="22"/>
                      <w:lang w:val="en-US" w:eastAsia="zh-CN"/>
                    </w:rPr>
                    <w:t>75</w:t>
                  </w:r>
                </w:p>
              </w:tc>
              <w:tc>
                <w:tcPr>
                  <w:tcW w:w="743" w:type="pct"/>
                  <w:vMerge w:val="continue"/>
                  <w:noWrap w:val="0"/>
                  <w:vAlign w:val="center"/>
                </w:tcPr>
                <w:p w14:paraId="337E021E">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p>
              </w:tc>
              <w:tc>
                <w:tcPr>
                  <w:tcW w:w="1294" w:type="pct"/>
                  <w:vMerge w:val="continue"/>
                  <w:noWrap w:val="0"/>
                  <w:vAlign w:val="center"/>
                </w:tcPr>
                <w:p w14:paraId="4058E1E2">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p>
              </w:tc>
            </w:tr>
            <w:tr w14:paraId="27B0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1" w:type="dxa"/>
                  <w:noWrap w:val="0"/>
                  <w:vAlign w:val="center"/>
                </w:tcPr>
                <w:p w14:paraId="59B3062B">
                  <w:pPr>
                    <w:pStyle w:val="59"/>
                    <w:kinsoku w:val="0"/>
                    <w:overflowPunct w:val="0"/>
                    <w:autoSpaceDE w:val="0"/>
                    <w:autoSpaceDN w:val="0"/>
                    <w:adjustRightInd w:val="0"/>
                    <w:spacing w:line="300" w:lineRule="exact"/>
                    <w:jc w:val="center"/>
                    <w:rPr>
                      <w:rFonts w:hint="default" w:ascii="Times New Roman" w:hAnsi="Times New Roman" w:eastAsia="宋体" w:cs="Times New Roman"/>
                      <w:color w:val="auto"/>
                      <w:sz w:val="21"/>
                      <w:szCs w:val="22"/>
                    </w:rPr>
                  </w:pPr>
                  <w:r>
                    <w:rPr>
                      <w:rFonts w:hint="eastAsia" w:ascii="Times New Roman" w:hAnsi="Times New Roman" w:eastAsia="宋体"/>
                      <w:color w:val="auto"/>
                      <w:sz w:val="21"/>
                      <w:szCs w:val="21"/>
                      <w:highlight w:val="none"/>
                      <w:lang w:eastAsia="zh-CN"/>
                    </w:rPr>
                    <w:t>三次油气回收处理装置</w:t>
                  </w:r>
                </w:p>
              </w:tc>
              <w:tc>
                <w:tcPr>
                  <w:tcW w:w="932" w:type="dxa"/>
                  <w:noWrap w:val="0"/>
                  <w:vAlign w:val="center"/>
                </w:tcPr>
                <w:p w14:paraId="3B0115AF">
                  <w:pPr>
                    <w:pStyle w:val="59"/>
                    <w:kinsoku w:val="0"/>
                    <w:overflowPunct w:val="0"/>
                    <w:autoSpaceDE w:val="0"/>
                    <w:autoSpaceDN w:val="0"/>
                    <w:adjustRightInd w:val="0"/>
                    <w:spacing w:line="300" w:lineRule="exact"/>
                    <w:jc w:val="center"/>
                    <w:rPr>
                      <w:rFonts w:hint="default" w:ascii="Times New Roman" w:hAnsi="Times New Roman" w:eastAsia="宋体" w:cs="Times New Roman"/>
                      <w:color w:val="auto"/>
                      <w:sz w:val="21"/>
                      <w:szCs w:val="22"/>
                    </w:rPr>
                  </w:pPr>
                  <w:r>
                    <w:rPr>
                      <w:rFonts w:hint="eastAsia" w:ascii="Times New Roman" w:hAnsi="Times New Roman"/>
                      <w:color w:val="auto"/>
                      <w:sz w:val="21"/>
                      <w:szCs w:val="21"/>
                      <w:highlight w:val="none"/>
                      <w:lang w:val="en-US" w:eastAsia="zh-CN"/>
                    </w:rPr>
                    <w:t>1</w:t>
                  </w:r>
                </w:p>
              </w:tc>
              <w:tc>
                <w:tcPr>
                  <w:tcW w:w="1488" w:type="dxa"/>
                  <w:noWrap w:val="0"/>
                  <w:vAlign w:val="center"/>
                </w:tcPr>
                <w:p w14:paraId="4DBF811B">
                  <w:pPr>
                    <w:pStyle w:val="59"/>
                    <w:kinsoku w:val="0"/>
                    <w:overflowPunct w:val="0"/>
                    <w:autoSpaceDE w:val="0"/>
                    <w:autoSpaceDN w:val="0"/>
                    <w:adjustRightInd w:val="0"/>
                    <w:spacing w:line="300" w:lineRule="exact"/>
                    <w:jc w:val="center"/>
                    <w:rPr>
                      <w:rFonts w:hint="default" w:ascii="Times New Roman" w:hAnsi="Times New Roman" w:eastAsia="宋体" w:cs="Times New Roman"/>
                      <w:color w:val="auto"/>
                      <w:sz w:val="21"/>
                      <w:szCs w:val="22"/>
                    </w:rPr>
                  </w:pPr>
                  <w:r>
                    <w:rPr>
                      <w:rFonts w:hint="eastAsia" w:ascii="Times New Roman" w:hAnsi="Times New Roman"/>
                      <w:color w:val="auto"/>
                      <w:sz w:val="21"/>
                      <w:szCs w:val="21"/>
                      <w:highlight w:val="none"/>
                      <w:lang w:val="en-US" w:eastAsia="zh-CN"/>
                    </w:rPr>
                    <w:t>70</w:t>
                  </w:r>
                </w:p>
              </w:tc>
              <w:tc>
                <w:tcPr>
                  <w:tcW w:w="743" w:type="pct"/>
                  <w:vMerge w:val="continue"/>
                  <w:noWrap w:val="0"/>
                  <w:vAlign w:val="center"/>
                </w:tcPr>
                <w:p w14:paraId="03FD9CCD">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p>
              </w:tc>
              <w:tc>
                <w:tcPr>
                  <w:tcW w:w="1294" w:type="pct"/>
                  <w:vMerge w:val="continue"/>
                  <w:noWrap w:val="0"/>
                  <w:vAlign w:val="center"/>
                </w:tcPr>
                <w:p w14:paraId="6680FD33">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p>
              </w:tc>
            </w:tr>
            <w:tr w14:paraId="5098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7" w:type="pct"/>
                  <w:noWrap w:val="0"/>
                  <w:vAlign w:val="center"/>
                </w:tcPr>
                <w:p w14:paraId="03AA51BD">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加油机</w:t>
                  </w:r>
                </w:p>
              </w:tc>
              <w:tc>
                <w:tcPr>
                  <w:tcW w:w="587" w:type="pct"/>
                  <w:noWrap w:val="0"/>
                  <w:vAlign w:val="center"/>
                </w:tcPr>
                <w:p w14:paraId="33BDE608">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4</w:t>
                  </w:r>
                </w:p>
              </w:tc>
              <w:tc>
                <w:tcPr>
                  <w:tcW w:w="937" w:type="pct"/>
                  <w:noWrap w:val="0"/>
                  <w:vAlign w:val="center"/>
                </w:tcPr>
                <w:p w14:paraId="4E44EB8A">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65</w:t>
                  </w:r>
                </w:p>
              </w:tc>
              <w:tc>
                <w:tcPr>
                  <w:tcW w:w="743" w:type="pct"/>
                  <w:vMerge w:val="continue"/>
                  <w:noWrap w:val="0"/>
                  <w:vAlign w:val="center"/>
                </w:tcPr>
                <w:p w14:paraId="6F27D23E">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p>
              </w:tc>
              <w:tc>
                <w:tcPr>
                  <w:tcW w:w="1294" w:type="pct"/>
                  <w:vMerge w:val="continue"/>
                  <w:noWrap w:val="0"/>
                  <w:vAlign w:val="center"/>
                </w:tcPr>
                <w:p w14:paraId="2DC2A57F">
                  <w:pPr>
                    <w:pStyle w:val="59"/>
                    <w:kinsoku w:val="0"/>
                    <w:overflowPunct w:val="0"/>
                    <w:autoSpaceDE w:val="0"/>
                    <w:autoSpaceDN w:val="0"/>
                    <w:adjustRightInd w:val="0"/>
                    <w:jc w:val="center"/>
                    <w:rPr>
                      <w:rFonts w:hint="default" w:ascii="Times New Roman" w:hAnsi="Times New Roman" w:eastAsia="宋体" w:cs="Times New Roman"/>
                      <w:color w:val="auto"/>
                      <w:sz w:val="21"/>
                      <w:szCs w:val="22"/>
                    </w:rPr>
                  </w:pPr>
                </w:p>
              </w:tc>
            </w:tr>
            <w:tr w14:paraId="0280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noWrap w:val="0"/>
                  <w:vAlign w:val="center"/>
                </w:tcPr>
                <w:p w14:paraId="41E59E23">
                  <w:pPr>
                    <w:pStyle w:val="59"/>
                    <w:kinsoku w:val="0"/>
                    <w:overflowPunct w:val="0"/>
                    <w:autoSpaceDE w:val="0"/>
                    <w:autoSpaceDN w:val="0"/>
                    <w:adjustRightInd w:val="0"/>
                    <w:jc w:val="left"/>
                    <w:rPr>
                      <w:rFonts w:hint="default" w:ascii="Times New Roman" w:hAnsi="Times New Roman" w:eastAsia="宋体" w:cs="Times New Roman"/>
                      <w:color w:val="auto"/>
                      <w:sz w:val="21"/>
                      <w:szCs w:val="22"/>
                    </w:rPr>
                  </w:pPr>
                  <w:r>
                    <w:rPr>
                      <w:rFonts w:hint="eastAsia" w:ascii="Times New Roman" w:hAnsi="Times New Roman"/>
                      <w:color w:val="auto"/>
                      <w:sz w:val="21"/>
                      <w:szCs w:val="21"/>
                      <w:highlight w:val="none"/>
                      <w:lang w:eastAsia="zh-CN"/>
                    </w:rPr>
                    <w:t>备注：洗车装置仅昼间运行。</w:t>
                  </w:r>
                </w:p>
              </w:tc>
            </w:tr>
          </w:tbl>
          <w:p w14:paraId="507603B1">
            <w:pPr>
              <w:adjustRightInd w:val="0"/>
              <w:snapToGrid w:val="0"/>
              <w:spacing w:line="240" w:lineRule="auto"/>
              <w:ind w:firstLine="520" w:firstLineChars="200"/>
              <w:rPr>
                <w:rFonts w:hint="default" w:ascii="Times New Roman" w:hAnsi="Times New Roman" w:eastAsia="宋体" w:cs="Times New Roman"/>
                <w:color w:val="auto"/>
                <w:kern w:val="0"/>
                <w:sz w:val="26"/>
                <w:szCs w:val="26"/>
              </w:rPr>
            </w:pPr>
          </w:p>
          <w:p w14:paraId="33581C0A">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由于加油车辆噪声为间断性产生，汽车进站加油时需关闭发动机，因此车辆噪声主要反映在进站过程中和驶离加油站过程中，由于行驶速度较慢，其噪声源强较低。潜油泵置于埋地油罐内，经油罐及地表覆土隔声后噪声源强较低。柴油发电机</w:t>
            </w:r>
            <w:r>
              <w:rPr>
                <w:rFonts w:hint="default" w:ascii="Times New Roman" w:hAnsi="Times New Roman" w:cs="Times New Roman"/>
                <w:color w:val="auto"/>
                <w:sz w:val="24"/>
                <w:lang w:eastAsia="zh-CN"/>
              </w:rPr>
              <w:t>作为</w:t>
            </w:r>
            <w:r>
              <w:rPr>
                <w:rFonts w:hint="default" w:ascii="Times New Roman" w:hAnsi="Times New Roman" w:eastAsia="宋体" w:cs="Times New Roman"/>
                <w:color w:val="auto"/>
                <w:sz w:val="24"/>
              </w:rPr>
              <w:t>应急备用电源，置于配电间内，仅在停电时开启使用，使用的时间很少。故本次预测不再考虑车辆噪声、备用柴油发电机与潜油泵的噪声，预测仅考虑加油机</w:t>
            </w:r>
            <w:r>
              <w:rPr>
                <w:rFonts w:hint="eastAsia" w:cs="Times New Roman"/>
                <w:color w:val="auto"/>
                <w:sz w:val="24"/>
                <w:lang w:eastAsia="zh-CN"/>
              </w:rPr>
              <w:t>、三次油气回收处理装置、</w:t>
            </w:r>
            <w:r>
              <w:rPr>
                <w:rFonts w:hint="eastAsia" w:cs="Times New Roman"/>
                <w:color w:val="auto"/>
                <w:kern w:val="0"/>
                <w:sz w:val="24"/>
                <w:szCs w:val="26"/>
                <w:lang w:eastAsia="zh-CN"/>
              </w:rPr>
              <w:t>汽车快洗装置</w:t>
            </w:r>
            <w:r>
              <w:rPr>
                <w:rFonts w:hint="default" w:ascii="Times New Roman" w:hAnsi="Times New Roman" w:eastAsia="宋体" w:cs="Times New Roman"/>
                <w:color w:val="auto"/>
                <w:sz w:val="24"/>
              </w:rPr>
              <w:t>的噪声影响。</w:t>
            </w:r>
          </w:p>
          <w:p w14:paraId="55CF5939">
            <w:pPr>
              <w:tabs>
                <w:tab w:val="left" w:pos="3045"/>
              </w:tabs>
              <w:ind w:firstLine="522"/>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表4.2-1</w:t>
            </w:r>
            <w:r>
              <w:rPr>
                <w:rFonts w:hint="default" w:ascii="Times New Roman" w:hAnsi="Times New Roman" w:cs="Times New Roman"/>
                <w:b/>
                <w:bCs/>
                <w:color w:val="auto"/>
                <w:sz w:val="24"/>
                <w:lang w:val="en-US" w:eastAsia="zh-CN"/>
              </w:rPr>
              <w:t>0</w:t>
            </w:r>
            <w:r>
              <w:rPr>
                <w:rFonts w:hint="default" w:ascii="Times New Roman" w:hAnsi="Times New Roman" w:eastAsia="宋体" w:cs="Times New Roman"/>
                <w:b/>
                <w:bCs/>
                <w:color w:val="auto"/>
                <w:sz w:val="24"/>
              </w:rPr>
              <w:t xml:space="preserve"> </w:t>
            </w:r>
            <w:r>
              <w:rPr>
                <w:rFonts w:hint="eastAsia" w:cs="Times New Roman"/>
                <w:b/>
                <w:bCs/>
                <w:color w:val="auto"/>
                <w:sz w:val="24"/>
                <w:lang w:val="en-US" w:eastAsia="zh-CN"/>
              </w:rPr>
              <w:t xml:space="preserve"> </w:t>
            </w:r>
            <w:r>
              <w:rPr>
                <w:rFonts w:hint="default" w:ascii="Times New Roman" w:hAnsi="Times New Roman" w:eastAsia="宋体" w:cs="Times New Roman"/>
                <w:b/>
                <w:bCs/>
                <w:color w:val="auto"/>
                <w:sz w:val="24"/>
              </w:rPr>
              <w:t>本项目噪声源强调查清单（室外声源）</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
              <w:gridCol w:w="1556"/>
              <w:gridCol w:w="613"/>
              <w:gridCol w:w="640"/>
              <w:gridCol w:w="678"/>
              <w:gridCol w:w="887"/>
              <w:gridCol w:w="1296"/>
              <w:gridCol w:w="936"/>
              <w:gridCol w:w="876"/>
            </w:tblGrid>
            <w:tr w14:paraId="47852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6" w:type="pct"/>
                  <w:vMerge w:val="restart"/>
                  <w:noWrap w:val="0"/>
                  <w:vAlign w:val="center"/>
                </w:tcPr>
                <w:p w14:paraId="6212AD0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序号</w:t>
                  </w:r>
                </w:p>
              </w:tc>
              <w:tc>
                <w:tcPr>
                  <w:tcW w:w="980" w:type="pct"/>
                  <w:vMerge w:val="restart"/>
                  <w:noWrap w:val="0"/>
                  <w:vAlign w:val="center"/>
                </w:tcPr>
                <w:p w14:paraId="2714528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声源名称</w:t>
                  </w:r>
                </w:p>
              </w:tc>
              <w:tc>
                <w:tcPr>
                  <w:tcW w:w="1216" w:type="pct"/>
                  <w:gridSpan w:val="3"/>
                  <w:noWrap w:val="0"/>
                  <w:vAlign w:val="center"/>
                </w:tcPr>
                <w:p w14:paraId="693E3DC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空间相对位置/m</w:t>
                  </w:r>
                </w:p>
              </w:tc>
              <w:tc>
                <w:tcPr>
                  <w:tcW w:w="1375" w:type="pct"/>
                  <w:gridSpan w:val="2"/>
                  <w:noWrap w:val="0"/>
                  <w:vAlign w:val="center"/>
                </w:tcPr>
                <w:p w14:paraId="1942002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声源源强</w:t>
                  </w:r>
                </w:p>
              </w:tc>
              <w:tc>
                <w:tcPr>
                  <w:tcW w:w="589" w:type="pct"/>
                  <w:vMerge w:val="restart"/>
                  <w:noWrap w:val="0"/>
                  <w:vAlign w:val="center"/>
                </w:tcPr>
                <w:p w14:paraId="4C14DD7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声源控制措施</w:t>
                  </w:r>
                </w:p>
              </w:tc>
              <w:tc>
                <w:tcPr>
                  <w:tcW w:w="551" w:type="pct"/>
                  <w:vMerge w:val="restart"/>
                  <w:noWrap w:val="0"/>
                  <w:vAlign w:val="center"/>
                </w:tcPr>
                <w:p w14:paraId="09796D8C">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运行</w:t>
                  </w:r>
                </w:p>
                <w:p w14:paraId="786411D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时段</w:t>
                  </w:r>
                </w:p>
              </w:tc>
            </w:tr>
            <w:tr w14:paraId="2E9A4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6" w:type="pct"/>
                  <w:vMerge w:val="continue"/>
                  <w:noWrap w:val="0"/>
                  <w:vAlign w:val="center"/>
                </w:tcPr>
                <w:p w14:paraId="0E77C55F">
                  <w:pPr>
                    <w:widowControl/>
                    <w:jc w:val="center"/>
                    <w:textAlignment w:val="center"/>
                    <w:rPr>
                      <w:rFonts w:hint="default" w:ascii="Times New Roman" w:hAnsi="Times New Roman" w:eastAsia="宋体" w:cs="Times New Roman"/>
                      <w:color w:val="auto"/>
                      <w:szCs w:val="21"/>
                    </w:rPr>
                  </w:pPr>
                </w:p>
              </w:tc>
              <w:tc>
                <w:tcPr>
                  <w:tcW w:w="980" w:type="pct"/>
                  <w:vMerge w:val="continue"/>
                  <w:noWrap w:val="0"/>
                  <w:vAlign w:val="center"/>
                </w:tcPr>
                <w:p w14:paraId="32DDCFCC">
                  <w:pPr>
                    <w:widowControl/>
                    <w:jc w:val="center"/>
                    <w:textAlignment w:val="center"/>
                    <w:rPr>
                      <w:rFonts w:hint="default" w:ascii="Times New Roman" w:hAnsi="Times New Roman" w:eastAsia="宋体" w:cs="Times New Roman"/>
                      <w:color w:val="auto"/>
                      <w:szCs w:val="21"/>
                    </w:rPr>
                  </w:pPr>
                </w:p>
              </w:tc>
              <w:tc>
                <w:tcPr>
                  <w:tcW w:w="386" w:type="pct"/>
                  <w:noWrap w:val="0"/>
                  <w:vAlign w:val="center"/>
                </w:tcPr>
                <w:p w14:paraId="57D2E29D">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X</w:t>
                  </w:r>
                </w:p>
              </w:tc>
              <w:tc>
                <w:tcPr>
                  <w:tcW w:w="403" w:type="pct"/>
                  <w:noWrap w:val="0"/>
                  <w:vAlign w:val="center"/>
                </w:tcPr>
                <w:p w14:paraId="0D3BD2A3">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Y</w:t>
                  </w:r>
                </w:p>
              </w:tc>
              <w:tc>
                <w:tcPr>
                  <w:tcW w:w="427" w:type="pct"/>
                  <w:noWrap w:val="0"/>
                  <w:vAlign w:val="center"/>
                </w:tcPr>
                <w:p w14:paraId="59C6B92A">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bidi="ar"/>
                    </w:rPr>
                    <w:t>Z</w:t>
                  </w:r>
                </w:p>
              </w:tc>
              <w:tc>
                <w:tcPr>
                  <w:tcW w:w="558" w:type="pct"/>
                  <w:noWrap w:val="0"/>
                  <w:vAlign w:val="center"/>
                </w:tcPr>
                <w:p w14:paraId="0213492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声压级</w:t>
                  </w:r>
                </w:p>
                <w:p w14:paraId="3BE849C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dB(A)</w:t>
                  </w:r>
                </w:p>
              </w:tc>
              <w:tc>
                <w:tcPr>
                  <w:tcW w:w="816" w:type="pct"/>
                  <w:noWrap w:val="0"/>
                  <w:vAlign w:val="center"/>
                </w:tcPr>
                <w:p w14:paraId="4DEF04F8">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距声源距离/m</w:t>
                  </w:r>
                </w:p>
              </w:tc>
              <w:tc>
                <w:tcPr>
                  <w:tcW w:w="589" w:type="pct"/>
                  <w:vMerge w:val="continue"/>
                  <w:noWrap w:val="0"/>
                  <w:vAlign w:val="center"/>
                </w:tcPr>
                <w:p w14:paraId="744563F0">
                  <w:pPr>
                    <w:widowControl/>
                    <w:jc w:val="center"/>
                    <w:textAlignment w:val="center"/>
                    <w:rPr>
                      <w:rFonts w:hint="default" w:ascii="Times New Roman" w:hAnsi="Times New Roman" w:eastAsia="宋体" w:cs="Times New Roman"/>
                      <w:color w:val="auto"/>
                      <w:szCs w:val="21"/>
                    </w:rPr>
                  </w:pPr>
                </w:p>
              </w:tc>
              <w:tc>
                <w:tcPr>
                  <w:tcW w:w="551" w:type="pct"/>
                  <w:vMerge w:val="continue"/>
                  <w:noWrap w:val="0"/>
                  <w:vAlign w:val="center"/>
                </w:tcPr>
                <w:p w14:paraId="29FB2F09">
                  <w:pPr>
                    <w:widowControl/>
                    <w:jc w:val="center"/>
                    <w:textAlignment w:val="center"/>
                    <w:rPr>
                      <w:rFonts w:hint="default" w:ascii="Times New Roman" w:hAnsi="Times New Roman" w:eastAsia="宋体" w:cs="Times New Roman"/>
                      <w:color w:val="auto"/>
                      <w:szCs w:val="21"/>
                    </w:rPr>
                  </w:pPr>
                </w:p>
              </w:tc>
            </w:tr>
            <w:tr w14:paraId="3B6AC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6" w:type="pct"/>
                  <w:noWrap w:val="0"/>
                  <w:vAlign w:val="center"/>
                </w:tcPr>
                <w:p w14:paraId="0732F6C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980" w:type="pct"/>
                  <w:noWrap w:val="0"/>
                  <w:vAlign w:val="center"/>
                </w:tcPr>
                <w:p w14:paraId="5D90A0BD">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1#加油机</w:t>
                  </w:r>
                </w:p>
              </w:tc>
              <w:tc>
                <w:tcPr>
                  <w:tcW w:w="386" w:type="pct"/>
                  <w:noWrap w:val="0"/>
                  <w:vAlign w:val="center"/>
                </w:tcPr>
                <w:p w14:paraId="69A789B0">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11.2</w:t>
                  </w:r>
                </w:p>
              </w:tc>
              <w:tc>
                <w:tcPr>
                  <w:tcW w:w="403" w:type="pct"/>
                  <w:noWrap w:val="0"/>
                  <w:vAlign w:val="center"/>
                </w:tcPr>
                <w:p w14:paraId="085FE785">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16.5</w:t>
                  </w:r>
                </w:p>
              </w:tc>
              <w:tc>
                <w:tcPr>
                  <w:tcW w:w="427" w:type="pct"/>
                  <w:noWrap w:val="0"/>
                  <w:vAlign w:val="center"/>
                </w:tcPr>
                <w:p w14:paraId="212CA872">
                  <w:pPr>
                    <w:widowControl/>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w:t>
                  </w:r>
                </w:p>
              </w:tc>
              <w:tc>
                <w:tcPr>
                  <w:tcW w:w="558" w:type="pct"/>
                  <w:noWrap w:val="0"/>
                  <w:vAlign w:val="center"/>
                </w:tcPr>
                <w:p w14:paraId="6201F1FF">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65</w:t>
                  </w:r>
                </w:p>
              </w:tc>
              <w:tc>
                <w:tcPr>
                  <w:tcW w:w="816" w:type="pct"/>
                  <w:noWrap w:val="0"/>
                  <w:vAlign w:val="center"/>
                </w:tcPr>
                <w:p w14:paraId="29E1C2A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589" w:type="pct"/>
                  <w:vMerge w:val="restart"/>
                  <w:noWrap w:val="0"/>
                  <w:vAlign w:val="center"/>
                </w:tcPr>
                <w:p w14:paraId="4831CBED">
                  <w:pPr>
                    <w:widowControl/>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加强管理</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建筑隔声</w:t>
                  </w:r>
                </w:p>
              </w:tc>
              <w:tc>
                <w:tcPr>
                  <w:tcW w:w="551" w:type="pct"/>
                  <w:vMerge w:val="restart"/>
                  <w:noWrap w:val="0"/>
                  <w:vAlign w:val="center"/>
                </w:tcPr>
                <w:p w14:paraId="240D1D92">
                  <w:pPr>
                    <w:widowControl/>
                    <w:jc w:val="center"/>
                    <w:textAlignment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间歇</w:t>
                  </w:r>
                  <w:r>
                    <w:rPr>
                      <w:rFonts w:hint="eastAsia" w:cs="Times New Roman"/>
                      <w:color w:val="auto"/>
                      <w:szCs w:val="21"/>
                      <w:lang w:eastAsia="zh-CN"/>
                    </w:rPr>
                    <w:t>，</w:t>
                  </w:r>
                  <w:r>
                    <w:rPr>
                      <w:rFonts w:hint="eastAsia" w:ascii="Times New Roman" w:hAnsi="Times New Roman" w:eastAsia="宋体" w:cs="Times New Roman"/>
                      <w:i w:val="0"/>
                      <w:iCs w:val="0"/>
                      <w:color w:val="auto"/>
                      <w:sz w:val="18"/>
                      <w:szCs w:val="18"/>
                      <w:highlight w:val="none"/>
                      <w:u w:val="none"/>
                      <w:lang w:val="en-US" w:eastAsia="zh-CN"/>
                    </w:rPr>
                    <w:t>洗车装置仅昼间运行</w:t>
                  </w:r>
                </w:p>
              </w:tc>
            </w:tr>
            <w:tr w14:paraId="5D051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6" w:type="pct"/>
                  <w:noWrap w:val="0"/>
                  <w:vAlign w:val="center"/>
                </w:tcPr>
                <w:p w14:paraId="17CCCC7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980" w:type="pct"/>
                  <w:noWrap w:val="0"/>
                  <w:vAlign w:val="center"/>
                </w:tcPr>
                <w:p w14:paraId="0090614E">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2#加油机</w:t>
                  </w:r>
                </w:p>
              </w:tc>
              <w:tc>
                <w:tcPr>
                  <w:tcW w:w="386" w:type="pct"/>
                  <w:noWrap w:val="0"/>
                  <w:vAlign w:val="center"/>
                </w:tcPr>
                <w:p w14:paraId="71207AAD">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1.3</w:t>
                  </w:r>
                </w:p>
              </w:tc>
              <w:tc>
                <w:tcPr>
                  <w:tcW w:w="403" w:type="pct"/>
                  <w:noWrap w:val="0"/>
                  <w:vAlign w:val="center"/>
                </w:tcPr>
                <w:p w14:paraId="23FF8C9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10.5</w:t>
                  </w:r>
                </w:p>
              </w:tc>
              <w:tc>
                <w:tcPr>
                  <w:tcW w:w="427" w:type="pct"/>
                  <w:noWrap w:val="0"/>
                  <w:vAlign w:val="center"/>
                </w:tcPr>
                <w:p w14:paraId="6EC7500E">
                  <w:pPr>
                    <w:widowControl/>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w:t>
                  </w:r>
                </w:p>
              </w:tc>
              <w:tc>
                <w:tcPr>
                  <w:tcW w:w="558" w:type="pct"/>
                  <w:noWrap w:val="0"/>
                  <w:vAlign w:val="center"/>
                </w:tcPr>
                <w:p w14:paraId="355C181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65</w:t>
                  </w:r>
                </w:p>
              </w:tc>
              <w:tc>
                <w:tcPr>
                  <w:tcW w:w="816" w:type="pct"/>
                  <w:noWrap w:val="0"/>
                  <w:vAlign w:val="center"/>
                </w:tcPr>
                <w:p w14:paraId="3D030321">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589" w:type="pct"/>
                  <w:vMerge w:val="continue"/>
                  <w:noWrap w:val="0"/>
                  <w:vAlign w:val="center"/>
                </w:tcPr>
                <w:p w14:paraId="1E7F12D5">
                  <w:pPr>
                    <w:widowControl/>
                    <w:jc w:val="center"/>
                    <w:textAlignment w:val="center"/>
                    <w:rPr>
                      <w:rFonts w:hint="default" w:ascii="Times New Roman" w:hAnsi="Times New Roman" w:eastAsia="宋体" w:cs="Times New Roman"/>
                      <w:color w:val="auto"/>
                      <w:szCs w:val="21"/>
                    </w:rPr>
                  </w:pPr>
                </w:p>
              </w:tc>
              <w:tc>
                <w:tcPr>
                  <w:tcW w:w="551" w:type="pct"/>
                  <w:vMerge w:val="continue"/>
                  <w:noWrap w:val="0"/>
                  <w:vAlign w:val="center"/>
                </w:tcPr>
                <w:p w14:paraId="17265305">
                  <w:pPr>
                    <w:widowControl/>
                    <w:jc w:val="center"/>
                    <w:textAlignment w:val="center"/>
                    <w:rPr>
                      <w:rFonts w:hint="default" w:ascii="Times New Roman" w:hAnsi="Times New Roman" w:eastAsia="宋体" w:cs="Times New Roman"/>
                      <w:color w:val="auto"/>
                      <w:szCs w:val="21"/>
                    </w:rPr>
                  </w:pPr>
                </w:p>
              </w:tc>
            </w:tr>
            <w:tr w14:paraId="3A923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6" w:type="pct"/>
                  <w:noWrap w:val="0"/>
                  <w:vAlign w:val="center"/>
                </w:tcPr>
                <w:p w14:paraId="752B2060">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w:t>
                  </w:r>
                </w:p>
              </w:tc>
              <w:tc>
                <w:tcPr>
                  <w:tcW w:w="980" w:type="pct"/>
                  <w:noWrap w:val="0"/>
                  <w:vAlign w:val="center"/>
                </w:tcPr>
                <w:p w14:paraId="74BBF03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3#加油机</w:t>
                  </w:r>
                </w:p>
              </w:tc>
              <w:tc>
                <w:tcPr>
                  <w:tcW w:w="386" w:type="pct"/>
                  <w:noWrap w:val="0"/>
                  <w:vAlign w:val="center"/>
                </w:tcPr>
                <w:p w14:paraId="406C4F2B">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-4.4</w:t>
                  </w:r>
                </w:p>
              </w:tc>
              <w:tc>
                <w:tcPr>
                  <w:tcW w:w="403" w:type="pct"/>
                  <w:noWrap w:val="0"/>
                  <w:vAlign w:val="center"/>
                </w:tcPr>
                <w:p w14:paraId="5B38084E">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17.3</w:t>
                  </w:r>
                </w:p>
              </w:tc>
              <w:tc>
                <w:tcPr>
                  <w:tcW w:w="427" w:type="pct"/>
                  <w:noWrap w:val="0"/>
                  <w:vAlign w:val="center"/>
                </w:tcPr>
                <w:p w14:paraId="7816444C">
                  <w:pPr>
                    <w:widowControl/>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w:t>
                  </w:r>
                </w:p>
              </w:tc>
              <w:tc>
                <w:tcPr>
                  <w:tcW w:w="558" w:type="pct"/>
                  <w:noWrap w:val="0"/>
                  <w:vAlign w:val="center"/>
                </w:tcPr>
                <w:p w14:paraId="71661618">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65</w:t>
                  </w:r>
                </w:p>
              </w:tc>
              <w:tc>
                <w:tcPr>
                  <w:tcW w:w="816" w:type="pct"/>
                  <w:noWrap w:val="0"/>
                  <w:vAlign w:val="center"/>
                </w:tcPr>
                <w:p w14:paraId="61A3F296">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589" w:type="pct"/>
                  <w:vMerge w:val="continue"/>
                  <w:noWrap w:val="0"/>
                  <w:vAlign w:val="center"/>
                </w:tcPr>
                <w:p w14:paraId="3116AB10">
                  <w:pPr>
                    <w:widowControl/>
                    <w:jc w:val="center"/>
                    <w:textAlignment w:val="center"/>
                    <w:rPr>
                      <w:rFonts w:hint="default" w:ascii="Times New Roman" w:hAnsi="Times New Roman" w:eastAsia="宋体" w:cs="Times New Roman"/>
                      <w:color w:val="auto"/>
                      <w:szCs w:val="21"/>
                    </w:rPr>
                  </w:pPr>
                </w:p>
              </w:tc>
              <w:tc>
                <w:tcPr>
                  <w:tcW w:w="551" w:type="pct"/>
                  <w:vMerge w:val="continue"/>
                  <w:noWrap w:val="0"/>
                  <w:vAlign w:val="center"/>
                </w:tcPr>
                <w:p w14:paraId="54FC8B86">
                  <w:pPr>
                    <w:widowControl/>
                    <w:jc w:val="center"/>
                    <w:textAlignment w:val="center"/>
                    <w:rPr>
                      <w:rFonts w:hint="default" w:ascii="Times New Roman" w:hAnsi="Times New Roman" w:eastAsia="宋体" w:cs="Times New Roman"/>
                      <w:color w:val="auto"/>
                      <w:szCs w:val="21"/>
                    </w:rPr>
                  </w:pPr>
                </w:p>
              </w:tc>
            </w:tr>
            <w:tr w14:paraId="53EBA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6" w:type="pct"/>
                  <w:noWrap w:val="0"/>
                  <w:vAlign w:val="center"/>
                </w:tcPr>
                <w:p w14:paraId="79FAD97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w:t>
                  </w:r>
                </w:p>
              </w:tc>
              <w:tc>
                <w:tcPr>
                  <w:tcW w:w="980" w:type="pct"/>
                  <w:noWrap w:val="0"/>
                  <w:vAlign w:val="center"/>
                </w:tcPr>
                <w:p w14:paraId="6D1FF72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4#加油机</w:t>
                  </w:r>
                </w:p>
              </w:tc>
              <w:tc>
                <w:tcPr>
                  <w:tcW w:w="386" w:type="pct"/>
                  <w:noWrap w:val="0"/>
                  <w:vAlign w:val="center"/>
                </w:tcPr>
                <w:p w14:paraId="7ED5726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5.2</w:t>
                  </w:r>
                </w:p>
              </w:tc>
              <w:tc>
                <w:tcPr>
                  <w:tcW w:w="403" w:type="pct"/>
                  <w:noWrap w:val="0"/>
                  <w:vAlign w:val="center"/>
                </w:tcPr>
                <w:p w14:paraId="0A697767">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22.7</w:t>
                  </w:r>
                </w:p>
              </w:tc>
              <w:tc>
                <w:tcPr>
                  <w:tcW w:w="427" w:type="pct"/>
                  <w:noWrap w:val="0"/>
                  <w:vAlign w:val="center"/>
                </w:tcPr>
                <w:p w14:paraId="5147B0B6">
                  <w:pPr>
                    <w:widowControl/>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1.0</w:t>
                  </w:r>
                </w:p>
              </w:tc>
              <w:tc>
                <w:tcPr>
                  <w:tcW w:w="558" w:type="pct"/>
                  <w:noWrap w:val="0"/>
                  <w:vAlign w:val="center"/>
                </w:tcPr>
                <w:p w14:paraId="10A8A5D4">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65</w:t>
                  </w:r>
                </w:p>
              </w:tc>
              <w:tc>
                <w:tcPr>
                  <w:tcW w:w="816" w:type="pct"/>
                  <w:noWrap w:val="0"/>
                  <w:vAlign w:val="center"/>
                </w:tcPr>
                <w:p w14:paraId="34C0B4A0">
                  <w:pPr>
                    <w:widowControl/>
                    <w:jc w:val="center"/>
                    <w:textAlignment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589" w:type="pct"/>
                  <w:vMerge w:val="continue"/>
                  <w:noWrap w:val="0"/>
                  <w:vAlign w:val="center"/>
                </w:tcPr>
                <w:p w14:paraId="6D01D7B8">
                  <w:pPr>
                    <w:widowControl/>
                    <w:jc w:val="center"/>
                    <w:textAlignment w:val="center"/>
                    <w:rPr>
                      <w:rFonts w:hint="default" w:ascii="Times New Roman" w:hAnsi="Times New Roman" w:eastAsia="宋体" w:cs="Times New Roman"/>
                      <w:color w:val="auto"/>
                      <w:szCs w:val="21"/>
                    </w:rPr>
                  </w:pPr>
                </w:p>
              </w:tc>
              <w:tc>
                <w:tcPr>
                  <w:tcW w:w="551" w:type="pct"/>
                  <w:vMerge w:val="continue"/>
                  <w:noWrap w:val="0"/>
                  <w:vAlign w:val="center"/>
                </w:tcPr>
                <w:p w14:paraId="44844A61">
                  <w:pPr>
                    <w:widowControl/>
                    <w:jc w:val="center"/>
                    <w:textAlignment w:val="center"/>
                    <w:rPr>
                      <w:rFonts w:hint="default" w:ascii="Times New Roman" w:hAnsi="Times New Roman" w:eastAsia="宋体" w:cs="Times New Roman"/>
                      <w:color w:val="auto"/>
                      <w:szCs w:val="21"/>
                    </w:rPr>
                  </w:pPr>
                </w:p>
              </w:tc>
            </w:tr>
            <w:tr w14:paraId="3397E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6" w:type="pct"/>
                  <w:noWrap w:val="0"/>
                  <w:vAlign w:val="center"/>
                </w:tcPr>
                <w:p w14:paraId="3F0AF361">
                  <w:pPr>
                    <w:widowControl/>
                    <w:jc w:val="center"/>
                    <w:textAlignment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5</w:t>
                  </w:r>
                </w:p>
              </w:tc>
              <w:tc>
                <w:tcPr>
                  <w:tcW w:w="980" w:type="pct"/>
                  <w:noWrap w:val="0"/>
                  <w:vAlign w:val="center"/>
                </w:tcPr>
                <w:p w14:paraId="7BB97EBD">
                  <w:pPr>
                    <w:jc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三次油气回收处理装置</w:t>
                  </w:r>
                </w:p>
              </w:tc>
              <w:tc>
                <w:tcPr>
                  <w:tcW w:w="386" w:type="pct"/>
                  <w:noWrap w:val="0"/>
                  <w:vAlign w:val="center"/>
                </w:tcPr>
                <w:p w14:paraId="02DFE065">
                  <w:pPr>
                    <w:widowControl/>
                    <w:jc w:val="center"/>
                    <w:textAlignment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14</w:t>
                  </w:r>
                </w:p>
              </w:tc>
              <w:tc>
                <w:tcPr>
                  <w:tcW w:w="403" w:type="pct"/>
                  <w:noWrap w:val="0"/>
                  <w:vAlign w:val="center"/>
                </w:tcPr>
                <w:p w14:paraId="5F6CA712">
                  <w:pPr>
                    <w:widowControl/>
                    <w:jc w:val="center"/>
                    <w:textAlignment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-22</w:t>
                  </w:r>
                </w:p>
              </w:tc>
              <w:tc>
                <w:tcPr>
                  <w:tcW w:w="427" w:type="pct"/>
                  <w:noWrap w:val="0"/>
                  <w:vAlign w:val="center"/>
                </w:tcPr>
                <w:p w14:paraId="697BA556">
                  <w:pPr>
                    <w:widowControl/>
                    <w:jc w:val="center"/>
                    <w:textAlignment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0.2</w:t>
                  </w:r>
                </w:p>
              </w:tc>
              <w:tc>
                <w:tcPr>
                  <w:tcW w:w="558" w:type="pct"/>
                  <w:noWrap w:val="0"/>
                  <w:vAlign w:val="center"/>
                </w:tcPr>
                <w:p w14:paraId="39C155C9">
                  <w:pPr>
                    <w:widowControl/>
                    <w:jc w:val="center"/>
                    <w:textAlignment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70</w:t>
                  </w:r>
                </w:p>
              </w:tc>
              <w:tc>
                <w:tcPr>
                  <w:tcW w:w="816" w:type="pct"/>
                  <w:noWrap w:val="0"/>
                  <w:vAlign w:val="center"/>
                </w:tcPr>
                <w:p w14:paraId="6683DFD5">
                  <w:pPr>
                    <w:widowControl/>
                    <w:jc w:val="center"/>
                    <w:textAlignment w:val="center"/>
                    <w:rPr>
                      <w:rFonts w:hint="default" w:ascii="Times New Roman" w:hAnsi="Times New Roman" w:cs="Times New Roman"/>
                      <w:color w:val="auto"/>
                      <w:szCs w:val="21"/>
                      <w:lang w:val="en-US" w:eastAsia="zh-CN"/>
                    </w:rPr>
                  </w:pPr>
                  <w:r>
                    <w:rPr>
                      <w:rFonts w:hint="eastAsia" w:cs="Times New Roman"/>
                      <w:color w:val="auto"/>
                      <w:szCs w:val="21"/>
                      <w:lang w:val="en-US" w:eastAsia="zh-CN"/>
                    </w:rPr>
                    <w:t>1</w:t>
                  </w:r>
                </w:p>
              </w:tc>
              <w:tc>
                <w:tcPr>
                  <w:tcW w:w="589" w:type="pct"/>
                  <w:vMerge w:val="continue"/>
                  <w:noWrap w:val="0"/>
                  <w:vAlign w:val="center"/>
                </w:tcPr>
                <w:p w14:paraId="3C8722D0">
                  <w:pPr>
                    <w:widowControl/>
                    <w:jc w:val="center"/>
                    <w:textAlignment w:val="center"/>
                    <w:rPr>
                      <w:rFonts w:hint="default" w:ascii="Times New Roman" w:hAnsi="Times New Roman" w:eastAsia="宋体" w:cs="Times New Roman"/>
                      <w:color w:val="auto"/>
                      <w:szCs w:val="21"/>
                    </w:rPr>
                  </w:pPr>
                </w:p>
              </w:tc>
              <w:tc>
                <w:tcPr>
                  <w:tcW w:w="551" w:type="pct"/>
                  <w:vMerge w:val="continue"/>
                  <w:noWrap w:val="0"/>
                  <w:vAlign w:val="center"/>
                </w:tcPr>
                <w:p w14:paraId="7CE70280">
                  <w:pPr>
                    <w:widowControl/>
                    <w:jc w:val="center"/>
                    <w:textAlignment w:val="center"/>
                    <w:rPr>
                      <w:rFonts w:hint="default" w:ascii="Times New Roman" w:hAnsi="Times New Roman" w:eastAsia="宋体" w:cs="Times New Roman"/>
                      <w:color w:val="auto"/>
                      <w:szCs w:val="21"/>
                    </w:rPr>
                  </w:pPr>
                </w:p>
              </w:tc>
            </w:tr>
            <w:tr w14:paraId="35100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86" w:type="pct"/>
                  <w:noWrap w:val="0"/>
                  <w:vAlign w:val="center"/>
                </w:tcPr>
                <w:p w14:paraId="499DD776">
                  <w:pPr>
                    <w:widowControl/>
                    <w:jc w:val="center"/>
                    <w:textAlignment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w:t>
                  </w:r>
                </w:p>
              </w:tc>
              <w:tc>
                <w:tcPr>
                  <w:tcW w:w="980" w:type="pct"/>
                  <w:noWrap w:val="0"/>
                  <w:vAlign w:val="center"/>
                </w:tcPr>
                <w:p w14:paraId="74713A9A">
                  <w:pPr>
                    <w:jc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lang w:val="en-US" w:eastAsia="zh-CN"/>
                    </w:rPr>
                    <w:t>汽车快洗装置</w:t>
                  </w:r>
                </w:p>
              </w:tc>
              <w:tc>
                <w:tcPr>
                  <w:tcW w:w="386" w:type="pct"/>
                  <w:noWrap w:val="0"/>
                  <w:vAlign w:val="center"/>
                </w:tcPr>
                <w:p w14:paraId="04D66D15">
                  <w:pPr>
                    <w:widowControl/>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17</w:t>
                  </w:r>
                </w:p>
              </w:tc>
              <w:tc>
                <w:tcPr>
                  <w:tcW w:w="403" w:type="pct"/>
                  <w:noWrap w:val="0"/>
                  <w:vAlign w:val="center"/>
                </w:tcPr>
                <w:p w14:paraId="222D19D2">
                  <w:pPr>
                    <w:widowControl/>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16</w:t>
                  </w:r>
                </w:p>
              </w:tc>
              <w:tc>
                <w:tcPr>
                  <w:tcW w:w="427" w:type="pct"/>
                  <w:noWrap w:val="0"/>
                  <w:vAlign w:val="center"/>
                </w:tcPr>
                <w:p w14:paraId="0B4BA991">
                  <w:pPr>
                    <w:widowControl/>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0.5</w:t>
                  </w:r>
                </w:p>
              </w:tc>
              <w:tc>
                <w:tcPr>
                  <w:tcW w:w="558" w:type="pct"/>
                  <w:noWrap w:val="0"/>
                  <w:vAlign w:val="center"/>
                </w:tcPr>
                <w:p w14:paraId="5F42437F">
                  <w:pPr>
                    <w:widowControl/>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75</w:t>
                  </w:r>
                </w:p>
              </w:tc>
              <w:tc>
                <w:tcPr>
                  <w:tcW w:w="816" w:type="pct"/>
                  <w:noWrap w:val="0"/>
                  <w:vAlign w:val="center"/>
                </w:tcPr>
                <w:p w14:paraId="6153DAF7">
                  <w:pPr>
                    <w:widowControl/>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1</w:t>
                  </w:r>
                </w:p>
              </w:tc>
              <w:tc>
                <w:tcPr>
                  <w:tcW w:w="589" w:type="pct"/>
                  <w:vMerge w:val="continue"/>
                  <w:noWrap w:val="0"/>
                  <w:vAlign w:val="center"/>
                </w:tcPr>
                <w:p w14:paraId="26BB6FD1">
                  <w:pPr>
                    <w:widowControl/>
                    <w:jc w:val="center"/>
                    <w:textAlignment w:val="center"/>
                    <w:rPr>
                      <w:rFonts w:hint="default" w:ascii="Times New Roman" w:hAnsi="Times New Roman" w:eastAsia="宋体" w:cs="Times New Roman"/>
                      <w:color w:val="auto"/>
                      <w:szCs w:val="21"/>
                    </w:rPr>
                  </w:pPr>
                </w:p>
              </w:tc>
              <w:tc>
                <w:tcPr>
                  <w:tcW w:w="551" w:type="pct"/>
                  <w:vMerge w:val="continue"/>
                  <w:noWrap w:val="0"/>
                  <w:vAlign w:val="center"/>
                </w:tcPr>
                <w:p w14:paraId="61396FDF">
                  <w:pPr>
                    <w:widowControl/>
                    <w:jc w:val="center"/>
                    <w:textAlignment w:val="center"/>
                    <w:rPr>
                      <w:rFonts w:hint="default" w:ascii="Times New Roman" w:hAnsi="Times New Roman" w:eastAsia="宋体" w:cs="Times New Roman"/>
                      <w:color w:val="auto"/>
                      <w:szCs w:val="21"/>
                    </w:rPr>
                  </w:pPr>
                </w:p>
              </w:tc>
            </w:tr>
            <w:tr w14:paraId="5046E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9"/>
                  <w:noWrap w:val="0"/>
                  <w:vAlign w:val="center"/>
                </w:tcPr>
                <w:p w14:paraId="233AC41A">
                  <w:pPr>
                    <w:widowControl/>
                    <w:jc w:val="center"/>
                    <w:textAlignment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注：以厂界中心点</w:t>
                  </w:r>
                  <w:r>
                    <w:rPr>
                      <w:rFonts w:hint="default" w:ascii="Times New Roman" w:hAnsi="Times New Roman" w:eastAsia="宋体" w:cs="Times New Roman"/>
                      <w:b w:val="0"/>
                      <w:bCs/>
                      <w:color w:val="auto"/>
                      <w:sz w:val="21"/>
                      <w:szCs w:val="21"/>
                      <w:highlight w:val="none"/>
                      <w:lang w:val="en-US" w:eastAsia="zh-CN"/>
                    </w:rPr>
                    <w:t>为坐标原点，正东向为X轴正方向，正北向为Y轴正方向</w:t>
                  </w:r>
                </w:p>
              </w:tc>
            </w:tr>
          </w:tbl>
          <w:p w14:paraId="3A19089A">
            <w:pPr>
              <w:pStyle w:val="8"/>
              <w:keepNext w:val="0"/>
              <w:keepLines w:val="0"/>
              <w:pageBreakBefore w:val="0"/>
              <w:widowControl w:val="0"/>
              <w:kinsoku/>
              <w:wordWrap/>
              <w:overflowPunct/>
              <w:topLinePunct w:val="0"/>
              <w:autoSpaceDE/>
              <w:autoSpaceDN/>
              <w:bidi w:val="0"/>
              <w:adjustRightInd/>
              <w:snapToGrid/>
              <w:spacing w:after="0" w:line="360" w:lineRule="auto"/>
              <w:ind w:leftChars="0"/>
              <w:textAlignment w:val="auto"/>
              <w:rPr>
                <w:rFonts w:hint="default" w:ascii="Times New Roman" w:hAnsi="Times New Roman" w:eastAsia="宋体" w:cs="Times New Roman"/>
                <w:b/>
                <w:bCs/>
                <w:color w:val="auto"/>
                <w:szCs w:val="24"/>
              </w:rPr>
            </w:pPr>
            <w:r>
              <w:rPr>
                <w:rFonts w:hint="default" w:ascii="Times New Roman" w:hAnsi="Times New Roman" w:eastAsia="宋体" w:cs="Times New Roman"/>
                <w:b/>
                <w:bCs/>
                <w:color w:val="auto"/>
                <w:szCs w:val="24"/>
              </w:rPr>
              <w:t>（2）噪声影响预测及评价</w:t>
            </w:r>
          </w:p>
          <w:p w14:paraId="26DADD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b/>
                <w:bCs/>
                <w:color w:val="auto"/>
                <w:sz w:val="24"/>
              </w:rPr>
              <w:t>①预测模式</w:t>
            </w:r>
          </w:p>
          <w:p w14:paraId="67759945">
            <w:pPr>
              <w:widowControl/>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rPr>
              <w:t>根据《环境影响评价技术导则 声环境》（HJ2.4-2021）的要求，</w:t>
            </w:r>
            <w:r>
              <w:rPr>
                <w:rFonts w:hint="default" w:ascii="Times New Roman" w:hAnsi="Times New Roman" w:eastAsia="宋体" w:cs="Times New Roman"/>
                <w:color w:val="auto"/>
                <w:kern w:val="0"/>
                <w:sz w:val="24"/>
                <w:lang w:bidi="ar"/>
              </w:rPr>
              <w:t>本次评价采用导则推荐的预测模式。</w:t>
            </w:r>
          </w:p>
          <w:p w14:paraId="60C0D3CF">
            <w:pPr>
              <w:widowControl/>
              <w:spacing w:line="360" w:lineRule="auto"/>
              <w:ind w:firstLine="480" w:firstLineChars="2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kern w:val="0"/>
                <w:sz w:val="24"/>
                <w:lang w:bidi="ar"/>
              </w:rPr>
              <w:t>无指向性点声源几何发散衰减的基本公式：</w:t>
            </w:r>
          </w:p>
          <w:p w14:paraId="3550986D">
            <w:pPr>
              <w:autoSpaceDE w:val="0"/>
              <w:autoSpaceDN w:val="0"/>
              <w:adjustRightInd w:val="0"/>
              <w:snapToGrid w:val="0"/>
              <w:spacing w:line="360" w:lineRule="auto"/>
              <w:ind w:firstLine="2640" w:firstLineChars="11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L</w:t>
            </w:r>
            <w:r>
              <w:rPr>
                <w:rFonts w:hint="default" w:ascii="Times New Roman" w:hAnsi="Times New Roman" w:eastAsia="宋体" w:cs="Times New Roman"/>
                <w:color w:val="auto"/>
                <w:kern w:val="0"/>
                <w:sz w:val="24"/>
                <w:vertAlign w:val="subscript"/>
              </w:rPr>
              <w:t>2</w:t>
            </w:r>
            <w:r>
              <w:rPr>
                <w:rFonts w:hint="default" w:ascii="Times New Roman" w:hAnsi="Times New Roman" w:eastAsia="宋体" w:cs="Times New Roman"/>
                <w:color w:val="auto"/>
                <w:kern w:val="0"/>
                <w:sz w:val="24"/>
              </w:rPr>
              <w:t>＝L</w:t>
            </w:r>
            <w:r>
              <w:rPr>
                <w:rFonts w:hint="default" w:ascii="Times New Roman" w:hAnsi="Times New Roman" w:eastAsia="宋体" w:cs="Times New Roman"/>
                <w:color w:val="auto"/>
                <w:kern w:val="0"/>
                <w:sz w:val="24"/>
                <w:vertAlign w:val="subscript"/>
              </w:rPr>
              <w:t>1</w:t>
            </w:r>
            <w:r>
              <w:rPr>
                <w:rFonts w:hint="default" w:ascii="Times New Roman" w:hAnsi="Times New Roman" w:eastAsia="宋体" w:cs="Times New Roman"/>
                <w:color w:val="auto"/>
                <w:kern w:val="0"/>
                <w:sz w:val="24"/>
              </w:rPr>
              <w:t>－20lgr</w:t>
            </w:r>
            <w:r>
              <w:rPr>
                <w:rFonts w:hint="default" w:ascii="Times New Roman" w:hAnsi="Times New Roman" w:eastAsia="宋体" w:cs="Times New Roman"/>
                <w:color w:val="auto"/>
                <w:kern w:val="0"/>
                <w:sz w:val="24"/>
                <w:vertAlign w:val="subscript"/>
              </w:rPr>
              <w:t>2</w:t>
            </w:r>
            <w:r>
              <w:rPr>
                <w:rFonts w:hint="default" w:ascii="Times New Roman" w:hAnsi="Times New Roman" w:eastAsia="宋体" w:cs="Times New Roman"/>
                <w:color w:val="auto"/>
                <w:kern w:val="0"/>
                <w:sz w:val="24"/>
              </w:rPr>
              <w:t>/r</w:t>
            </w:r>
            <w:r>
              <w:rPr>
                <w:rFonts w:hint="default" w:ascii="Times New Roman" w:hAnsi="Times New Roman" w:eastAsia="宋体" w:cs="Times New Roman"/>
                <w:color w:val="auto"/>
                <w:kern w:val="0"/>
                <w:sz w:val="24"/>
                <w:vertAlign w:val="subscript"/>
              </w:rPr>
              <w:t>1</w:t>
            </w:r>
          </w:p>
          <w:p w14:paraId="69723718">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式中：L</w:t>
            </w:r>
            <w:r>
              <w:rPr>
                <w:rFonts w:hint="default" w:ascii="Times New Roman" w:hAnsi="Times New Roman" w:eastAsia="宋体" w:cs="Times New Roman"/>
                <w:color w:val="auto"/>
                <w:kern w:val="0"/>
                <w:sz w:val="24"/>
                <w:vertAlign w:val="subscript"/>
              </w:rPr>
              <w:t>2</w:t>
            </w:r>
            <w:r>
              <w:rPr>
                <w:rFonts w:hint="default" w:ascii="Times New Roman" w:hAnsi="Times New Roman" w:eastAsia="宋体" w:cs="Times New Roman"/>
                <w:color w:val="auto"/>
                <w:kern w:val="0"/>
                <w:sz w:val="24"/>
              </w:rPr>
              <w:t>—距声源 r</w:t>
            </w:r>
            <w:r>
              <w:rPr>
                <w:rFonts w:hint="default" w:ascii="Times New Roman" w:hAnsi="Times New Roman" w:eastAsia="宋体" w:cs="Times New Roman"/>
                <w:color w:val="auto"/>
                <w:kern w:val="0"/>
                <w:sz w:val="24"/>
                <w:vertAlign w:val="subscript"/>
              </w:rPr>
              <w:t>2</w:t>
            </w:r>
            <w:r>
              <w:rPr>
                <w:rFonts w:hint="default" w:ascii="Times New Roman" w:hAnsi="Times New Roman" w:eastAsia="宋体" w:cs="Times New Roman"/>
                <w:color w:val="auto"/>
                <w:kern w:val="0"/>
                <w:sz w:val="24"/>
              </w:rPr>
              <w:t xml:space="preserve"> 处声源值[dB(A)]； </w:t>
            </w:r>
          </w:p>
          <w:p w14:paraId="2272DFB4">
            <w:pPr>
              <w:autoSpaceDE w:val="0"/>
              <w:autoSpaceDN w:val="0"/>
              <w:adjustRightInd w:val="0"/>
              <w:snapToGrid w:val="0"/>
              <w:spacing w:line="360" w:lineRule="auto"/>
              <w:ind w:firstLine="1200" w:firstLineChars="5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L</w:t>
            </w:r>
            <w:r>
              <w:rPr>
                <w:rFonts w:hint="default" w:ascii="Times New Roman" w:hAnsi="Times New Roman" w:eastAsia="宋体" w:cs="Times New Roman"/>
                <w:color w:val="auto"/>
                <w:kern w:val="0"/>
                <w:sz w:val="24"/>
                <w:vertAlign w:val="subscript"/>
              </w:rPr>
              <w:t xml:space="preserve">1 </w:t>
            </w:r>
            <w:r>
              <w:rPr>
                <w:rFonts w:hint="default" w:ascii="Times New Roman" w:hAnsi="Times New Roman" w:eastAsia="宋体" w:cs="Times New Roman"/>
                <w:color w:val="auto"/>
                <w:kern w:val="0"/>
                <w:sz w:val="24"/>
              </w:rPr>
              <w:t>—距声源 r</w:t>
            </w:r>
            <w:r>
              <w:rPr>
                <w:rFonts w:hint="default" w:ascii="Times New Roman" w:hAnsi="Times New Roman" w:eastAsia="宋体" w:cs="Times New Roman"/>
                <w:color w:val="auto"/>
                <w:kern w:val="0"/>
                <w:sz w:val="24"/>
                <w:vertAlign w:val="subscript"/>
              </w:rPr>
              <w:t>1</w:t>
            </w:r>
            <w:r>
              <w:rPr>
                <w:rFonts w:hint="default" w:ascii="Times New Roman" w:hAnsi="Times New Roman" w:eastAsia="宋体" w:cs="Times New Roman"/>
                <w:color w:val="auto"/>
                <w:kern w:val="0"/>
                <w:sz w:val="24"/>
              </w:rPr>
              <w:t xml:space="preserve"> 处声源值[dB(A)]； </w:t>
            </w:r>
          </w:p>
          <w:p w14:paraId="025B26A4">
            <w:pPr>
              <w:autoSpaceDE w:val="0"/>
              <w:autoSpaceDN w:val="0"/>
              <w:adjustRightInd w:val="0"/>
              <w:snapToGrid w:val="0"/>
              <w:spacing w:line="360" w:lineRule="auto"/>
              <w:ind w:firstLine="1200" w:firstLineChars="5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r</w:t>
            </w:r>
            <w:r>
              <w:rPr>
                <w:rFonts w:hint="default" w:ascii="Times New Roman" w:hAnsi="Times New Roman" w:eastAsia="宋体" w:cs="Times New Roman"/>
                <w:color w:val="auto"/>
                <w:kern w:val="0"/>
                <w:sz w:val="24"/>
                <w:vertAlign w:val="subscript"/>
              </w:rPr>
              <w:t>2</w:t>
            </w:r>
            <w:r>
              <w:rPr>
                <w:rFonts w:hint="default" w:ascii="Times New Roman" w:hAnsi="Times New Roman" w:eastAsia="宋体" w:cs="Times New Roman"/>
                <w:color w:val="auto"/>
                <w:kern w:val="0"/>
                <w:sz w:val="24"/>
              </w:rPr>
              <w:t>/r</w:t>
            </w:r>
            <w:r>
              <w:rPr>
                <w:rFonts w:hint="default" w:ascii="Times New Roman" w:hAnsi="Times New Roman" w:eastAsia="宋体" w:cs="Times New Roman"/>
                <w:color w:val="auto"/>
                <w:kern w:val="0"/>
                <w:sz w:val="24"/>
                <w:vertAlign w:val="subscript"/>
              </w:rPr>
              <w:t>1</w:t>
            </w:r>
            <w:r>
              <w:rPr>
                <w:rFonts w:hint="default" w:ascii="Times New Roman" w:hAnsi="Times New Roman" w:eastAsia="宋体" w:cs="Times New Roman"/>
                <w:color w:val="auto"/>
                <w:kern w:val="0"/>
                <w:sz w:val="24"/>
              </w:rPr>
              <w:t xml:space="preserve">—与声源的距离（m）； </w:t>
            </w:r>
          </w:p>
          <w:p w14:paraId="1969A162">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噪声叠加公式： </w:t>
            </w:r>
          </w:p>
          <w:p w14:paraId="5792A4A2">
            <w:pPr>
              <w:spacing w:line="360" w:lineRule="auto"/>
              <w:ind w:firstLine="480" w:firstLineChars="200"/>
              <w:jc w:val="center"/>
              <w:rPr>
                <w:rFonts w:hint="default" w:ascii="Times New Roman" w:hAnsi="Times New Roman" w:eastAsia="宋体" w:cs="Times New Roman"/>
                <w:b/>
                <w:bCs/>
                <w:color w:val="auto"/>
                <w:sz w:val="24"/>
              </w:rPr>
            </w:pPr>
            <w:r>
              <w:rPr>
                <w:rFonts w:hint="default" w:ascii="Times New Roman" w:hAnsi="Times New Roman" w:eastAsia="宋体" w:cs="Times New Roman"/>
                <w:color w:val="auto"/>
                <w:sz w:val="24"/>
              </w:rPr>
              <w:drawing>
                <wp:inline distT="0" distB="0" distL="114300" distR="114300">
                  <wp:extent cx="1266825" cy="381000"/>
                  <wp:effectExtent l="0" t="0" r="13335" b="0"/>
                  <wp:docPr id="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3"/>
                          <pic:cNvPicPr>
                            <a:picLocks noChangeAspect="1"/>
                          </pic:cNvPicPr>
                        </pic:nvPicPr>
                        <pic:blipFill>
                          <a:blip r:embed="rId19"/>
                          <a:stretch>
                            <a:fillRect/>
                          </a:stretch>
                        </pic:blipFill>
                        <pic:spPr>
                          <a:xfrm>
                            <a:off x="0" y="0"/>
                            <a:ext cx="1266825" cy="381000"/>
                          </a:xfrm>
                          <a:prstGeom prst="rect">
                            <a:avLst/>
                          </a:prstGeom>
                          <a:noFill/>
                          <a:ln>
                            <a:noFill/>
                          </a:ln>
                        </pic:spPr>
                      </pic:pic>
                    </a:graphicData>
                  </a:graphic>
                </wp:inline>
              </w:drawing>
            </w:r>
          </w:p>
          <w:p w14:paraId="0324C2E3">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式中：L—评价点噪声的预测值，dB； </w:t>
            </w:r>
          </w:p>
          <w:p w14:paraId="1DA63BF1">
            <w:pPr>
              <w:autoSpaceDE w:val="0"/>
              <w:autoSpaceDN w:val="0"/>
              <w:adjustRightInd w:val="0"/>
              <w:snapToGrid w:val="0"/>
              <w:spacing w:line="360" w:lineRule="auto"/>
              <w:ind w:firstLine="1200" w:firstLineChars="5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L</w:t>
            </w:r>
            <w:r>
              <w:rPr>
                <w:rFonts w:hint="default" w:ascii="Times New Roman" w:hAnsi="Times New Roman" w:eastAsia="宋体" w:cs="Times New Roman"/>
                <w:color w:val="auto"/>
                <w:kern w:val="0"/>
                <w:sz w:val="24"/>
                <w:vertAlign w:val="subscript"/>
              </w:rPr>
              <w:t>i</w:t>
            </w:r>
            <w:r>
              <w:rPr>
                <w:rFonts w:hint="default" w:ascii="Times New Roman" w:hAnsi="Times New Roman" w:eastAsia="宋体" w:cs="Times New Roman"/>
                <w:color w:val="auto"/>
                <w:kern w:val="0"/>
                <w:sz w:val="24"/>
              </w:rPr>
              <w:t>—第 i 个声源在评价点产生的噪声贡献值，dB；</w:t>
            </w:r>
          </w:p>
          <w:p w14:paraId="5E61AD23">
            <w:pPr>
              <w:autoSpaceDE w:val="0"/>
              <w:autoSpaceDN w:val="0"/>
              <w:adjustRightInd w:val="0"/>
              <w:snapToGrid w:val="0"/>
              <w:spacing w:line="360" w:lineRule="auto"/>
              <w:ind w:firstLine="1200" w:firstLineChars="5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n—点声源数。</w:t>
            </w:r>
          </w:p>
          <w:p w14:paraId="20CFF590">
            <w:pPr>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②厂界噪声预测结果</w:t>
            </w:r>
          </w:p>
          <w:p w14:paraId="0530AFCD">
            <w:pPr>
              <w:spacing w:line="360" w:lineRule="auto"/>
              <w:ind w:firstLine="480" w:firstLineChars="200"/>
              <w:rPr>
                <w:rFonts w:hint="default" w:ascii="Times New Roman" w:hAnsi="Times New Roman" w:eastAsia="宋体" w:cs="Times New Roman"/>
                <w:color w:val="auto"/>
                <w:kern w:val="0"/>
                <w:sz w:val="26"/>
                <w:szCs w:val="26"/>
              </w:rPr>
            </w:pPr>
            <w:r>
              <w:rPr>
                <w:rFonts w:hint="default" w:ascii="Times New Roman" w:hAnsi="Times New Roman" w:eastAsia="宋体" w:cs="Times New Roman"/>
                <w:color w:val="auto"/>
                <w:sz w:val="24"/>
              </w:rPr>
              <w:t>本项目厂界噪声预测结果见下表。</w:t>
            </w:r>
          </w:p>
          <w:p w14:paraId="77A0529C">
            <w:pPr>
              <w:pStyle w:val="16"/>
              <w:spacing w:before="0" w:beforeAutospacing="0" w:after="0" w:afterAutospacing="0"/>
              <w:jc w:val="center"/>
              <w:outlineLvl w:val="0"/>
              <w:rPr>
                <w:rFonts w:hint="default" w:ascii="Times New Roman" w:hAnsi="Times New Roman" w:eastAsia="宋体" w:cs="Times New Roman"/>
                <w:b/>
                <w:snapToGrid w:val="0"/>
                <w:color w:val="auto"/>
                <w:szCs w:val="24"/>
              </w:rPr>
            </w:pPr>
            <w:r>
              <w:rPr>
                <w:rFonts w:hint="default" w:ascii="Times New Roman" w:hAnsi="Times New Roman" w:eastAsia="宋体" w:cs="Times New Roman"/>
                <w:b/>
                <w:snapToGrid w:val="0"/>
                <w:color w:val="auto"/>
                <w:szCs w:val="24"/>
              </w:rPr>
              <w:t>表4.2-1</w:t>
            </w:r>
            <w:r>
              <w:rPr>
                <w:rFonts w:hint="default" w:ascii="Times New Roman" w:hAnsi="Times New Roman" w:cs="Times New Roman"/>
                <w:b/>
                <w:snapToGrid w:val="0"/>
                <w:color w:val="auto"/>
                <w:szCs w:val="24"/>
                <w:lang w:val="en-US" w:eastAsia="zh-CN"/>
              </w:rPr>
              <w:t>1</w:t>
            </w:r>
            <w:r>
              <w:rPr>
                <w:rFonts w:hint="default" w:ascii="Times New Roman" w:hAnsi="Times New Roman" w:eastAsia="宋体" w:cs="Times New Roman"/>
                <w:b/>
                <w:snapToGrid w:val="0"/>
                <w:color w:val="auto"/>
                <w:szCs w:val="24"/>
              </w:rPr>
              <w:t xml:space="preserve">  厂界噪声预测结果与达标分析一览表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372"/>
              <w:gridCol w:w="1920"/>
              <w:gridCol w:w="1933"/>
              <w:gridCol w:w="1624"/>
            </w:tblGrid>
            <w:tr w14:paraId="4FA0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8" w:type="dxa"/>
                  <w:vMerge w:val="restart"/>
                  <w:noWrap w:val="0"/>
                  <w:vAlign w:val="center"/>
                </w:tcPr>
                <w:p w14:paraId="60A767BF">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预测厂界</w:t>
                  </w:r>
                </w:p>
              </w:tc>
              <w:tc>
                <w:tcPr>
                  <w:tcW w:w="1373" w:type="dxa"/>
                  <w:vMerge w:val="restart"/>
                  <w:noWrap w:val="0"/>
                  <w:vAlign w:val="center"/>
                </w:tcPr>
                <w:p w14:paraId="42F8DBB8">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预测时段</w:t>
                  </w:r>
                </w:p>
              </w:tc>
              <w:tc>
                <w:tcPr>
                  <w:tcW w:w="1921" w:type="dxa"/>
                  <w:vMerge w:val="restart"/>
                  <w:noWrap w:val="0"/>
                  <w:vAlign w:val="center"/>
                </w:tcPr>
                <w:p w14:paraId="768CE56D">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预测结果（dB(A)）</w:t>
                  </w:r>
                </w:p>
              </w:tc>
              <w:tc>
                <w:tcPr>
                  <w:tcW w:w="1934" w:type="dxa"/>
                  <w:vMerge w:val="restart"/>
                  <w:noWrap w:val="0"/>
                  <w:vAlign w:val="center"/>
                </w:tcPr>
                <w:p w14:paraId="51CE8A62">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标准限值（dB(A)）</w:t>
                  </w:r>
                </w:p>
              </w:tc>
              <w:tc>
                <w:tcPr>
                  <w:tcW w:w="1625" w:type="dxa"/>
                  <w:vMerge w:val="restart"/>
                  <w:noWrap w:val="0"/>
                  <w:vAlign w:val="center"/>
                </w:tcPr>
                <w:p w14:paraId="7A1F82C7">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达标情况</w:t>
                  </w:r>
                </w:p>
              </w:tc>
            </w:tr>
            <w:tr w14:paraId="4F7E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8" w:type="dxa"/>
                  <w:vMerge w:val="continue"/>
                  <w:shd w:val="clear" w:color="auto" w:fill="FFFFFF"/>
                  <w:noWrap w:val="0"/>
                  <w:vAlign w:val="center"/>
                </w:tcPr>
                <w:p w14:paraId="6F8B3DA4">
                  <w:pPr>
                    <w:spacing w:line="320" w:lineRule="exact"/>
                    <w:jc w:val="center"/>
                    <w:rPr>
                      <w:rFonts w:hint="default" w:ascii="Times New Roman" w:hAnsi="Times New Roman" w:eastAsia="宋体" w:cs="Times New Roman"/>
                      <w:bCs/>
                      <w:color w:val="auto"/>
                      <w:szCs w:val="21"/>
                    </w:rPr>
                  </w:pPr>
                </w:p>
              </w:tc>
              <w:tc>
                <w:tcPr>
                  <w:tcW w:w="1373" w:type="dxa"/>
                  <w:vMerge w:val="continue"/>
                  <w:shd w:val="clear" w:color="auto" w:fill="FFFFFF"/>
                  <w:noWrap w:val="0"/>
                  <w:vAlign w:val="center"/>
                </w:tcPr>
                <w:p w14:paraId="73826F88">
                  <w:pPr>
                    <w:spacing w:line="320" w:lineRule="exact"/>
                    <w:jc w:val="center"/>
                    <w:rPr>
                      <w:rFonts w:hint="default" w:ascii="Times New Roman" w:hAnsi="Times New Roman" w:eastAsia="宋体" w:cs="Times New Roman"/>
                      <w:bCs/>
                      <w:color w:val="auto"/>
                      <w:szCs w:val="21"/>
                    </w:rPr>
                  </w:pPr>
                </w:p>
              </w:tc>
              <w:tc>
                <w:tcPr>
                  <w:tcW w:w="1921" w:type="dxa"/>
                  <w:vMerge w:val="continue"/>
                  <w:shd w:val="clear" w:color="auto" w:fill="FFFFFF"/>
                  <w:noWrap w:val="0"/>
                  <w:vAlign w:val="center"/>
                </w:tcPr>
                <w:p w14:paraId="685AA1BF">
                  <w:pPr>
                    <w:spacing w:line="320" w:lineRule="exact"/>
                    <w:jc w:val="center"/>
                    <w:rPr>
                      <w:rFonts w:hint="default" w:ascii="Times New Roman" w:hAnsi="Times New Roman" w:eastAsia="宋体" w:cs="Times New Roman"/>
                      <w:bCs/>
                      <w:color w:val="auto"/>
                      <w:szCs w:val="21"/>
                      <w:highlight w:val="yellow"/>
                    </w:rPr>
                  </w:pPr>
                </w:p>
              </w:tc>
              <w:tc>
                <w:tcPr>
                  <w:tcW w:w="1934" w:type="dxa"/>
                  <w:vMerge w:val="continue"/>
                  <w:shd w:val="clear" w:color="auto" w:fill="FFFFFF"/>
                  <w:noWrap w:val="0"/>
                  <w:vAlign w:val="center"/>
                </w:tcPr>
                <w:p w14:paraId="023B58C0">
                  <w:pPr>
                    <w:spacing w:line="320" w:lineRule="exact"/>
                    <w:jc w:val="center"/>
                    <w:rPr>
                      <w:rFonts w:hint="default" w:ascii="Times New Roman" w:hAnsi="Times New Roman" w:eastAsia="宋体" w:cs="Times New Roman"/>
                      <w:bCs/>
                      <w:color w:val="auto"/>
                      <w:szCs w:val="21"/>
                      <w:highlight w:val="yellow"/>
                    </w:rPr>
                  </w:pPr>
                </w:p>
              </w:tc>
              <w:tc>
                <w:tcPr>
                  <w:tcW w:w="1625" w:type="dxa"/>
                  <w:vMerge w:val="continue"/>
                  <w:shd w:val="clear" w:color="auto" w:fill="FFFFFF"/>
                  <w:noWrap w:val="0"/>
                  <w:vAlign w:val="center"/>
                </w:tcPr>
                <w:p w14:paraId="71AD0D1C">
                  <w:pPr>
                    <w:spacing w:line="320" w:lineRule="exact"/>
                    <w:jc w:val="center"/>
                    <w:rPr>
                      <w:rFonts w:hint="default" w:ascii="Times New Roman" w:hAnsi="Times New Roman" w:eastAsia="宋体" w:cs="Times New Roman"/>
                      <w:bCs/>
                      <w:color w:val="auto"/>
                      <w:szCs w:val="21"/>
                    </w:rPr>
                  </w:pPr>
                </w:p>
              </w:tc>
            </w:tr>
            <w:tr w14:paraId="2DB2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88" w:type="dxa"/>
                  <w:vMerge w:val="restart"/>
                  <w:shd w:val="clear" w:color="auto" w:fill="FFFFFF"/>
                  <w:noWrap w:val="0"/>
                  <w:vAlign w:val="center"/>
                </w:tcPr>
                <w:p w14:paraId="677CD40F">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东侧</w:t>
                  </w:r>
                </w:p>
              </w:tc>
              <w:tc>
                <w:tcPr>
                  <w:tcW w:w="1373" w:type="dxa"/>
                  <w:shd w:val="clear" w:color="auto" w:fill="FFFFFF"/>
                  <w:noWrap w:val="0"/>
                  <w:vAlign w:val="center"/>
                </w:tcPr>
                <w:p w14:paraId="2AB01714">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昼间</w:t>
                  </w:r>
                </w:p>
              </w:tc>
              <w:tc>
                <w:tcPr>
                  <w:tcW w:w="1921" w:type="dxa"/>
                  <w:shd w:val="clear" w:color="auto" w:fill="FFFFFF"/>
                  <w:noWrap w:val="0"/>
                  <w:vAlign w:val="center"/>
                </w:tcPr>
                <w:p w14:paraId="4DB7E308">
                  <w:pPr>
                    <w:spacing w:line="320" w:lineRule="exact"/>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63.9</w:t>
                  </w:r>
                </w:p>
              </w:tc>
              <w:tc>
                <w:tcPr>
                  <w:tcW w:w="1934" w:type="dxa"/>
                  <w:shd w:val="clear" w:color="auto" w:fill="FFFFFF"/>
                  <w:noWrap w:val="0"/>
                  <w:vAlign w:val="center"/>
                </w:tcPr>
                <w:p w14:paraId="39F59249">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70</w:t>
                  </w:r>
                </w:p>
              </w:tc>
              <w:tc>
                <w:tcPr>
                  <w:tcW w:w="1625" w:type="dxa"/>
                  <w:shd w:val="clear" w:color="auto" w:fill="FFFFFF"/>
                  <w:noWrap w:val="0"/>
                  <w:vAlign w:val="center"/>
                </w:tcPr>
                <w:p w14:paraId="1C4C8B5C">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14:paraId="497C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88" w:type="dxa"/>
                  <w:vMerge w:val="continue"/>
                  <w:shd w:val="clear" w:color="auto" w:fill="FFFFFF"/>
                  <w:noWrap w:val="0"/>
                  <w:vAlign w:val="center"/>
                </w:tcPr>
                <w:p w14:paraId="2AA8CC12">
                  <w:pPr>
                    <w:spacing w:line="320" w:lineRule="exact"/>
                    <w:jc w:val="center"/>
                    <w:rPr>
                      <w:rFonts w:hint="default" w:ascii="Times New Roman" w:hAnsi="Times New Roman" w:eastAsia="宋体" w:cs="Times New Roman"/>
                      <w:color w:val="auto"/>
                      <w:szCs w:val="21"/>
                    </w:rPr>
                  </w:pPr>
                </w:p>
              </w:tc>
              <w:tc>
                <w:tcPr>
                  <w:tcW w:w="1373" w:type="dxa"/>
                  <w:shd w:val="clear" w:color="auto" w:fill="FFFFFF"/>
                  <w:noWrap w:val="0"/>
                  <w:vAlign w:val="center"/>
                </w:tcPr>
                <w:p w14:paraId="62FA7096">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夜间</w:t>
                  </w:r>
                </w:p>
              </w:tc>
              <w:tc>
                <w:tcPr>
                  <w:tcW w:w="1921" w:type="dxa"/>
                  <w:shd w:val="clear" w:color="auto" w:fill="FFFFFF"/>
                  <w:noWrap w:val="0"/>
                  <w:vAlign w:val="center"/>
                </w:tcPr>
                <w:p w14:paraId="05C2EA60">
                  <w:pPr>
                    <w:spacing w:line="320" w:lineRule="exact"/>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42.4</w:t>
                  </w:r>
                </w:p>
              </w:tc>
              <w:tc>
                <w:tcPr>
                  <w:tcW w:w="1934" w:type="dxa"/>
                  <w:shd w:val="clear" w:color="auto" w:fill="FFFFFF"/>
                  <w:noWrap w:val="0"/>
                  <w:vAlign w:val="center"/>
                </w:tcPr>
                <w:p w14:paraId="7E1031E2">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55</w:t>
                  </w:r>
                </w:p>
              </w:tc>
              <w:tc>
                <w:tcPr>
                  <w:tcW w:w="1625" w:type="dxa"/>
                  <w:shd w:val="clear" w:color="auto" w:fill="FFFFFF"/>
                  <w:noWrap w:val="0"/>
                  <w:vAlign w:val="center"/>
                </w:tcPr>
                <w:p w14:paraId="12E8FE6D">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14:paraId="6696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88" w:type="dxa"/>
                  <w:vMerge w:val="restart"/>
                  <w:shd w:val="clear" w:color="auto" w:fill="FFFFFF"/>
                  <w:noWrap w:val="0"/>
                  <w:vAlign w:val="center"/>
                </w:tcPr>
                <w:p w14:paraId="215111F4">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南侧</w:t>
                  </w:r>
                </w:p>
              </w:tc>
              <w:tc>
                <w:tcPr>
                  <w:tcW w:w="1373" w:type="dxa"/>
                  <w:shd w:val="clear" w:color="auto" w:fill="FFFFFF"/>
                  <w:noWrap w:val="0"/>
                  <w:vAlign w:val="center"/>
                </w:tcPr>
                <w:p w14:paraId="75EF9AB7">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昼间</w:t>
                  </w:r>
                </w:p>
              </w:tc>
              <w:tc>
                <w:tcPr>
                  <w:tcW w:w="1921" w:type="dxa"/>
                  <w:shd w:val="clear" w:color="auto" w:fill="FFFFFF"/>
                  <w:noWrap w:val="0"/>
                  <w:vAlign w:val="center"/>
                </w:tcPr>
                <w:p w14:paraId="1E624752">
                  <w:pPr>
                    <w:spacing w:line="320" w:lineRule="exact"/>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43.9</w:t>
                  </w:r>
                </w:p>
              </w:tc>
              <w:tc>
                <w:tcPr>
                  <w:tcW w:w="1934" w:type="dxa"/>
                  <w:shd w:val="clear" w:color="auto" w:fill="FFFFFF"/>
                  <w:noWrap w:val="0"/>
                  <w:vAlign w:val="center"/>
                </w:tcPr>
                <w:p w14:paraId="2379A2B5">
                  <w:pPr>
                    <w:spacing w:line="32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60</w:t>
                  </w:r>
                </w:p>
              </w:tc>
              <w:tc>
                <w:tcPr>
                  <w:tcW w:w="1625" w:type="dxa"/>
                  <w:shd w:val="clear" w:color="auto" w:fill="FFFFFF"/>
                  <w:noWrap w:val="0"/>
                  <w:vAlign w:val="center"/>
                </w:tcPr>
                <w:p w14:paraId="18801594">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14:paraId="665F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88" w:type="dxa"/>
                  <w:vMerge w:val="continue"/>
                  <w:shd w:val="clear" w:color="auto" w:fill="FFFFFF"/>
                  <w:noWrap w:val="0"/>
                  <w:vAlign w:val="center"/>
                </w:tcPr>
                <w:p w14:paraId="1C33A738">
                  <w:pPr>
                    <w:spacing w:line="320" w:lineRule="exact"/>
                    <w:jc w:val="center"/>
                    <w:rPr>
                      <w:rFonts w:hint="default" w:ascii="Times New Roman" w:hAnsi="Times New Roman" w:eastAsia="宋体" w:cs="Times New Roman"/>
                      <w:color w:val="auto"/>
                      <w:szCs w:val="21"/>
                    </w:rPr>
                  </w:pPr>
                </w:p>
              </w:tc>
              <w:tc>
                <w:tcPr>
                  <w:tcW w:w="1373" w:type="dxa"/>
                  <w:shd w:val="clear" w:color="auto" w:fill="FFFFFF"/>
                  <w:noWrap w:val="0"/>
                  <w:vAlign w:val="center"/>
                </w:tcPr>
                <w:p w14:paraId="538C8B1D">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夜间</w:t>
                  </w:r>
                </w:p>
              </w:tc>
              <w:tc>
                <w:tcPr>
                  <w:tcW w:w="1921" w:type="dxa"/>
                  <w:shd w:val="clear" w:color="auto" w:fill="FFFFFF"/>
                  <w:noWrap w:val="0"/>
                  <w:vAlign w:val="center"/>
                </w:tcPr>
                <w:p w14:paraId="3911F8C6">
                  <w:pPr>
                    <w:spacing w:line="320" w:lineRule="exact"/>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40.9</w:t>
                  </w:r>
                </w:p>
              </w:tc>
              <w:tc>
                <w:tcPr>
                  <w:tcW w:w="1934" w:type="dxa"/>
                  <w:shd w:val="clear" w:color="auto" w:fill="FFFFFF"/>
                  <w:noWrap w:val="0"/>
                  <w:vAlign w:val="center"/>
                </w:tcPr>
                <w:p w14:paraId="63E4A097">
                  <w:pPr>
                    <w:spacing w:line="32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50</w:t>
                  </w:r>
                </w:p>
              </w:tc>
              <w:tc>
                <w:tcPr>
                  <w:tcW w:w="1625" w:type="dxa"/>
                  <w:shd w:val="clear" w:color="auto" w:fill="FFFFFF"/>
                  <w:noWrap w:val="0"/>
                  <w:vAlign w:val="center"/>
                </w:tcPr>
                <w:p w14:paraId="76CBA244">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14:paraId="7A09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88" w:type="dxa"/>
                  <w:vMerge w:val="restart"/>
                  <w:shd w:val="clear" w:color="auto" w:fill="FFFFFF"/>
                  <w:noWrap w:val="0"/>
                  <w:vAlign w:val="center"/>
                </w:tcPr>
                <w:p w14:paraId="13C2710F">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西侧</w:t>
                  </w:r>
                </w:p>
              </w:tc>
              <w:tc>
                <w:tcPr>
                  <w:tcW w:w="1373" w:type="dxa"/>
                  <w:shd w:val="clear" w:color="auto" w:fill="FFFFFF"/>
                  <w:noWrap w:val="0"/>
                  <w:vAlign w:val="center"/>
                </w:tcPr>
                <w:p w14:paraId="303DB121">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昼间</w:t>
                  </w:r>
                </w:p>
              </w:tc>
              <w:tc>
                <w:tcPr>
                  <w:tcW w:w="1921" w:type="dxa"/>
                  <w:shd w:val="clear" w:color="auto" w:fill="FFFFFF"/>
                  <w:noWrap w:val="0"/>
                  <w:vAlign w:val="center"/>
                </w:tcPr>
                <w:p w14:paraId="5D5BAFB3">
                  <w:pPr>
                    <w:spacing w:line="320" w:lineRule="exact"/>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44.5</w:t>
                  </w:r>
                </w:p>
              </w:tc>
              <w:tc>
                <w:tcPr>
                  <w:tcW w:w="1934" w:type="dxa"/>
                  <w:shd w:val="clear" w:color="auto" w:fill="FFFFFF"/>
                  <w:noWrap w:val="0"/>
                  <w:vAlign w:val="center"/>
                </w:tcPr>
                <w:p w14:paraId="12EDDD6F">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70</w:t>
                  </w:r>
                </w:p>
              </w:tc>
              <w:tc>
                <w:tcPr>
                  <w:tcW w:w="1625" w:type="dxa"/>
                  <w:shd w:val="clear" w:color="auto" w:fill="FFFFFF"/>
                  <w:noWrap w:val="0"/>
                  <w:vAlign w:val="center"/>
                </w:tcPr>
                <w:p w14:paraId="7F51BD7C">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14:paraId="0B64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88" w:type="dxa"/>
                  <w:vMerge w:val="continue"/>
                  <w:shd w:val="clear" w:color="auto" w:fill="FFFFFF"/>
                  <w:noWrap w:val="0"/>
                  <w:vAlign w:val="center"/>
                </w:tcPr>
                <w:p w14:paraId="32AA5A16">
                  <w:pPr>
                    <w:spacing w:line="320" w:lineRule="exact"/>
                    <w:jc w:val="center"/>
                    <w:rPr>
                      <w:rFonts w:hint="default" w:ascii="Times New Roman" w:hAnsi="Times New Roman" w:eastAsia="宋体" w:cs="Times New Roman"/>
                      <w:color w:val="auto"/>
                      <w:szCs w:val="21"/>
                    </w:rPr>
                  </w:pPr>
                </w:p>
              </w:tc>
              <w:tc>
                <w:tcPr>
                  <w:tcW w:w="1373" w:type="dxa"/>
                  <w:shd w:val="clear" w:color="auto" w:fill="FFFFFF"/>
                  <w:noWrap w:val="0"/>
                  <w:vAlign w:val="center"/>
                </w:tcPr>
                <w:p w14:paraId="3E0200A9">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夜间</w:t>
                  </w:r>
                </w:p>
              </w:tc>
              <w:tc>
                <w:tcPr>
                  <w:tcW w:w="1921" w:type="dxa"/>
                  <w:shd w:val="clear" w:color="auto" w:fill="FFFFFF"/>
                  <w:noWrap w:val="0"/>
                  <w:vAlign w:val="center"/>
                </w:tcPr>
                <w:p w14:paraId="715C1F7F">
                  <w:pPr>
                    <w:spacing w:line="320" w:lineRule="exact"/>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41.5</w:t>
                  </w:r>
                </w:p>
              </w:tc>
              <w:tc>
                <w:tcPr>
                  <w:tcW w:w="1934" w:type="dxa"/>
                  <w:shd w:val="clear" w:color="auto" w:fill="FFFFFF"/>
                  <w:noWrap w:val="0"/>
                  <w:vAlign w:val="center"/>
                </w:tcPr>
                <w:p w14:paraId="25179996">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55</w:t>
                  </w:r>
                </w:p>
              </w:tc>
              <w:tc>
                <w:tcPr>
                  <w:tcW w:w="1625" w:type="dxa"/>
                  <w:shd w:val="clear" w:color="auto" w:fill="FFFFFF"/>
                  <w:noWrap w:val="0"/>
                  <w:vAlign w:val="center"/>
                </w:tcPr>
                <w:p w14:paraId="73F0D68B">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14:paraId="1209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88" w:type="dxa"/>
                  <w:vMerge w:val="restart"/>
                  <w:shd w:val="clear" w:color="auto" w:fill="FFFFFF"/>
                  <w:noWrap w:val="0"/>
                  <w:vAlign w:val="center"/>
                </w:tcPr>
                <w:p w14:paraId="427B31B6">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北侧</w:t>
                  </w:r>
                </w:p>
              </w:tc>
              <w:tc>
                <w:tcPr>
                  <w:tcW w:w="1373" w:type="dxa"/>
                  <w:shd w:val="clear" w:color="auto" w:fill="FFFFFF"/>
                  <w:noWrap w:val="0"/>
                  <w:vAlign w:val="center"/>
                </w:tcPr>
                <w:p w14:paraId="74C1B84E">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昼间</w:t>
                  </w:r>
                </w:p>
              </w:tc>
              <w:tc>
                <w:tcPr>
                  <w:tcW w:w="1921" w:type="dxa"/>
                  <w:shd w:val="clear" w:color="auto" w:fill="FFFFFF"/>
                  <w:noWrap w:val="0"/>
                  <w:vAlign w:val="center"/>
                </w:tcPr>
                <w:p w14:paraId="509134C3">
                  <w:pPr>
                    <w:spacing w:line="320" w:lineRule="exact"/>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56.0</w:t>
                  </w:r>
                </w:p>
              </w:tc>
              <w:tc>
                <w:tcPr>
                  <w:tcW w:w="1934" w:type="dxa"/>
                  <w:shd w:val="clear" w:color="auto" w:fill="FFFFFF"/>
                  <w:noWrap w:val="0"/>
                  <w:vAlign w:val="center"/>
                </w:tcPr>
                <w:p w14:paraId="7B61E756">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70</w:t>
                  </w:r>
                </w:p>
              </w:tc>
              <w:tc>
                <w:tcPr>
                  <w:tcW w:w="1625" w:type="dxa"/>
                  <w:shd w:val="clear" w:color="auto" w:fill="FFFFFF"/>
                  <w:noWrap w:val="0"/>
                  <w:vAlign w:val="center"/>
                </w:tcPr>
                <w:p w14:paraId="135490CA">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r w14:paraId="3EFB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88" w:type="dxa"/>
                  <w:vMerge w:val="continue"/>
                  <w:shd w:val="clear" w:color="auto" w:fill="FFFFFF"/>
                  <w:noWrap w:val="0"/>
                  <w:vAlign w:val="center"/>
                </w:tcPr>
                <w:p w14:paraId="69269EC3">
                  <w:pPr>
                    <w:spacing w:line="320" w:lineRule="exact"/>
                    <w:jc w:val="center"/>
                    <w:rPr>
                      <w:rFonts w:hint="default" w:ascii="Times New Roman" w:hAnsi="Times New Roman" w:eastAsia="宋体" w:cs="Times New Roman"/>
                      <w:color w:val="auto"/>
                      <w:szCs w:val="21"/>
                    </w:rPr>
                  </w:pPr>
                </w:p>
              </w:tc>
              <w:tc>
                <w:tcPr>
                  <w:tcW w:w="1373" w:type="dxa"/>
                  <w:shd w:val="clear" w:color="auto" w:fill="FFFFFF"/>
                  <w:noWrap w:val="0"/>
                  <w:vAlign w:val="center"/>
                </w:tcPr>
                <w:p w14:paraId="08867051">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夜间</w:t>
                  </w:r>
                </w:p>
              </w:tc>
              <w:tc>
                <w:tcPr>
                  <w:tcW w:w="1921" w:type="dxa"/>
                  <w:shd w:val="clear" w:color="auto" w:fill="FFFFFF"/>
                  <w:noWrap w:val="0"/>
                  <w:vAlign w:val="center"/>
                </w:tcPr>
                <w:p w14:paraId="51AE9D2B">
                  <w:pPr>
                    <w:spacing w:line="320" w:lineRule="exact"/>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45.9</w:t>
                  </w:r>
                </w:p>
              </w:tc>
              <w:tc>
                <w:tcPr>
                  <w:tcW w:w="1934" w:type="dxa"/>
                  <w:shd w:val="clear" w:color="auto" w:fill="FFFFFF"/>
                  <w:noWrap w:val="0"/>
                  <w:vAlign w:val="center"/>
                </w:tcPr>
                <w:p w14:paraId="089FA4F7">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55</w:t>
                  </w:r>
                </w:p>
              </w:tc>
              <w:tc>
                <w:tcPr>
                  <w:tcW w:w="1625" w:type="dxa"/>
                  <w:shd w:val="clear" w:color="auto" w:fill="FFFFFF"/>
                  <w:noWrap w:val="0"/>
                  <w:vAlign w:val="center"/>
                </w:tcPr>
                <w:p w14:paraId="507F827E">
                  <w:pPr>
                    <w:spacing w:line="32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达标</w:t>
                  </w:r>
                </w:p>
              </w:tc>
            </w:tr>
          </w:tbl>
          <w:p w14:paraId="5F270DE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根据预测结果可知，采取相应噪声防治措施后，东、西、北侧厂界噪声满足《工业企业厂界环境噪声排放标准》（GB12348-2008）4类标准，南侧厂界噪声满足《工业企业厂界环境噪声排放标准》（GB12348-2008）</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sz w:val="24"/>
              </w:rPr>
              <w:t>类标准，对周边环境影响较小，运营期产生的噪声影响环境可接受。</w:t>
            </w:r>
          </w:p>
          <w:p w14:paraId="6BF05301">
            <w:pPr>
              <w:pStyle w:val="62"/>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44"/>
                <w:sz w:val="24"/>
                <w:szCs w:val="24"/>
                <w:lang w:bidi="ar"/>
              </w:rPr>
              <w:t>③</w:t>
            </w:r>
            <w:r>
              <w:rPr>
                <w:rFonts w:hint="eastAsia"/>
                <w:b/>
                <w:bCs w:val="0"/>
                <w:color w:val="auto"/>
                <w:sz w:val="24"/>
                <w:highlight w:val="none"/>
                <w:lang w:eastAsia="zh-CN"/>
              </w:rPr>
              <w:t>声环境保护目标</w:t>
            </w:r>
            <w:r>
              <w:rPr>
                <w:rFonts w:hint="eastAsia" w:ascii="宋体" w:hAnsi="宋体" w:cs="宋体"/>
                <w:b/>
                <w:bCs w:val="0"/>
                <w:color w:val="auto"/>
                <w:sz w:val="24"/>
                <w:szCs w:val="24"/>
                <w:highlight w:val="none"/>
              </w:rPr>
              <w:t>预测</w:t>
            </w:r>
          </w:p>
          <w:p w14:paraId="4A27416B">
            <w:pPr>
              <w:pStyle w:val="62"/>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本项目建成后</w:t>
            </w:r>
            <w:r>
              <w:rPr>
                <w:rFonts w:hint="default" w:ascii="Times New Roman" w:hAnsi="Times New Roman" w:cs="Times New Roman"/>
                <w:color w:val="auto"/>
                <w:sz w:val="24"/>
                <w:szCs w:val="18"/>
                <w:highlight w:val="none"/>
                <w:lang w:eastAsia="zh-CN"/>
              </w:rPr>
              <w:t>声环境保护目标噪声</w:t>
            </w:r>
            <w:r>
              <w:rPr>
                <w:rFonts w:hint="default" w:ascii="Times New Roman" w:hAnsi="Times New Roman" w:eastAsia="宋体" w:cs="Times New Roman"/>
                <w:color w:val="auto"/>
                <w:sz w:val="24"/>
                <w:szCs w:val="24"/>
              </w:rPr>
              <w:t>预测结果见表4.2-1</w:t>
            </w: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w:t>
            </w:r>
          </w:p>
          <w:p w14:paraId="3374B136">
            <w:pPr>
              <w:widowControl/>
              <w:jc w:val="center"/>
              <w:outlineLvl w:val="0"/>
              <w:rPr>
                <w:rFonts w:hint="default" w:ascii="Times New Roman" w:hAnsi="Times New Roman" w:cs="Times New Roman"/>
                <w:b/>
                <w:color w:val="auto"/>
                <w:kern w:val="0"/>
                <w:sz w:val="24"/>
              </w:rPr>
            </w:pPr>
            <w:bookmarkStart w:id="6" w:name="_Hlk185520420"/>
            <w:r>
              <w:rPr>
                <w:rFonts w:hint="default" w:ascii="Times New Roman" w:hAnsi="Times New Roman" w:cs="Times New Roman"/>
                <w:b/>
                <w:snapToGrid w:val="0"/>
                <w:color w:val="auto"/>
                <w:kern w:val="0"/>
                <w:sz w:val="24"/>
              </w:rPr>
              <w:t>表4.2-1</w:t>
            </w:r>
            <w:r>
              <w:rPr>
                <w:rFonts w:hint="default" w:ascii="Times New Roman" w:hAnsi="Times New Roman" w:cs="Times New Roman"/>
                <w:b/>
                <w:snapToGrid w:val="0"/>
                <w:color w:val="auto"/>
                <w:kern w:val="0"/>
                <w:sz w:val="24"/>
                <w:lang w:val="en-US" w:eastAsia="zh-CN"/>
              </w:rPr>
              <w:t>2</w:t>
            </w:r>
            <w:r>
              <w:rPr>
                <w:rFonts w:hint="default" w:ascii="Times New Roman" w:hAnsi="Times New Roman" w:cs="Times New Roman"/>
                <w:b/>
                <w:snapToGrid w:val="0"/>
                <w:color w:val="auto"/>
                <w:kern w:val="0"/>
                <w:sz w:val="24"/>
              </w:rPr>
              <w:t xml:space="preserve">  </w:t>
            </w:r>
            <w:r>
              <w:rPr>
                <w:rFonts w:hint="eastAsia" w:ascii="Times New Roman" w:hAnsi="Times New Roman"/>
                <w:b/>
                <w:snapToGrid w:val="0"/>
                <w:color w:val="auto"/>
                <w:szCs w:val="24"/>
                <w:highlight w:val="none"/>
                <w:lang w:eastAsia="zh-CN"/>
              </w:rPr>
              <w:t>声环境保护目标</w:t>
            </w:r>
            <w:r>
              <w:rPr>
                <w:rFonts w:ascii="Times New Roman" w:hAnsi="Times New Roman"/>
                <w:b/>
                <w:snapToGrid w:val="0"/>
                <w:color w:val="auto"/>
                <w:szCs w:val="24"/>
                <w:highlight w:val="none"/>
              </w:rPr>
              <w:t>噪声预测结果与达标分析一览表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829"/>
              <w:gridCol w:w="1243"/>
              <w:gridCol w:w="1142"/>
              <w:gridCol w:w="1229"/>
              <w:gridCol w:w="1157"/>
              <w:gridCol w:w="746"/>
            </w:tblGrid>
            <w:tr w14:paraId="14C4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00" w:type="pct"/>
                  <w:noWrap w:val="0"/>
                  <w:vAlign w:val="center"/>
                </w:tcPr>
                <w:p w14:paraId="7E051354">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保护目标</w:t>
                  </w:r>
                </w:p>
              </w:tc>
              <w:tc>
                <w:tcPr>
                  <w:tcW w:w="522" w:type="pct"/>
                  <w:noWrap w:val="0"/>
                  <w:vAlign w:val="center"/>
                </w:tcPr>
                <w:p w14:paraId="22811E91">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预测时段</w:t>
                  </w:r>
                </w:p>
              </w:tc>
              <w:tc>
                <w:tcPr>
                  <w:tcW w:w="783" w:type="pct"/>
                  <w:noWrap w:val="0"/>
                  <w:vAlign w:val="center"/>
                </w:tcPr>
                <w:p w14:paraId="564890BB">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贡献值</w:t>
                  </w:r>
                </w:p>
                <w:p w14:paraId="35454FFC">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（dB（A））</w:t>
                  </w:r>
                </w:p>
              </w:tc>
              <w:tc>
                <w:tcPr>
                  <w:tcW w:w="719" w:type="pct"/>
                  <w:noWrap w:val="0"/>
                  <w:vAlign w:val="center"/>
                </w:tcPr>
                <w:p w14:paraId="1FB8BCB5">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背景值（dB（A））</w:t>
                  </w:r>
                </w:p>
              </w:tc>
              <w:tc>
                <w:tcPr>
                  <w:tcW w:w="774" w:type="pct"/>
                  <w:noWrap w:val="0"/>
                  <w:vAlign w:val="center"/>
                </w:tcPr>
                <w:p w14:paraId="123679AE">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预测结果（dB（A））</w:t>
                  </w:r>
                </w:p>
              </w:tc>
              <w:tc>
                <w:tcPr>
                  <w:tcW w:w="729" w:type="pct"/>
                  <w:noWrap w:val="0"/>
                  <w:vAlign w:val="center"/>
                </w:tcPr>
                <w:p w14:paraId="17622AAD">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标准限值（dB（A））</w:t>
                  </w:r>
                </w:p>
              </w:tc>
              <w:tc>
                <w:tcPr>
                  <w:tcW w:w="470" w:type="pct"/>
                  <w:noWrap w:val="0"/>
                  <w:vAlign w:val="center"/>
                </w:tcPr>
                <w:p w14:paraId="694E918E">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达标情况</w:t>
                  </w:r>
                </w:p>
              </w:tc>
            </w:tr>
            <w:tr w14:paraId="6814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00" w:type="pct"/>
                  <w:vMerge w:val="restart"/>
                  <w:shd w:val="clear" w:color="auto" w:fill="FFFFFF"/>
                  <w:noWrap w:val="0"/>
                  <w:vAlign w:val="center"/>
                </w:tcPr>
                <w:p w14:paraId="6EFE345B">
                  <w:pPr>
                    <w:pStyle w:val="77"/>
                    <w:spacing w:line="240" w:lineRule="auto"/>
                    <w:rPr>
                      <w:rFonts w:hint="default" w:ascii="Times New Roman" w:hAnsi="Times New Roman" w:cs="Times New Roman"/>
                      <w:bCs/>
                      <w:color w:val="auto"/>
                      <w:sz w:val="21"/>
                      <w:szCs w:val="21"/>
                    </w:rPr>
                  </w:pPr>
                  <w:r>
                    <w:rPr>
                      <w:rFonts w:hint="default" w:ascii="Times New Roman" w:hAnsi="Times New Roman" w:eastAsia="宋体" w:cs="Times New Roman"/>
                      <w:color w:val="auto"/>
                      <w:sz w:val="21"/>
                      <w:szCs w:val="21"/>
                    </w:rPr>
                    <w:t>渝中花园</w:t>
                  </w:r>
                </w:p>
              </w:tc>
              <w:tc>
                <w:tcPr>
                  <w:tcW w:w="522" w:type="pct"/>
                  <w:shd w:val="clear" w:color="auto" w:fill="FFFFFF"/>
                  <w:noWrap w:val="0"/>
                  <w:vAlign w:val="center"/>
                </w:tcPr>
                <w:p w14:paraId="7BEB262A">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昼间</w:t>
                  </w:r>
                </w:p>
              </w:tc>
              <w:tc>
                <w:tcPr>
                  <w:tcW w:w="783" w:type="pct"/>
                  <w:shd w:val="clear" w:color="auto" w:fill="FFFFFF"/>
                  <w:noWrap w:val="0"/>
                  <w:vAlign w:val="center"/>
                </w:tcPr>
                <w:p w14:paraId="0F7FE5DB">
                  <w:pPr>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40.9</w:t>
                  </w:r>
                </w:p>
              </w:tc>
              <w:tc>
                <w:tcPr>
                  <w:tcW w:w="719" w:type="pct"/>
                  <w:shd w:val="clear" w:color="auto" w:fill="FFFFFF"/>
                  <w:noWrap w:val="0"/>
                  <w:vAlign w:val="center"/>
                </w:tcPr>
                <w:p w14:paraId="7D2C723C">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53</w:t>
                  </w:r>
                </w:p>
              </w:tc>
              <w:tc>
                <w:tcPr>
                  <w:tcW w:w="774" w:type="pct"/>
                  <w:shd w:val="clear" w:color="auto" w:fill="FFFFFF"/>
                  <w:noWrap w:val="0"/>
                  <w:vAlign w:val="center"/>
                </w:tcPr>
                <w:p w14:paraId="176F03AF">
                  <w:pPr>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53.3</w:t>
                  </w:r>
                </w:p>
              </w:tc>
              <w:tc>
                <w:tcPr>
                  <w:tcW w:w="729" w:type="pct"/>
                  <w:shd w:val="clear" w:color="auto" w:fill="FFFFFF"/>
                  <w:noWrap w:val="0"/>
                  <w:vAlign w:val="center"/>
                </w:tcPr>
                <w:p w14:paraId="124DC77A">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60</w:t>
                  </w:r>
                </w:p>
              </w:tc>
              <w:tc>
                <w:tcPr>
                  <w:tcW w:w="470" w:type="pct"/>
                  <w:shd w:val="clear" w:color="auto" w:fill="FFFFFF"/>
                  <w:noWrap w:val="0"/>
                  <w:vAlign w:val="center"/>
                </w:tcPr>
                <w:p w14:paraId="4C0B446B">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r w14:paraId="788A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00" w:type="pct"/>
                  <w:vMerge w:val="continue"/>
                  <w:shd w:val="clear" w:color="auto" w:fill="FFFFFF"/>
                  <w:noWrap w:val="0"/>
                  <w:vAlign w:val="center"/>
                </w:tcPr>
                <w:p w14:paraId="6C84A328">
                  <w:pPr>
                    <w:jc w:val="center"/>
                    <w:rPr>
                      <w:rFonts w:hint="default" w:ascii="Times New Roman" w:hAnsi="Times New Roman" w:cs="Times New Roman"/>
                      <w:color w:val="auto"/>
                      <w:sz w:val="21"/>
                      <w:szCs w:val="21"/>
                    </w:rPr>
                  </w:pPr>
                </w:p>
              </w:tc>
              <w:tc>
                <w:tcPr>
                  <w:tcW w:w="522" w:type="pct"/>
                  <w:shd w:val="clear" w:color="auto" w:fill="FFFFFF"/>
                  <w:noWrap w:val="0"/>
                  <w:vAlign w:val="center"/>
                </w:tcPr>
                <w:p w14:paraId="1414F379">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夜间</w:t>
                  </w:r>
                </w:p>
              </w:tc>
              <w:tc>
                <w:tcPr>
                  <w:tcW w:w="783" w:type="pct"/>
                  <w:shd w:val="clear" w:color="auto" w:fill="FFFFFF"/>
                  <w:noWrap w:val="0"/>
                  <w:vAlign w:val="center"/>
                </w:tcPr>
                <w:p w14:paraId="218DB024">
                  <w:pPr>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37.9</w:t>
                  </w:r>
                </w:p>
              </w:tc>
              <w:tc>
                <w:tcPr>
                  <w:tcW w:w="719" w:type="pct"/>
                  <w:shd w:val="clear" w:color="auto" w:fill="FFFFFF"/>
                  <w:noWrap w:val="0"/>
                  <w:vAlign w:val="center"/>
                </w:tcPr>
                <w:p w14:paraId="4413A463">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43</w:t>
                  </w:r>
                </w:p>
              </w:tc>
              <w:tc>
                <w:tcPr>
                  <w:tcW w:w="774" w:type="pct"/>
                  <w:shd w:val="clear" w:color="auto" w:fill="FFFFFF"/>
                  <w:noWrap w:val="0"/>
                  <w:vAlign w:val="center"/>
                </w:tcPr>
                <w:p w14:paraId="65915344">
                  <w:pPr>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44.2</w:t>
                  </w:r>
                </w:p>
              </w:tc>
              <w:tc>
                <w:tcPr>
                  <w:tcW w:w="729" w:type="pct"/>
                  <w:shd w:val="clear" w:color="auto" w:fill="FFFFFF"/>
                  <w:noWrap w:val="0"/>
                  <w:vAlign w:val="center"/>
                </w:tcPr>
                <w:p w14:paraId="654D169C">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50</w:t>
                  </w:r>
                </w:p>
              </w:tc>
              <w:tc>
                <w:tcPr>
                  <w:tcW w:w="470" w:type="pct"/>
                  <w:shd w:val="clear" w:color="auto" w:fill="FFFFFF"/>
                  <w:noWrap w:val="0"/>
                  <w:vAlign w:val="center"/>
                </w:tcPr>
                <w:p w14:paraId="63ED109D">
                  <w:pPr>
                    <w:jc w:val="center"/>
                    <w:rPr>
                      <w:rFonts w:hint="default" w:ascii="Times New Roman" w:hAnsi="Times New Roman" w:eastAsia="Arial" w:cs="Times New Roman"/>
                      <w:bCs/>
                      <w:color w:val="auto"/>
                      <w:sz w:val="21"/>
                      <w:szCs w:val="21"/>
                    </w:rPr>
                  </w:pPr>
                  <w:r>
                    <w:rPr>
                      <w:rFonts w:hint="default" w:ascii="Times New Roman" w:hAnsi="Times New Roman" w:cs="Times New Roman"/>
                      <w:bCs/>
                      <w:color w:val="auto"/>
                      <w:sz w:val="21"/>
                      <w:szCs w:val="21"/>
                    </w:rPr>
                    <w:t>达标</w:t>
                  </w:r>
                </w:p>
              </w:tc>
            </w:tr>
            <w:tr w14:paraId="1001A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00" w:type="pct"/>
                  <w:vMerge w:val="restart"/>
                  <w:shd w:val="clear" w:color="auto" w:fill="FFFFFF"/>
                  <w:noWrap w:val="0"/>
                  <w:vAlign w:val="center"/>
                </w:tcPr>
                <w:p w14:paraId="4591E759">
                  <w:pPr>
                    <w:pStyle w:val="77"/>
                    <w:spacing w:line="240" w:lineRule="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重庆创泰黄杨新城医院</w:t>
                  </w:r>
                </w:p>
              </w:tc>
              <w:tc>
                <w:tcPr>
                  <w:tcW w:w="522" w:type="pct"/>
                  <w:shd w:val="clear" w:color="auto" w:fill="FFFFFF"/>
                  <w:noWrap w:val="0"/>
                  <w:vAlign w:val="center"/>
                </w:tcPr>
                <w:p w14:paraId="1C0E15E9">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昼间</w:t>
                  </w:r>
                </w:p>
              </w:tc>
              <w:tc>
                <w:tcPr>
                  <w:tcW w:w="783" w:type="pct"/>
                  <w:shd w:val="clear" w:color="auto" w:fill="FFFFFF"/>
                  <w:noWrap w:val="0"/>
                  <w:vAlign w:val="center"/>
                </w:tcPr>
                <w:p w14:paraId="7611492A">
                  <w:pPr>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38.4</w:t>
                  </w:r>
                </w:p>
              </w:tc>
              <w:tc>
                <w:tcPr>
                  <w:tcW w:w="719" w:type="pct"/>
                  <w:shd w:val="clear" w:color="auto" w:fill="FFFFFF"/>
                  <w:noWrap w:val="0"/>
                  <w:vAlign w:val="center"/>
                </w:tcPr>
                <w:p w14:paraId="431FDAEF">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53</w:t>
                  </w:r>
                </w:p>
              </w:tc>
              <w:tc>
                <w:tcPr>
                  <w:tcW w:w="774" w:type="pct"/>
                  <w:shd w:val="clear" w:color="auto" w:fill="FFFFFF"/>
                  <w:noWrap w:val="0"/>
                  <w:vAlign w:val="center"/>
                </w:tcPr>
                <w:p w14:paraId="6F4D1944">
                  <w:pPr>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53.2</w:t>
                  </w:r>
                </w:p>
              </w:tc>
              <w:tc>
                <w:tcPr>
                  <w:tcW w:w="729" w:type="pct"/>
                  <w:shd w:val="clear" w:color="auto" w:fill="FFFFFF"/>
                  <w:noWrap w:val="0"/>
                  <w:vAlign w:val="center"/>
                </w:tcPr>
                <w:p w14:paraId="2E5990D4">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60</w:t>
                  </w:r>
                </w:p>
              </w:tc>
              <w:tc>
                <w:tcPr>
                  <w:tcW w:w="470" w:type="pct"/>
                  <w:shd w:val="clear" w:color="auto" w:fill="FFFFFF"/>
                  <w:noWrap w:val="0"/>
                  <w:vAlign w:val="center"/>
                </w:tcPr>
                <w:p w14:paraId="013A1630">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r w14:paraId="6331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 w:hRule="atLeast"/>
                <w:jc w:val="center"/>
              </w:trPr>
              <w:tc>
                <w:tcPr>
                  <w:tcW w:w="1000" w:type="pct"/>
                  <w:vMerge w:val="continue"/>
                  <w:shd w:val="clear" w:color="auto" w:fill="FFFFFF"/>
                  <w:noWrap w:val="0"/>
                  <w:vAlign w:val="center"/>
                </w:tcPr>
                <w:p w14:paraId="68BAB1A2">
                  <w:pPr>
                    <w:jc w:val="center"/>
                    <w:rPr>
                      <w:rFonts w:hint="default" w:ascii="Times New Roman" w:hAnsi="Times New Roman" w:cs="Times New Roman"/>
                      <w:color w:val="auto"/>
                      <w:sz w:val="21"/>
                      <w:szCs w:val="21"/>
                    </w:rPr>
                  </w:pPr>
                </w:p>
              </w:tc>
              <w:tc>
                <w:tcPr>
                  <w:tcW w:w="522" w:type="pct"/>
                  <w:shd w:val="clear" w:color="auto" w:fill="FFFFFF"/>
                  <w:noWrap w:val="0"/>
                  <w:vAlign w:val="center"/>
                </w:tcPr>
                <w:p w14:paraId="714A739E">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夜间</w:t>
                  </w:r>
                </w:p>
              </w:tc>
              <w:tc>
                <w:tcPr>
                  <w:tcW w:w="783" w:type="pct"/>
                  <w:shd w:val="clear" w:color="auto" w:fill="FFFFFF"/>
                  <w:noWrap w:val="0"/>
                  <w:vAlign w:val="center"/>
                </w:tcPr>
                <w:p w14:paraId="2981E1A0">
                  <w:pPr>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35.4</w:t>
                  </w:r>
                </w:p>
              </w:tc>
              <w:tc>
                <w:tcPr>
                  <w:tcW w:w="719" w:type="pct"/>
                  <w:shd w:val="clear" w:color="auto" w:fill="FFFFFF"/>
                  <w:noWrap w:val="0"/>
                  <w:vAlign w:val="center"/>
                </w:tcPr>
                <w:p w14:paraId="5AD356B7">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43</w:t>
                  </w:r>
                </w:p>
              </w:tc>
              <w:tc>
                <w:tcPr>
                  <w:tcW w:w="774" w:type="pct"/>
                  <w:shd w:val="clear" w:color="auto" w:fill="FFFFFF"/>
                  <w:noWrap w:val="0"/>
                  <w:vAlign w:val="center"/>
                </w:tcPr>
                <w:p w14:paraId="15A031E1">
                  <w:pPr>
                    <w:jc w:val="center"/>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43.7</w:t>
                  </w:r>
                </w:p>
              </w:tc>
              <w:tc>
                <w:tcPr>
                  <w:tcW w:w="729" w:type="pct"/>
                  <w:shd w:val="clear" w:color="auto" w:fill="FFFFFF"/>
                  <w:noWrap w:val="0"/>
                  <w:vAlign w:val="center"/>
                </w:tcPr>
                <w:p w14:paraId="1FD3B8F3">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50</w:t>
                  </w:r>
                </w:p>
              </w:tc>
              <w:tc>
                <w:tcPr>
                  <w:tcW w:w="470" w:type="pct"/>
                  <w:shd w:val="clear" w:color="auto" w:fill="FFFFFF"/>
                  <w:noWrap w:val="0"/>
                  <w:vAlign w:val="center"/>
                </w:tcPr>
                <w:p w14:paraId="3C6EFC7B">
                  <w:pPr>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bookmarkEnd w:id="6"/>
          </w:tbl>
          <w:p w14:paraId="74B4EB2A">
            <w:pPr>
              <w:spacing w:line="360" w:lineRule="auto"/>
              <w:ind w:firstLine="556"/>
              <w:rPr>
                <w:rFonts w:hint="default" w:ascii="Times New Roman" w:hAnsi="Times New Roman" w:eastAsia="宋体" w:cs="Times New Roman"/>
                <w:color w:val="auto"/>
                <w:sz w:val="24"/>
                <w:szCs w:val="26"/>
              </w:rPr>
            </w:pPr>
            <w:r>
              <w:rPr>
                <w:rFonts w:hint="default" w:ascii="Times New Roman" w:hAnsi="Times New Roman" w:eastAsia="宋体" w:cs="Times New Roman"/>
                <w:color w:val="auto"/>
                <w:sz w:val="24"/>
                <w:szCs w:val="26"/>
              </w:rPr>
              <w:t>根据预测结果，距离加油站外50m范围内的声环境保护目标均满足《声环境质量标准》（GB3096-2008）</w:t>
            </w:r>
            <w:r>
              <w:rPr>
                <w:rFonts w:hint="default" w:ascii="Times New Roman" w:hAnsi="Times New Roman" w:cs="Times New Roman"/>
                <w:color w:val="auto"/>
                <w:sz w:val="24"/>
                <w:szCs w:val="26"/>
                <w:lang w:val="en-US" w:eastAsia="zh-CN"/>
              </w:rPr>
              <w:t>2</w:t>
            </w:r>
            <w:r>
              <w:rPr>
                <w:rFonts w:hint="default" w:ascii="Times New Roman" w:hAnsi="Times New Roman" w:eastAsia="宋体" w:cs="Times New Roman"/>
                <w:color w:val="auto"/>
                <w:sz w:val="24"/>
                <w:szCs w:val="26"/>
              </w:rPr>
              <w:t>类标准，说明本项目运营不会改变项目所在地声环境功能，对周边声环境保护目标影响较小。</w:t>
            </w:r>
          </w:p>
          <w:p w14:paraId="0AF0ADA4">
            <w:pPr>
              <w:spacing w:line="360" w:lineRule="auto"/>
              <w:ind w:firstLine="556"/>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szCs w:val="26"/>
              </w:rPr>
              <w:t>（4）防治措施</w:t>
            </w:r>
          </w:p>
          <w:p w14:paraId="35DA60FB">
            <w:pPr>
              <w:adjustRightInd w:val="0"/>
              <w:spacing w:line="360" w:lineRule="auto"/>
              <w:ind w:firstLine="480" w:firstLineChars="200"/>
              <w:rPr>
                <w:rFonts w:hint="default" w:ascii="Times New Roman" w:hAnsi="Times New Roman" w:eastAsia="宋体" w:cs="Times New Roman"/>
                <w:color w:val="auto"/>
                <w:kern w:val="44"/>
                <w:sz w:val="24"/>
                <w:szCs w:val="26"/>
                <w:lang w:bidi="ar"/>
              </w:rPr>
            </w:pPr>
            <w:r>
              <w:rPr>
                <w:rFonts w:hint="default" w:ascii="Times New Roman" w:hAnsi="Times New Roman" w:eastAsia="宋体" w:cs="Times New Roman"/>
                <w:color w:val="auto"/>
                <w:kern w:val="44"/>
                <w:sz w:val="24"/>
                <w:szCs w:val="26"/>
                <w:lang w:bidi="ar"/>
              </w:rPr>
              <w:t>①在站区进站口设置减速标志和禁鸣标志，加强进站车辆的管理。采取加油时车辆熄火和平稳启动等措施，使区域内的交通噪声降到最低值。</w:t>
            </w:r>
          </w:p>
          <w:p w14:paraId="3925DD56">
            <w:pPr>
              <w:adjustRightInd w:val="0"/>
              <w:spacing w:line="360" w:lineRule="auto"/>
              <w:ind w:firstLine="480" w:firstLineChars="200"/>
              <w:rPr>
                <w:rFonts w:hint="default" w:ascii="Times New Roman" w:hAnsi="Times New Roman" w:eastAsia="宋体" w:cs="Times New Roman"/>
                <w:color w:val="auto"/>
                <w:kern w:val="44"/>
                <w:sz w:val="24"/>
                <w:szCs w:val="26"/>
                <w:lang w:bidi="ar"/>
              </w:rPr>
            </w:pPr>
            <w:r>
              <w:rPr>
                <w:rFonts w:hint="default" w:ascii="Times New Roman" w:hAnsi="Times New Roman" w:eastAsia="宋体" w:cs="Times New Roman"/>
                <w:color w:val="auto"/>
                <w:kern w:val="44"/>
                <w:sz w:val="24"/>
                <w:szCs w:val="26"/>
                <w:lang w:bidi="ar"/>
              </w:rPr>
              <w:t>②加强对潜油泵、加油机的维护和保养，避免因设备问题而引发突发性高噪声造成扰民影响。</w:t>
            </w:r>
          </w:p>
          <w:p w14:paraId="4669C498">
            <w:pPr>
              <w:adjustRightInd w:val="0"/>
              <w:spacing w:line="360" w:lineRule="auto"/>
              <w:ind w:firstLine="480" w:firstLineChars="200"/>
              <w:rPr>
                <w:rFonts w:hint="default" w:ascii="Times New Roman" w:hAnsi="Times New Roman" w:eastAsia="宋体" w:cs="Times New Roman"/>
                <w:color w:val="auto"/>
                <w:kern w:val="44"/>
                <w:sz w:val="24"/>
                <w:szCs w:val="26"/>
                <w:lang w:bidi="ar"/>
              </w:rPr>
            </w:pPr>
            <w:r>
              <w:rPr>
                <w:rFonts w:hint="default" w:ascii="Times New Roman" w:hAnsi="Times New Roman" w:eastAsia="宋体" w:cs="Times New Roman"/>
                <w:color w:val="auto"/>
                <w:kern w:val="44"/>
                <w:sz w:val="24"/>
                <w:szCs w:val="26"/>
                <w:lang w:bidi="ar"/>
              </w:rPr>
              <w:t>③潜油泵置于油罐内，且油罐为埋地卧式单层油罐。</w:t>
            </w:r>
          </w:p>
          <w:p w14:paraId="463E345C">
            <w:pPr>
              <w:adjustRightInd w:val="0"/>
              <w:spacing w:line="360" w:lineRule="auto"/>
              <w:ind w:firstLine="480" w:firstLineChars="200"/>
              <w:rPr>
                <w:rFonts w:hint="default" w:ascii="Times New Roman" w:hAnsi="Times New Roman" w:eastAsia="宋体" w:cs="Times New Roman"/>
                <w:color w:val="auto"/>
                <w:kern w:val="44"/>
                <w:sz w:val="24"/>
                <w:szCs w:val="26"/>
                <w:lang w:bidi="ar"/>
              </w:rPr>
            </w:pPr>
            <w:r>
              <w:rPr>
                <w:rFonts w:hint="default" w:ascii="Times New Roman" w:hAnsi="Times New Roman" w:eastAsia="宋体" w:cs="Times New Roman"/>
                <w:color w:val="auto"/>
                <w:kern w:val="44"/>
                <w:sz w:val="24"/>
                <w:szCs w:val="26"/>
                <w:lang w:bidi="ar"/>
              </w:rPr>
              <w:t>④柴油发电机仅为停电时使用，使用频次少，噪声通过建筑隔声。</w:t>
            </w:r>
          </w:p>
          <w:p w14:paraId="1AEC7611">
            <w:pPr>
              <w:adjustRightInd w:val="0"/>
              <w:spacing w:line="360" w:lineRule="auto"/>
              <w:ind w:firstLine="480" w:firstLineChars="200"/>
              <w:rPr>
                <w:rFonts w:hint="default" w:ascii="Times New Roman" w:hAnsi="Times New Roman" w:eastAsia="宋体" w:cs="Times New Roman"/>
                <w:color w:val="auto"/>
                <w:kern w:val="44"/>
                <w:sz w:val="24"/>
                <w:szCs w:val="26"/>
                <w:lang w:bidi="ar"/>
              </w:rPr>
            </w:pPr>
            <w:r>
              <w:rPr>
                <w:rFonts w:hint="default" w:ascii="Times New Roman" w:hAnsi="Times New Roman" w:eastAsia="宋体" w:cs="Times New Roman"/>
                <w:color w:val="auto"/>
                <w:kern w:val="44"/>
                <w:sz w:val="24"/>
                <w:szCs w:val="26"/>
                <w:lang w:bidi="ar"/>
              </w:rPr>
              <w:t>⑤加油站周边设置绿化带，进一步降低噪声影响。</w:t>
            </w:r>
          </w:p>
          <w:p w14:paraId="5CE5D367">
            <w:pPr>
              <w:adjustRightInd w:val="0"/>
              <w:snapToGrid w:val="0"/>
              <w:spacing w:line="360" w:lineRule="auto"/>
              <w:ind w:left="420" w:leftChars="200"/>
              <w:rPr>
                <w:rFonts w:hint="default" w:ascii="Times New Roman" w:hAnsi="Times New Roman" w:eastAsia="宋体" w:cs="Times New Roman"/>
                <w:color w:val="auto"/>
                <w:kern w:val="44"/>
                <w:sz w:val="24"/>
                <w:lang w:bidi="ar"/>
              </w:rPr>
            </w:pPr>
            <w:r>
              <w:rPr>
                <w:rFonts w:hint="default" w:ascii="Times New Roman" w:hAnsi="Times New Roman" w:eastAsia="宋体" w:cs="Times New Roman"/>
                <w:color w:val="auto"/>
                <w:kern w:val="44"/>
                <w:sz w:val="24"/>
                <w:szCs w:val="26"/>
                <w:lang w:bidi="ar"/>
              </w:rPr>
              <w:t>采取上述措施后</w:t>
            </w:r>
            <w:r>
              <w:rPr>
                <w:rFonts w:hint="default" w:ascii="Times New Roman" w:hAnsi="Times New Roman" w:eastAsia="宋体" w:cs="Times New Roman"/>
                <w:color w:val="auto"/>
                <w:kern w:val="44"/>
                <w:sz w:val="24"/>
                <w:lang w:bidi="ar"/>
              </w:rPr>
              <w:t>，项目营运期对声环境影响小，周边环境可接受。</w:t>
            </w:r>
          </w:p>
          <w:p w14:paraId="4C6165CD">
            <w:pPr>
              <w:adjustRightInd w:val="0"/>
              <w:snapToGrid w:val="0"/>
              <w:spacing w:line="360" w:lineRule="auto"/>
              <w:ind w:left="420" w:leftChars="200"/>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（5）监测要求</w:t>
            </w:r>
          </w:p>
          <w:p w14:paraId="423706AA">
            <w:pPr>
              <w:spacing w:line="360" w:lineRule="auto"/>
              <w:ind w:firstLine="480" w:firstLineChars="200"/>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lang w:bidi="ar"/>
              </w:rPr>
              <w:t>本项目营运期噪声监测要求见表4.</w:t>
            </w:r>
            <w:r>
              <w:rPr>
                <w:rFonts w:hint="default" w:ascii="Times New Roman" w:hAnsi="Times New Roman" w:eastAsia="宋体" w:cs="Times New Roman"/>
                <w:bCs/>
                <w:color w:val="auto"/>
                <w:sz w:val="24"/>
              </w:rPr>
              <w:t>2</w:t>
            </w:r>
            <w:r>
              <w:rPr>
                <w:rFonts w:hint="default" w:ascii="Times New Roman" w:hAnsi="Times New Roman" w:eastAsia="宋体" w:cs="Times New Roman"/>
                <w:color w:val="auto"/>
                <w:sz w:val="24"/>
                <w:lang w:bidi="ar"/>
              </w:rPr>
              <w:t>-1</w:t>
            </w:r>
            <w:r>
              <w:rPr>
                <w:rFonts w:hint="default" w:ascii="Times New Roman" w:hAnsi="Times New Roman" w:cs="Times New Roman"/>
                <w:color w:val="auto"/>
                <w:sz w:val="24"/>
                <w:lang w:val="en-US" w:eastAsia="zh-CN" w:bidi="ar"/>
              </w:rPr>
              <w:t>3</w:t>
            </w:r>
            <w:r>
              <w:rPr>
                <w:rFonts w:hint="default" w:ascii="Times New Roman" w:hAnsi="Times New Roman" w:eastAsia="宋体" w:cs="Times New Roman"/>
                <w:color w:val="auto"/>
                <w:sz w:val="24"/>
                <w:lang w:bidi="ar"/>
              </w:rPr>
              <w:t>。</w:t>
            </w:r>
          </w:p>
          <w:p w14:paraId="49339C1C">
            <w:pPr>
              <w:pStyle w:val="9"/>
              <w:adjustRightInd w:val="0"/>
              <w:snapToGrid w:val="0"/>
              <w:ind w:firstLine="482" w:firstLineChars="200"/>
              <w:jc w:val="center"/>
              <w:rPr>
                <w:rFonts w:hint="default" w:ascii="Times New Roman" w:hAnsi="Times New Roman" w:eastAsia="宋体" w:cs="Times New Roman"/>
                <w:b/>
                <w:color w:val="auto"/>
                <w:sz w:val="24"/>
                <w:szCs w:val="24"/>
                <w:lang w:bidi="ar"/>
              </w:rPr>
            </w:pPr>
            <w:r>
              <w:rPr>
                <w:rFonts w:hint="default" w:ascii="Times New Roman" w:hAnsi="Times New Roman" w:eastAsia="宋体" w:cs="Times New Roman"/>
                <w:b/>
                <w:color w:val="auto"/>
                <w:sz w:val="24"/>
                <w:szCs w:val="24"/>
                <w:lang w:bidi="ar"/>
              </w:rPr>
              <w:t>表4.</w:t>
            </w:r>
            <w:r>
              <w:rPr>
                <w:rFonts w:hint="default" w:ascii="Times New Roman" w:hAnsi="Times New Roman" w:eastAsia="宋体" w:cs="Times New Roman"/>
                <w:b/>
                <w:bCs/>
                <w:color w:val="auto"/>
                <w:sz w:val="24"/>
                <w:szCs w:val="24"/>
              </w:rPr>
              <w:t>2</w:t>
            </w:r>
            <w:r>
              <w:rPr>
                <w:rFonts w:hint="default" w:ascii="Times New Roman" w:hAnsi="Times New Roman" w:eastAsia="宋体" w:cs="Times New Roman"/>
                <w:b/>
                <w:color w:val="auto"/>
                <w:sz w:val="24"/>
                <w:szCs w:val="24"/>
                <w:lang w:bidi="ar"/>
              </w:rPr>
              <w:t>-1</w:t>
            </w:r>
            <w:r>
              <w:rPr>
                <w:rFonts w:hint="default" w:ascii="Times New Roman" w:hAnsi="Times New Roman" w:cs="Times New Roman"/>
                <w:b/>
                <w:color w:val="auto"/>
                <w:sz w:val="24"/>
                <w:szCs w:val="24"/>
                <w:lang w:val="en-US" w:eastAsia="zh-CN" w:bidi="ar"/>
              </w:rPr>
              <w:t>3</w:t>
            </w:r>
            <w:r>
              <w:rPr>
                <w:rFonts w:hint="default" w:ascii="Times New Roman" w:hAnsi="Times New Roman" w:eastAsia="宋体" w:cs="Times New Roman"/>
                <w:b/>
                <w:color w:val="auto"/>
                <w:sz w:val="24"/>
                <w:szCs w:val="24"/>
                <w:lang w:bidi="ar"/>
              </w:rPr>
              <w:t xml:space="preserve">   运营期环境监测要求</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613"/>
              <w:gridCol w:w="728"/>
              <w:gridCol w:w="1015"/>
              <w:gridCol w:w="857"/>
              <w:gridCol w:w="957"/>
              <w:gridCol w:w="3756"/>
            </w:tblGrid>
            <w:tr w14:paraId="3B83F5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87" w:hRule="atLeast"/>
                <w:jc w:val="center"/>
              </w:trPr>
              <w:tc>
                <w:tcPr>
                  <w:tcW w:w="386" w:type="pct"/>
                  <w:noWrap w:val="0"/>
                  <w:vAlign w:val="center"/>
                </w:tcPr>
                <w:p w14:paraId="7B15D1E1">
                  <w:pPr>
                    <w:pStyle w:val="78"/>
                    <w:autoSpaceDE/>
                    <w:autoSpaceDN/>
                    <w:adjustRightInd/>
                    <w:snapToGrid/>
                    <w:spacing w:before="24" w:after="24"/>
                    <w:rPr>
                      <w:rFonts w:hint="default" w:ascii="Times New Roman" w:hAnsi="Times New Roman" w:eastAsia="宋体" w:cs="Times New Roman"/>
                      <w:color w:val="auto"/>
                    </w:rPr>
                  </w:pPr>
                  <w:r>
                    <w:rPr>
                      <w:rFonts w:hint="default" w:ascii="Times New Roman" w:hAnsi="Times New Roman" w:eastAsia="宋体" w:cs="Times New Roman"/>
                      <w:color w:val="auto"/>
                    </w:rPr>
                    <w:t>污染源</w:t>
                  </w:r>
                </w:p>
              </w:tc>
              <w:tc>
                <w:tcPr>
                  <w:tcW w:w="459" w:type="pct"/>
                  <w:noWrap w:val="0"/>
                  <w:vAlign w:val="center"/>
                </w:tcPr>
                <w:p w14:paraId="06A68D63">
                  <w:pPr>
                    <w:pStyle w:val="78"/>
                    <w:autoSpaceDE/>
                    <w:autoSpaceDN/>
                    <w:adjustRightInd/>
                    <w:snapToGrid/>
                    <w:spacing w:before="24" w:after="24"/>
                    <w:rPr>
                      <w:rFonts w:hint="default" w:ascii="Times New Roman" w:hAnsi="Times New Roman" w:eastAsia="宋体" w:cs="Times New Roman"/>
                      <w:color w:val="auto"/>
                    </w:rPr>
                  </w:pPr>
                  <w:r>
                    <w:rPr>
                      <w:rFonts w:hint="default" w:ascii="Times New Roman" w:hAnsi="Times New Roman" w:eastAsia="宋体" w:cs="Times New Roman"/>
                      <w:color w:val="auto"/>
                    </w:rPr>
                    <w:t>监测</w:t>
                  </w:r>
                </w:p>
                <w:p w14:paraId="30DC0806">
                  <w:pPr>
                    <w:pStyle w:val="78"/>
                    <w:autoSpaceDE/>
                    <w:autoSpaceDN/>
                    <w:adjustRightInd/>
                    <w:snapToGrid/>
                    <w:spacing w:before="24" w:after="24"/>
                    <w:rPr>
                      <w:rFonts w:hint="default" w:ascii="Times New Roman" w:hAnsi="Times New Roman" w:eastAsia="宋体" w:cs="Times New Roman"/>
                      <w:color w:val="auto"/>
                    </w:rPr>
                  </w:pPr>
                  <w:r>
                    <w:rPr>
                      <w:rFonts w:hint="default" w:ascii="Times New Roman" w:hAnsi="Times New Roman" w:eastAsia="宋体" w:cs="Times New Roman"/>
                      <w:color w:val="auto"/>
                    </w:rPr>
                    <w:t>点位</w:t>
                  </w:r>
                </w:p>
              </w:tc>
              <w:tc>
                <w:tcPr>
                  <w:tcW w:w="640" w:type="pct"/>
                  <w:noWrap w:val="0"/>
                  <w:vAlign w:val="center"/>
                </w:tcPr>
                <w:p w14:paraId="659BFCD7">
                  <w:pPr>
                    <w:pStyle w:val="78"/>
                    <w:autoSpaceDE/>
                    <w:autoSpaceDN/>
                    <w:adjustRightInd/>
                    <w:snapToGrid/>
                    <w:spacing w:before="24" w:after="24"/>
                    <w:rPr>
                      <w:rFonts w:hint="default" w:ascii="Times New Roman" w:hAnsi="Times New Roman" w:eastAsia="宋体" w:cs="Times New Roman"/>
                      <w:color w:val="auto"/>
                    </w:rPr>
                  </w:pPr>
                  <w:r>
                    <w:rPr>
                      <w:rFonts w:hint="default" w:ascii="Times New Roman" w:hAnsi="Times New Roman" w:eastAsia="宋体" w:cs="Times New Roman"/>
                      <w:color w:val="auto"/>
                    </w:rPr>
                    <w:t>监测项目</w:t>
                  </w:r>
                </w:p>
              </w:tc>
              <w:tc>
                <w:tcPr>
                  <w:tcW w:w="540" w:type="pct"/>
                  <w:noWrap w:val="0"/>
                  <w:vAlign w:val="center"/>
                </w:tcPr>
                <w:p w14:paraId="2283C596">
                  <w:pPr>
                    <w:pStyle w:val="78"/>
                    <w:autoSpaceDE/>
                    <w:autoSpaceDN/>
                    <w:adjustRightInd/>
                    <w:snapToGrid/>
                    <w:spacing w:before="24" w:after="24"/>
                    <w:rPr>
                      <w:rFonts w:hint="default" w:ascii="Times New Roman" w:hAnsi="Times New Roman" w:eastAsia="宋体" w:cs="Times New Roman"/>
                      <w:color w:val="auto"/>
                    </w:rPr>
                  </w:pPr>
                  <w:r>
                    <w:rPr>
                      <w:rFonts w:hint="default" w:ascii="Times New Roman" w:hAnsi="Times New Roman" w:eastAsia="宋体" w:cs="Times New Roman"/>
                      <w:color w:val="auto"/>
                    </w:rPr>
                    <w:t>自行监测频率</w:t>
                  </w:r>
                </w:p>
              </w:tc>
              <w:tc>
                <w:tcPr>
                  <w:tcW w:w="603" w:type="pct"/>
                  <w:noWrap w:val="0"/>
                  <w:vAlign w:val="center"/>
                </w:tcPr>
                <w:p w14:paraId="5C26FC03">
                  <w:pPr>
                    <w:pStyle w:val="78"/>
                    <w:autoSpaceDE/>
                    <w:autoSpaceDN/>
                    <w:adjustRightInd/>
                    <w:snapToGrid/>
                    <w:spacing w:before="24" w:after="24"/>
                    <w:rPr>
                      <w:rFonts w:hint="default" w:ascii="Times New Roman" w:hAnsi="Times New Roman" w:eastAsia="宋体" w:cs="Times New Roman"/>
                      <w:color w:val="auto"/>
                    </w:rPr>
                  </w:pPr>
                  <w:r>
                    <w:rPr>
                      <w:rFonts w:hint="default" w:ascii="Times New Roman" w:hAnsi="Times New Roman" w:eastAsia="宋体" w:cs="Times New Roman"/>
                      <w:color w:val="auto"/>
                    </w:rPr>
                    <w:t>验收监测频率</w:t>
                  </w:r>
                </w:p>
              </w:tc>
              <w:tc>
                <w:tcPr>
                  <w:tcW w:w="2369" w:type="pct"/>
                  <w:noWrap w:val="0"/>
                  <w:vAlign w:val="center"/>
                </w:tcPr>
                <w:p w14:paraId="25C29CDB">
                  <w:pPr>
                    <w:pStyle w:val="78"/>
                    <w:autoSpaceDE/>
                    <w:autoSpaceDN/>
                    <w:adjustRightInd/>
                    <w:snapToGrid/>
                    <w:spacing w:before="24" w:after="24"/>
                    <w:rPr>
                      <w:rFonts w:hint="default" w:ascii="Times New Roman" w:hAnsi="Times New Roman" w:eastAsia="宋体" w:cs="Times New Roman"/>
                      <w:color w:val="auto"/>
                    </w:rPr>
                  </w:pPr>
                  <w:r>
                    <w:rPr>
                      <w:rFonts w:hint="default" w:ascii="Times New Roman" w:hAnsi="Times New Roman" w:eastAsia="宋体" w:cs="Times New Roman"/>
                      <w:color w:val="auto"/>
                    </w:rPr>
                    <w:t>执行标准</w:t>
                  </w:r>
                </w:p>
              </w:tc>
            </w:tr>
            <w:tr w14:paraId="400F9B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386" w:type="pct"/>
                  <w:noWrap w:val="0"/>
                  <w:vAlign w:val="center"/>
                </w:tcPr>
                <w:p w14:paraId="5B25487F">
                  <w:pPr>
                    <w:pStyle w:val="78"/>
                    <w:autoSpaceDE/>
                    <w:autoSpaceDN/>
                    <w:adjustRightInd/>
                    <w:snapToGrid/>
                    <w:spacing w:before="24" w:after="24" w:line="320" w:lineRule="exact"/>
                    <w:rPr>
                      <w:rFonts w:hint="default" w:ascii="Times New Roman" w:hAnsi="Times New Roman" w:eastAsia="宋体" w:cs="Times New Roman"/>
                      <w:color w:val="auto"/>
                    </w:rPr>
                  </w:pPr>
                  <w:r>
                    <w:rPr>
                      <w:rFonts w:hint="default" w:ascii="Times New Roman" w:hAnsi="Times New Roman" w:eastAsia="宋体" w:cs="Times New Roman"/>
                      <w:color w:val="auto"/>
                    </w:rPr>
                    <w:t>设备</w:t>
                  </w:r>
                </w:p>
              </w:tc>
              <w:tc>
                <w:tcPr>
                  <w:tcW w:w="459" w:type="pct"/>
                  <w:noWrap w:val="0"/>
                  <w:vAlign w:val="center"/>
                </w:tcPr>
                <w:p w14:paraId="6535E0B8">
                  <w:pPr>
                    <w:pStyle w:val="78"/>
                    <w:autoSpaceDE/>
                    <w:autoSpaceDN/>
                    <w:adjustRightInd/>
                    <w:snapToGrid/>
                    <w:spacing w:before="24" w:after="24" w:line="320" w:lineRule="exact"/>
                    <w:rPr>
                      <w:rFonts w:hint="default" w:ascii="Times New Roman" w:hAnsi="Times New Roman" w:eastAsia="宋体" w:cs="Times New Roman"/>
                      <w:color w:val="auto"/>
                    </w:rPr>
                  </w:pPr>
                  <w:r>
                    <w:rPr>
                      <w:rFonts w:hint="default" w:ascii="Times New Roman" w:hAnsi="Times New Roman" w:eastAsia="宋体" w:cs="Times New Roman"/>
                      <w:color w:val="auto"/>
                    </w:rPr>
                    <w:t>四周</w:t>
                  </w:r>
                </w:p>
                <w:p w14:paraId="1C240C83">
                  <w:pPr>
                    <w:pStyle w:val="78"/>
                    <w:autoSpaceDE/>
                    <w:autoSpaceDN/>
                    <w:adjustRightInd/>
                    <w:snapToGrid/>
                    <w:spacing w:before="24" w:after="24" w:line="320" w:lineRule="exact"/>
                    <w:rPr>
                      <w:rFonts w:hint="default" w:ascii="Times New Roman" w:hAnsi="Times New Roman" w:eastAsia="宋体" w:cs="Times New Roman"/>
                      <w:color w:val="auto"/>
                    </w:rPr>
                  </w:pPr>
                  <w:r>
                    <w:rPr>
                      <w:rFonts w:hint="default" w:ascii="Times New Roman" w:hAnsi="Times New Roman" w:eastAsia="宋体" w:cs="Times New Roman"/>
                      <w:color w:val="auto"/>
                    </w:rPr>
                    <w:t>厂界</w:t>
                  </w:r>
                </w:p>
              </w:tc>
              <w:tc>
                <w:tcPr>
                  <w:tcW w:w="640" w:type="pct"/>
                  <w:noWrap w:val="0"/>
                  <w:vAlign w:val="center"/>
                </w:tcPr>
                <w:p w14:paraId="277AE292">
                  <w:pPr>
                    <w:pStyle w:val="78"/>
                    <w:autoSpaceDE/>
                    <w:autoSpaceDN/>
                    <w:adjustRightInd/>
                    <w:snapToGrid/>
                    <w:spacing w:before="24" w:after="24" w:line="320" w:lineRule="exact"/>
                    <w:rPr>
                      <w:rFonts w:hint="default" w:ascii="Times New Roman" w:hAnsi="Times New Roman" w:eastAsia="宋体" w:cs="Times New Roman"/>
                      <w:color w:val="auto"/>
                    </w:rPr>
                  </w:pPr>
                  <w:r>
                    <w:rPr>
                      <w:rFonts w:hint="default" w:ascii="Times New Roman" w:hAnsi="Times New Roman" w:eastAsia="宋体" w:cs="Times New Roman"/>
                      <w:color w:val="auto"/>
                    </w:rPr>
                    <w:t>等效连续A声级</w:t>
                  </w:r>
                </w:p>
              </w:tc>
              <w:tc>
                <w:tcPr>
                  <w:tcW w:w="540" w:type="pct"/>
                  <w:noWrap w:val="0"/>
                  <w:vAlign w:val="center"/>
                </w:tcPr>
                <w:p w14:paraId="0648915E">
                  <w:pPr>
                    <w:pStyle w:val="78"/>
                    <w:autoSpaceDE/>
                    <w:autoSpaceDN/>
                    <w:adjustRightInd/>
                    <w:snapToGrid/>
                    <w:spacing w:before="24" w:after="24" w:line="320" w:lineRule="exact"/>
                    <w:rPr>
                      <w:rFonts w:hint="default" w:ascii="Times New Roman" w:hAnsi="Times New Roman" w:eastAsia="宋体" w:cs="Times New Roman"/>
                      <w:color w:val="auto"/>
                    </w:rPr>
                  </w:pPr>
                  <w:r>
                    <w:rPr>
                      <w:rFonts w:hint="default" w:ascii="Times New Roman" w:hAnsi="Times New Roman" w:eastAsia="宋体" w:cs="Times New Roman"/>
                      <w:color w:val="auto"/>
                    </w:rPr>
                    <w:t>1次/年</w:t>
                  </w:r>
                </w:p>
              </w:tc>
              <w:tc>
                <w:tcPr>
                  <w:tcW w:w="603" w:type="pct"/>
                  <w:noWrap w:val="0"/>
                  <w:vAlign w:val="center"/>
                </w:tcPr>
                <w:p w14:paraId="3B893108">
                  <w:pPr>
                    <w:pStyle w:val="78"/>
                    <w:autoSpaceDE/>
                    <w:autoSpaceDN/>
                    <w:adjustRightInd/>
                    <w:snapToGrid/>
                    <w:spacing w:before="24" w:after="24" w:line="320" w:lineRule="exact"/>
                    <w:rPr>
                      <w:rFonts w:hint="default" w:ascii="Times New Roman" w:hAnsi="Times New Roman" w:eastAsia="宋体" w:cs="Times New Roman"/>
                      <w:color w:val="auto"/>
                    </w:rPr>
                  </w:pPr>
                  <w:r>
                    <w:rPr>
                      <w:rFonts w:hint="default" w:ascii="Times New Roman" w:hAnsi="Times New Roman" w:eastAsia="宋体" w:cs="Times New Roman"/>
                      <w:color w:val="auto"/>
                    </w:rPr>
                    <w:t>验收时监测一次</w:t>
                  </w:r>
                </w:p>
              </w:tc>
              <w:tc>
                <w:tcPr>
                  <w:tcW w:w="2369" w:type="pct"/>
                  <w:noWrap w:val="0"/>
                  <w:vAlign w:val="center"/>
                </w:tcPr>
                <w:p w14:paraId="3D9D42FD">
                  <w:pPr>
                    <w:pStyle w:val="78"/>
                    <w:autoSpaceDE/>
                    <w:autoSpaceDN/>
                    <w:adjustRightInd/>
                    <w:snapToGrid/>
                    <w:spacing w:before="24" w:after="24" w:line="320" w:lineRule="exact"/>
                    <w:rPr>
                      <w:rFonts w:hint="default" w:ascii="Times New Roman" w:hAnsi="Times New Roman" w:eastAsia="宋体" w:cs="Times New Roman"/>
                      <w:color w:val="auto"/>
                    </w:rPr>
                  </w:pPr>
                  <w:r>
                    <w:rPr>
                      <w:rFonts w:hint="default" w:ascii="Times New Roman" w:hAnsi="Times New Roman" w:eastAsia="宋体" w:cs="Times New Roman"/>
                      <w:color w:val="auto"/>
                    </w:rPr>
                    <w:t>东、西、北侧厂界执行《工业企业厂界环境噪声排放标准》（GB12348-2008）中4类标准，南侧厂界执行</w:t>
                  </w:r>
                  <w:r>
                    <w:rPr>
                      <w:rFonts w:hint="default" w:ascii="Times New Roman" w:hAnsi="Times New Roman" w:cs="Times New Roman"/>
                      <w:color w:val="auto"/>
                      <w:lang w:val="en-US" w:eastAsia="zh-CN"/>
                    </w:rPr>
                    <w:t>2</w:t>
                  </w:r>
                  <w:r>
                    <w:rPr>
                      <w:rFonts w:hint="default" w:ascii="Times New Roman" w:hAnsi="Times New Roman" w:eastAsia="宋体" w:cs="Times New Roman"/>
                      <w:color w:val="auto"/>
                    </w:rPr>
                    <w:t>类标准</w:t>
                  </w:r>
                </w:p>
              </w:tc>
            </w:tr>
          </w:tbl>
          <w:p w14:paraId="56340608">
            <w:pPr>
              <w:adjustRightInd w:val="0"/>
              <w:snapToGrid w:val="0"/>
              <w:spacing w:line="240" w:lineRule="auto"/>
              <w:rPr>
                <w:rFonts w:hint="default" w:ascii="Times New Roman" w:hAnsi="Times New Roman" w:eastAsia="宋体" w:cs="Times New Roman"/>
                <w:b/>
                <w:color w:val="auto"/>
                <w:sz w:val="24"/>
                <w:szCs w:val="26"/>
              </w:rPr>
            </w:pPr>
          </w:p>
          <w:p w14:paraId="19CF4D73">
            <w:pPr>
              <w:adjustRightInd w:val="0"/>
              <w:snapToGrid w:val="0"/>
              <w:spacing w:line="360" w:lineRule="auto"/>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4.2.4固废影响及其防治措施</w:t>
            </w:r>
          </w:p>
          <w:p w14:paraId="003DDF0A">
            <w:pPr>
              <w:adjustRightInd w:val="0"/>
              <w:snapToGrid w:val="0"/>
              <w:spacing w:line="360" w:lineRule="auto"/>
              <w:ind w:firstLine="482" w:firstLineChars="200"/>
              <w:rPr>
                <w:rFonts w:hint="default" w:ascii="Times New Roman" w:hAnsi="Times New Roman" w:eastAsia="宋体" w:cs="Times New Roman"/>
                <w:b/>
                <w:bCs w:val="0"/>
                <w:color w:val="auto"/>
                <w:sz w:val="24"/>
                <w:szCs w:val="26"/>
              </w:rPr>
            </w:pPr>
            <w:r>
              <w:rPr>
                <w:rFonts w:hint="default" w:ascii="Times New Roman" w:hAnsi="Times New Roman" w:eastAsia="宋体" w:cs="Times New Roman"/>
                <w:b/>
                <w:bCs w:val="0"/>
                <w:color w:val="auto"/>
                <w:sz w:val="24"/>
                <w:szCs w:val="26"/>
              </w:rPr>
              <w:t>（1）固废影响分析</w:t>
            </w:r>
          </w:p>
          <w:p w14:paraId="431E8A8C">
            <w:pPr>
              <w:adjustRightInd w:val="0"/>
              <w:snapToGrid w:val="0"/>
              <w:spacing w:line="360" w:lineRule="auto"/>
              <w:ind w:firstLine="480" w:firstLineChars="200"/>
              <w:rPr>
                <w:rFonts w:hint="default" w:ascii="Times New Roman" w:hAnsi="Times New Roman" w:eastAsia="宋体" w:cs="Times New Roman"/>
                <w:color w:val="auto"/>
                <w:kern w:val="44"/>
                <w:sz w:val="24"/>
                <w:szCs w:val="26"/>
                <w:lang w:bidi="ar"/>
              </w:rPr>
            </w:pPr>
            <w:r>
              <w:rPr>
                <w:rFonts w:hint="default" w:ascii="Times New Roman" w:hAnsi="Times New Roman" w:eastAsia="宋体" w:cs="Times New Roman"/>
                <w:color w:val="auto"/>
                <w:kern w:val="44"/>
                <w:sz w:val="24"/>
                <w:szCs w:val="26"/>
                <w:lang w:bidi="ar"/>
              </w:rPr>
              <w:t>根据《固体废物鉴别标准 通则》（GB 34300-2017）和《国家危险废物名录》（202</w:t>
            </w:r>
            <w:r>
              <w:rPr>
                <w:rFonts w:hint="default" w:ascii="Times New Roman" w:hAnsi="Times New Roman" w:eastAsia="宋体" w:cs="Times New Roman"/>
                <w:color w:val="auto"/>
                <w:kern w:val="44"/>
                <w:sz w:val="24"/>
                <w:szCs w:val="26"/>
                <w:lang w:val="en-US" w:eastAsia="zh-CN" w:bidi="ar"/>
              </w:rPr>
              <w:t>5</w:t>
            </w:r>
            <w:r>
              <w:rPr>
                <w:rFonts w:hint="default" w:ascii="Times New Roman" w:hAnsi="Times New Roman" w:eastAsia="宋体" w:cs="Times New Roman"/>
                <w:color w:val="auto"/>
                <w:kern w:val="44"/>
                <w:sz w:val="24"/>
                <w:szCs w:val="26"/>
                <w:lang w:bidi="ar"/>
              </w:rPr>
              <w:t>版），本项目产生的固体废物主要为危险废物、生活垃圾和生化池污泥。</w:t>
            </w:r>
          </w:p>
          <w:p w14:paraId="6B6F3107">
            <w:pPr>
              <w:adjustRightInd w:val="0"/>
              <w:snapToGrid w:val="0"/>
              <w:spacing w:line="360" w:lineRule="auto"/>
              <w:ind w:firstLine="480" w:firstLineChars="200"/>
              <w:rPr>
                <w:rFonts w:hint="default" w:ascii="Times New Roman" w:hAnsi="Times New Roman" w:eastAsia="宋体" w:cs="Times New Roman"/>
                <w:color w:val="auto"/>
                <w:kern w:val="44"/>
                <w:sz w:val="24"/>
                <w:lang w:bidi="ar"/>
              </w:rPr>
            </w:pPr>
            <w:r>
              <w:rPr>
                <w:rFonts w:hint="default" w:ascii="Times New Roman" w:hAnsi="Times New Roman" w:eastAsia="宋体" w:cs="Times New Roman"/>
                <w:color w:val="auto"/>
                <w:kern w:val="44"/>
                <w:sz w:val="24"/>
                <w:lang w:bidi="ar"/>
              </w:rPr>
              <w:t>①危险废物</w:t>
            </w:r>
          </w:p>
          <w:p w14:paraId="61D02230">
            <w:pPr>
              <w:adjustRightInd w:val="0"/>
              <w:snapToGrid w:val="0"/>
              <w:spacing w:line="360" w:lineRule="auto"/>
              <w:ind w:firstLine="480" w:firstLineChars="200"/>
              <w:rPr>
                <w:rFonts w:hint="default" w:ascii="Times New Roman" w:hAnsi="Times New Roman" w:eastAsia="宋体" w:cs="Times New Roman"/>
                <w:color w:val="auto"/>
                <w:kern w:val="44"/>
                <w:sz w:val="24"/>
                <w:highlight w:val="none"/>
                <w:lang w:bidi="ar"/>
              </w:rPr>
            </w:pPr>
            <w:r>
              <w:rPr>
                <w:rFonts w:hint="default" w:ascii="Times New Roman" w:hAnsi="Times New Roman" w:cs="Times New Roman"/>
                <w:color w:val="auto"/>
                <w:kern w:val="44"/>
                <w:sz w:val="24"/>
                <w:highlight w:val="none"/>
                <w:lang w:eastAsia="zh-CN" w:bidi="ar"/>
              </w:rPr>
              <w:t>本项目仅对埋地罐区进行改造，将现有</w:t>
            </w:r>
            <w:r>
              <w:rPr>
                <w:rFonts w:hint="default" w:ascii="Times New Roman" w:hAnsi="Times New Roman" w:cs="Times New Roman"/>
                <w:color w:val="auto"/>
                <w:kern w:val="44"/>
                <w:sz w:val="24"/>
                <w:highlight w:val="none"/>
                <w:lang w:val="en-US" w:eastAsia="zh-CN" w:bidi="ar"/>
              </w:rPr>
              <w:t>4座埋地油罐更换并扩容，加油机设备等未变动，因此本项目实施后仅清罐废物增加，其他危险废物产生量不变。</w:t>
            </w:r>
          </w:p>
          <w:p w14:paraId="2CC30FDA">
            <w:pPr>
              <w:adjustRightInd w:val="0"/>
              <w:snapToGrid w:val="0"/>
              <w:spacing w:line="360" w:lineRule="auto"/>
              <w:ind w:firstLine="480" w:firstLineChars="200"/>
              <w:rPr>
                <w:rFonts w:hint="default" w:ascii="Times New Roman" w:hAnsi="Times New Roman" w:eastAsia="宋体" w:cs="Times New Roman"/>
                <w:color w:val="auto"/>
                <w:kern w:val="44"/>
                <w:sz w:val="24"/>
                <w:lang w:bidi="ar"/>
              </w:rPr>
            </w:pPr>
            <w:r>
              <w:rPr>
                <w:rFonts w:hint="default" w:ascii="Times New Roman" w:hAnsi="Times New Roman" w:eastAsia="宋体" w:cs="Times New Roman"/>
                <w:color w:val="auto"/>
                <w:kern w:val="44"/>
                <w:sz w:val="24"/>
                <w:lang w:bidi="ar"/>
              </w:rPr>
              <w:t>设备检修废物：加油机、管道等设备平均每3个月检修一次，检修废物由含油废水、含油废渣、伴生污染物、清洗废液构成。清洗废液由于含油类物质浓度较高，现场无法进行处理或回用，与其余检修废物一并作为危险废物进行处理。根据项目实际运行情况，本项目加油机等设备检修废物产生量约0.1t/次，一年约检修4次，则项目产生的检修废物合计约0.4t/a，属于危险废物，危废代码为HW09（900-007-09），分类暂存于危废暂存箱内，定期委托</w:t>
            </w:r>
            <w:r>
              <w:rPr>
                <w:rFonts w:hint="default" w:ascii="Times New Roman" w:hAnsi="Times New Roman" w:eastAsia="宋体" w:cs="Times New Roman"/>
                <w:color w:val="auto"/>
                <w:kern w:val="0"/>
                <w:sz w:val="24"/>
                <w:szCs w:val="24"/>
                <w:highlight w:val="none"/>
                <w:lang w:eastAsia="zh-CN"/>
              </w:rPr>
              <w:t>重庆明珠鹏城再生资源利用有限公司</w:t>
            </w:r>
            <w:r>
              <w:rPr>
                <w:rFonts w:hint="default" w:ascii="Times New Roman" w:hAnsi="Times New Roman" w:eastAsia="宋体" w:cs="Times New Roman"/>
                <w:color w:val="auto"/>
                <w:kern w:val="44"/>
                <w:sz w:val="24"/>
                <w:lang w:bidi="ar"/>
              </w:rPr>
              <w:t>进行处置。</w:t>
            </w:r>
          </w:p>
          <w:p w14:paraId="40B7B04D">
            <w:pPr>
              <w:adjustRightInd w:val="0"/>
              <w:snapToGrid w:val="0"/>
              <w:spacing w:line="360" w:lineRule="auto"/>
              <w:ind w:firstLine="480" w:firstLineChars="200"/>
              <w:rPr>
                <w:rFonts w:hint="default" w:ascii="Times New Roman" w:hAnsi="Times New Roman" w:eastAsia="宋体" w:cs="Times New Roman"/>
                <w:color w:val="auto"/>
                <w:kern w:val="44"/>
                <w:sz w:val="24"/>
                <w:lang w:bidi="ar"/>
              </w:rPr>
            </w:pPr>
            <w:r>
              <w:rPr>
                <w:rFonts w:hint="default" w:ascii="Times New Roman" w:hAnsi="Times New Roman" w:eastAsia="宋体" w:cs="Times New Roman"/>
                <w:color w:val="auto"/>
                <w:kern w:val="44"/>
                <w:sz w:val="24"/>
                <w:lang w:bidi="ar"/>
              </w:rPr>
              <w:t>清罐废物：清罐废物主要由含油废水、含油废渣、伴生污染物、清洗废液构成。清洗废物由于含油类物质浓度较高，现场无法进行处理或回用，应与其余清罐废物一并作为危险废物进行处理。根据项目实际运行情况，本项目清罐废物产生量估计约0.5t/</w:t>
            </w:r>
            <w:r>
              <w:rPr>
                <w:rFonts w:hint="eastAsia" w:cs="Times New Roman"/>
                <w:color w:val="auto"/>
                <w:kern w:val="44"/>
                <w:sz w:val="24"/>
                <w:lang w:eastAsia="zh-CN" w:bidi="ar"/>
              </w:rPr>
              <w:t>（</w:t>
            </w:r>
            <w:r>
              <w:rPr>
                <w:rFonts w:hint="default" w:ascii="Times New Roman" w:hAnsi="Times New Roman" w:eastAsia="宋体" w:cs="Times New Roman"/>
                <w:color w:val="auto"/>
                <w:kern w:val="44"/>
                <w:sz w:val="24"/>
                <w:lang w:bidi="ar"/>
              </w:rPr>
              <w:t>次·罐</w:t>
            </w:r>
            <w:r>
              <w:rPr>
                <w:rFonts w:hint="eastAsia" w:cs="Times New Roman"/>
                <w:color w:val="auto"/>
                <w:kern w:val="44"/>
                <w:sz w:val="24"/>
                <w:lang w:eastAsia="zh-CN" w:bidi="ar"/>
              </w:rPr>
              <w:t>）</w:t>
            </w:r>
            <w:r>
              <w:rPr>
                <w:rFonts w:hint="default" w:ascii="Times New Roman" w:hAnsi="Times New Roman" w:eastAsia="宋体" w:cs="Times New Roman"/>
                <w:color w:val="auto"/>
                <w:kern w:val="44"/>
                <w:sz w:val="24"/>
                <w:lang w:bidi="ar"/>
              </w:rPr>
              <w:t>，项目共设4个储油罐，清罐废物合计2.0t/（次·5年），属于危险废物，危废代码为HW08（900-249-08），</w:t>
            </w:r>
            <w:r>
              <w:rPr>
                <w:rFonts w:hint="default" w:ascii="Times New Roman" w:hAnsi="Times New Roman" w:eastAsia="宋体" w:cs="Times New Roman"/>
                <w:color w:val="auto"/>
                <w:kern w:val="44"/>
                <w:sz w:val="24"/>
                <w:lang w:val="en-US" w:eastAsia="zh-CN" w:bidi="ar"/>
              </w:rPr>
              <w:t>当日</w:t>
            </w:r>
            <w:r>
              <w:rPr>
                <w:rFonts w:hint="default" w:ascii="Times New Roman" w:hAnsi="Times New Roman" w:eastAsia="宋体" w:cs="Times New Roman"/>
                <w:color w:val="auto"/>
                <w:kern w:val="44"/>
                <w:sz w:val="24"/>
                <w:lang w:bidi="ar"/>
              </w:rPr>
              <w:t>交</w:t>
            </w:r>
            <w:r>
              <w:rPr>
                <w:rFonts w:hint="default" w:ascii="Times New Roman" w:hAnsi="Times New Roman" w:eastAsia="宋体" w:cs="Times New Roman"/>
                <w:color w:val="auto"/>
                <w:kern w:val="44"/>
                <w:sz w:val="24"/>
                <w:lang w:eastAsia="zh-CN" w:bidi="ar"/>
              </w:rPr>
              <w:t>重庆明珠鹏城再生资源利用有限公司</w:t>
            </w:r>
            <w:r>
              <w:rPr>
                <w:rFonts w:hint="default" w:ascii="Times New Roman" w:hAnsi="Times New Roman" w:eastAsia="宋体" w:cs="Times New Roman"/>
                <w:color w:val="auto"/>
                <w:kern w:val="44"/>
                <w:sz w:val="24"/>
                <w:lang w:bidi="ar"/>
              </w:rPr>
              <w:t>进行处置</w:t>
            </w:r>
            <w:r>
              <w:rPr>
                <w:rFonts w:hint="default" w:ascii="Times New Roman" w:hAnsi="Times New Roman" w:eastAsia="宋体" w:cs="Times New Roman"/>
                <w:color w:val="auto"/>
                <w:kern w:val="44"/>
                <w:sz w:val="24"/>
                <w:lang w:eastAsia="zh-CN" w:bidi="ar"/>
              </w:rPr>
              <w:t>，</w:t>
            </w:r>
            <w:r>
              <w:rPr>
                <w:rFonts w:hint="default" w:ascii="Times New Roman" w:hAnsi="Times New Roman" w:eastAsia="宋体" w:cs="Times New Roman"/>
                <w:color w:val="auto"/>
                <w:kern w:val="44"/>
                <w:sz w:val="24"/>
                <w:lang w:val="en-US" w:eastAsia="zh-CN" w:bidi="ar"/>
              </w:rPr>
              <w:t>不在加油站暂存</w:t>
            </w:r>
            <w:r>
              <w:rPr>
                <w:rFonts w:hint="default" w:ascii="Times New Roman" w:hAnsi="Times New Roman" w:eastAsia="宋体" w:cs="Times New Roman"/>
                <w:color w:val="auto"/>
                <w:kern w:val="44"/>
                <w:sz w:val="24"/>
                <w:lang w:bidi="ar"/>
              </w:rPr>
              <w:t>。</w:t>
            </w:r>
          </w:p>
          <w:p w14:paraId="612874DF">
            <w:pPr>
              <w:adjustRightInd w:val="0"/>
              <w:snapToGrid w:val="0"/>
              <w:spacing w:line="360" w:lineRule="auto"/>
              <w:ind w:firstLine="480" w:firstLineChars="200"/>
              <w:rPr>
                <w:rFonts w:hint="default" w:ascii="Times New Roman" w:hAnsi="Times New Roman" w:eastAsia="宋体" w:cs="Times New Roman"/>
                <w:color w:val="auto"/>
                <w:kern w:val="44"/>
                <w:sz w:val="24"/>
                <w:lang w:bidi="ar"/>
              </w:rPr>
            </w:pPr>
            <w:r>
              <w:rPr>
                <w:rFonts w:hint="default" w:ascii="Times New Roman" w:hAnsi="Times New Roman" w:eastAsia="宋体" w:cs="Times New Roman"/>
                <w:color w:val="auto"/>
                <w:kern w:val="44"/>
                <w:sz w:val="24"/>
                <w:lang w:bidi="ar"/>
              </w:rPr>
              <w:t>含油污泥：隔油沉砂池每半年清掏一次，清掏产生的含油污泥量约为0.05t/a，属于危险废物，危废代码为HW08（900-210-08），分类暂存于危废暂存箱内，定期委托</w:t>
            </w:r>
            <w:r>
              <w:rPr>
                <w:rFonts w:hint="default" w:ascii="Times New Roman" w:hAnsi="Times New Roman" w:eastAsia="宋体" w:cs="Times New Roman"/>
                <w:color w:val="auto"/>
                <w:kern w:val="44"/>
                <w:sz w:val="24"/>
                <w:lang w:eastAsia="zh-CN" w:bidi="ar"/>
              </w:rPr>
              <w:t>重庆明珠鹏城再生资源利用有限公司</w:t>
            </w:r>
            <w:r>
              <w:rPr>
                <w:rFonts w:hint="default" w:ascii="Times New Roman" w:hAnsi="Times New Roman" w:eastAsia="宋体" w:cs="Times New Roman"/>
                <w:color w:val="auto"/>
                <w:kern w:val="44"/>
                <w:sz w:val="24"/>
                <w:lang w:bidi="ar"/>
              </w:rPr>
              <w:t>进行处置。</w:t>
            </w:r>
          </w:p>
          <w:p w14:paraId="3CFB8829">
            <w:pPr>
              <w:adjustRightInd w:val="0"/>
              <w:snapToGrid w:val="0"/>
              <w:spacing w:line="360" w:lineRule="auto"/>
              <w:ind w:firstLine="480" w:firstLineChars="200"/>
              <w:rPr>
                <w:rFonts w:hint="default" w:ascii="Times New Roman" w:hAnsi="Times New Roman" w:eastAsia="宋体" w:cs="Times New Roman"/>
                <w:color w:val="auto"/>
                <w:kern w:val="44"/>
                <w:sz w:val="24"/>
                <w:lang w:bidi="ar"/>
              </w:rPr>
            </w:pPr>
            <w:r>
              <w:rPr>
                <w:rFonts w:hint="default" w:ascii="Times New Roman" w:hAnsi="Times New Roman" w:eastAsia="宋体" w:cs="Times New Roman"/>
                <w:color w:val="auto"/>
                <w:kern w:val="44"/>
                <w:sz w:val="24"/>
                <w:lang w:bidi="ar"/>
              </w:rPr>
              <w:t>废弃的含油抹布：本项目劳保过程中产生的沾染含油抹布产生量为0.01t/a。废弃的含油抹布属于危险废物HW49（900-041-49），收集后定期委托</w:t>
            </w:r>
            <w:r>
              <w:rPr>
                <w:rFonts w:hint="default" w:ascii="Times New Roman" w:hAnsi="Times New Roman" w:eastAsia="宋体" w:cs="Times New Roman"/>
                <w:bCs/>
                <w:color w:val="auto"/>
                <w:sz w:val="24"/>
                <w:lang w:eastAsia="zh-CN"/>
              </w:rPr>
              <w:t>重庆明珠鹏城再生资源利用有限公司</w:t>
            </w:r>
            <w:r>
              <w:rPr>
                <w:rFonts w:hint="default" w:ascii="Times New Roman" w:hAnsi="Times New Roman" w:eastAsia="宋体" w:cs="Times New Roman"/>
                <w:color w:val="auto"/>
                <w:kern w:val="44"/>
                <w:sz w:val="24"/>
                <w:lang w:bidi="ar"/>
              </w:rPr>
              <w:t>进行处置。</w:t>
            </w:r>
          </w:p>
          <w:p w14:paraId="74409074">
            <w:pPr>
              <w:adjustRightInd w:val="0"/>
              <w:snapToGrid w:val="0"/>
              <w:spacing w:line="360" w:lineRule="auto"/>
              <w:ind w:firstLine="480" w:firstLineChars="200"/>
              <w:rPr>
                <w:rFonts w:hint="default" w:ascii="Times New Roman" w:hAnsi="Times New Roman" w:eastAsia="宋体" w:cs="Times New Roman"/>
                <w:color w:val="auto"/>
                <w:kern w:val="44"/>
                <w:sz w:val="24"/>
                <w:lang w:bidi="ar"/>
              </w:rPr>
            </w:pPr>
            <w:r>
              <w:rPr>
                <w:rFonts w:hint="default" w:ascii="Times New Roman" w:hAnsi="Times New Roman" w:eastAsia="宋体" w:cs="Times New Roman"/>
                <w:color w:val="auto"/>
                <w:kern w:val="44"/>
                <w:sz w:val="24"/>
                <w:lang w:val="en-US" w:eastAsia="zh-CN" w:bidi="ar"/>
              </w:rPr>
              <w:t>废过滤膜：本项目三次油气回收处理装置采用冷凝+膜过滤处理工艺，膜需要2年更换一次，产生废过滤膜0.001t/次，属于危险废物HW49（900-041-49），收集后定期委托有相应资质单位进行处置。</w:t>
            </w:r>
          </w:p>
          <w:p w14:paraId="0A9C3D70">
            <w:pPr>
              <w:adjustRightInd w:val="0"/>
              <w:snapToGrid w:val="0"/>
              <w:spacing w:line="360" w:lineRule="auto"/>
              <w:ind w:firstLine="480" w:firstLineChars="200"/>
              <w:rPr>
                <w:rFonts w:hint="default" w:ascii="Times New Roman" w:hAnsi="Times New Roman" w:eastAsia="宋体" w:cs="Times New Roman"/>
                <w:color w:val="auto"/>
                <w:kern w:val="44"/>
                <w:sz w:val="24"/>
                <w:lang w:bidi="ar"/>
              </w:rPr>
            </w:pPr>
            <w:r>
              <w:rPr>
                <w:rFonts w:hint="default" w:ascii="Times New Roman" w:hAnsi="Times New Roman" w:eastAsia="宋体" w:cs="Times New Roman"/>
                <w:color w:val="auto"/>
                <w:kern w:val="44"/>
                <w:sz w:val="24"/>
                <w:lang w:bidi="ar"/>
              </w:rPr>
              <w:t>②生活垃圾</w:t>
            </w:r>
          </w:p>
          <w:p w14:paraId="2C2990B1">
            <w:pPr>
              <w:pStyle w:val="62"/>
              <w:spacing w:line="360" w:lineRule="auto"/>
              <w:ind w:firstLine="480"/>
              <w:rPr>
                <w:rFonts w:hint="default" w:ascii="Times New Roman" w:hAnsi="Times New Roman" w:eastAsia="宋体" w:cs="Times New Roman"/>
                <w:color w:val="auto"/>
                <w:kern w:val="44"/>
                <w:sz w:val="24"/>
                <w:szCs w:val="24"/>
                <w:lang w:bidi="ar"/>
              </w:rPr>
            </w:pPr>
            <w:r>
              <w:rPr>
                <w:rFonts w:hint="default" w:ascii="Times New Roman" w:hAnsi="Times New Roman" w:eastAsia="宋体" w:cs="Times New Roman"/>
                <w:color w:val="auto"/>
                <w:sz w:val="24"/>
                <w:szCs w:val="24"/>
              </w:rPr>
              <w:t>加油站生活垃圾主要来自员工的日常工作生活和过往乘驾人员。本项目</w:t>
            </w:r>
            <w:r>
              <w:rPr>
                <w:rFonts w:hint="eastAsia" w:cs="Times New Roman"/>
                <w:color w:val="auto"/>
                <w:sz w:val="24"/>
                <w:szCs w:val="24"/>
                <w:lang w:eastAsia="zh-CN"/>
              </w:rPr>
              <w:t>依托现有</w:t>
            </w:r>
            <w:r>
              <w:rPr>
                <w:rFonts w:hint="default" w:ascii="Times New Roman" w:hAnsi="Times New Roman" w:eastAsia="宋体" w:cs="Times New Roman"/>
                <w:color w:val="auto"/>
                <w:sz w:val="24"/>
                <w:szCs w:val="24"/>
              </w:rPr>
              <w:t>劳动定员，生活垃圾产生量按0.5kg/</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人·天</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计；</w:t>
            </w:r>
            <w:r>
              <w:rPr>
                <w:rFonts w:hint="eastAsia" w:cs="Times New Roman"/>
                <w:color w:val="auto"/>
                <w:sz w:val="24"/>
                <w:szCs w:val="24"/>
                <w:lang w:eastAsia="zh-CN"/>
              </w:rPr>
              <w:t>本项目实施后</w:t>
            </w:r>
            <w:r>
              <w:rPr>
                <w:rFonts w:hint="default" w:ascii="Times New Roman" w:hAnsi="Times New Roman" w:cs="Times New Roman"/>
                <w:color w:val="auto"/>
                <w:sz w:val="24"/>
                <w:szCs w:val="24"/>
                <w:lang w:eastAsia="zh-CN"/>
              </w:rPr>
              <w:t>驾乘</w:t>
            </w:r>
            <w:r>
              <w:rPr>
                <w:rFonts w:hint="default" w:ascii="Times New Roman" w:hAnsi="Times New Roman" w:eastAsia="宋体" w:cs="Times New Roman"/>
                <w:color w:val="auto"/>
                <w:sz w:val="24"/>
                <w:szCs w:val="24"/>
              </w:rPr>
              <w:t>人员最多为</w:t>
            </w:r>
            <w:r>
              <w:rPr>
                <w:rFonts w:hint="default" w:ascii="Times New Roman" w:hAnsi="Times New Roman" w:cs="Times New Roman"/>
                <w:color w:val="auto"/>
                <w:sz w:val="24"/>
                <w:szCs w:val="24"/>
                <w:lang w:val="en-US" w:eastAsia="zh-CN"/>
              </w:rPr>
              <w:t>300</w:t>
            </w:r>
            <w:r>
              <w:rPr>
                <w:rFonts w:hint="default" w:ascii="Times New Roman" w:hAnsi="Times New Roman" w:eastAsia="宋体" w:cs="Times New Roman"/>
                <w:color w:val="auto"/>
                <w:sz w:val="24"/>
                <w:szCs w:val="24"/>
              </w:rPr>
              <w:t>人/d，按照20%的驾乘人员产生生活垃圾，每人次0.05kg计算，则本项目生活垃圾年产生总量约</w:t>
            </w:r>
            <w:r>
              <w:rPr>
                <w:rFonts w:hint="default" w:ascii="Times New Roman" w:hAnsi="Times New Roman" w:cs="Times New Roman"/>
                <w:color w:val="auto"/>
                <w:sz w:val="24"/>
                <w:szCs w:val="24"/>
                <w:lang w:val="en-US" w:eastAsia="zh-CN"/>
              </w:rPr>
              <w:t>2.738</w:t>
            </w:r>
            <w:r>
              <w:rPr>
                <w:rFonts w:hint="default" w:ascii="Times New Roman" w:hAnsi="Times New Roman" w:eastAsia="宋体" w:cs="Times New Roman"/>
                <w:color w:val="auto"/>
                <w:sz w:val="24"/>
                <w:szCs w:val="24"/>
              </w:rPr>
              <w:t>t/a。生活垃圾分类收集后交环卫部门统一清运处置。</w:t>
            </w:r>
          </w:p>
          <w:p w14:paraId="48F404E2">
            <w:pPr>
              <w:adjustRightInd w:val="0"/>
              <w:snapToGrid w:val="0"/>
              <w:spacing w:line="360" w:lineRule="auto"/>
              <w:ind w:firstLine="480" w:firstLineChars="200"/>
              <w:rPr>
                <w:rFonts w:hint="default" w:ascii="Times New Roman" w:hAnsi="Times New Roman" w:eastAsia="宋体" w:cs="Times New Roman"/>
                <w:color w:val="auto"/>
                <w:kern w:val="44"/>
                <w:sz w:val="24"/>
                <w:lang w:bidi="ar"/>
              </w:rPr>
            </w:pPr>
            <w:r>
              <w:rPr>
                <w:rFonts w:hint="default" w:ascii="Times New Roman" w:hAnsi="Times New Roman" w:eastAsia="宋体" w:cs="Times New Roman"/>
                <w:color w:val="auto"/>
                <w:kern w:val="44"/>
                <w:sz w:val="24"/>
                <w:lang w:bidi="ar"/>
              </w:rPr>
              <w:t>③生化池污泥</w:t>
            </w:r>
          </w:p>
          <w:p w14:paraId="31B2252B">
            <w:pPr>
              <w:adjustRightInd w:val="0"/>
              <w:snapToGrid w:val="0"/>
              <w:spacing w:line="360" w:lineRule="auto"/>
              <w:ind w:firstLine="480" w:firstLineChars="200"/>
              <w:rPr>
                <w:rFonts w:hint="default" w:ascii="Times New Roman" w:hAnsi="Times New Roman" w:eastAsia="宋体" w:cs="Times New Roman"/>
                <w:color w:val="auto"/>
                <w:kern w:val="44"/>
                <w:sz w:val="24"/>
                <w:lang w:bidi="ar"/>
              </w:rPr>
            </w:pPr>
            <w:r>
              <w:rPr>
                <w:rFonts w:hint="default" w:ascii="Times New Roman" w:hAnsi="Times New Roman" w:eastAsia="宋体" w:cs="Times New Roman"/>
                <w:color w:val="auto"/>
                <w:kern w:val="44"/>
                <w:sz w:val="24"/>
                <w:lang w:bidi="ar"/>
              </w:rPr>
              <w:t>本项目依托生化池运行过程中产生污泥，</w:t>
            </w:r>
            <w:r>
              <w:rPr>
                <w:rFonts w:hint="eastAsia" w:cs="Times New Roman"/>
                <w:color w:val="auto"/>
                <w:kern w:val="44"/>
                <w:sz w:val="24"/>
                <w:lang w:eastAsia="zh-CN" w:bidi="ar"/>
              </w:rPr>
              <w:t>实施</w:t>
            </w:r>
            <w:r>
              <w:rPr>
                <w:rFonts w:hint="default" w:ascii="Times New Roman" w:hAnsi="Times New Roman" w:eastAsia="宋体" w:cs="Times New Roman"/>
                <w:color w:val="auto"/>
                <w:kern w:val="44"/>
                <w:sz w:val="24"/>
                <w:lang w:bidi="ar"/>
              </w:rPr>
              <w:t>后生活污水处理产生的污泥量约为0.</w:t>
            </w:r>
            <w:r>
              <w:rPr>
                <w:rFonts w:hint="eastAsia" w:cs="Times New Roman"/>
                <w:color w:val="auto"/>
                <w:kern w:val="44"/>
                <w:sz w:val="24"/>
                <w:lang w:val="en-US" w:eastAsia="zh-CN" w:bidi="ar"/>
              </w:rPr>
              <w:t>195</w:t>
            </w:r>
            <w:r>
              <w:rPr>
                <w:rFonts w:hint="default" w:ascii="Times New Roman" w:hAnsi="Times New Roman" w:eastAsia="宋体" w:cs="Times New Roman"/>
                <w:color w:val="auto"/>
                <w:kern w:val="44"/>
                <w:sz w:val="24"/>
                <w:lang w:bidi="ar"/>
              </w:rPr>
              <w:t>/a，定期委托专业单位清掏处理。</w:t>
            </w:r>
          </w:p>
          <w:p w14:paraId="346667E3">
            <w:pPr>
              <w:adjustRightInd w:val="0"/>
              <w:snapToGrid w:val="0"/>
              <w:spacing w:line="360" w:lineRule="auto"/>
              <w:ind w:firstLine="480" w:firstLineChars="200"/>
              <w:rPr>
                <w:rFonts w:hint="default" w:ascii="Times New Roman" w:hAnsi="Times New Roman" w:eastAsia="宋体" w:cs="Times New Roman"/>
                <w:color w:val="auto"/>
                <w:kern w:val="44"/>
                <w:sz w:val="24"/>
                <w:lang w:bidi="ar"/>
              </w:rPr>
            </w:pPr>
            <w:r>
              <w:rPr>
                <w:rFonts w:hint="default" w:ascii="Times New Roman" w:hAnsi="Times New Roman" w:eastAsia="宋体" w:cs="Times New Roman"/>
                <w:color w:val="auto"/>
                <w:kern w:val="44"/>
                <w:sz w:val="24"/>
                <w:lang w:bidi="ar"/>
              </w:rPr>
              <w:t>本项目</w:t>
            </w:r>
            <w:r>
              <w:rPr>
                <w:rFonts w:hint="eastAsia" w:cs="Times New Roman"/>
                <w:color w:val="auto"/>
                <w:kern w:val="44"/>
                <w:sz w:val="24"/>
                <w:lang w:eastAsia="zh-CN" w:bidi="ar"/>
              </w:rPr>
              <w:t>实施</w:t>
            </w:r>
            <w:r>
              <w:rPr>
                <w:rFonts w:hint="default" w:ascii="Times New Roman" w:hAnsi="Times New Roman" w:eastAsia="宋体" w:cs="Times New Roman"/>
                <w:color w:val="auto"/>
                <w:kern w:val="44"/>
                <w:sz w:val="24"/>
                <w:lang w:bidi="ar"/>
              </w:rPr>
              <w:t>后固体废物产排情况一览表见下表4.2-</w:t>
            </w:r>
            <w:r>
              <w:rPr>
                <w:rFonts w:hint="default" w:ascii="Times New Roman" w:hAnsi="Times New Roman" w:cs="Times New Roman"/>
                <w:color w:val="auto"/>
                <w:kern w:val="44"/>
                <w:sz w:val="24"/>
                <w:lang w:val="en-US" w:eastAsia="zh-CN" w:bidi="ar"/>
              </w:rPr>
              <w:t>14</w:t>
            </w:r>
            <w:r>
              <w:rPr>
                <w:rFonts w:hint="default" w:ascii="Times New Roman" w:hAnsi="Times New Roman" w:eastAsia="宋体" w:cs="Times New Roman"/>
                <w:color w:val="auto"/>
                <w:kern w:val="44"/>
                <w:sz w:val="24"/>
                <w:lang w:bidi="ar"/>
              </w:rPr>
              <w:t>。</w:t>
            </w:r>
          </w:p>
          <w:p w14:paraId="4037EA62">
            <w:pPr>
              <w:ind w:firstLine="482" w:firstLineChars="200"/>
              <w:rPr>
                <w:rFonts w:hint="default" w:ascii="Times New Roman" w:hAnsi="Times New Roman" w:eastAsia="宋体" w:cs="Times New Roman"/>
                <w:b/>
                <w:color w:val="auto"/>
                <w:kern w:val="44"/>
                <w:sz w:val="24"/>
                <w:lang w:bidi="ar"/>
              </w:rPr>
            </w:pPr>
            <w:r>
              <w:rPr>
                <w:rFonts w:hint="default" w:ascii="Times New Roman" w:hAnsi="Times New Roman" w:eastAsia="宋体" w:cs="Times New Roman"/>
                <w:b/>
                <w:color w:val="auto"/>
                <w:kern w:val="44"/>
                <w:sz w:val="24"/>
                <w:lang w:bidi="ar"/>
              </w:rPr>
              <w:t>表4.2-1</w:t>
            </w:r>
            <w:r>
              <w:rPr>
                <w:rFonts w:hint="default" w:ascii="Times New Roman" w:hAnsi="Times New Roman" w:cs="Times New Roman"/>
                <w:b/>
                <w:color w:val="auto"/>
                <w:kern w:val="44"/>
                <w:sz w:val="24"/>
                <w:lang w:val="en-US" w:eastAsia="zh-CN" w:bidi="ar"/>
              </w:rPr>
              <w:t>4</w:t>
            </w:r>
            <w:r>
              <w:rPr>
                <w:rFonts w:hint="default" w:ascii="Times New Roman" w:hAnsi="Times New Roman" w:eastAsia="宋体" w:cs="Times New Roman"/>
                <w:b/>
                <w:color w:val="auto"/>
                <w:kern w:val="44"/>
                <w:sz w:val="24"/>
                <w:lang w:bidi="ar"/>
              </w:rPr>
              <w:t xml:space="preserve">  本项目</w:t>
            </w:r>
            <w:r>
              <w:rPr>
                <w:rFonts w:hint="eastAsia" w:cs="Times New Roman"/>
                <w:b/>
                <w:color w:val="auto"/>
                <w:kern w:val="44"/>
                <w:sz w:val="24"/>
                <w:lang w:eastAsia="zh-CN" w:bidi="ar"/>
              </w:rPr>
              <w:t>实施</w:t>
            </w:r>
            <w:r>
              <w:rPr>
                <w:rFonts w:hint="default" w:ascii="Times New Roman" w:hAnsi="Times New Roman" w:eastAsia="宋体" w:cs="Times New Roman"/>
                <w:b/>
                <w:color w:val="auto"/>
                <w:kern w:val="44"/>
                <w:sz w:val="24"/>
                <w:lang w:bidi="ar"/>
              </w:rPr>
              <w:t>后</w:t>
            </w:r>
            <w:r>
              <w:rPr>
                <w:rFonts w:hint="eastAsia" w:cs="Times New Roman"/>
                <w:b/>
                <w:color w:val="auto"/>
                <w:kern w:val="44"/>
                <w:sz w:val="24"/>
                <w:lang w:eastAsia="zh-CN" w:bidi="ar"/>
              </w:rPr>
              <w:t>全站</w:t>
            </w:r>
            <w:r>
              <w:rPr>
                <w:rFonts w:hint="default" w:ascii="Times New Roman" w:hAnsi="Times New Roman" w:eastAsia="宋体" w:cs="Times New Roman"/>
                <w:b/>
                <w:color w:val="auto"/>
                <w:kern w:val="44"/>
                <w:sz w:val="24"/>
                <w:lang w:bidi="ar"/>
              </w:rPr>
              <w:t>固体废物产排情况一览表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130"/>
              <w:gridCol w:w="975"/>
              <w:gridCol w:w="780"/>
              <w:gridCol w:w="1035"/>
              <w:gridCol w:w="1020"/>
              <w:gridCol w:w="1200"/>
              <w:gridCol w:w="725"/>
            </w:tblGrid>
            <w:tr w14:paraId="1D0B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vMerge w:val="restart"/>
                  <w:noWrap w:val="0"/>
                  <w:vAlign w:val="center"/>
                </w:tcPr>
                <w:p w14:paraId="58558738">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工序/生产线</w:t>
                  </w:r>
                </w:p>
              </w:tc>
              <w:tc>
                <w:tcPr>
                  <w:tcW w:w="711" w:type="pct"/>
                  <w:vMerge w:val="restart"/>
                  <w:noWrap w:val="0"/>
                  <w:vAlign w:val="center"/>
                </w:tcPr>
                <w:p w14:paraId="13C8622C">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装置</w:t>
                  </w:r>
                </w:p>
              </w:tc>
              <w:tc>
                <w:tcPr>
                  <w:tcW w:w="614" w:type="pct"/>
                  <w:vMerge w:val="restart"/>
                  <w:noWrap w:val="0"/>
                  <w:vAlign w:val="center"/>
                </w:tcPr>
                <w:p w14:paraId="0A38569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固体废物名称</w:t>
                  </w:r>
                </w:p>
              </w:tc>
              <w:tc>
                <w:tcPr>
                  <w:tcW w:w="491" w:type="pct"/>
                  <w:vMerge w:val="restart"/>
                  <w:noWrap w:val="0"/>
                  <w:vAlign w:val="center"/>
                </w:tcPr>
                <w:p w14:paraId="5CE0A3C6">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固废属性</w:t>
                  </w:r>
                </w:p>
              </w:tc>
              <w:tc>
                <w:tcPr>
                  <w:tcW w:w="652" w:type="pct"/>
                  <w:noWrap w:val="0"/>
                  <w:vAlign w:val="center"/>
                </w:tcPr>
                <w:p w14:paraId="374B37D2">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产生情况</w:t>
                  </w:r>
                </w:p>
              </w:tc>
              <w:tc>
                <w:tcPr>
                  <w:tcW w:w="1398" w:type="pct"/>
                  <w:gridSpan w:val="2"/>
                  <w:noWrap w:val="0"/>
                  <w:vAlign w:val="center"/>
                </w:tcPr>
                <w:p w14:paraId="313D3CE9">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处置措施</w:t>
                  </w:r>
                </w:p>
              </w:tc>
              <w:tc>
                <w:tcPr>
                  <w:tcW w:w="456" w:type="pct"/>
                  <w:vMerge w:val="restart"/>
                  <w:noWrap w:val="0"/>
                  <w:vAlign w:val="center"/>
                </w:tcPr>
                <w:p w14:paraId="15E08C25">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最终去向</w:t>
                  </w:r>
                </w:p>
              </w:tc>
            </w:tr>
            <w:tr w14:paraId="723D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vMerge w:val="continue"/>
                  <w:noWrap w:val="0"/>
                  <w:vAlign w:val="center"/>
                </w:tcPr>
                <w:p w14:paraId="07C7CF09">
                  <w:pPr>
                    <w:pStyle w:val="77"/>
                    <w:spacing w:line="240" w:lineRule="auto"/>
                    <w:rPr>
                      <w:rFonts w:hint="default" w:ascii="Times New Roman" w:hAnsi="Times New Roman" w:eastAsia="宋体" w:cs="Times New Roman"/>
                      <w:color w:val="auto"/>
                      <w:sz w:val="21"/>
                    </w:rPr>
                  </w:pPr>
                </w:p>
              </w:tc>
              <w:tc>
                <w:tcPr>
                  <w:tcW w:w="711" w:type="pct"/>
                  <w:vMerge w:val="continue"/>
                  <w:noWrap w:val="0"/>
                  <w:vAlign w:val="center"/>
                </w:tcPr>
                <w:p w14:paraId="7B255EB9">
                  <w:pPr>
                    <w:pStyle w:val="77"/>
                    <w:spacing w:line="240" w:lineRule="auto"/>
                    <w:rPr>
                      <w:rFonts w:hint="default" w:ascii="Times New Roman" w:hAnsi="Times New Roman" w:eastAsia="宋体" w:cs="Times New Roman"/>
                      <w:color w:val="auto"/>
                      <w:sz w:val="21"/>
                    </w:rPr>
                  </w:pPr>
                </w:p>
              </w:tc>
              <w:tc>
                <w:tcPr>
                  <w:tcW w:w="614" w:type="pct"/>
                  <w:vMerge w:val="continue"/>
                  <w:noWrap w:val="0"/>
                  <w:vAlign w:val="center"/>
                </w:tcPr>
                <w:p w14:paraId="3DC89821">
                  <w:pPr>
                    <w:pStyle w:val="77"/>
                    <w:spacing w:line="240" w:lineRule="auto"/>
                    <w:rPr>
                      <w:rFonts w:hint="default" w:ascii="Times New Roman" w:hAnsi="Times New Roman" w:eastAsia="宋体" w:cs="Times New Roman"/>
                      <w:color w:val="auto"/>
                      <w:sz w:val="21"/>
                    </w:rPr>
                  </w:pPr>
                </w:p>
              </w:tc>
              <w:tc>
                <w:tcPr>
                  <w:tcW w:w="491" w:type="pct"/>
                  <w:vMerge w:val="continue"/>
                  <w:noWrap w:val="0"/>
                  <w:vAlign w:val="center"/>
                </w:tcPr>
                <w:p w14:paraId="1812063E">
                  <w:pPr>
                    <w:pStyle w:val="77"/>
                    <w:spacing w:line="240" w:lineRule="auto"/>
                    <w:rPr>
                      <w:rFonts w:hint="default" w:ascii="Times New Roman" w:hAnsi="Times New Roman" w:eastAsia="宋体" w:cs="Times New Roman"/>
                      <w:color w:val="auto"/>
                      <w:sz w:val="21"/>
                    </w:rPr>
                  </w:pPr>
                </w:p>
              </w:tc>
              <w:tc>
                <w:tcPr>
                  <w:tcW w:w="652" w:type="pct"/>
                  <w:noWrap w:val="0"/>
                  <w:vAlign w:val="center"/>
                </w:tcPr>
                <w:p w14:paraId="7BEAF9F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产生量t/a</w:t>
                  </w:r>
                </w:p>
              </w:tc>
              <w:tc>
                <w:tcPr>
                  <w:tcW w:w="642" w:type="pct"/>
                  <w:noWrap w:val="0"/>
                  <w:vAlign w:val="center"/>
                </w:tcPr>
                <w:p w14:paraId="0842AA26">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工艺</w:t>
                  </w:r>
                </w:p>
              </w:tc>
              <w:tc>
                <w:tcPr>
                  <w:tcW w:w="756" w:type="pct"/>
                  <w:noWrap w:val="0"/>
                  <w:vAlign w:val="center"/>
                </w:tcPr>
                <w:p w14:paraId="08E101E8">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处置量t/a</w:t>
                  </w:r>
                </w:p>
              </w:tc>
              <w:tc>
                <w:tcPr>
                  <w:tcW w:w="456" w:type="pct"/>
                  <w:vMerge w:val="continue"/>
                  <w:noWrap w:val="0"/>
                  <w:vAlign w:val="center"/>
                </w:tcPr>
                <w:p w14:paraId="6A42A865">
                  <w:pPr>
                    <w:pStyle w:val="77"/>
                    <w:spacing w:line="240" w:lineRule="auto"/>
                    <w:rPr>
                      <w:rFonts w:hint="default" w:ascii="Times New Roman" w:hAnsi="Times New Roman" w:eastAsia="宋体" w:cs="Times New Roman"/>
                      <w:color w:val="auto"/>
                      <w:sz w:val="21"/>
                    </w:rPr>
                  </w:pPr>
                </w:p>
              </w:tc>
            </w:tr>
            <w:tr w14:paraId="4181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noWrap w:val="0"/>
                  <w:vAlign w:val="center"/>
                </w:tcPr>
                <w:p w14:paraId="1502C02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加油机及管道设备检修</w:t>
                  </w:r>
                </w:p>
              </w:tc>
              <w:tc>
                <w:tcPr>
                  <w:tcW w:w="711" w:type="pct"/>
                  <w:noWrap w:val="0"/>
                  <w:vAlign w:val="center"/>
                </w:tcPr>
                <w:p w14:paraId="2033B42E">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加油机及管道</w:t>
                  </w:r>
                </w:p>
              </w:tc>
              <w:tc>
                <w:tcPr>
                  <w:tcW w:w="614" w:type="pct"/>
                  <w:noWrap w:val="0"/>
                  <w:vAlign w:val="center"/>
                </w:tcPr>
                <w:p w14:paraId="274B4ECB">
                  <w:pPr>
                    <w:pStyle w:val="16"/>
                    <w:widowControl w:val="0"/>
                    <w:adjustRightInd w:val="0"/>
                    <w:snapToGrid w:val="0"/>
                    <w:spacing w:before="24" w:beforeAutospacing="0" w:after="24" w:afterAutospacing="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bidi="ar"/>
                    </w:rPr>
                    <w:t>设备检修废物</w:t>
                  </w:r>
                </w:p>
              </w:tc>
              <w:tc>
                <w:tcPr>
                  <w:tcW w:w="491" w:type="pct"/>
                  <w:noWrap w:val="0"/>
                  <w:vAlign w:val="center"/>
                </w:tcPr>
                <w:p w14:paraId="08F2FECC">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危险废物</w:t>
                  </w:r>
                </w:p>
              </w:tc>
              <w:tc>
                <w:tcPr>
                  <w:tcW w:w="652" w:type="pct"/>
                  <w:noWrap w:val="0"/>
                  <w:vAlign w:val="center"/>
                </w:tcPr>
                <w:p w14:paraId="32D5FCCC">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0.4</w:t>
                  </w:r>
                </w:p>
              </w:tc>
              <w:tc>
                <w:tcPr>
                  <w:tcW w:w="642" w:type="pct"/>
                  <w:vMerge w:val="restart"/>
                  <w:noWrap w:val="0"/>
                  <w:vAlign w:val="center"/>
                </w:tcPr>
                <w:p w14:paraId="742C1521">
                  <w:pPr>
                    <w:pStyle w:val="77"/>
                    <w:spacing w:line="240" w:lineRule="auto"/>
                    <w:rPr>
                      <w:rFonts w:hint="default" w:ascii="Times New Roman" w:hAnsi="Times New Roman" w:eastAsia="宋体" w:cs="Times New Roman"/>
                      <w:color w:val="auto"/>
                      <w:sz w:val="21"/>
                      <w:lang w:val="en-US"/>
                    </w:rPr>
                  </w:pPr>
                  <w:r>
                    <w:rPr>
                      <w:rFonts w:hint="default" w:ascii="Times New Roman" w:hAnsi="Times New Roman" w:eastAsia="宋体" w:cs="Times New Roman"/>
                      <w:color w:val="auto"/>
                      <w:sz w:val="21"/>
                    </w:rPr>
                    <w:t>委托</w:t>
                  </w:r>
                  <w:r>
                    <w:rPr>
                      <w:rFonts w:hint="default" w:ascii="Times New Roman" w:hAnsi="Times New Roman" w:eastAsia="宋体" w:cs="Times New Roman"/>
                      <w:color w:val="auto"/>
                      <w:sz w:val="21"/>
                      <w:lang w:eastAsia="zh-CN"/>
                    </w:rPr>
                    <w:t>重庆明珠鹏城再生资源利用有限公司</w:t>
                  </w:r>
                  <w:r>
                    <w:rPr>
                      <w:rFonts w:hint="default" w:ascii="Times New Roman" w:hAnsi="Times New Roman" w:eastAsia="宋体" w:cs="Times New Roman"/>
                      <w:color w:val="auto"/>
                      <w:sz w:val="21"/>
                      <w:lang w:val="en-US" w:eastAsia="zh-CN"/>
                    </w:rPr>
                    <w:t>处置</w:t>
                  </w:r>
                </w:p>
              </w:tc>
              <w:tc>
                <w:tcPr>
                  <w:tcW w:w="756" w:type="pct"/>
                  <w:noWrap w:val="0"/>
                  <w:vAlign w:val="center"/>
                </w:tcPr>
                <w:p w14:paraId="11307CDE">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0.4</w:t>
                  </w:r>
                </w:p>
              </w:tc>
              <w:tc>
                <w:tcPr>
                  <w:tcW w:w="456" w:type="pct"/>
                  <w:vMerge w:val="restart"/>
                  <w:noWrap w:val="0"/>
                  <w:vAlign w:val="center"/>
                </w:tcPr>
                <w:p w14:paraId="18F01E38">
                  <w:pPr>
                    <w:pStyle w:val="77"/>
                    <w:spacing w:line="240" w:lineRule="auto"/>
                    <w:rPr>
                      <w:rFonts w:hint="default" w:ascii="Times New Roman" w:hAnsi="Times New Roman" w:eastAsia="宋体" w:cs="Times New Roman"/>
                      <w:color w:val="auto"/>
                      <w:sz w:val="21"/>
                      <w:lang w:val="en-US"/>
                    </w:rPr>
                  </w:pPr>
                  <w:r>
                    <w:rPr>
                      <w:rFonts w:hint="default" w:ascii="Times New Roman" w:hAnsi="Times New Roman" w:eastAsia="宋体" w:cs="Times New Roman"/>
                      <w:color w:val="auto"/>
                      <w:sz w:val="21"/>
                    </w:rPr>
                    <w:t>委托</w:t>
                  </w:r>
                  <w:r>
                    <w:rPr>
                      <w:rFonts w:hint="default" w:ascii="Times New Roman" w:hAnsi="Times New Roman" w:eastAsia="宋体" w:cs="Times New Roman"/>
                      <w:color w:val="auto"/>
                      <w:sz w:val="21"/>
                      <w:lang w:eastAsia="zh-CN"/>
                    </w:rPr>
                    <w:t>重庆明珠鹏城再生资源利用有限公司</w:t>
                  </w:r>
                  <w:r>
                    <w:rPr>
                      <w:rFonts w:hint="default" w:ascii="Times New Roman" w:hAnsi="Times New Roman" w:eastAsia="宋体" w:cs="Times New Roman"/>
                      <w:color w:val="auto"/>
                      <w:sz w:val="21"/>
                      <w:lang w:val="en-US" w:eastAsia="zh-CN"/>
                    </w:rPr>
                    <w:t>处置</w:t>
                  </w:r>
                </w:p>
              </w:tc>
            </w:tr>
            <w:tr w14:paraId="66D2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noWrap w:val="0"/>
                  <w:vAlign w:val="center"/>
                </w:tcPr>
                <w:p w14:paraId="0FE2D069">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油罐清洗</w:t>
                  </w:r>
                </w:p>
              </w:tc>
              <w:tc>
                <w:tcPr>
                  <w:tcW w:w="711" w:type="pct"/>
                  <w:noWrap w:val="0"/>
                  <w:vAlign w:val="center"/>
                </w:tcPr>
                <w:p w14:paraId="31769472">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油罐</w:t>
                  </w:r>
                </w:p>
              </w:tc>
              <w:tc>
                <w:tcPr>
                  <w:tcW w:w="614" w:type="pct"/>
                  <w:noWrap w:val="0"/>
                  <w:vAlign w:val="center"/>
                </w:tcPr>
                <w:p w14:paraId="43208C13">
                  <w:pPr>
                    <w:pStyle w:val="16"/>
                    <w:widowControl w:val="0"/>
                    <w:adjustRightInd w:val="0"/>
                    <w:snapToGrid w:val="0"/>
                    <w:spacing w:before="24" w:beforeAutospacing="0" w:after="24" w:afterAutospacing="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bidi="ar"/>
                    </w:rPr>
                    <w:t>清罐废物</w:t>
                  </w:r>
                </w:p>
              </w:tc>
              <w:tc>
                <w:tcPr>
                  <w:tcW w:w="491" w:type="pct"/>
                  <w:noWrap w:val="0"/>
                  <w:vAlign w:val="center"/>
                </w:tcPr>
                <w:p w14:paraId="18EA54A2">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危险废物</w:t>
                  </w:r>
                </w:p>
              </w:tc>
              <w:tc>
                <w:tcPr>
                  <w:tcW w:w="652" w:type="pct"/>
                  <w:noWrap w:val="0"/>
                  <w:vAlign w:val="center"/>
                </w:tcPr>
                <w:p w14:paraId="1DA992ED">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kern w:val="44"/>
                      <w:sz w:val="21"/>
                      <w:szCs w:val="18"/>
                      <w:lang w:bidi="ar"/>
                    </w:rPr>
                    <w:t>2.0t</w:t>
                  </w:r>
                  <w:r>
                    <w:rPr>
                      <w:rFonts w:hint="default" w:ascii="Times New Roman" w:hAnsi="Times New Roman" w:eastAsia="宋体" w:cs="Times New Roman"/>
                      <w:color w:val="auto"/>
                      <w:kern w:val="44"/>
                      <w:sz w:val="21"/>
                      <w:szCs w:val="18"/>
                      <w:lang w:val="en-US" w:eastAsia="zh-CN" w:bidi="ar"/>
                    </w:rPr>
                    <w:t>/5a</w:t>
                  </w:r>
                </w:p>
              </w:tc>
              <w:tc>
                <w:tcPr>
                  <w:tcW w:w="642" w:type="pct"/>
                  <w:vMerge w:val="continue"/>
                  <w:noWrap w:val="0"/>
                  <w:vAlign w:val="center"/>
                </w:tcPr>
                <w:p w14:paraId="333BED5E">
                  <w:pPr>
                    <w:pStyle w:val="77"/>
                    <w:spacing w:line="240" w:lineRule="auto"/>
                    <w:rPr>
                      <w:rFonts w:hint="default" w:ascii="Times New Roman" w:hAnsi="Times New Roman" w:eastAsia="宋体" w:cs="Times New Roman"/>
                      <w:color w:val="auto"/>
                      <w:sz w:val="21"/>
                    </w:rPr>
                  </w:pPr>
                </w:p>
              </w:tc>
              <w:tc>
                <w:tcPr>
                  <w:tcW w:w="756" w:type="pct"/>
                  <w:noWrap w:val="0"/>
                  <w:vAlign w:val="center"/>
                </w:tcPr>
                <w:p w14:paraId="55E25999">
                  <w:pPr>
                    <w:pStyle w:val="77"/>
                    <w:spacing w:line="240" w:lineRule="auto"/>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kern w:val="44"/>
                      <w:sz w:val="21"/>
                      <w:szCs w:val="18"/>
                      <w:lang w:bidi="ar"/>
                    </w:rPr>
                    <w:t>2.0t</w:t>
                  </w:r>
                  <w:r>
                    <w:rPr>
                      <w:rFonts w:hint="default" w:ascii="Times New Roman" w:hAnsi="Times New Roman" w:eastAsia="宋体" w:cs="Times New Roman"/>
                      <w:color w:val="auto"/>
                      <w:kern w:val="44"/>
                      <w:sz w:val="21"/>
                      <w:szCs w:val="18"/>
                      <w:lang w:val="en-US" w:eastAsia="zh-CN" w:bidi="ar"/>
                    </w:rPr>
                    <w:t>/5a</w:t>
                  </w:r>
                </w:p>
              </w:tc>
              <w:tc>
                <w:tcPr>
                  <w:tcW w:w="456" w:type="pct"/>
                  <w:vMerge w:val="continue"/>
                  <w:noWrap w:val="0"/>
                  <w:vAlign w:val="center"/>
                </w:tcPr>
                <w:p w14:paraId="6BD6968F">
                  <w:pPr>
                    <w:pStyle w:val="77"/>
                    <w:spacing w:line="240" w:lineRule="auto"/>
                    <w:rPr>
                      <w:rFonts w:hint="default" w:ascii="Times New Roman" w:hAnsi="Times New Roman" w:eastAsia="宋体" w:cs="Times New Roman"/>
                      <w:color w:val="auto"/>
                      <w:sz w:val="21"/>
                    </w:rPr>
                  </w:pPr>
                </w:p>
              </w:tc>
            </w:tr>
            <w:tr w14:paraId="7AB7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noWrap w:val="0"/>
                  <w:vAlign w:val="center"/>
                </w:tcPr>
                <w:p w14:paraId="47EB22C0">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隔油沉砂池清掏</w:t>
                  </w:r>
                </w:p>
              </w:tc>
              <w:tc>
                <w:tcPr>
                  <w:tcW w:w="711" w:type="pct"/>
                  <w:noWrap w:val="0"/>
                  <w:vAlign w:val="center"/>
                </w:tcPr>
                <w:p w14:paraId="5B6FE437">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隔油沉砂池</w:t>
                  </w:r>
                </w:p>
              </w:tc>
              <w:tc>
                <w:tcPr>
                  <w:tcW w:w="614" w:type="pct"/>
                  <w:noWrap w:val="0"/>
                  <w:vAlign w:val="center"/>
                </w:tcPr>
                <w:p w14:paraId="3E151F10">
                  <w:pPr>
                    <w:pStyle w:val="16"/>
                    <w:widowControl w:val="0"/>
                    <w:adjustRightInd w:val="0"/>
                    <w:snapToGrid w:val="0"/>
                    <w:spacing w:before="24" w:beforeAutospacing="0" w:after="24" w:afterAutospacing="0"/>
                    <w:jc w:val="center"/>
                    <w:rPr>
                      <w:rFonts w:hint="default" w:ascii="Times New Roman" w:hAnsi="Times New Roman" w:eastAsia="宋体" w:cs="Times New Roman"/>
                      <w:color w:val="auto"/>
                      <w:kern w:val="2"/>
                      <w:sz w:val="21"/>
                      <w:szCs w:val="21"/>
                      <w:lang w:bidi="ar"/>
                    </w:rPr>
                  </w:pPr>
                  <w:r>
                    <w:rPr>
                      <w:rFonts w:hint="default" w:ascii="Times New Roman" w:hAnsi="Times New Roman" w:eastAsia="宋体" w:cs="Times New Roman"/>
                      <w:color w:val="auto"/>
                      <w:kern w:val="2"/>
                      <w:sz w:val="21"/>
                      <w:szCs w:val="21"/>
                      <w:lang w:bidi="ar"/>
                    </w:rPr>
                    <w:t>含油污泥</w:t>
                  </w:r>
                </w:p>
              </w:tc>
              <w:tc>
                <w:tcPr>
                  <w:tcW w:w="491" w:type="pct"/>
                  <w:noWrap w:val="0"/>
                  <w:vAlign w:val="center"/>
                </w:tcPr>
                <w:p w14:paraId="387EB749">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危险废物</w:t>
                  </w:r>
                </w:p>
              </w:tc>
              <w:tc>
                <w:tcPr>
                  <w:tcW w:w="652" w:type="pct"/>
                  <w:noWrap w:val="0"/>
                  <w:vAlign w:val="center"/>
                </w:tcPr>
                <w:p w14:paraId="32EF8F7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0.05</w:t>
                  </w:r>
                </w:p>
              </w:tc>
              <w:tc>
                <w:tcPr>
                  <w:tcW w:w="642" w:type="pct"/>
                  <w:vMerge w:val="continue"/>
                  <w:noWrap w:val="0"/>
                  <w:vAlign w:val="center"/>
                </w:tcPr>
                <w:p w14:paraId="67B4D2DE">
                  <w:pPr>
                    <w:pStyle w:val="77"/>
                    <w:spacing w:line="240" w:lineRule="auto"/>
                    <w:rPr>
                      <w:rFonts w:hint="default" w:ascii="Times New Roman" w:hAnsi="Times New Roman" w:eastAsia="宋体" w:cs="Times New Roman"/>
                      <w:color w:val="auto"/>
                      <w:sz w:val="21"/>
                    </w:rPr>
                  </w:pPr>
                </w:p>
              </w:tc>
              <w:tc>
                <w:tcPr>
                  <w:tcW w:w="756" w:type="pct"/>
                  <w:noWrap w:val="0"/>
                  <w:vAlign w:val="center"/>
                </w:tcPr>
                <w:p w14:paraId="1107D719">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0.05</w:t>
                  </w:r>
                </w:p>
              </w:tc>
              <w:tc>
                <w:tcPr>
                  <w:tcW w:w="456" w:type="pct"/>
                  <w:vMerge w:val="continue"/>
                  <w:noWrap w:val="0"/>
                  <w:vAlign w:val="center"/>
                </w:tcPr>
                <w:p w14:paraId="2CB17875">
                  <w:pPr>
                    <w:pStyle w:val="77"/>
                    <w:spacing w:line="240" w:lineRule="auto"/>
                    <w:rPr>
                      <w:rFonts w:hint="default" w:ascii="Times New Roman" w:hAnsi="Times New Roman" w:eastAsia="宋体" w:cs="Times New Roman"/>
                      <w:color w:val="auto"/>
                      <w:sz w:val="21"/>
                    </w:rPr>
                  </w:pPr>
                </w:p>
              </w:tc>
            </w:tr>
            <w:tr w14:paraId="0F1A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noWrap w:val="0"/>
                  <w:vAlign w:val="center"/>
                </w:tcPr>
                <w:p w14:paraId="48040522">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废气治理</w:t>
                  </w:r>
                </w:p>
              </w:tc>
              <w:tc>
                <w:tcPr>
                  <w:tcW w:w="711" w:type="pct"/>
                  <w:noWrap w:val="0"/>
                  <w:vAlign w:val="center"/>
                </w:tcPr>
                <w:p w14:paraId="56CC4E76">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三次油气回收处理系统</w:t>
                  </w:r>
                </w:p>
              </w:tc>
              <w:tc>
                <w:tcPr>
                  <w:tcW w:w="614" w:type="pct"/>
                  <w:noWrap w:val="0"/>
                  <w:vAlign w:val="center"/>
                </w:tcPr>
                <w:p w14:paraId="613D1A87">
                  <w:pPr>
                    <w:pStyle w:val="16"/>
                    <w:widowControl w:val="0"/>
                    <w:adjustRightInd w:val="0"/>
                    <w:snapToGrid w:val="0"/>
                    <w:spacing w:before="24" w:beforeAutospacing="0" w:after="24" w:afterAutospacing="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cs="Times New Roman"/>
                      <w:color w:val="auto"/>
                      <w:kern w:val="2"/>
                      <w:sz w:val="21"/>
                      <w:szCs w:val="21"/>
                      <w:lang w:val="en-US" w:eastAsia="zh-CN" w:bidi="ar"/>
                    </w:rPr>
                    <w:t>废过滤膜</w:t>
                  </w:r>
                </w:p>
              </w:tc>
              <w:tc>
                <w:tcPr>
                  <w:tcW w:w="491" w:type="pct"/>
                  <w:noWrap w:val="0"/>
                  <w:vAlign w:val="center"/>
                </w:tcPr>
                <w:p w14:paraId="3428308C">
                  <w:pPr>
                    <w:pStyle w:val="16"/>
                    <w:widowControl w:val="0"/>
                    <w:adjustRightInd w:val="0"/>
                    <w:snapToGrid w:val="0"/>
                    <w:spacing w:before="24" w:beforeAutospacing="0" w:after="24" w:afterAutospacing="0"/>
                    <w:jc w:val="center"/>
                    <w:rPr>
                      <w:rFonts w:hint="default" w:ascii="Times New Roman" w:hAnsi="Times New Roman" w:eastAsia="宋体" w:cs="Times New Roman"/>
                      <w:color w:val="auto"/>
                      <w:kern w:val="2"/>
                      <w:sz w:val="21"/>
                      <w:szCs w:val="21"/>
                      <w:lang w:val="en-US" w:eastAsia="zh-CN" w:bidi="ar"/>
                    </w:rPr>
                  </w:pPr>
                  <w:r>
                    <w:rPr>
                      <w:rFonts w:hint="default" w:ascii="Times New Roman" w:hAnsi="Times New Roman" w:eastAsia="宋体" w:cs="Times New Roman"/>
                      <w:color w:val="auto"/>
                      <w:kern w:val="2"/>
                      <w:sz w:val="21"/>
                      <w:szCs w:val="21"/>
                      <w:lang w:val="en-US" w:eastAsia="zh-CN" w:bidi="ar"/>
                    </w:rPr>
                    <w:t>危险废物</w:t>
                  </w:r>
                </w:p>
              </w:tc>
              <w:tc>
                <w:tcPr>
                  <w:tcW w:w="652" w:type="pct"/>
                  <w:noWrap w:val="0"/>
                  <w:vAlign w:val="center"/>
                </w:tcPr>
                <w:p w14:paraId="411F7646">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0.001/2a</w:t>
                  </w:r>
                </w:p>
              </w:tc>
              <w:tc>
                <w:tcPr>
                  <w:tcW w:w="642" w:type="pct"/>
                  <w:vMerge w:val="continue"/>
                  <w:noWrap w:val="0"/>
                  <w:vAlign w:val="center"/>
                </w:tcPr>
                <w:p w14:paraId="3D1878E4">
                  <w:pPr>
                    <w:pStyle w:val="77"/>
                    <w:spacing w:line="240" w:lineRule="auto"/>
                    <w:rPr>
                      <w:rFonts w:hint="default" w:ascii="Times New Roman" w:hAnsi="Times New Roman" w:eastAsia="宋体" w:cs="Times New Roman"/>
                      <w:color w:val="auto"/>
                      <w:sz w:val="21"/>
                    </w:rPr>
                  </w:pPr>
                </w:p>
              </w:tc>
              <w:tc>
                <w:tcPr>
                  <w:tcW w:w="756" w:type="pct"/>
                  <w:noWrap w:val="0"/>
                  <w:vAlign w:val="center"/>
                </w:tcPr>
                <w:p w14:paraId="55D61AA9">
                  <w:pPr>
                    <w:pStyle w:val="77"/>
                    <w:spacing w:line="240" w:lineRule="auto"/>
                    <w:rPr>
                      <w:rFonts w:hint="default" w:ascii="Times New Roman" w:hAnsi="Times New Roman" w:eastAsia="宋体" w:cs="Times New Roman"/>
                      <w:color w:val="auto"/>
                      <w:sz w:val="21"/>
                    </w:rPr>
                  </w:pPr>
                  <w:r>
                    <w:rPr>
                      <w:rFonts w:hint="default" w:ascii="Times New Roman" w:hAnsi="Times New Roman" w:cs="Times New Roman"/>
                      <w:color w:val="auto"/>
                      <w:sz w:val="21"/>
                      <w:lang w:val="en-US" w:eastAsia="zh-CN"/>
                    </w:rPr>
                    <w:t>0.001/2a</w:t>
                  </w:r>
                </w:p>
              </w:tc>
              <w:tc>
                <w:tcPr>
                  <w:tcW w:w="456" w:type="pct"/>
                  <w:vMerge w:val="continue"/>
                  <w:noWrap w:val="0"/>
                  <w:vAlign w:val="center"/>
                </w:tcPr>
                <w:p w14:paraId="60725F33">
                  <w:pPr>
                    <w:pStyle w:val="77"/>
                    <w:spacing w:line="240" w:lineRule="auto"/>
                    <w:rPr>
                      <w:rFonts w:hint="default" w:ascii="Times New Roman" w:hAnsi="Times New Roman" w:eastAsia="宋体" w:cs="Times New Roman"/>
                      <w:color w:val="auto"/>
                      <w:sz w:val="21"/>
                    </w:rPr>
                  </w:pPr>
                </w:p>
              </w:tc>
            </w:tr>
            <w:tr w14:paraId="61FF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noWrap w:val="0"/>
                  <w:vAlign w:val="center"/>
                </w:tcPr>
                <w:p w14:paraId="4C79D0F1">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设备维护</w:t>
                  </w:r>
                </w:p>
              </w:tc>
              <w:tc>
                <w:tcPr>
                  <w:tcW w:w="711" w:type="pct"/>
                  <w:noWrap w:val="0"/>
                  <w:vAlign w:val="center"/>
                </w:tcPr>
                <w:p w14:paraId="03D9AAE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w:t>
                  </w:r>
                </w:p>
              </w:tc>
              <w:tc>
                <w:tcPr>
                  <w:tcW w:w="614" w:type="pct"/>
                  <w:noWrap w:val="0"/>
                  <w:vAlign w:val="center"/>
                </w:tcPr>
                <w:p w14:paraId="42BA192D">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废弃的含油抹布</w:t>
                  </w:r>
                </w:p>
              </w:tc>
              <w:tc>
                <w:tcPr>
                  <w:tcW w:w="491" w:type="pct"/>
                  <w:noWrap w:val="0"/>
                  <w:vAlign w:val="center"/>
                </w:tcPr>
                <w:p w14:paraId="35CDD9A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危险废物</w:t>
                  </w:r>
                </w:p>
              </w:tc>
              <w:tc>
                <w:tcPr>
                  <w:tcW w:w="652" w:type="pct"/>
                  <w:noWrap w:val="0"/>
                  <w:vAlign w:val="center"/>
                </w:tcPr>
                <w:p w14:paraId="39DFBA13">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0.01</w:t>
                  </w:r>
                </w:p>
              </w:tc>
              <w:tc>
                <w:tcPr>
                  <w:tcW w:w="642" w:type="pct"/>
                  <w:vMerge w:val="continue"/>
                  <w:noWrap w:val="0"/>
                  <w:vAlign w:val="center"/>
                </w:tcPr>
                <w:p w14:paraId="07FE9291">
                  <w:pPr>
                    <w:pStyle w:val="77"/>
                    <w:spacing w:line="240" w:lineRule="auto"/>
                    <w:rPr>
                      <w:rFonts w:hint="default" w:ascii="Times New Roman" w:hAnsi="Times New Roman" w:eastAsia="宋体" w:cs="Times New Roman"/>
                      <w:color w:val="auto"/>
                      <w:sz w:val="21"/>
                    </w:rPr>
                  </w:pPr>
                </w:p>
              </w:tc>
              <w:tc>
                <w:tcPr>
                  <w:tcW w:w="756" w:type="pct"/>
                  <w:noWrap w:val="0"/>
                  <w:vAlign w:val="center"/>
                </w:tcPr>
                <w:p w14:paraId="4BEB5CD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0.01</w:t>
                  </w:r>
                </w:p>
              </w:tc>
              <w:tc>
                <w:tcPr>
                  <w:tcW w:w="456" w:type="pct"/>
                  <w:vMerge w:val="continue"/>
                  <w:noWrap w:val="0"/>
                  <w:vAlign w:val="center"/>
                </w:tcPr>
                <w:p w14:paraId="465625C0">
                  <w:pPr>
                    <w:pStyle w:val="77"/>
                    <w:spacing w:line="240" w:lineRule="auto"/>
                    <w:rPr>
                      <w:rFonts w:hint="default" w:ascii="Times New Roman" w:hAnsi="Times New Roman" w:eastAsia="宋体" w:cs="Times New Roman"/>
                      <w:color w:val="auto"/>
                      <w:sz w:val="21"/>
                    </w:rPr>
                  </w:pPr>
                </w:p>
              </w:tc>
            </w:tr>
            <w:tr w14:paraId="1576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noWrap w:val="0"/>
                  <w:vAlign w:val="center"/>
                </w:tcPr>
                <w:p w14:paraId="369583FF">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员工生活及过往驾乘人员</w:t>
                  </w:r>
                </w:p>
              </w:tc>
              <w:tc>
                <w:tcPr>
                  <w:tcW w:w="711" w:type="pct"/>
                  <w:noWrap w:val="0"/>
                  <w:vAlign w:val="center"/>
                </w:tcPr>
                <w:p w14:paraId="599096DE">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w:t>
                  </w:r>
                </w:p>
              </w:tc>
              <w:tc>
                <w:tcPr>
                  <w:tcW w:w="614" w:type="pct"/>
                  <w:noWrap w:val="0"/>
                  <w:vAlign w:val="center"/>
                </w:tcPr>
                <w:p w14:paraId="6CED6F6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生活垃圾</w:t>
                  </w:r>
                </w:p>
              </w:tc>
              <w:tc>
                <w:tcPr>
                  <w:tcW w:w="491" w:type="pct"/>
                  <w:noWrap w:val="0"/>
                  <w:vAlign w:val="center"/>
                </w:tcPr>
                <w:p w14:paraId="0B7446CF">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生活垃圾</w:t>
                  </w:r>
                </w:p>
              </w:tc>
              <w:tc>
                <w:tcPr>
                  <w:tcW w:w="652" w:type="pct"/>
                  <w:noWrap w:val="0"/>
                  <w:vAlign w:val="center"/>
                </w:tcPr>
                <w:p w14:paraId="676E2061">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2.738</w:t>
                  </w:r>
                </w:p>
              </w:tc>
              <w:tc>
                <w:tcPr>
                  <w:tcW w:w="642" w:type="pct"/>
                  <w:noWrap w:val="0"/>
                  <w:vAlign w:val="center"/>
                </w:tcPr>
                <w:p w14:paraId="4A142533">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交市政环卫部门处置</w:t>
                  </w:r>
                </w:p>
              </w:tc>
              <w:tc>
                <w:tcPr>
                  <w:tcW w:w="756" w:type="pct"/>
                  <w:noWrap w:val="0"/>
                  <w:vAlign w:val="center"/>
                </w:tcPr>
                <w:p w14:paraId="53933531">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2.738</w:t>
                  </w:r>
                </w:p>
              </w:tc>
              <w:tc>
                <w:tcPr>
                  <w:tcW w:w="725" w:type="dxa"/>
                  <w:noWrap w:val="0"/>
                  <w:vAlign w:val="center"/>
                </w:tcPr>
                <w:p w14:paraId="2C498690">
                  <w:pPr>
                    <w:pStyle w:val="77"/>
                    <w:spacing w:line="240" w:lineRule="auto"/>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交市政环卫部门处置</w:t>
                  </w:r>
                </w:p>
              </w:tc>
            </w:tr>
            <w:tr w14:paraId="6ED3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noWrap w:val="0"/>
                  <w:vAlign w:val="center"/>
                </w:tcPr>
                <w:p w14:paraId="018DED7A">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废水处理</w:t>
                  </w:r>
                </w:p>
              </w:tc>
              <w:tc>
                <w:tcPr>
                  <w:tcW w:w="711" w:type="pct"/>
                  <w:noWrap w:val="0"/>
                  <w:vAlign w:val="center"/>
                </w:tcPr>
                <w:p w14:paraId="0667F40C">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生化池</w:t>
                  </w:r>
                </w:p>
              </w:tc>
              <w:tc>
                <w:tcPr>
                  <w:tcW w:w="614" w:type="pct"/>
                  <w:noWrap w:val="0"/>
                  <w:vAlign w:val="center"/>
                </w:tcPr>
                <w:p w14:paraId="26B8D44E">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污泥</w:t>
                  </w:r>
                </w:p>
              </w:tc>
              <w:tc>
                <w:tcPr>
                  <w:tcW w:w="491" w:type="pct"/>
                  <w:noWrap w:val="0"/>
                  <w:vAlign w:val="center"/>
                </w:tcPr>
                <w:p w14:paraId="4AFC5B42">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污泥</w:t>
                  </w:r>
                </w:p>
              </w:tc>
              <w:tc>
                <w:tcPr>
                  <w:tcW w:w="652" w:type="pct"/>
                  <w:noWrap w:val="0"/>
                  <w:vAlign w:val="center"/>
                </w:tcPr>
                <w:p w14:paraId="46231F8F">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rPr>
                    <w:t>0.</w:t>
                  </w:r>
                  <w:r>
                    <w:rPr>
                      <w:rFonts w:hint="eastAsia" w:cs="Times New Roman"/>
                      <w:color w:val="auto"/>
                      <w:sz w:val="21"/>
                      <w:lang w:val="en-US" w:eastAsia="zh-CN"/>
                    </w:rPr>
                    <w:t>195</w:t>
                  </w:r>
                </w:p>
              </w:tc>
              <w:tc>
                <w:tcPr>
                  <w:tcW w:w="642" w:type="pct"/>
                  <w:noWrap w:val="0"/>
                  <w:vAlign w:val="center"/>
                </w:tcPr>
                <w:p w14:paraId="0D4BB73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定期清掏后交市政环卫部门处置</w:t>
                  </w:r>
                </w:p>
              </w:tc>
              <w:tc>
                <w:tcPr>
                  <w:tcW w:w="756" w:type="pct"/>
                  <w:noWrap w:val="0"/>
                  <w:vAlign w:val="center"/>
                </w:tcPr>
                <w:p w14:paraId="1869E686">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rPr>
                    <w:t>0.</w:t>
                  </w:r>
                  <w:r>
                    <w:rPr>
                      <w:rFonts w:hint="eastAsia" w:cs="Times New Roman"/>
                      <w:color w:val="auto"/>
                      <w:sz w:val="21"/>
                      <w:lang w:val="en-US" w:eastAsia="zh-CN"/>
                    </w:rPr>
                    <w:t>195</w:t>
                  </w:r>
                </w:p>
              </w:tc>
              <w:tc>
                <w:tcPr>
                  <w:tcW w:w="725" w:type="dxa"/>
                  <w:noWrap w:val="0"/>
                  <w:vAlign w:val="center"/>
                </w:tcPr>
                <w:p w14:paraId="373C427A">
                  <w:pPr>
                    <w:pStyle w:val="77"/>
                    <w:spacing w:line="240" w:lineRule="auto"/>
                    <w:jc w:val="center"/>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交市政环卫部门处置</w:t>
                  </w:r>
                </w:p>
              </w:tc>
            </w:tr>
          </w:tbl>
          <w:p w14:paraId="0A0217C0">
            <w:pPr>
              <w:adjustRightInd w:val="0"/>
              <w:snapToGrid w:val="0"/>
              <w:jc w:val="center"/>
              <w:rPr>
                <w:rFonts w:hint="default" w:ascii="Times New Roman" w:hAnsi="Times New Roman" w:eastAsia="宋体" w:cs="Times New Roman"/>
                <w:b/>
                <w:color w:val="auto"/>
                <w:kern w:val="44"/>
                <w:sz w:val="24"/>
                <w:lang w:bidi="ar"/>
              </w:rPr>
            </w:pPr>
            <w:r>
              <w:rPr>
                <w:rFonts w:hint="default" w:ascii="Times New Roman" w:hAnsi="Times New Roman" w:eastAsia="宋体" w:cs="Times New Roman"/>
                <w:b/>
                <w:color w:val="auto"/>
                <w:kern w:val="44"/>
                <w:sz w:val="24"/>
                <w:lang w:bidi="ar"/>
              </w:rPr>
              <w:t>表4.2-1</w:t>
            </w:r>
            <w:r>
              <w:rPr>
                <w:rFonts w:hint="default" w:ascii="Times New Roman" w:hAnsi="Times New Roman" w:cs="Times New Roman"/>
                <w:b/>
                <w:color w:val="auto"/>
                <w:kern w:val="44"/>
                <w:sz w:val="24"/>
                <w:lang w:val="en-US" w:eastAsia="zh-CN" w:bidi="ar"/>
              </w:rPr>
              <w:t>5</w:t>
            </w:r>
            <w:r>
              <w:rPr>
                <w:rFonts w:hint="default" w:ascii="Times New Roman" w:hAnsi="Times New Roman" w:eastAsia="宋体" w:cs="Times New Roman"/>
                <w:b/>
                <w:color w:val="auto"/>
                <w:kern w:val="44"/>
                <w:sz w:val="24"/>
                <w:lang w:bidi="ar"/>
              </w:rPr>
              <w:t xml:space="preserve">  本项目</w:t>
            </w:r>
            <w:r>
              <w:rPr>
                <w:rFonts w:hint="eastAsia" w:cs="Times New Roman"/>
                <w:b/>
                <w:color w:val="auto"/>
                <w:kern w:val="44"/>
                <w:sz w:val="24"/>
                <w:lang w:eastAsia="zh-CN" w:bidi="ar"/>
              </w:rPr>
              <w:t>实施</w:t>
            </w:r>
            <w:r>
              <w:rPr>
                <w:rFonts w:hint="default" w:ascii="Times New Roman" w:hAnsi="Times New Roman" w:eastAsia="宋体" w:cs="Times New Roman"/>
                <w:b/>
                <w:color w:val="auto"/>
                <w:kern w:val="44"/>
                <w:sz w:val="24"/>
                <w:lang w:bidi="ar"/>
              </w:rPr>
              <w:t>后</w:t>
            </w:r>
            <w:r>
              <w:rPr>
                <w:rFonts w:hint="eastAsia" w:cs="Times New Roman"/>
                <w:b/>
                <w:color w:val="auto"/>
                <w:kern w:val="44"/>
                <w:sz w:val="24"/>
                <w:lang w:eastAsia="zh-CN" w:bidi="ar"/>
              </w:rPr>
              <w:t>全站</w:t>
            </w:r>
            <w:r>
              <w:rPr>
                <w:rFonts w:hint="default" w:ascii="Times New Roman" w:hAnsi="Times New Roman" w:eastAsia="宋体" w:cs="Times New Roman"/>
                <w:b/>
                <w:color w:val="auto"/>
                <w:kern w:val="44"/>
                <w:sz w:val="24"/>
                <w:lang w:bidi="ar"/>
              </w:rPr>
              <w:t>危险废物汇总表</w:t>
            </w:r>
          </w:p>
          <w:tbl>
            <w:tblPr>
              <w:tblStyle w:val="19"/>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696"/>
              <w:gridCol w:w="1088"/>
              <w:gridCol w:w="733"/>
              <w:gridCol w:w="975"/>
              <w:gridCol w:w="615"/>
              <w:gridCol w:w="690"/>
              <w:gridCol w:w="630"/>
              <w:gridCol w:w="585"/>
              <w:gridCol w:w="578"/>
              <w:gridCol w:w="817"/>
            </w:tblGrid>
            <w:tr w14:paraId="60BA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4D75BCCC">
                  <w:pPr>
                    <w:pStyle w:val="77"/>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危险废物名称</w:t>
                  </w:r>
                </w:p>
              </w:tc>
              <w:tc>
                <w:tcPr>
                  <w:tcW w:w="434" w:type="pct"/>
                  <w:noWrap w:val="0"/>
                  <w:vAlign w:val="center"/>
                </w:tcPr>
                <w:p w14:paraId="19903AE8">
                  <w:pPr>
                    <w:pStyle w:val="77"/>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危险废物类别</w:t>
                  </w:r>
                </w:p>
              </w:tc>
              <w:tc>
                <w:tcPr>
                  <w:tcW w:w="678" w:type="pct"/>
                  <w:noWrap w:val="0"/>
                  <w:vAlign w:val="center"/>
                </w:tcPr>
                <w:p w14:paraId="0C1EBAC5">
                  <w:pPr>
                    <w:pStyle w:val="77"/>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危险废物代码</w:t>
                  </w:r>
                </w:p>
              </w:tc>
              <w:tc>
                <w:tcPr>
                  <w:tcW w:w="457" w:type="pct"/>
                  <w:noWrap w:val="0"/>
                  <w:vAlign w:val="center"/>
                </w:tcPr>
                <w:p w14:paraId="251D97B6">
                  <w:pPr>
                    <w:pStyle w:val="77"/>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产生量t/a</w:t>
                  </w:r>
                </w:p>
              </w:tc>
              <w:tc>
                <w:tcPr>
                  <w:tcW w:w="608" w:type="pct"/>
                  <w:noWrap w:val="0"/>
                  <w:vAlign w:val="center"/>
                </w:tcPr>
                <w:p w14:paraId="52A014F3">
                  <w:pPr>
                    <w:pStyle w:val="77"/>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产生工序及装置</w:t>
                  </w:r>
                </w:p>
              </w:tc>
              <w:tc>
                <w:tcPr>
                  <w:tcW w:w="383" w:type="pct"/>
                  <w:noWrap w:val="0"/>
                  <w:vAlign w:val="center"/>
                </w:tcPr>
                <w:p w14:paraId="3E53C3E9">
                  <w:pPr>
                    <w:pStyle w:val="77"/>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形态</w:t>
                  </w:r>
                </w:p>
              </w:tc>
              <w:tc>
                <w:tcPr>
                  <w:tcW w:w="430" w:type="pct"/>
                  <w:noWrap w:val="0"/>
                  <w:vAlign w:val="center"/>
                </w:tcPr>
                <w:p w14:paraId="05D240F7">
                  <w:pPr>
                    <w:pStyle w:val="77"/>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主要成分</w:t>
                  </w:r>
                </w:p>
              </w:tc>
              <w:tc>
                <w:tcPr>
                  <w:tcW w:w="392" w:type="pct"/>
                  <w:noWrap w:val="0"/>
                  <w:vAlign w:val="center"/>
                </w:tcPr>
                <w:p w14:paraId="69DA1BBA">
                  <w:pPr>
                    <w:pStyle w:val="77"/>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有害成分</w:t>
                  </w:r>
                </w:p>
              </w:tc>
              <w:tc>
                <w:tcPr>
                  <w:tcW w:w="364" w:type="pct"/>
                  <w:noWrap w:val="0"/>
                  <w:vAlign w:val="center"/>
                </w:tcPr>
                <w:p w14:paraId="459451BD">
                  <w:pPr>
                    <w:pStyle w:val="77"/>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产废周期</w:t>
                  </w:r>
                </w:p>
              </w:tc>
              <w:tc>
                <w:tcPr>
                  <w:tcW w:w="360" w:type="pct"/>
                  <w:noWrap w:val="0"/>
                  <w:vAlign w:val="center"/>
                </w:tcPr>
                <w:p w14:paraId="3DF2BB94">
                  <w:pPr>
                    <w:pStyle w:val="77"/>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危险特性</w:t>
                  </w:r>
                </w:p>
              </w:tc>
              <w:tc>
                <w:tcPr>
                  <w:tcW w:w="509" w:type="pct"/>
                  <w:noWrap w:val="0"/>
                  <w:vAlign w:val="center"/>
                </w:tcPr>
                <w:p w14:paraId="1EAE8A61">
                  <w:pPr>
                    <w:pStyle w:val="77"/>
                    <w:spacing w:line="240" w:lineRule="auto"/>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污染防治措施</w:t>
                  </w:r>
                </w:p>
              </w:tc>
            </w:tr>
            <w:tr w14:paraId="6269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noWrap w:val="0"/>
                  <w:vAlign w:val="center"/>
                </w:tcPr>
                <w:p w14:paraId="0E52D26E">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设备检修废物</w:t>
                  </w:r>
                </w:p>
              </w:tc>
              <w:tc>
                <w:tcPr>
                  <w:tcW w:w="434" w:type="pct"/>
                  <w:noWrap w:val="0"/>
                  <w:vAlign w:val="center"/>
                </w:tcPr>
                <w:p w14:paraId="7B53B547">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HW09</w:t>
                  </w:r>
                </w:p>
              </w:tc>
              <w:tc>
                <w:tcPr>
                  <w:tcW w:w="678" w:type="pct"/>
                  <w:noWrap w:val="0"/>
                  <w:vAlign w:val="center"/>
                </w:tcPr>
                <w:p w14:paraId="19C68283">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900-007-09</w:t>
                  </w:r>
                </w:p>
              </w:tc>
              <w:tc>
                <w:tcPr>
                  <w:tcW w:w="457" w:type="pct"/>
                  <w:noWrap w:val="0"/>
                  <w:vAlign w:val="center"/>
                </w:tcPr>
                <w:p w14:paraId="307429C0">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0.4</w:t>
                  </w:r>
                </w:p>
              </w:tc>
              <w:tc>
                <w:tcPr>
                  <w:tcW w:w="608" w:type="pct"/>
                  <w:noWrap w:val="0"/>
                  <w:vAlign w:val="center"/>
                </w:tcPr>
                <w:p w14:paraId="6B057214">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加油机及管道设备检修</w:t>
                  </w:r>
                </w:p>
              </w:tc>
              <w:tc>
                <w:tcPr>
                  <w:tcW w:w="383" w:type="pct"/>
                  <w:noWrap w:val="0"/>
                  <w:vAlign w:val="center"/>
                </w:tcPr>
                <w:p w14:paraId="5C4652EC">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液、固体</w:t>
                  </w:r>
                </w:p>
              </w:tc>
              <w:tc>
                <w:tcPr>
                  <w:tcW w:w="430" w:type="pct"/>
                  <w:noWrap w:val="0"/>
                  <w:vAlign w:val="center"/>
                </w:tcPr>
                <w:p w14:paraId="436F671C">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矿物油</w:t>
                  </w:r>
                </w:p>
              </w:tc>
              <w:tc>
                <w:tcPr>
                  <w:tcW w:w="392" w:type="pct"/>
                  <w:noWrap w:val="0"/>
                  <w:vAlign w:val="center"/>
                </w:tcPr>
                <w:p w14:paraId="6E620523">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矿物油</w:t>
                  </w:r>
                </w:p>
              </w:tc>
              <w:tc>
                <w:tcPr>
                  <w:tcW w:w="364" w:type="pct"/>
                  <w:noWrap w:val="0"/>
                  <w:vAlign w:val="center"/>
                </w:tcPr>
                <w:p w14:paraId="35754476">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3个月</w:t>
                  </w:r>
                </w:p>
              </w:tc>
              <w:tc>
                <w:tcPr>
                  <w:tcW w:w="360" w:type="pct"/>
                  <w:noWrap w:val="0"/>
                  <w:vAlign w:val="center"/>
                </w:tcPr>
                <w:p w14:paraId="763B858A">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T</w:t>
                  </w:r>
                </w:p>
              </w:tc>
              <w:tc>
                <w:tcPr>
                  <w:tcW w:w="509" w:type="pct"/>
                  <w:vMerge w:val="restart"/>
                  <w:noWrap w:val="0"/>
                  <w:vAlign w:val="center"/>
                </w:tcPr>
                <w:p w14:paraId="2E570933">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highlight w:val="none"/>
                    </w:rPr>
                    <w:t>暂存于</w:t>
                  </w:r>
                  <w:r>
                    <w:rPr>
                      <w:rFonts w:hint="default" w:ascii="Times New Roman" w:hAnsi="Times New Roman" w:eastAsia="宋体" w:cs="Times New Roman"/>
                      <w:color w:val="auto"/>
                      <w:sz w:val="18"/>
                      <w:szCs w:val="18"/>
                      <w:highlight w:val="none"/>
                      <w:lang w:eastAsia="zh-CN"/>
                    </w:rPr>
                    <w:t>危废暂存间</w:t>
                  </w:r>
                  <w:r>
                    <w:rPr>
                      <w:rFonts w:hint="default" w:ascii="Times New Roman" w:hAnsi="Times New Roman" w:eastAsia="宋体" w:cs="Times New Roman"/>
                      <w:color w:val="auto"/>
                      <w:sz w:val="18"/>
                      <w:szCs w:val="18"/>
                      <w:highlight w:val="none"/>
                    </w:rPr>
                    <w:t>，</w:t>
                  </w:r>
                  <w:r>
                    <w:rPr>
                      <w:rFonts w:hint="default" w:ascii="Times New Roman" w:hAnsi="Times New Roman" w:eastAsia="宋体" w:cs="Times New Roman"/>
                      <w:color w:val="auto"/>
                      <w:sz w:val="18"/>
                      <w:szCs w:val="18"/>
                      <w:highlight w:val="none"/>
                      <w:lang w:eastAsia="zh-CN"/>
                    </w:rPr>
                    <w:t>委托有相应资质单位进行</w:t>
                  </w:r>
                  <w:r>
                    <w:rPr>
                      <w:rFonts w:hint="default" w:ascii="Times New Roman" w:hAnsi="Times New Roman" w:eastAsia="宋体" w:cs="Times New Roman"/>
                      <w:color w:val="auto"/>
                      <w:sz w:val="18"/>
                      <w:szCs w:val="18"/>
                      <w:highlight w:val="none"/>
                    </w:rPr>
                    <w:t>处理</w:t>
                  </w:r>
                  <w:r>
                    <w:rPr>
                      <w:rFonts w:hint="default" w:ascii="Times New Roman" w:hAnsi="Times New Roman" w:eastAsia="宋体" w:cs="Times New Roman"/>
                      <w:color w:val="auto"/>
                      <w:sz w:val="18"/>
                      <w:szCs w:val="18"/>
                      <w:highlight w:val="none"/>
                      <w:lang w:eastAsia="zh-CN"/>
                    </w:rPr>
                    <w:t>，清罐废物当天清运，不在加油站暂存</w:t>
                  </w:r>
                </w:p>
              </w:tc>
            </w:tr>
            <w:tr w14:paraId="5469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7178333E">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bidi="ar"/>
                    </w:rPr>
                    <w:t>清罐废物</w:t>
                  </w:r>
                </w:p>
              </w:tc>
              <w:tc>
                <w:tcPr>
                  <w:tcW w:w="434" w:type="pct"/>
                  <w:noWrap w:val="0"/>
                  <w:vAlign w:val="center"/>
                </w:tcPr>
                <w:p w14:paraId="77DAB481">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HW08</w:t>
                  </w:r>
                </w:p>
              </w:tc>
              <w:tc>
                <w:tcPr>
                  <w:tcW w:w="678" w:type="pct"/>
                  <w:noWrap w:val="0"/>
                  <w:vAlign w:val="center"/>
                </w:tcPr>
                <w:p w14:paraId="1F137EF0">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900-249-08</w:t>
                  </w:r>
                </w:p>
              </w:tc>
              <w:tc>
                <w:tcPr>
                  <w:tcW w:w="457" w:type="pct"/>
                  <w:noWrap w:val="0"/>
                  <w:vAlign w:val="center"/>
                </w:tcPr>
                <w:p w14:paraId="548A9D2E">
                  <w:pPr>
                    <w:pStyle w:val="77"/>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2.0</w:t>
                  </w:r>
                  <w:r>
                    <w:rPr>
                      <w:rFonts w:hint="default" w:ascii="Times New Roman" w:hAnsi="Times New Roman" w:cs="Times New Roman"/>
                      <w:color w:val="auto"/>
                      <w:sz w:val="18"/>
                      <w:szCs w:val="18"/>
                      <w:lang w:val="en-US" w:eastAsia="zh-CN"/>
                    </w:rPr>
                    <w:t>t/5a</w:t>
                  </w:r>
                </w:p>
              </w:tc>
              <w:tc>
                <w:tcPr>
                  <w:tcW w:w="608" w:type="pct"/>
                  <w:noWrap w:val="0"/>
                  <w:vAlign w:val="center"/>
                </w:tcPr>
                <w:p w14:paraId="1406BDF2">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油罐清洗</w:t>
                  </w:r>
                </w:p>
              </w:tc>
              <w:tc>
                <w:tcPr>
                  <w:tcW w:w="383" w:type="pct"/>
                  <w:noWrap w:val="0"/>
                  <w:vAlign w:val="center"/>
                </w:tcPr>
                <w:p w14:paraId="3409E7A9">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液、固体</w:t>
                  </w:r>
                </w:p>
              </w:tc>
              <w:tc>
                <w:tcPr>
                  <w:tcW w:w="430" w:type="pct"/>
                  <w:noWrap w:val="0"/>
                  <w:vAlign w:val="center"/>
                </w:tcPr>
                <w:p w14:paraId="2BCED1A7">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矿物油</w:t>
                  </w:r>
                </w:p>
              </w:tc>
              <w:tc>
                <w:tcPr>
                  <w:tcW w:w="392" w:type="pct"/>
                  <w:noWrap w:val="0"/>
                  <w:vAlign w:val="center"/>
                </w:tcPr>
                <w:p w14:paraId="66AE25D3">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矿物油</w:t>
                  </w:r>
                </w:p>
              </w:tc>
              <w:tc>
                <w:tcPr>
                  <w:tcW w:w="364" w:type="pct"/>
                  <w:noWrap w:val="0"/>
                  <w:vAlign w:val="center"/>
                </w:tcPr>
                <w:p w14:paraId="1041806F">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五年</w:t>
                  </w:r>
                </w:p>
              </w:tc>
              <w:tc>
                <w:tcPr>
                  <w:tcW w:w="360" w:type="pct"/>
                  <w:noWrap w:val="0"/>
                  <w:vAlign w:val="center"/>
                </w:tcPr>
                <w:p w14:paraId="24A6A31F">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T，I</w:t>
                  </w:r>
                </w:p>
              </w:tc>
              <w:tc>
                <w:tcPr>
                  <w:tcW w:w="509" w:type="pct"/>
                  <w:vMerge w:val="continue"/>
                  <w:noWrap w:val="0"/>
                  <w:vAlign w:val="center"/>
                </w:tcPr>
                <w:p w14:paraId="1EF484D3">
                  <w:pPr>
                    <w:pStyle w:val="77"/>
                    <w:jc w:val="center"/>
                    <w:rPr>
                      <w:rFonts w:hint="default" w:ascii="Times New Roman" w:hAnsi="Times New Roman" w:eastAsia="宋体" w:cs="Times New Roman"/>
                      <w:color w:val="auto"/>
                      <w:sz w:val="18"/>
                      <w:szCs w:val="18"/>
                    </w:rPr>
                  </w:pPr>
                </w:p>
              </w:tc>
            </w:tr>
            <w:tr w14:paraId="62E8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5B40B537">
                  <w:pPr>
                    <w:pStyle w:val="77"/>
                    <w:jc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含油污泥</w:t>
                  </w:r>
                </w:p>
              </w:tc>
              <w:tc>
                <w:tcPr>
                  <w:tcW w:w="434" w:type="pct"/>
                  <w:noWrap w:val="0"/>
                  <w:vAlign w:val="center"/>
                </w:tcPr>
                <w:p w14:paraId="050259EB">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HW08</w:t>
                  </w:r>
                </w:p>
              </w:tc>
              <w:tc>
                <w:tcPr>
                  <w:tcW w:w="678" w:type="pct"/>
                  <w:noWrap w:val="0"/>
                  <w:vAlign w:val="center"/>
                </w:tcPr>
                <w:p w14:paraId="26504D1E">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900-210-08</w:t>
                  </w:r>
                </w:p>
              </w:tc>
              <w:tc>
                <w:tcPr>
                  <w:tcW w:w="457" w:type="pct"/>
                  <w:noWrap w:val="0"/>
                  <w:vAlign w:val="center"/>
                </w:tcPr>
                <w:p w14:paraId="13AEB188">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0.05</w:t>
                  </w:r>
                </w:p>
              </w:tc>
              <w:tc>
                <w:tcPr>
                  <w:tcW w:w="608" w:type="pct"/>
                  <w:noWrap w:val="0"/>
                  <w:vAlign w:val="center"/>
                </w:tcPr>
                <w:p w14:paraId="00FB1669">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隔油沉砂池清掏</w:t>
                  </w:r>
                </w:p>
              </w:tc>
              <w:tc>
                <w:tcPr>
                  <w:tcW w:w="383" w:type="pct"/>
                  <w:noWrap w:val="0"/>
                  <w:vAlign w:val="center"/>
                </w:tcPr>
                <w:p w14:paraId="6F3547E4">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固体</w:t>
                  </w:r>
                </w:p>
              </w:tc>
              <w:tc>
                <w:tcPr>
                  <w:tcW w:w="430" w:type="pct"/>
                  <w:noWrap w:val="0"/>
                  <w:vAlign w:val="center"/>
                </w:tcPr>
                <w:p w14:paraId="56E44D73">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矿物油</w:t>
                  </w:r>
                </w:p>
              </w:tc>
              <w:tc>
                <w:tcPr>
                  <w:tcW w:w="392" w:type="pct"/>
                  <w:noWrap w:val="0"/>
                  <w:vAlign w:val="center"/>
                </w:tcPr>
                <w:p w14:paraId="23AA3F47">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矿物油</w:t>
                  </w:r>
                </w:p>
              </w:tc>
              <w:tc>
                <w:tcPr>
                  <w:tcW w:w="364" w:type="pct"/>
                  <w:noWrap w:val="0"/>
                  <w:vAlign w:val="center"/>
                </w:tcPr>
                <w:p w14:paraId="3F99969B">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半年</w:t>
                  </w:r>
                </w:p>
              </w:tc>
              <w:tc>
                <w:tcPr>
                  <w:tcW w:w="360" w:type="pct"/>
                  <w:noWrap w:val="0"/>
                  <w:vAlign w:val="center"/>
                </w:tcPr>
                <w:p w14:paraId="0DDFF0F9">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T，I</w:t>
                  </w:r>
                </w:p>
              </w:tc>
              <w:tc>
                <w:tcPr>
                  <w:tcW w:w="509" w:type="pct"/>
                  <w:vMerge w:val="continue"/>
                  <w:noWrap w:val="0"/>
                  <w:vAlign w:val="center"/>
                </w:tcPr>
                <w:p w14:paraId="67D824A6">
                  <w:pPr>
                    <w:pStyle w:val="77"/>
                    <w:jc w:val="center"/>
                    <w:rPr>
                      <w:rFonts w:hint="default" w:ascii="Times New Roman" w:hAnsi="Times New Roman" w:eastAsia="宋体" w:cs="Times New Roman"/>
                      <w:color w:val="auto"/>
                      <w:sz w:val="18"/>
                      <w:szCs w:val="18"/>
                    </w:rPr>
                  </w:pPr>
                </w:p>
              </w:tc>
            </w:tr>
            <w:tr w14:paraId="541C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70E37DAA">
                  <w:pPr>
                    <w:pStyle w:val="77"/>
                    <w:jc w:val="center"/>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废弃的含油抹布</w:t>
                  </w:r>
                </w:p>
              </w:tc>
              <w:tc>
                <w:tcPr>
                  <w:tcW w:w="434" w:type="pct"/>
                  <w:noWrap w:val="0"/>
                  <w:vAlign w:val="center"/>
                </w:tcPr>
                <w:p w14:paraId="667364F7">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HW49</w:t>
                  </w:r>
                </w:p>
              </w:tc>
              <w:tc>
                <w:tcPr>
                  <w:tcW w:w="678" w:type="pct"/>
                  <w:noWrap w:val="0"/>
                  <w:vAlign w:val="center"/>
                </w:tcPr>
                <w:p w14:paraId="33A87A6D">
                  <w:pPr>
                    <w:pStyle w:val="77"/>
                    <w:jc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900-041-49</w:t>
                  </w:r>
                </w:p>
              </w:tc>
              <w:tc>
                <w:tcPr>
                  <w:tcW w:w="457" w:type="pct"/>
                  <w:noWrap w:val="0"/>
                  <w:vAlign w:val="center"/>
                </w:tcPr>
                <w:p w14:paraId="4DAF5C45">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0.01</w:t>
                  </w:r>
                </w:p>
              </w:tc>
              <w:tc>
                <w:tcPr>
                  <w:tcW w:w="608" w:type="pct"/>
                  <w:noWrap w:val="0"/>
                  <w:vAlign w:val="center"/>
                </w:tcPr>
                <w:p w14:paraId="6BCBB883">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设备维护</w:t>
                  </w:r>
                </w:p>
              </w:tc>
              <w:tc>
                <w:tcPr>
                  <w:tcW w:w="383" w:type="pct"/>
                  <w:noWrap w:val="0"/>
                  <w:vAlign w:val="center"/>
                </w:tcPr>
                <w:p w14:paraId="5E2B3F03">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固体</w:t>
                  </w:r>
                </w:p>
              </w:tc>
              <w:tc>
                <w:tcPr>
                  <w:tcW w:w="430" w:type="pct"/>
                  <w:noWrap w:val="0"/>
                  <w:vAlign w:val="center"/>
                </w:tcPr>
                <w:p w14:paraId="20D3AC9A">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矿物油、棉纱</w:t>
                  </w:r>
                </w:p>
              </w:tc>
              <w:tc>
                <w:tcPr>
                  <w:tcW w:w="392" w:type="pct"/>
                  <w:noWrap w:val="0"/>
                  <w:vAlign w:val="center"/>
                </w:tcPr>
                <w:p w14:paraId="40B8EA62">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矿物油</w:t>
                  </w:r>
                </w:p>
              </w:tc>
              <w:tc>
                <w:tcPr>
                  <w:tcW w:w="364" w:type="pct"/>
                  <w:noWrap w:val="0"/>
                  <w:vAlign w:val="center"/>
                </w:tcPr>
                <w:p w14:paraId="1B053FDE">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半年</w:t>
                  </w:r>
                </w:p>
              </w:tc>
              <w:tc>
                <w:tcPr>
                  <w:tcW w:w="360" w:type="pct"/>
                  <w:noWrap w:val="0"/>
                  <w:vAlign w:val="center"/>
                </w:tcPr>
                <w:p w14:paraId="69E6B89A">
                  <w:pPr>
                    <w:pStyle w:val="77"/>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T/In</w:t>
                  </w:r>
                </w:p>
              </w:tc>
              <w:tc>
                <w:tcPr>
                  <w:tcW w:w="509" w:type="pct"/>
                  <w:vMerge w:val="continue"/>
                  <w:noWrap w:val="0"/>
                  <w:vAlign w:val="center"/>
                </w:tcPr>
                <w:p w14:paraId="166BB940">
                  <w:pPr>
                    <w:pStyle w:val="77"/>
                    <w:jc w:val="center"/>
                    <w:rPr>
                      <w:rFonts w:hint="default" w:ascii="Times New Roman" w:hAnsi="Times New Roman" w:eastAsia="宋体" w:cs="Times New Roman"/>
                      <w:color w:val="auto"/>
                      <w:sz w:val="18"/>
                      <w:szCs w:val="18"/>
                    </w:rPr>
                  </w:pPr>
                </w:p>
              </w:tc>
            </w:tr>
            <w:tr w14:paraId="4E1C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0"/>
                  <w:vAlign w:val="center"/>
                </w:tcPr>
                <w:p w14:paraId="2826B27D">
                  <w:pPr>
                    <w:pStyle w:val="7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废过</w:t>
                  </w:r>
                </w:p>
                <w:p w14:paraId="1FFE8834">
                  <w:pPr>
                    <w:pStyle w:val="7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highlight w:val="none"/>
                      <w:lang w:eastAsia="zh-CN"/>
                    </w:rPr>
                    <w:t>滤膜</w:t>
                  </w:r>
                </w:p>
              </w:tc>
              <w:tc>
                <w:tcPr>
                  <w:tcW w:w="434" w:type="pct"/>
                  <w:noWrap w:val="0"/>
                  <w:vAlign w:val="center"/>
                </w:tcPr>
                <w:p w14:paraId="1D1ABE00">
                  <w:pPr>
                    <w:pStyle w:val="7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highlight w:val="none"/>
                    </w:rPr>
                    <w:t>HW49</w:t>
                  </w:r>
                </w:p>
              </w:tc>
              <w:tc>
                <w:tcPr>
                  <w:tcW w:w="678" w:type="pct"/>
                  <w:noWrap w:val="0"/>
                  <w:vAlign w:val="center"/>
                </w:tcPr>
                <w:p w14:paraId="1A018339">
                  <w:pPr>
                    <w:pStyle w:val="7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highlight w:val="none"/>
                      <w:lang w:bidi="ar"/>
                    </w:rPr>
                    <w:t>900-041-49</w:t>
                  </w:r>
                </w:p>
              </w:tc>
              <w:tc>
                <w:tcPr>
                  <w:tcW w:w="457" w:type="pct"/>
                  <w:noWrap w:val="0"/>
                  <w:vAlign w:val="center"/>
                </w:tcPr>
                <w:p w14:paraId="1B71B425">
                  <w:pPr>
                    <w:pStyle w:val="7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highlight w:val="none"/>
                      <w:lang w:val="en-US" w:eastAsia="zh-CN"/>
                    </w:rPr>
                    <w:t>0.001t/2a</w:t>
                  </w:r>
                </w:p>
              </w:tc>
              <w:tc>
                <w:tcPr>
                  <w:tcW w:w="608" w:type="pct"/>
                  <w:noWrap w:val="0"/>
                  <w:vAlign w:val="center"/>
                </w:tcPr>
                <w:p w14:paraId="563DE4E6">
                  <w:pPr>
                    <w:pStyle w:val="7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highlight w:val="none"/>
                      <w:lang w:eastAsia="zh-CN"/>
                    </w:rPr>
                    <w:t>废气治理</w:t>
                  </w:r>
                </w:p>
              </w:tc>
              <w:tc>
                <w:tcPr>
                  <w:tcW w:w="383" w:type="pct"/>
                  <w:noWrap w:val="0"/>
                  <w:vAlign w:val="center"/>
                </w:tcPr>
                <w:p w14:paraId="3F48BC78">
                  <w:pPr>
                    <w:pStyle w:val="7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highlight w:val="none"/>
                    </w:rPr>
                    <w:t>固体</w:t>
                  </w:r>
                </w:p>
              </w:tc>
              <w:tc>
                <w:tcPr>
                  <w:tcW w:w="430" w:type="pct"/>
                  <w:noWrap w:val="0"/>
                  <w:vAlign w:val="center"/>
                </w:tcPr>
                <w:p w14:paraId="46A7454A">
                  <w:pPr>
                    <w:pStyle w:val="7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highlight w:val="none"/>
                      <w:lang w:eastAsia="zh-CN"/>
                    </w:rPr>
                    <w:t>膜</w:t>
                  </w:r>
                </w:p>
              </w:tc>
              <w:tc>
                <w:tcPr>
                  <w:tcW w:w="392" w:type="pct"/>
                  <w:noWrap w:val="0"/>
                  <w:vAlign w:val="center"/>
                </w:tcPr>
                <w:p w14:paraId="549C99CB">
                  <w:pPr>
                    <w:pStyle w:val="7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highlight w:val="none"/>
                    </w:rPr>
                    <w:t>矿物油</w:t>
                  </w:r>
                </w:p>
              </w:tc>
              <w:tc>
                <w:tcPr>
                  <w:tcW w:w="364" w:type="pct"/>
                  <w:noWrap w:val="0"/>
                  <w:vAlign w:val="center"/>
                </w:tcPr>
                <w:p w14:paraId="1490FC8F">
                  <w:pPr>
                    <w:pStyle w:val="7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highlight w:val="none"/>
                      <w:lang w:eastAsia="zh-CN"/>
                    </w:rPr>
                    <w:t>两年</w:t>
                  </w:r>
                </w:p>
              </w:tc>
              <w:tc>
                <w:tcPr>
                  <w:tcW w:w="360" w:type="pct"/>
                  <w:noWrap w:val="0"/>
                  <w:vAlign w:val="center"/>
                </w:tcPr>
                <w:p w14:paraId="26CD42B5">
                  <w:pPr>
                    <w:pStyle w:val="7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highlight w:val="none"/>
                    </w:rPr>
                    <w:t>T/In</w:t>
                  </w:r>
                </w:p>
              </w:tc>
              <w:tc>
                <w:tcPr>
                  <w:tcW w:w="509" w:type="pct"/>
                  <w:vMerge w:val="continue"/>
                  <w:noWrap w:val="0"/>
                  <w:vAlign w:val="center"/>
                </w:tcPr>
                <w:p w14:paraId="51B87311">
                  <w:pPr>
                    <w:pStyle w:val="77"/>
                    <w:jc w:val="center"/>
                    <w:rPr>
                      <w:rFonts w:hint="default" w:ascii="Times New Roman" w:hAnsi="Times New Roman" w:eastAsia="宋体" w:cs="Times New Roman"/>
                      <w:color w:val="auto"/>
                      <w:sz w:val="18"/>
                      <w:szCs w:val="18"/>
                    </w:rPr>
                  </w:pPr>
                </w:p>
              </w:tc>
            </w:tr>
          </w:tbl>
          <w:p w14:paraId="0FDD8938">
            <w:pPr>
              <w:adjustRightInd w:val="0"/>
              <w:snapToGrid w:val="0"/>
              <w:spacing w:line="360" w:lineRule="auto"/>
              <w:ind w:firstLine="480" w:firstLineChars="200"/>
              <w:rPr>
                <w:rFonts w:hint="default" w:ascii="Times New Roman" w:hAnsi="Times New Roman" w:eastAsia="宋体" w:cs="Times New Roman"/>
                <w:color w:val="auto"/>
                <w:kern w:val="44"/>
                <w:sz w:val="24"/>
                <w:highlight w:val="yellow"/>
                <w:lang w:bidi="ar"/>
              </w:rPr>
            </w:pPr>
          </w:p>
          <w:p w14:paraId="3D5AB3F3">
            <w:pPr>
              <w:adjustRightInd w:val="0"/>
              <w:snapToGrid w:val="0"/>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kern w:val="44"/>
                <w:sz w:val="24"/>
                <w:lang w:bidi="ar"/>
              </w:rPr>
              <w:t>（2）固体废物防治措施</w:t>
            </w:r>
          </w:p>
          <w:p w14:paraId="3F273623">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cs="Times New Roman"/>
                <w:color w:val="auto"/>
                <w:kern w:val="0"/>
                <w:sz w:val="24"/>
              </w:rPr>
              <w:t>本项目危险废物包括设备检修废物、含油污泥、废弃的含油抹布，分类暂存于危险废物暂存箱，定期交由</w:t>
            </w:r>
            <w:r>
              <w:rPr>
                <w:rFonts w:hint="default" w:ascii="Times New Roman" w:hAnsi="Times New Roman" w:cs="Times New Roman"/>
                <w:color w:val="auto"/>
                <w:kern w:val="0"/>
                <w:sz w:val="24"/>
                <w:lang w:eastAsia="zh-CN"/>
              </w:rPr>
              <w:t>重庆明珠鹏城再生资源利用有限公司</w:t>
            </w:r>
            <w:r>
              <w:rPr>
                <w:rFonts w:hint="default" w:ascii="Times New Roman" w:hAnsi="Times New Roman" w:cs="Times New Roman"/>
                <w:color w:val="auto"/>
                <w:kern w:val="0"/>
                <w:sz w:val="24"/>
              </w:rPr>
              <w:t>处置</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lang w:val="en-US" w:eastAsia="zh-CN"/>
              </w:rPr>
              <w:t>清罐废物</w:t>
            </w:r>
            <w:r>
              <w:rPr>
                <w:rFonts w:hint="default" w:ascii="Times New Roman" w:hAnsi="Times New Roman" w:cs="Times New Roman"/>
                <w:color w:val="auto"/>
                <w:kern w:val="44"/>
                <w:sz w:val="24"/>
                <w:lang w:val="en-US" w:eastAsia="zh-CN" w:bidi="ar"/>
              </w:rPr>
              <w:t>当日</w:t>
            </w:r>
            <w:r>
              <w:rPr>
                <w:rFonts w:hint="default" w:ascii="Times New Roman" w:hAnsi="Times New Roman" w:cs="Times New Roman"/>
                <w:color w:val="auto"/>
                <w:kern w:val="44"/>
                <w:sz w:val="24"/>
                <w:lang w:bidi="ar"/>
              </w:rPr>
              <w:t>交</w:t>
            </w:r>
            <w:r>
              <w:rPr>
                <w:rFonts w:hint="default" w:ascii="Times New Roman" w:hAnsi="Times New Roman" w:cs="Times New Roman"/>
                <w:color w:val="auto"/>
                <w:kern w:val="44"/>
                <w:sz w:val="24"/>
                <w:lang w:eastAsia="zh-CN" w:bidi="ar"/>
              </w:rPr>
              <w:t>重庆明珠鹏城再生资源利用有限公司</w:t>
            </w:r>
            <w:r>
              <w:rPr>
                <w:rFonts w:hint="default" w:ascii="Times New Roman" w:hAnsi="Times New Roman" w:cs="Times New Roman"/>
                <w:color w:val="auto"/>
                <w:kern w:val="44"/>
                <w:sz w:val="24"/>
                <w:lang w:bidi="ar"/>
              </w:rPr>
              <w:t>进行处置</w:t>
            </w:r>
            <w:r>
              <w:rPr>
                <w:rFonts w:hint="default" w:ascii="Times New Roman" w:hAnsi="Times New Roman" w:cs="Times New Roman"/>
                <w:color w:val="auto"/>
                <w:kern w:val="44"/>
                <w:sz w:val="24"/>
                <w:lang w:eastAsia="zh-CN" w:bidi="ar"/>
              </w:rPr>
              <w:t>，</w:t>
            </w:r>
            <w:r>
              <w:rPr>
                <w:rFonts w:hint="default" w:ascii="Times New Roman" w:hAnsi="Times New Roman" w:cs="Times New Roman"/>
                <w:color w:val="auto"/>
                <w:kern w:val="44"/>
                <w:sz w:val="24"/>
                <w:lang w:val="en-US" w:eastAsia="zh-CN" w:bidi="ar"/>
              </w:rPr>
              <w:t>不在加油站暂存。</w:t>
            </w:r>
          </w:p>
          <w:p w14:paraId="3680A428">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在站区</w:t>
            </w:r>
            <w:r>
              <w:rPr>
                <w:rFonts w:hint="default" w:ascii="Times New Roman" w:hAnsi="Times New Roman" w:eastAsia="宋体" w:cs="Times New Roman"/>
                <w:color w:val="auto"/>
                <w:kern w:val="0"/>
                <w:sz w:val="24"/>
                <w:lang w:val="en-US" w:eastAsia="zh-CN"/>
              </w:rPr>
              <w:t>东</w:t>
            </w:r>
            <w:r>
              <w:rPr>
                <w:rFonts w:hint="default" w:ascii="Times New Roman" w:hAnsi="Times New Roman" w:eastAsia="宋体" w:cs="Times New Roman"/>
                <w:color w:val="auto"/>
                <w:kern w:val="0"/>
                <w:sz w:val="24"/>
              </w:rPr>
              <w:t>侧设置1个危险废物暂存间，内设环保桶，按照危险废物特性分类进行贮存，由专人负责管理。地面进行了防渗处理，采取了防风、防晒、防雨、防漏、防渗等措施，危险废物贮存满足《危险废物贮存污染控制标准》（GB18597-2023）要求，危废在交由有资质的危废处置单位清运处理时，严格按照《危险废物转移管理办法》（生态环境部、公安部、交通运输部 部令第23号）填写危险废物转移五联单，并由双方单位保留备查。</w:t>
            </w:r>
          </w:p>
          <w:p w14:paraId="72AAD38D">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加油站应按照《危险废物识别标志设置技术规范》（HJ1276-2022）的相关规定设置标识、标志。建立危险废物管理台账，如实记录有关信息，包括危险废物的种类、产生量、流向、贮存、处置等；应配备通讯设备、照明设施、安全防护服装及工具，并设有应急防护设施。危险废物暂存区内清理出来的泄漏物，一律按危险废物处理。按国家污染源管理要求对危险废物贮存设施进行管理。</w:t>
            </w:r>
          </w:p>
          <w:p w14:paraId="5705617E">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建设单位与重庆明珠鹏城再生资源利用有限公司签订了加油站危险废物收运处置合同，具体见附件1</w:t>
            </w:r>
            <w:r>
              <w:rPr>
                <w:rFonts w:hint="default" w:ascii="Times New Roman" w:hAnsi="Times New Roman" w:cs="Times New Roman"/>
                <w:color w:val="auto"/>
                <w:kern w:val="0"/>
                <w:sz w:val="24"/>
                <w:lang w:val="en-US" w:eastAsia="zh-CN"/>
              </w:rPr>
              <w:t>1</w:t>
            </w:r>
            <w:r>
              <w:rPr>
                <w:rFonts w:hint="default" w:ascii="Times New Roman" w:hAnsi="Times New Roman" w:eastAsia="宋体" w:cs="Times New Roman"/>
                <w:color w:val="auto"/>
                <w:kern w:val="0"/>
                <w:sz w:val="24"/>
              </w:rPr>
              <w:t>。</w:t>
            </w:r>
          </w:p>
          <w:p w14:paraId="6C5338A5">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生化池污泥定期清掏，定期交由环卫部门处置；生活垃圾经站区生活垃圾桶分类收集后，由环卫部门统一清运处置。</w:t>
            </w:r>
          </w:p>
          <w:p w14:paraId="6588B972">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综合上述，项目经过合理分类和委托处置后，各项固体废物均能得到妥善处理，对周边环境影响较小。</w:t>
            </w:r>
          </w:p>
          <w:p w14:paraId="3E87C3D3">
            <w:pPr>
              <w:adjustRightInd w:val="0"/>
              <w:snapToGrid w:val="0"/>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4.2.5地下水影响及其防治措施</w:t>
            </w:r>
          </w:p>
          <w:p w14:paraId="0A935B39">
            <w:pPr>
              <w:adjustRightInd w:val="0"/>
              <w:snapToGrid w:val="0"/>
              <w:spacing w:line="360" w:lineRule="auto"/>
              <w:ind w:firstLine="482" w:firstLineChars="200"/>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（1）地下水环境影响分析</w:t>
            </w:r>
          </w:p>
          <w:p w14:paraId="7C51B284">
            <w:pPr>
              <w:adjustRightInd w:val="0"/>
              <w:snapToGrid w:val="0"/>
              <w:spacing w:line="360" w:lineRule="auto"/>
              <w:ind w:firstLine="482" w:firstLineChars="200"/>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①废水对地下水影响分析</w:t>
            </w:r>
          </w:p>
          <w:p w14:paraId="6B4E0C35">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本项目产生的场地冲洗含油废水和初期雨水经三段式隔油池进行处理。根据现场踏勘，隔油沉砂池采取了防渗措施，保证废水不渗入地下，污染地下水。因此，项目区内产生的废水对地下水的影响不大。</w:t>
            </w:r>
          </w:p>
          <w:p w14:paraId="5E352CD5">
            <w:pPr>
              <w:numPr>
                <w:ilvl w:val="0"/>
                <w:numId w:val="2"/>
              </w:numPr>
              <w:adjustRightInd w:val="0"/>
              <w:snapToGrid w:val="0"/>
              <w:spacing w:line="360" w:lineRule="auto"/>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油品泄漏对地下影响分析</w:t>
            </w:r>
          </w:p>
          <w:p w14:paraId="0243EB7C">
            <w:pPr>
              <w:adjustRightInd w:val="0"/>
              <w:snapToGrid w:val="0"/>
              <w:spacing w:line="360" w:lineRule="auto"/>
              <w:ind w:firstLine="480" w:firstLineChars="200"/>
              <w:rPr>
                <w:rFonts w:hint="default" w:ascii="Times New Roman" w:hAnsi="Times New Roman" w:eastAsia="宋体" w:cs="Times New Roman"/>
                <w:bCs/>
                <w:color w:val="auto"/>
                <w:sz w:val="24"/>
                <w:highlight w:val="yellow"/>
              </w:rPr>
            </w:pPr>
            <w:r>
              <w:rPr>
                <w:rFonts w:hint="default" w:ascii="Times New Roman" w:hAnsi="Times New Roman" w:eastAsia="宋体" w:cs="Times New Roman"/>
                <w:bCs/>
                <w:color w:val="auto"/>
                <w:sz w:val="24"/>
              </w:rPr>
              <w:t>本项目采用油罐为埋地式，储存物料为汽油和柴油，若产生泄漏事故，泄漏液体可能渗漏到地表以下，污染地下水水质。项目采用单层卧式罐体+防渗池，具有很好的防渗功能</w:t>
            </w:r>
            <w:r>
              <w:rPr>
                <w:rFonts w:hint="eastAsia" w:cs="Times New Roman"/>
                <w:bCs/>
                <w:color w:val="auto"/>
                <w:sz w:val="24"/>
                <w:lang w:eastAsia="zh-CN"/>
              </w:rPr>
              <w:t>，</w:t>
            </w:r>
            <w:r>
              <w:rPr>
                <w:rFonts w:hint="default" w:ascii="Times New Roman" w:hAnsi="Times New Roman" w:eastAsia="宋体" w:cs="Times New Roman"/>
                <w:bCs/>
                <w:color w:val="auto"/>
                <w:sz w:val="24"/>
              </w:rPr>
              <w:t>防渗池采用防渗混凝土整体浇筑，内表面采用玻璃钢防渗，防渗池内部用中性沙回填，防渗池上部采取了防止雨水、地表水和外部泄露油品渗入池内的措施，各隔池内设置了检测立管。当发生少量泄漏时，隔池内设有漏油监测装置，能保证油罐一旦发生泄漏，能及时发现、及时处理，且本项目油罐区四周地面进行硬化处理，能够及时防止油料渗入地面</w:t>
            </w:r>
          </w:p>
          <w:p w14:paraId="5C796C2C">
            <w:pPr>
              <w:adjustRightInd w:val="0"/>
              <w:snapToGrid w:val="0"/>
              <w:spacing w:line="360" w:lineRule="auto"/>
              <w:ind w:firstLine="482" w:firstLineChars="200"/>
              <w:rPr>
                <w:rFonts w:hint="default" w:ascii="Times New Roman" w:hAnsi="Times New Roman" w:eastAsia="宋体" w:cs="Times New Roman"/>
                <w:b/>
                <w:bCs/>
                <w:color w:val="auto"/>
                <w:kern w:val="44"/>
                <w:sz w:val="24"/>
                <w:lang w:bidi="ar"/>
              </w:rPr>
            </w:pPr>
            <w:r>
              <w:rPr>
                <w:rFonts w:hint="default" w:ascii="Times New Roman" w:hAnsi="Times New Roman" w:eastAsia="宋体" w:cs="Times New Roman"/>
                <w:b/>
                <w:bCs/>
                <w:color w:val="auto"/>
                <w:kern w:val="44"/>
                <w:sz w:val="24"/>
                <w:lang w:bidi="ar"/>
              </w:rPr>
              <w:t>（2）</w:t>
            </w:r>
            <w:r>
              <w:rPr>
                <w:rFonts w:hint="default" w:ascii="Times New Roman" w:hAnsi="Times New Roman" w:eastAsia="宋体" w:cs="Times New Roman"/>
                <w:b/>
                <w:bCs/>
                <w:color w:val="auto"/>
                <w:sz w:val="24"/>
              </w:rPr>
              <w:t>地下水污染</w:t>
            </w:r>
            <w:r>
              <w:rPr>
                <w:rFonts w:hint="default" w:ascii="Times New Roman" w:hAnsi="Times New Roman" w:eastAsia="宋体" w:cs="Times New Roman"/>
                <w:b/>
                <w:bCs/>
                <w:color w:val="auto"/>
                <w:kern w:val="44"/>
                <w:sz w:val="24"/>
                <w:lang w:bidi="ar"/>
              </w:rPr>
              <w:t>防治措施</w:t>
            </w:r>
          </w:p>
          <w:p w14:paraId="1746C0D1">
            <w:pPr>
              <w:pStyle w:val="62"/>
              <w:spacing w:line="360" w:lineRule="auto"/>
              <w:ind w:firstLine="48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①分区防渗</w:t>
            </w:r>
          </w:p>
          <w:p w14:paraId="61817946">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现有工程已按照《石油化工工程防渗技术规范》（GB/T50934-2013）中的相关要求对站区内各建（构）筑物进行了分区防渗，并已通过竣工环保验收。本项目仅对油罐进行更换，并对油罐区进行重点防渗。</w:t>
            </w:r>
          </w:p>
          <w:p w14:paraId="5BCA56C5">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本项目采用</w:t>
            </w:r>
            <w:r>
              <w:rPr>
                <w:rFonts w:hint="default" w:ascii="Times New Roman" w:hAnsi="Times New Roman" w:eastAsia="宋体" w:cs="Times New Roman"/>
                <w:bCs/>
                <w:color w:val="auto"/>
                <w:sz w:val="24"/>
              </w:rPr>
              <w:t>单层卧式罐体+防渗池的</w:t>
            </w:r>
            <w:r>
              <w:rPr>
                <w:rFonts w:hint="default" w:ascii="Times New Roman" w:hAnsi="Times New Roman" w:eastAsia="宋体" w:cs="Times New Roman"/>
                <w:color w:val="auto"/>
                <w:sz w:val="24"/>
              </w:rPr>
              <w:t>防渗方式。埋地油罐设有液位自动检测系统，具有油罐渗漏的监测功能和高液位报警功能。防渗池采用防渗混凝土整体浇筑，符合现行国家标准《地下工程</w:t>
            </w:r>
            <w:r>
              <w:rPr>
                <w:rFonts w:hint="default" w:ascii="Times New Roman" w:hAnsi="Times New Roman" w:cs="Times New Roman"/>
                <w:color w:val="auto"/>
                <w:sz w:val="24"/>
                <w:lang w:eastAsia="zh-CN"/>
              </w:rPr>
              <w:t>防水</w:t>
            </w:r>
            <w:r>
              <w:rPr>
                <w:rFonts w:hint="default" w:ascii="Times New Roman" w:hAnsi="Times New Roman" w:eastAsia="宋体" w:cs="Times New Roman"/>
                <w:color w:val="auto"/>
                <w:sz w:val="24"/>
              </w:rPr>
              <w:t>技术规范》</w:t>
            </w:r>
            <w:r>
              <w:rPr>
                <w:rFonts w:hint="eastAsia" w:cs="Times New Roman"/>
                <w:color w:val="auto"/>
                <w:sz w:val="24"/>
                <w:lang w:eastAsia="zh-CN"/>
              </w:rPr>
              <w:t>（</w:t>
            </w:r>
            <w:r>
              <w:rPr>
                <w:rFonts w:hint="default" w:ascii="Times New Roman" w:hAnsi="Times New Roman" w:eastAsia="宋体" w:cs="Times New Roman"/>
                <w:color w:val="auto"/>
                <w:sz w:val="24"/>
              </w:rPr>
              <w:t>GB 50108</w:t>
            </w:r>
            <w:r>
              <w:rPr>
                <w:rFonts w:hint="eastAsia" w:cs="Times New Roman"/>
                <w:color w:val="auto"/>
                <w:sz w:val="24"/>
                <w:lang w:eastAsia="zh-CN"/>
              </w:rPr>
              <w:t>）</w:t>
            </w:r>
            <w:r>
              <w:rPr>
                <w:rFonts w:hint="default" w:ascii="Times New Roman" w:hAnsi="Times New Roman" w:eastAsia="宋体" w:cs="Times New Roman"/>
                <w:color w:val="auto"/>
                <w:sz w:val="24"/>
              </w:rPr>
              <w:t>的有关规定。设1</w:t>
            </w:r>
            <w:r>
              <w:rPr>
                <w:rFonts w:hint="eastAsia" w:cs="Times New Roman"/>
                <w:color w:val="auto"/>
                <w:sz w:val="24"/>
                <w:lang w:eastAsia="zh-CN"/>
              </w:rPr>
              <w:t>座</w:t>
            </w:r>
            <w:r>
              <w:rPr>
                <w:rFonts w:hint="default" w:ascii="Times New Roman" w:hAnsi="Times New Roman" w:eastAsia="宋体" w:cs="Times New Roman"/>
                <w:color w:val="auto"/>
                <w:sz w:val="24"/>
              </w:rPr>
              <w:t>防渗罐池，</w:t>
            </w:r>
            <w:r>
              <w:rPr>
                <w:rFonts w:hint="eastAsia" w:cs="Times New Roman"/>
                <w:color w:val="auto"/>
                <w:sz w:val="24"/>
                <w:lang w:eastAsia="zh-CN"/>
              </w:rPr>
              <w:t>池</w:t>
            </w:r>
            <w:r>
              <w:rPr>
                <w:rFonts w:hint="default" w:ascii="Times New Roman" w:hAnsi="Times New Roman" w:eastAsia="宋体" w:cs="Times New Roman"/>
                <w:bCs/>
                <w:color w:val="auto"/>
                <w:sz w:val="24"/>
              </w:rPr>
              <w:t>内放置</w:t>
            </w:r>
            <w:r>
              <w:rPr>
                <w:rFonts w:hint="eastAsia" w:cs="Times New Roman"/>
                <w:bCs/>
                <w:color w:val="auto"/>
                <w:sz w:val="24"/>
                <w:lang w:val="en-US" w:eastAsia="zh-CN"/>
              </w:rPr>
              <w:t>4</w:t>
            </w:r>
            <w:r>
              <w:rPr>
                <w:rFonts w:hint="eastAsia" w:cs="Times New Roman"/>
                <w:bCs/>
                <w:color w:val="auto"/>
                <w:sz w:val="24"/>
                <w:lang w:eastAsia="zh-CN"/>
              </w:rPr>
              <w:t>座</w:t>
            </w:r>
            <w:r>
              <w:rPr>
                <w:rFonts w:hint="default" w:ascii="Times New Roman" w:hAnsi="Times New Roman" w:eastAsia="宋体" w:cs="Times New Roman"/>
                <w:bCs/>
                <w:color w:val="auto"/>
                <w:sz w:val="24"/>
              </w:rPr>
              <w:t>埋地卧式单层油罐；</w:t>
            </w:r>
            <w:r>
              <w:rPr>
                <w:rFonts w:hint="default" w:ascii="Times New Roman" w:hAnsi="Times New Roman" w:eastAsia="宋体" w:cs="Times New Roman"/>
                <w:color w:val="auto"/>
                <w:sz w:val="24"/>
              </w:rPr>
              <w:t>防渗池的内表面采用玻璃钢防渗，内部采取中性</w:t>
            </w:r>
            <w:r>
              <w:rPr>
                <w:rFonts w:hint="default" w:ascii="Times New Roman" w:hAnsi="Times New Roman" w:cs="Times New Roman"/>
                <w:color w:val="auto"/>
                <w:sz w:val="24"/>
                <w:lang w:eastAsia="zh-CN"/>
              </w:rPr>
              <w:t>砂</w:t>
            </w:r>
            <w:r>
              <w:rPr>
                <w:rFonts w:hint="default" w:ascii="Times New Roman" w:hAnsi="Times New Roman" w:eastAsia="宋体" w:cs="Times New Roman"/>
                <w:color w:val="auto"/>
                <w:sz w:val="24"/>
              </w:rPr>
              <w:t>回填，上部采取了防止雨水、地表水和外部泄露油品渗入池内的措施。防渗池的各隔池内设置了检测立管，检测立管采取耐油、耐腐蚀的管材，下端置于防渗池的最低处；检测立管周围用粒径10</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rPr>
              <w:t>30mm的砾石回填；检测口设有防止雨水、油污、杂物侵入的保护盖和标识。</w:t>
            </w:r>
          </w:p>
          <w:p w14:paraId="11C3EBF1">
            <w:pPr>
              <w:pStyle w:val="62"/>
              <w:spacing w:line="360" w:lineRule="auto"/>
              <w:rPr>
                <w:rFonts w:hint="default" w:ascii="Times New Roman" w:hAnsi="Times New Roman" w:eastAsia="宋体" w:cs="Times New Roman"/>
                <w:b/>
                <w:bCs w:val="0"/>
                <w:color w:val="auto"/>
                <w:sz w:val="24"/>
                <w:szCs w:val="18"/>
              </w:rPr>
            </w:pPr>
            <w:r>
              <w:rPr>
                <w:rFonts w:hint="default" w:ascii="Times New Roman" w:hAnsi="Times New Roman" w:eastAsia="宋体" w:cs="Times New Roman"/>
                <w:b/>
                <w:bCs w:val="0"/>
                <w:color w:val="auto"/>
                <w:sz w:val="24"/>
                <w:szCs w:val="18"/>
              </w:rPr>
              <w:t>②管理措施</w:t>
            </w:r>
          </w:p>
          <w:p w14:paraId="0859E509">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强运行管理，从油品储存、运输等全过程控制油品泄漏，采取行之有效的防渗措施，定期检查污染源地下水保护设施，及时消除污染隐患，杜绝跑冒滴漏现象：发现有污染物泄漏或渗漏，采取清理污染物和修补漏洞（缝）等补救措施。</w:t>
            </w:r>
          </w:p>
          <w:p w14:paraId="4C47E703">
            <w:pPr>
              <w:pStyle w:val="62"/>
              <w:spacing w:line="360" w:lineRule="auto"/>
              <w:ind w:firstLine="48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埋地输油管线采用双层复合管道</w:t>
            </w:r>
            <w:r>
              <w:rPr>
                <w:rFonts w:hint="default" w:ascii="Times New Roman" w:hAnsi="Times New Roman" w:eastAsia="宋体" w:cs="Times New Roman"/>
                <w:color w:val="auto"/>
                <w:sz w:val="24"/>
                <w:szCs w:val="24"/>
                <w:lang w:eastAsia="zh-CN"/>
              </w:rPr>
              <w:t>。</w:t>
            </w:r>
          </w:p>
          <w:p w14:paraId="30C2E181">
            <w:pPr>
              <w:adjustRightInd w:val="0"/>
              <w:snapToGrid w:val="0"/>
              <w:spacing w:line="360" w:lineRule="auto"/>
              <w:ind w:firstLine="482" w:firstLineChars="200"/>
              <w:rPr>
                <w:rFonts w:hint="default" w:ascii="Times New Roman" w:hAnsi="Times New Roman" w:eastAsia="宋体" w:cs="Times New Roman"/>
                <w:b/>
                <w:bCs/>
                <w:color w:val="auto"/>
                <w:kern w:val="44"/>
                <w:sz w:val="24"/>
                <w:lang w:bidi="ar"/>
              </w:rPr>
            </w:pPr>
            <w:r>
              <w:rPr>
                <w:rFonts w:hint="default" w:ascii="Times New Roman" w:hAnsi="Times New Roman" w:eastAsia="宋体" w:cs="Times New Roman"/>
                <w:b/>
                <w:bCs/>
                <w:color w:val="auto"/>
                <w:sz w:val="24"/>
              </w:rPr>
              <w:t>（3）</w:t>
            </w:r>
            <w:r>
              <w:rPr>
                <w:rFonts w:hint="default" w:ascii="Times New Roman" w:hAnsi="Times New Roman" w:eastAsia="宋体" w:cs="Times New Roman"/>
                <w:b/>
                <w:bCs/>
                <w:color w:val="auto"/>
                <w:kern w:val="44"/>
                <w:sz w:val="24"/>
                <w:lang w:bidi="ar"/>
              </w:rPr>
              <w:t>地下水跟踪监测计划</w:t>
            </w:r>
          </w:p>
          <w:p w14:paraId="0410B012">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bCs w:val="0"/>
                <w:color w:val="auto"/>
                <w:sz w:val="24"/>
                <w:szCs w:val="24"/>
              </w:rPr>
              <w:t>根据</w:t>
            </w:r>
            <w:r>
              <w:rPr>
                <w:rFonts w:hint="default" w:ascii="Times New Roman" w:hAnsi="Times New Roman" w:eastAsia="宋体" w:cs="Times New Roman"/>
                <w:color w:val="auto"/>
                <w:sz w:val="24"/>
                <w:szCs w:val="24"/>
              </w:rPr>
              <w:t>《排污单位自行监测技术指南 储油库、加油站》（HJ1249-2022），制定本项目地下水跟踪计划，具体见下表。</w:t>
            </w:r>
          </w:p>
          <w:p w14:paraId="68C90CDD">
            <w:pPr>
              <w:pStyle w:val="7"/>
              <w:spacing w:before="0" w:after="0" w:line="240" w:lineRule="auto"/>
              <w:ind w:right="0" w:firstLine="482" w:firstLineChars="20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表4.2-1</w:t>
            </w:r>
            <w:r>
              <w:rPr>
                <w:rFonts w:hint="default" w:ascii="Times New Roman" w:hAnsi="Times New Roman" w:cs="Times New Roman"/>
                <w:b/>
                <w:bCs/>
                <w:color w:val="auto"/>
                <w:sz w:val="24"/>
                <w:szCs w:val="24"/>
                <w:lang w:val="en-US" w:eastAsia="zh-CN"/>
              </w:rPr>
              <w:t>6</w:t>
            </w:r>
            <w:r>
              <w:rPr>
                <w:rFonts w:hint="default" w:ascii="Times New Roman" w:hAnsi="Times New Roman" w:eastAsia="宋体" w:cs="Times New Roman"/>
                <w:b/>
                <w:bCs/>
                <w:color w:val="auto"/>
                <w:sz w:val="24"/>
                <w:szCs w:val="24"/>
              </w:rPr>
              <w:t xml:space="preserve">  地下水跟踪监测计划一览表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5414"/>
              <w:gridCol w:w="1061"/>
            </w:tblGrid>
            <w:tr w14:paraId="79B1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pct"/>
                  <w:noWrap w:val="0"/>
                  <w:vAlign w:val="center"/>
                </w:tcPr>
                <w:p w14:paraId="003D48FB">
                  <w:pPr>
                    <w:pStyle w:val="7"/>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3411" w:type="pct"/>
                  <w:noWrap w:val="0"/>
                  <w:vAlign w:val="center"/>
                </w:tcPr>
                <w:p w14:paraId="2B81B5C7">
                  <w:pPr>
                    <w:pStyle w:val="7"/>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监测因子</w:t>
                  </w:r>
                </w:p>
              </w:tc>
              <w:tc>
                <w:tcPr>
                  <w:tcW w:w="668" w:type="pct"/>
                  <w:noWrap w:val="0"/>
                  <w:vAlign w:val="center"/>
                </w:tcPr>
                <w:p w14:paraId="3006A08B">
                  <w:pPr>
                    <w:pStyle w:val="7"/>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监测频次</w:t>
                  </w:r>
                </w:p>
              </w:tc>
            </w:tr>
            <w:tr w14:paraId="28A7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0" w:type="pct"/>
                  <w:noWrap w:val="0"/>
                  <w:vAlign w:val="center"/>
                </w:tcPr>
                <w:p w14:paraId="011A69B8">
                  <w:pPr>
                    <w:pStyle w:val="7"/>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油罐下游地下水监测井</w:t>
                  </w:r>
                </w:p>
              </w:tc>
              <w:tc>
                <w:tcPr>
                  <w:tcW w:w="3411" w:type="pct"/>
                  <w:noWrap w:val="0"/>
                  <w:vAlign w:val="center"/>
                </w:tcPr>
                <w:p w14:paraId="5F0B2A44">
                  <w:pPr>
                    <w:pStyle w:val="7"/>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石油类</w:t>
                  </w:r>
                  <w:r>
                    <w:rPr>
                      <w:rFonts w:hint="default" w:ascii="Times New Roman" w:hAnsi="Times New Roman" w:eastAsia="宋体" w:cs="Times New Roman"/>
                      <w:color w:val="auto"/>
                      <w:sz w:val="21"/>
                      <w:szCs w:val="21"/>
                      <w:vertAlign w:val="superscript"/>
                    </w:rPr>
                    <w:t>①</w:t>
                  </w:r>
                  <w:r>
                    <w:rPr>
                      <w:rFonts w:hint="default" w:ascii="Times New Roman" w:hAnsi="Times New Roman" w:eastAsia="宋体" w:cs="Times New Roman"/>
                      <w:color w:val="auto"/>
                      <w:sz w:val="21"/>
                      <w:szCs w:val="21"/>
                    </w:rPr>
                    <w:t>、石油烃（C</w:t>
                  </w:r>
                  <w:r>
                    <w:rPr>
                      <w:rFonts w:hint="default" w:ascii="Times New Roman" w:hAnsi="Times New Roman" w:eastAsia="宋体" w:cs="Times New Roman"/>
                      <w:color w:val="auto"/>
                      <w:sz w:val="21"/>
                      <w:szCs w:val="21"/>
                      <w:vertAlign w:val="subscript"/>
                    </w:rPr>
                    <w:t>6</w:t>
                  </w:r>
                  <w:r>
                    <w:rPr>
                      <w:rFonts w:hint="default" w:ascii="Times New Roman" w:hAnsi="Times New Roman" w:eastAsia="宋体" w:cs="Times New Roman"/>
                      <w:color w:val="auto"/>
                      <w:sz w:val="21"/>
                      <w:szCs w:val="21"/>
                    </w:rPr>
                    <w:t>~C</w:t>
                  </w:r>
                  <w:r>
                    <w:rPr>
                      <w:rFonts w:hint="default" w:ascii="Times New Roman" w:hAnsi="Times New Roman" w:eastAsia="宋体" w:cs="Times New Roman"/>
                      <w:color w:val="auto"/>
                      <w:sz w:val="21"/>
                      <w:szCs w:val="21"/>
                      <w:vertAlign w:val="subscript"/>
                    </w:rPr>
                    <w:t>9</w:t>
                  </w:r>
                  <w:r>
                    <w:rPr>
                      <w:rFonts w:hint="default" w:ascii="Times New Roman" w:hAnsi="Times New Roman" w:eastAsia="宋体" w:cs="Times New Roman"/>
                      <w:color w:val="auto"/>
                      <w:sz w:val="21"/>
                      <w:szCs w:val="21"/>
                    </w:rPr>
                    <w:t>）、石油烃（C</w:t>
                  </w:r>
                  <w:r>
                    <w:rPr>
                      <w:rFonts w:hint="default" w:ascii="Times New Roman" w:hAnsi="Times New Roman" w:eastAsia="宋体" w:cs="Times New Roman"/>
                      <w:color w:val="auto"/>
                      <w:sz w:val="21"/>
                      <w:szCs w:val="21"/>
                      <w:vertAlign w:val="subscript"/>
                    </w:rPr>
                    <w:t>10</w:t>
                  </w:r>
                  <w:r>
                    <w:rPr>
                      <w:rFonts w:hint="default" w:ascii="Times New Roman" w:hAnsi="Times New Roman" w:eastAsia="宋体" w:cs="Times New Roman"/>
                      <w:color w:val="auto"/>
                      <w:sz w:val="21"/>
                      <w:szCs w:val="21"/>
                    </w:rPr>
                    <w:t>~C</w:t>
                  </w:r>
                  <w:r>
                    <w:rPr>
                      <w:rFonts w:hint="default" w:ascii="Times New Roman" w:hAnsi="Times New Roman" w:eastAsia="宋体" w:cs="Times New Roman"/>
                      <w:color w:val="auto"/>
                      <w:sz w:val="21"/>
                      <w:szCs w:val="21"/>
                      <w:vertAlign w:val="subscript"/>
                    </w:rPr>
                    <w:t>40</w:t>
                  </w:r>
                  <w:r>
                    <w:rPr>
                      <w:rFonts w:hint="default" w:ascii="Times New Roman" w:hAnsi="Times New Roman" w:eastAsia="宋体" w:cs="Times New Roman"/>
                      <w:color w:val="auto"/>
                      <w:sz w:val="21"/>
                      <w:szCs w:val="21"/>
                    </w:rPr>
                    <w:t>）、甲基叔丁基醚</w:t>
                  </w:r>
                </w:p>
              </w:tc>
              <w:tc>
                <w:tcPr>
                  <w:tcW w:w="668" w:type="pct"/>
                  <w:noWrap w:val="0"/>
                  <w:vAlign w:val="center"/>
                </w:tcPr>
                <w:p w14:paraId="2FDBC91E">
                  <w:pPr>
                    <w:pStyle w:val="7"/>
                    <w:spacing w:before="0" w:after="0"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1次/半年</w:t>
                  </w:r>
                </w:p>
              </w:tc>
            </w:tr>
          </w:tbl>
          <w:p w14:paraId="588ABBDF">
            <w:pPr>
              <w:pStyle w:val="62"/>
              <w:spacing w:line="240" w:lineRule="auto"/>
              <w:ind w:firstLine="0" w:firstLineChars="0"/>
              <w:rPr>
                <w:rFonts w:hint="default" w:ascii="Times New Roman" w:hAnsi="Times New Roman" w:eastAsia="宋体" w:cs="Times New Roman"/>
                <w:color w:val="auto"/>
                <w:sz w:val="24"/>
                <w:szCs w:val="24"/>
              </w:rPr>
            </w:pPr>
          </w:p>
          <w:p w14:paraId="03FCF7D9">
            <w:pPr>
              <w:adjustRightInd w:val="0"/>
              <w:snapToGrid w:val="0"/>
              <w:spacing w:line="360" w:lineRule="auto"/>
              <w:rPr>
                <w:rFonts w:hint="default" w:ascii="Times New Roman" w:hAnsi="Times New Roman" w:eastAsia="宋体" w:cs="Times New Roman"/>
                <w:b/>
                <w:color w:val="auto"/>
                <w:sz w:val="24"/>
                <w:szCs w:val="26"/>
              </w:rPr>
            </w:pPr>
            <w:r>
              <w:rPr>
                <w:rFonts w:hint="default" w:ascii="Times New Roman" w:hAnsi="Times New Roman" w:eastAsia="宋体" w:cs="Times New Roman"/>
                <w:b/>
                <w:color w:val="auto"/>
                <w:sz w:val="24"/>
                <w:szCs w:val="26"/>
              </w:rPr>
              <w:t>4.2.6土壤环境影响及其防治措施</w:t>
            </w:r>
          </w:p>
          <w:p w14:paraId="7685DBC8">
            <w:pPr>
              <w:snapToGrid w:val="0"/>
              <w:spacing w:line="360" w:lineRule="auto"/>
              <w:ind w:firstLine="480" w:firstLineChars="200"/>
              <w:jc w:val="left"/>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本项目土壤污染类型主要为大气沉降、地表漫流、垂直入渗。</w:t>
            </w:r>
          </w:p>
          <w:p w14:paraId="627A197E">
            <w:pPr>
              <w:snapToGrid w:val="0"/>
              <w:spacing w:line="360" w:lineRule="auto"/>
              <w:ind w:firstLine="480" w:firstLineChars="200"/>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大气沉降：加油废气油气回收装置回收后，少量废气经通气立管排放，评价范围内存在局部沉降。</w:t>
            </w:r>
          </w:p>
          <w:p w14:paraId="7A2A1CE4">
            <w:pPr>
              <w:snapToGrid w:val="0"/>
              <w:spacing w:line="360" w:lineRule="auto"/>
              <w:ind w:firstLine="480" w:firstLineChars="200"/>
              <w:outlineLvl w:val="1"/>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地面漫流：由于加油设备或储罐阀门等部件损坏以及操作不当或者卸油工作时操作不当等，引起加油站油品溢出或泄漏，泄漏汽油若处置不当溢流到场外，将进入土壤，将污染周边土壤及影响植被正常生长。</w:t>
            </w:r>
          </w:p>
          <w:p w14:paraId="61CE57B6">
            <w:pPr>
              <w:pStyle w:val="81"/>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垂直入渗：污水处理设施有防渗能力减弱后入渗的可能；埋地油罐存在油料泄漏后入渗的可能。</w:t>
            </w:r>
          </w:p>
          <w:p w14:paraId="11C8C38F">
            <w:pPr>
              <w:pStyle w:val="7"/>
              <w:spacing w:before="0" w:after="0" w:line="360" w:lineRule="auto"/>
              <w:ind w:right="0"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防控措施：</w:t>
            </w:r>
          </w:p>
          <w:p w14:paraId="0BA4D8D3">
            <w:pPr>
              <w:snapToGrid w:val="0"/>
              <w:spacing w:line="360" w:lineRule="auto"/>
              <w:ind w:firstLine="480" w:firstLineChars="200"/>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①建立土壤和地下水污染隐患排查治理制度，定期对重点区域、重点设施开展隐患排查。发现污染隐患的，应当制定整改方案，及时采取技术、管理措施消除隐患。隐患排查、治理情况应当如实记录并建立档案。</w:t>
            </w:r>
          </w:p>
          <w:p w14:paraId="3E8EF92E">
            <w:pPr>
              <w:snapToGrid w:val="0"/>
              <w:spacing w:line="360" w:lineRule="auto"/>
              <w:ind w:firstLine="480" w:firstLineChars="200"/>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②建议污水处理设施、油罐、加油区、卸油区等存在土壤污染风险的设施，按照国家有关标准和规范的要求，设计、建设和安装有关防腐蚀、防泄漏设施和泄漏检测装置，防止有毒有害物质污染土壤和地下水。</w:t>
            </w:r>
          </w:p>
          <w:p w14:paraId="36BFDE93">
            <w:pPr>
              <w:snapToGrid w:val="0"/>
              <w:spacing w:line="360" w:lineRule="auto"/>
              <w:ind w:firstLine="480" w:firstLineChars="200"/>
              <w:rPr>
                <w:rFonts w:hint="default" w:ascii="Times New Roman" w:hAnsi="Times New Roman" w:eastAsia="宋体" w:cs="Times New Roman"/>
                <w:color w:val="auto"/>
                <w:sz w:val="24"/>
                <w:szCs w:val="21"/>
              </w:rPr>
            </w:pPr>
            <w:r>
              <w:rPr>
                <w:rFonts w:hint="default" w:ascii="Times New Roman" w:hAnsi="Times New Roman" w:eastAsia="宋体" w:cs="Times New Roman"/>
                <w:color w:val="auto"/>
                <w:sz w:val="24"/>
                <w:szCs w:val="21"/>
              </w:rPr>
              <w:t>③建议通过油料周转量核算正常损耗率，通过异常损耗率可间接反映出可能存在污染事故。</w:t>
            </w:r>
          </w:p>
          <w:p w14:paraId="0A99AFC3">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1"/>
              </w:rPr>
              <w:t>④定</w:t>
            </w:r>
            <w:r>
              <w:rPr>
                <w:rFonts w:hint="default" w:ascii="Times New Roman" w:hAnsi="Times New Roman" w:eastAsia="宋体" w:cs="Times New Roman"/>
                <w:color w:val="auto"/>
                <w:sz w:val="24"/>
              </w:rPr>
              <w:t>期维护相应分区防渗措施，维持相应防渗区的防渗能力。</w:t>
            </w:r>
          </w:p>
          <w:p w14:paraId="473F62B2">
            <w:pPr>
              <w:pStyle w:val="81"/>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通过加强维护保障污水处理设施，加油设备与油罐，从源头控制、过程防控上避免对土壤环境，土壤环境可接受。</w:t>
            </w:r>
          </w:p>
          <w:p w14:paraId="38E3CB46">
            <w:pPr>
              <w:adjustRightInd w:val="0"/>
              <w:snapToGrid w:val="0"/>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4.2.7环境风险评价</w:t>
            </w:r>
          </w:p>
          <w:p w14:paraId="6A142F99">
            <w:pPr>
              <w:pStyle w:val="65"/>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4.2.7.1风险源</w:t>
            </w:r>
          </w:p>
          <w:p w14:paraId="1719A0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rPr>
              <w:t>本项目涉及的风险物质为汽油、柴油及危险废物等。</w:t>
            </w:r>
            <w:r>
              <w:rPr>
                <w:rFonts w:hint="default" w:ascii="Times New Roman" w:hAnsi="Times New Roman" w:eastAsia="宋体" w:cs="Times New Roman"/>
                <w:bCs/>
                <w:color w:val="auto"/>
                <w:sz w:val="24"/>
              </w:rPr>
              <w:t>本项目汽油、柴油的理化性质分别见下表4.2-1</w:t>
            </w:r>
            <w:r>
              <w:rPr>
                <w:rFonts w:hint="default" w:ascii="Times New Roman" w:hAnsi="Times New Roman" w:cs="Times New Roman"/>
                <w:bCs/>
                <w:color w:val="auto"/>
                <w:sz w:val="24"/>
                <w:lang w:val="en-US" w:eastAsia="zh-CN"/>
              </w:rPr>
              <w:t>7</w:t>
            </w:r>
            <w:r>
              <w:rPr>
                <w:rFonts w:hint="default" w:ascii="Times New Roman" w:hAnsi="Times New Roman" w:eastAsia="宋体" w:cs="Times New Roman"/>
                <w:bCs/>
                <w:color w:val="auto"/>
                <w:sz w:val="24"/>
              </w:rPr>
              <w:t>、表4.2-1</w:t>
            </w:r>
            <w:r>
              <w:rPr>
                <w:rFonts w:hint="default" w:ascii="Times New Roman" w:hAnsi="Times New Roman" w:cs="Times New Roman"/>
                <w:bCs/>
                <w:color w:val="auto"/>
                <w:sz w:val="24"/>
                <w:lang w:val="en-US" w:eastAsia="zh-CN"/>
              </w:rPr>
              <w:t>8</w:t>
            </w:r>
            <w:r>
              <w:rPr>
                <w:rFonts w:hint="default" w:ascii="Times New Roman" w:hAnsi="Times New Roman" w:eastAsia="宋体" w:cs="Times New Roman"/>
                <w:bCs/>
                <w:color w:val="auto"/>
                <w:sz w:val="24"/>
              </w:rPr>
              <w:t>。</w:t>
            </w:r>
          </w:p>
          <w:p w14:paraId="0E745CEF">
            <w:pPr>
              <w:pStyle w:val="2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表4.2-1</w:t>
            </w:r>
            <w:r>
              <w:rPr>
                <w:rFonts w:hint="default" w:ascii="Times New Roman" w:hAnsi="Times New Roman" w:cs="Times New Roman"/>
                <w:bCs/>
                <w:color w:val="auto"/>
                <w:sz w:val="24"/>
                <w:lang w:val="en-US" w:eastAsia="zh-CN"/>
              </w:rPr>
              <w:t>7</w:t>
            </w:r>
            <w:r>
              <w:rPr>
                <w:rFonts w:hint="default" w:ascii="Times New Roman" w:hAnsi="Times New Roman" w:eastAsia="宋体" w:cs="Times New Roman"/>
                <w:bCs/>
                <w:color w:val="auto"/>
                <w:sz w:val="24"/>
              </w:rPr>
              <w:t xml:space="preserve">  汽油理化及毒理性质统计表</w:t>
            </w:r>
          </w:p>
          <w:tbl>
            <w:tblPr>
              <w:tblStyle w:val="19"/>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3585"/>
              <w:gridCol w:w="3848"/>
            </w:tblGrid>
            <w:tr w14:paraId="6E04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7" w:type="pct"/>
                  <w:vMerge w:val="restart"/>
                  <w:noWrap w:val="0"/>
                  <w:vAlign w:val="center"/>
                </w:tcPr>
                <w:p w14:paraId="46DBF745">
                  <w:pPr>
                    <w:pStyle w:val="88"/>
                    <w:rPr>
                      <w:rFonts w:hint="default" w:ascii="Times New Roman" w:hAnsi="Times New Roman" w:eastAsia="宋体" w:cs="Times New Roman"/>
                      <w:color w:val="auto"/>
                    </w:rPr>
                  </w:pPr>
                  <w:r>
                    <w:rPr>
                      <w:rFonts w:hint="default" w:ascii="Times New Roman" w:hAnsi="Times New Roman" w:eastAsia="宋体" w:cs="Times New Roman"/>
                      <w:color w:val="auto"/>
                      <w:kern w:val="0"/>
                    </w:rPr>
                    <w:t>理化</w:t>
                  </w:r>
                </w:p>
                <w:p w14:paraId="6432D25A">
                  <w:pPr>
                    <w:pStyle w:val="88"/>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性质</w:t>
                  </w:r>
                </w:p>
              </w:tc>
              <w:tc>
                <w:tcPr>
                  <w:tcW w:w="2259" w:type="pct"/>
                  <w:noWrap w:val="0"/>
                  <w:vAlign w:val="center"/>
                </w:tcPr>
                <w:p w14:paraId="2B381885">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kern w:val="0"/>
                    </w:rPr>
                    <w:t>物理状态：液态</w:t>
                  </w:r>
                </w:p>
              </w:tc>
              <w:tc>
                <w:tcPr>
                  <w:tcW w:w="2424" w:type="pct"/>
                  <w:noWrap w:val="0"/>
                  <w:vAlign w:val="center"/>
                </w:tcPr>
                <w:p w14:paraId="003D5E1D">
                  <w:pPr>
                    <w:pStyle w:val="88"/>
                    <w:jc w:val="left"/>
                    <w:rPr>
                      <w:rFonts w:hint="default" w:ascii="Times New Roman" w:hAnsi="Times New Roman" w:eastAsia="宋体" w:cs="Times New Roman"/>
                      <w:color w:val="auto"/>
                    </w:rPr>
                  </w:pPr>
                  <w:r>
                    <w:rPr>
                      <w:rFonts w:hint="default" w:ascii="Times New Roman" w:hAnsi="Times New Roman" w:cs="Times New Roman"/>
                      <w:color w:val="auto"/>
                      <w:spacing w:val="8"/>
                      <w:lang w:eastAsia="zh-CN"/>
                    </w:rPr>
                    <w:t>性状</w:t>
                  </w:r>
                  <w:r>
                    <w:rPr>
                      <w:rFonts w:hint="default" w:ascii="Times New Roman" w:hAnsi="Times New Roman" w:eastAsia="宋体" w:cs="Times New Roman"/>
                      <w:color w:val="auto"/>
                      <w:spacing w:val="8"/>
                    </w:rPr>
                    <w:t>：挥发液体</w:t>
                  </w:r>
                </w:p>
              </w:tc>
            </w:tr>
            <w:tr w14:paraId="5605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17" w:type="pct"/>
                  <w:vMerge w:val="continue"/>
                  <w:noWrap w:val="0"/>
                  <w:vAlign w:val="center"/>
                </w:tcPr>
                <w:p w14:paraId="32D79798">
                  <w:pPr>
                    <w:pStyle w:val="88"/>
                    <w:rPr>
                      <w:rFonts w:hint="default" w:ascii="Times New Roman" w:hAnsi="Times New Roman" w:eastAsia="宋体" w:cs="Times New Roman"/>
                      <w:color w:val="auto"/>
                      <w:kern w:val="0"/>
                    </w:rPr>
                  </w:pPr>
                </w:p>
              </w:tc>
              <w:tc>
                <w:tcPr>
                  <w:tcW w:w="2259" w:type="pct"/>
                  <w:noWrap w:val="0"/>
                  <w:vAlign w:val="center"/>
                </w:tcPr>
                <w:p w14:paraId="0D8819EB">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颜色：无色或淡黄色</w:t>
                  </w:r>
                </w:p>
              </w:tc>
              <w:tc>
                <w:tcPr>
                  <w:tcW w:w="2424" w:type="pct"/>
                  <w:noWrap w:val="0"/>
                  <w:vAlign w:val="center"/>
                </w:tcPr>
                <w:p w14:paraId="7FA62E00">
                  <w:pPr>
                    <w:pStyle w:val="88"/>
                    <w:jc w:val="left"/>
                    <w:rPr>
                      <w:rFonts w:hint="default" w:ascii="Times New Roman" w:hAnsi="Times New Roman" w:eastAsia="宋体" w:cs="Times New Roman"/>
                      <w:color w:val="auto"/>
                      <w:spacing w:val="8"/>
                    </w:rPr>
                  </w:pPr>
                  <w:r>
                    <w:rPr>
                      <w:rFonts w:hint="default" w:ascii="Times New Roman" w:hAnsi="Times New Roman" w:eastAsia="宋体" w:cs="Times New Roman"/>
                      <w:color w:val="auto"/>
                      <w:spacing w:val="8"/>
                    </w:rPr>
                    <w:t>气味：汽油味道</w:t>
                  </w:r>
                </w:p>
              </w:tc>
            </w:tr>
            <w:tr w14:paraId="4A6A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17" w:type="pct"/>
                  <w:vMerge w:val="continue"/>
                  <w:noWrap w:val="0"/>
                  <w:vAlign w:val="center"/>
                </w:tcPr>
                <w:p w14:paraId="456601E1">
                  <w:pPr>
                    <w:pStyle w:val="88"/>
                    <w:rPr>
                      <w:rFonts w:hint="default" w:ascii="Times New Roman" w:hAnsi="Times New Roman" w:eastAsia="宋体" w:cs="Times New Roman"/>
                      <w:color w:val="auto"/>
                      <w:kern w:val="0"/>
                    </w:rPr>
                  </w:pPr>
                </w:p>
              </w:tc>
              <w:tc>
                <w:tcPr>
                  <w:tcW w:w="2259" w:type="pct"/>
                  <w:noWrap w:val="0"/>
                  <w:vAlign w:val="center"/>
                </w:tcPr>
                <w:p w14:paraId="483EB3CF">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rPr>
                    <w:t>pH值：中性</w:t>
                  </w:r>
                </w:p>
              </w:tc>
              <w:tc>
                <w:tcPr>
                  <w:tcW w:w="2424" w:type="pct"/>
                  <w:noWrap w:val="0"/>
                  <w:vAlign w:val="center"/>
                </w:tcPr>
                <w:p w14:paraId="2A93B664">
                  <w:pPr>
                    <w:pStyle w:val="88"/>
                    <w:jc w:val="left"/>
                    <w:rPr>
                      <w:rFonts w:hint="default" w:ascii="Times New Roman" w:hAnsi="Times New Roman" w:eastAsia="宋体" w:cs="Times New Roman"/>
                      <w:color w:val="auto"/>
                      <w:spacing w:val="8"/>
                    </w:rPr>
                  </w:pPr>
                  <w:r>
                    <w:rPr>
                      <w:rFonts w:hint="default" w:ascii="Times New Roman" w:hAnsi="Times New Roman" w:eastAsia="宋体" w:cs="Times New Roman"/>
                      <w:color w:val="auto"/>
                    </w:rPr>
                    <w:t>沸点（℃）：30~210（86°F~410°F）</w:t>
                  </w:r>
                </w:p>
              </w:tc>
            </w:tr>
            <w:tr w14:paraId="4D3D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17" w:type="pct"/>
                  <w:vMerge w:val="continue"/>
                  <w:noWrap w:val="0"/>
                  <w:vAlign w:val="center"/>
                </w:tcPr>
                <w:p w14:paraId="61F60F2D">
                  <w:pPr>
                    <w:pStyle w:val="88"/>
                    <w:rPr>
                      <w:rFonts w:hint="default" w:ascii="Times New Roman" w:hAnsi="Times New Roman" w:eastAsia="宋体" w:cs="Times New Roman"/>
                      <w:color w:val="auto"/>
                    </w:rPr>
                  </w:pPr>
                </w:p>
              </w:tc>
              <w:tc>
                <w:tcPr>
                  <w:tcW w:w="2259" w:type="pct"/>
                  <w:noWrap w:val="0"/>
                  <w:vAlign w:val="center"/>
                </w:tcPr>
                <w:p w14:paraId="5DA6C5A0">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闪点（℃）：-43~-38（-45°F~-36°F）</w:t>
                  </w:r>
                </w:p>
              </w:tc>
              <w:tc>
                <w:tcPr>
                  <w:tcW w:w="2424" w:type="pct"/>
                  <w:noWrap w:val="0"/>
                  <w:vAlign w:val="center"/>
                </w:tcPr>
                <w:p w14:paraId="7E469390">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密度：0.7573kg/L@15℃</w:t>
                  </w:r>
                </w:p>
              </w:tc>
            </w:tr>
            <w:tr w14:paraId="0B30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17" w:type="pct"/>
                  <w:vMerge w:val="continue"/>
                  <w:noWrap w:val="0"/>
                  <w:vAlign w:val="center"/>
                </w:tcPr>
                <w:p w14:paraId="0BC68658">
                  <w:pPr>
                    <w:pStyle w:val="88"/>
                    <w:rPr>
                      <w:rFonts w:hint="default" w:ascii="Times New Roman" w:hAnsi="Times New Roman" w:eastAsia="宋体" w:cs="Times New Roman"/>
                      <w:color w:val="auto"/>
                    </w:rPr>
                  </w:pPr>
                </w:p>
              </w:tc>
              <w:tc>
                <w:tcPr>
                  <w:tcW w:w="2259" w:type="pct"/>
                  <w:noWrap w:val="0"/>
                  <w:vAlign w:val="center"/>
                </w:tcPr>
                <w:p w14:paraId="7879B5C7">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spacing w:val="8"/>
                    </w:rPr>
                    <w:t>蒸气压：0.03447~0.10342MPa</w:t>
                  </w:r>
                </w:p>
              </w:tc>
              <w:tc>
                <w:tcPr>
                  <w:tcW w:w="2424" w:type="pct"/>
                  <w:noWrap w:val="0"/>
                  <w:vAlign w:val="center"/>
                </w:tcPr>
                <w:p w14:paraId="57965C04">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蒸气密度（Air=1）：3~5</w:t>
                  </w:r>
                </w:p>
              </w:tc>
            </w:tr>
            <w:tr w14:paraId="6DDD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17" w:type="pct"/>
                  <w:vMerge w:val="continue"/>
                  <w:noWrap w:val="0"/>
                  <w:vAlign w:val="center"/>
                </w:tcPr>
                <w:p w14:paraId="264C8ADF">
                  <w:pPr>
                    <w:pStyle w:val="88"/>
                    <w:rPr>
                      <w:rFonts w:hint="default" w:ascii="Times New Roman" w:hAnsi="Times New Roman" w:eastAsia="宋体" w:cs="Times New Roman"/>
                      <w:color w:val="auto"/>
                    </w:rPr>
                  </w:pPr>
                </w:p>
              </w:tc>
              <w:tc>
                <w:tcPr>
                  <w:tcW w:w="2259" w:type="pct"/>
                  <w:noWrap w:val="0"/>
                  <w:vAlign w:val="center"/>
                </w:tcPr>
                <w:p w14:paraId="5BC25671">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自燃温度（℃）：280~456</w:t>
                  </w:r>
                </w:p>
              </w:tc>
              <w:tc>
                <w:tcPr>
                  <w:tcW w:w="2424" w:type="pct"/>
                  <w:noWrap w:val="0"/>
                  <w:vAlign w:val="center"/>
                </w:tcPr>
                <w:p w14:paraId="22BE7E2C">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爆炸界限：LEL：1.2%～1.4% </w:t>
                  </w:r>
                </w:p>
                <w:p w14:paraId="323DE000">
                  <w:pPr>
                    <w:pStyle w:val="88"/>
                    <w:ind w:firstLine="1050" w:firstLineChars="500"/>
                    <w:jc w:val="left"/>
                    <w:rPr>
                      <w:rFonts w:hint="default" w:ascii="Times New Roman" w:hAnsi="Times New Roman" w:eastAsia="宋体" w:cs="Times New Roman"/>
                      <w:color w:val="auto"/>
                    </w:rPr>
                  </w:pPr>
                  <w:r>
                    <w:rPr>
                      <w:rFonts w:hint="default" w:ascii="Times New Roman" w:hAnsi="Times New Roman" w:eastAsia="宋体" w:cs="Times New Roman"/>
                      <w:color w:val="auto"/>
                    </w:rPr>
                    <w:t>UEL：7.6%</w:t>
                  </w:r>
                </w:p>
              </w:tc>
            </w:tr>
            <w:tr w14:paraId="47D1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17" w:type="pct"/>
                  <w:vMerge w:val="continue"/>
                  <w:noWrap w:val="0"/>
                  <w:vAlign w:val="center"/>
                </w:tcPr>
                <w:p w14:paraId="139BCA4B">
                  <w:pPr>
                    <w:pStyle w:val="88"/>
                    <w:rPr>
                      <w:rFonts w:hint="default" w:ascii="Times New Roman" w:hAnsi="Times New Roman" w:eastAsia="宋体" w:cs="Times New Roman"/>
                      <w:color w:val="auto"/>
                    </w:rPr>
                  </w:pPr>
                </w:p>
              </w:tc>
              <w:tc>
                <w:tcPr>
                  <w:tcW w:w="2259" w:type="pct"/>
                  <w:noWrap w:val="0"/>
                  <w:vAlign w:val="center"/>
                </w:tcPr>
                <w:p w14:paraId="1915E9BB">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溶解性：水溶解度：＜0.1%</w:t>
                  </w:r>
                </w:p>
                <w:p w14:paraId="7A8C5A43">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溶解于无水酒精、醚类、苯、氯仿</w:t>
                  </w:r>
                </w:p>
              </w:tc>
              <w:tc>
                <w:tcPr>
                  <w:tcW w:w="2424" w:type="pct"/>
                  <w:noWrap w:val="0"/>
                  <w:vAlign w:val="center"/>
                </w:tcPr>
                <w:p w14:paraId="6E005D74">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稳定性：常温常压下稳定</w:t>
                  </w:r>
                </w:p>
              </w:tc>
            </w:tr>
            <w:tr w14:paraId="2AB3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17" w:type="pct"/>
                  <w:vMerge w:val="restart"/>
                  <w:noWrap w:val="0"/>
                  <w:vAlign w:val="center"/>
                </w:tcPr>
                <w:p w14:paraId="75C971C0">
                  <w:pPr>
                    <w:pStyle w:val="88"/>
                    <w:rPr>
                      <w:rFonts w:hint="default" w:ascii="Times New Roman" w:hAnsi="Times New Roman" w:eastAsia="宋体" w:cs="Times New Roman"/>
                      <w:color w:val="auto"/>
                    </w:rPr>
                  </w:pPr>
                  <w:r>
                    <w:rPr>
                      <w:rFonts w:hint="default" w:ascii="Times New Roman" w:hAnsi="Times New Roman" w:eastAsia="宋体" w:cs="Times New Roman"/>
                      <w:color w:val="auto"/>
                      <w:kern w:val="0"/>
                    </w:rPr>
                    <w:t>危险</w:t>
                  </w:r>
                </w:p>
                <w:p w14:paraId="5B46AF19">
                  <w:pPr>
                    <w:pStyle w:val="88"/>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特性</w:t>
                  </w:r>
                </w:p>
              </w:tc>
              <w:tc>
                <w:tcPr>
                  <w:tcW w:w="4683" w:type="pct"/>
                  <w:gridSpan w:val="2"/>
                  <w:noWrap w:val="0"/>
                  <w:vAlign w:val="center"/>
                </w:tcPr>
                <w:p w14:paraId="5FE7D275">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反应性：</w:t>
                  </w:r>
                </w:p>
                <w:p w14:paraId="79C3963C">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kern w:val="0"/>
                    </w:rPr>
                    <w:t>①</w:t>
                  </w:r>
                  <w:r>
                    <w:rPr>
                      <w:rFonts w:hint="default" w:ascii="Times New Roman" w:hAnsi="Times New Roman" w:eastAsia="宋体" w:cs="Times New Roman"/>
                      <w:color w:val="auto"/>
                    </w:rPr>
                    <w:t>避免热、火焰、火花及其他燃烧物质。若暴露于热源，容器会破裂或爆炸远离水源及下水道。有害气体会累积在密闭空间。</w:t>
                  </w:r>
                </w:p>
                <w:p w14:paraId="33469F16">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②避免和强氧化剂，如：酸、碱、金属、卤素、过氧化物、易燃物质等，接触极易发生反应。</w:t>
                  </w:r>
                </w:p>
              </w:tc>
            </w:tr>
            <w:tr w14:paraId="5652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7" w:type="pct"/>
                  <w:vMerge w:val="continue"/>
                  <w:noWrap w:val="0"/>
                  <w:vAlign w:val="center"/>
                </w:tcPr>
                <w:p w14:paraId="736CB139">
                  <w:pPr>
                    <w:pStyle w:val="88"/>
                    <w:rPr>
                      <w:rFonts w:hint="default" w:ascii="Times New Roman" w:hAnsi="Times New Roman" w:eastAsia="宋体" w:cs="Times New Roman"/>
                      <w:color w:val="auto"/>
                    </w:rPr>
                  </w:pPr>
                </w:p>
              </w:tc>
              <w:tc>
                <w:tcPr>
                  <w:tcW w:w="4683" w:type="pct"/>
                  <w:gridSpan w:val="2"/>
                  <w:noWrap w:val="0"/>
                  <w:vAlign w:val="center"/>
                </w:tcPr>
                <w:p w14:paraId="371F5B95">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急性毒性：</w:t>
                  </w:r>
                </w:p>
                <w:p w14:paraId="2A7D194A">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①食入：会引起刺激与伴随着反胃、呕吐、腹泻的胃肠管道的烧伤。吸收最初会引起中枢神经兴奋随后意志消沉。症状包含：轻微的兴奋、坐立不安、神经过敏、兴奋性、痉挛、虚弱、视力模糊、头痛、头昏眼花、困倦、精神错乱、抽筋与昏迷。有可能短暂的肝脏受损。</w:t>
                  </w:r>
                </w:p>
                <w:p w14:paraId="6517967D">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②吸入：在160～270ppm浓度下几小时，会刺激咽喉。浓度2000ppm下30min，会引起轻微的麻醉。其他中枢神经抑制的症状包括：头痛、反胃、呕吐、头昏眼花、困倦、脸部发红、视力模糊、说话含糊、吞咽困难、摇晃欲倒、困惑与陶醉感。在更高浓度会逐渐出现：呼吸困难、肺部浮肿</w:t>
                  </w:r>
                  <w:r>
                    <w:rPr>
                      <w:rFonts w:hint="default" w:ascii="Times New Roman" w:hAnsi="Times New Roman" w:cs="Times New Roman"/>
                      <w:color w:val="auto"/>
                      <w:lang w:eastAsia="zh-CN"/>
                    </w:rPr>
                    <w:t>、</w:t>
                  </w:r>
                  <w:r>
                    <w:rPr>
                      <w:rFonts w:hint="default" w:ascii="Times New Roman" w:hAnsi="Times New Roman" w:eastAsia="宋体" w:cs="Times New Roman"/>
                      <w:color w:val="auto"/>
                    </w:rPr>
                    <w:t>支气管肺炎。更进一步会引起，如下列的意气消沉：微弱的呼吸与脉搏、神经过敏、痉挛、兴奋性、与运动失调。严重的中毒会导致精神错乱、无意识、昏迷、与癫痫发作的抽筋。另外也会影响：肝脏、肾脏、脾脏、脑部、心肌与胰脏。会由于呼吸或循环不足或心室纤维颤动而引起死亡。极</w:t>
                  </w:r>
                  <w:r>
                    <w:rPr>
                      <w:rFonts w:hint="default" w:ascii="Times New Roman" w:hAnsi="Times New Roman" w:cs="Times New Roman"/>
                      <w:color w:val="auto"/>
                      <w:lang w:eastAsia="zh-CN"/>
                    </w:rPr>
                    <w:t>高</w:t>
                  </w:r>
                  <w:r>
                    <w:rPr>
                      <w:rFonts w:hint="default" w:ascii="Times New Roman" w:hAnsi="Times New Roman" w:eastAsia="宋体" w:cs="Times New Roman"/>
                      <w:color w:val="auto"/>
                    </w:rPr>
                    <w:t>的浓度会引起窒息。</w:t>
                  </w:r>
                </w:p>
                <w:p w14:paraId="2DD46794">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③皮肤：液体会引起带有红斑与疼痛的刺激。长期或大量接触会引起水泡；且在极端情况下会引起表皮损坏。</w:t>
                  </w:r>
                </w:p>
                <w:p w14:paraId="0F06A27A">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rPr>
                    <w:t>④眼睛：浓度在270ppm～900ppm间，通常在症状（如：明显的结膜充血）之前会引起刺激感觉。液体挥溅在眼睛上，会引起疼痛、剧痛的与脆弱的、短暂的角膜上皮的困扰。角膜充血与浮肿会发生。</w:t>
                  </w:r>
                </w:p>
              </w:tc>
            </w:tr>
            <w:tr w14:paraId="55A8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17" w:type="pct"/>
                  <w:vMerge w:val="continue"/>
                  <w:noWrap w:val="0"/>
                  <w:vAlign w:val="center"/>
                </w:tcPr>
                <w:p w14:paraId="305B5DD1">
                  <w:pPr>
                    <w:pStyle w:val="88"/>
                    <w:rPr>
                      <w:rFonts w:hint="default" w:ascii="Times New Roman" w:hAnsi="Times New Roman" w:eastAsia="宋体" w:cs="Times New Roman"/>
                      <w:color w:val="auto"/>
                    </w:rPr>
                  </w:pPr>
                </w:p>
              </w:tc>
              <w:tc>
                <w:tcPr>
                  <w:tcW w:w="4683" w:type="pct"/>
                  <w:gridSpan w:val="2"/>
                  <w:noWrap w:val="0"/>
                  <w:vAlign w:val="center"/>
                </w:tcPr>
                <w:p w14:paraId="52C37E78">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燃爆危险性：</w:t>
                  </w:r>
                  <w:r>
                    <w:rPr>
                      <w:rFonts w:hint="default" w:ascii="Times New Roman" w:hAnsi="Times New Roman" w:eastAsia="宋体" w:cs="Times New Roman"/>
                      <w:color w:val="auto"/>
                    </w:rPr>
                    <w:t>易燃液体。</w:t>
                  </w:r>
                </w:p>
              </w:tc>
            </w:tr>
          </w:tbl>
          <w:p w14:paraId="0F4933F4">
            <w:pPr>
              <w:pStyle w:val="26"/>
              <w:jc w:val="center"/>
              <w:rPr>
                <w:rFonts w:hint="default" w:ascii="Times New Roman" w:hAnsi="Times New Roman" w:eastAsia="宋体" w:cs="Times New Roman"/>
                <w:bCs/>
                <w:color w:val="auto"/>
                <w:sz w:val="24"/>
              </w:rPr>
            </w:pPr>
          </w:p>
          <w:p w14:paraId="07F14CA7">
            <w:pPr>
              <w:pStyle w:val="26"/>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表4.2-1</w:t>
            </w:r>
            <w:r>
              <w:rPr>
                <w:rFonts w:hint="default" w:ascii="Times New Roman" w:hAnsi="Times New Roman" w:cs="Times New Roman"/>
                <w:bCs/>
                <w:color w:val="auto"/>
                <w:sz w:val="24"/>
                <w:lang w:val="en-US" w:eastAsia="zh-CN"/>
              </w:rPr>
              <w:t>8</w:t>
            </w:r>
            <w:r>
              <w:rPr>
                <w:rFonts w:hint="default" w:ascii="Times New Roman" w:hAnsi="Times New Roman" w:eastAsia="宋体" w:cs="Times New Roman"/>
                <w:bCs/>
                <w:color w:val="auto"/>
                <w:sz w:val="24"/>
              </w:rPr>
              <w:t xml:space="preserve">  柴油理化及毒理性质统计表</w:t>
            </w:r>
          </w:p>
          <w:tbl>
            <w:tblPr>
              <w:tblStyle w:val="19"/>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687"/>
              <w:gridCol w:w="3447"/>
            </w:tblGrid>
            <w:tr w14:paraId="0832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5" w:type="pct"/>
                  <w:vMerge w:val="restart"/>
                  <w:noWrap w:val="0"/>
                  <w:vAlign w:val="center"/>
                </w:tcPr>
                <w:p w14:paraId="34082E31">
                  <w:pPr>
                    <w:pStyle w:val="88"/>
                    <w:rPr>
                      <w:rFonts w:hint="default" w:ascii="Times New Roman" w:hAnsi="Times New Roman" w:eastAsia="宋体" w:cs="Times New Roman"/>
                      <w:color w:val="auto"/>
                    </w:rPr>
                  </w:pPr>
                  <w:r>
                    <w:rPr>
                      <w:rFonts w:hint="default" w:ascii="Times New Roman" w:hAnsi="Times New Roman" w:eastAsia="宋体" w:cs="Times New Roman"/>
                      <w:color w:val="auto"/>
                      <w:kern w:val="0"/>
                    </w:rPr>
                    <w:t>理化</w:t>
                  </w:r>
                </w:p>
                <w:p w14:paraId="205A9366">
                  <w:pPr>
                    <w:pStyle w:val="88"/>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性质</w:t>
                  </w:r>
                </w:p>
              </w:tc>
              <w:tc>
                <w:tcPr>
                  <w:tcW w:w="2323" w:type="pct"/>
                  <w:noWrap w:val="0"/>
                  <w:vAlign w:val="center"/>
                </w:tcPr>
                <w:p w14:paraId="54A76A82">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kern w:val="0"/>
                    </w:rPr>
                    <w:t>物理状态：液态</w:t>
                  </w:r>
                </w:p>
              </w:tc>
              <w:tc>
                <w:tcPr>
                  <w:tcW w:w="2172" w:type="pct"/>
                  <w:noWrap w:val="0"/>
                  <w:vAlign w:val="center"/>
                </w:tcPr>
                <w:p w14:paraId="6A1F2065">
                  <w:pPr>
                    <w:pStyle w:val="88"/>
                    <w:jc w:val="left"/>
                    <w:rPr>
                      <w:rFonts w:hint="default" w:ascii="Times New Roman" w:hAnsi="Times New Roman" w:eastAsia="宋体" w:cs="Times New Roman"/>
                      <w:color w:val="auto"/>
                    </w:rPr>
                  </w:pPr>
                  <w:r>
                    <w:rPr>
                      <w:rFonts w:hint="default" w:ascii="Times New Roman" w:hAnsi="Times New Roman" w:cs="Times New Roman"/>
                      <w:color w:val="auto"/>
                      <w:spacing w:val="8"/>
                      <w:lang w:eastAsia="zh-CN"/>
                    </w:rPr>
                    <w:t>性状</w:t>
                  </w:r>
                  <w:r>
                    <w:rPr>
                      <w:rFonts w:hint="default" w:ascii="Times New Roman" w:hAnsi="Times New Roman" w:eastAsia="宋体" w:cs="Times New Roman"/>
                      <w:color w:val="auto"/>
                      <w:spacing w:val="8"/>
                    </w:rPr>
                    <w:t>：淡黄色透明油液</w:t>
                  </w:r>
                </w:p>
              </w:tc>
            </w:tr>
            <w:tr w14:paraId="0103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5" w:type="pct"/>
                  <w:vMerge w:val="continue"/>
                  <w:noWrap w:val="0"/>
                  <w:vAlign w:val="center"/>
                </w:tcPr>
                <w:p w14:paraId="4190D2AD">
                  <w:pPr>
                    <w:pStyle w:val="88"/>
                    <w:rPr>
                      <w:rFonts w:hint="default" w:ascii="Times New Roman" w:hAnsi="Times New Roman" w:eastAsia="宋体" w:cs="Times New Roman"/>
                      <w:color w:val="auto"/>
                      <w:kern w:val="0"/>
                    </w:rPr>
                  </w:pPr>
                </w:p>
              </w:tc>
              <w:tc>
                <w:tcPr>
                  <w:tcW w:w="2323" w:type="pct"/>
                  <w:noWrap w:val="0"/>
                  <w:vAlign w:val="center"/>
                </w:tcPr>
                <w:p w14:paraId="782DB9FF">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颜色：淡黄色</w:t>
                  </w:r>
                </w:p>
              </w:tc>
              <w:tc>
                <w:tcPr>
                  <w:tcW w:w="2172" w:type="pct"/>
                  <w:noWrap w:val="0"/>
                  <w:vAlign w:val="center"/>
                </w:tcPr>
                <w:p w14:paraId="62DBE7E3">
                  <w:pPr>
                    <w:pStyle w:val="88"/>
                    <w:jc w:val="left"/>
                    <w:rPr>
                      <w:rFonts w:hint="default" w:ascii="Times New Roman" w:hAnsi="Times New Roman" w:eastAsia="宋体" w:cs="Times New Roman"/>
                      <w:color w:val="auto"/>
                      <w:spacing w:val="8"/>
                    </w:rPr>
                  </w:pPr>
                  <w:r>
                    <w:rPr>
                      <w:rFonts w:hint="default" w:ascii="Times New Roman" w:hAnsi="Times New Roman" w:eastAsia="宋体" w:cs="Times New Roman"/>
                      <w:color w:val="auto"/>
                      <w:spacing w:val="8"/>
                    </w:rPr>
                    <w:t>气味：轻微石油味道</w:t>
                  </w:r>
                </w:p>
              </w:tc>
            </w:tr>
            <w:tr w14:paraId="5988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5" w:type="pct"/>
                  <w:vMerge w:val="continue"/>
                  <w:noWrap w:val="0"/>
                  <w:vAlign w:val="center"/>
                </w:tcPr>
                <w:p w14:paraId="10C680F0">
                  <w:pPr>
                    <w:pStyle w:val="88"/>
                    <w:rPr>
                      <w:rFonts w:hint="default" w:ascii="Times New Roman" w:hAnsi="Times New Roman" w:eastAsia="宋体" w:cs="Times New Roman"/>
                      <w:color w:val="auto"/>
                      <w:kern w:val="0"/>
                    </w:rPr>
                  </w:pPr>
                </w:p>
              </w:tc>
              <w:tc>
                <w:tcPr>
                  <w:tcW w:w="2323" w:type="pct"/>
                  <w:noWrap w:val="0"/>
                  <w:vAlign w:val="center"/>
                </w:tcPr>
                <w:p w14:paraId="7681130D">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rPr>
                    <w:t>pH值：中性</w:t>
                  </w:r>
                </w:p>
              </w:tc>
              <w:tc>
                <w:tcPr>
                  <w:tcW w:w="2172" w:type="pct"/>
                  <w:noWrap w:val="0"/>
                  <w:vAlign w:val="center"/>
                </w:tcPr>
                <w:p w14:paraId="16C9AE1D">
                  <w:pPr>
                    <w:pStyle w:val="88"/>
                    <w:jc w:val="left"/>
                    <w:rPr>
                      <w:rFonts w:hint="default" w:ascii="Times New Roman" w:hAnsi="Times New Roman" w:eastAsia="宋体" w:cs="Times New Roman"/>
                      <w:color w:val="auto"/>
                      <w:spacing w:val="8"/>
                    </w:rPr>
                  </w:pPr>
                  <w:r>
                    <w:rPr>
                      <w:rFonts w:hint="default" w:ascii="Times New Roman" w:hAnsi="Times New Roman" w:eastAsia="宋体" w:cs="Times New Roman"/>
                      <w:color w:val="auto"/>
                    </w:rPr>
                    <w:t>沸点（℃）：163~357（325°F~675°F）</w:t>
                  </w:r>
                </w:p>
              </w:tc>
            </w:tr>
            <w:tr w14:paraId="1566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5" w:type="pct"/>
                  <w:vMerge w:val="continue"/>
                  <w:noWrap w:val="0"/>
                  <w:vAlign w:val="center"/>
                </w:tcPr>
                <w:p w14:paraId="22385812">
                  <w:pPr>
                    <w:pStyle w:val="88"/>
                    <w:rPr>
                      <w:rFonts w:hint="default" w:ascii="Times New Roman" w:hAnsi="Times New Roman" w:eastAsia="宋体" w:cs="Times New Roman"/>
                      <w:color w:val="auto"/>
                    </w:rPr>
                  </w:pPr>
                </w:p>
              </w:tc>
              <w:tc>
                <w:tcPr>
                  <w:tcW w:w="2323" w:type="pct"/>
                  <w:noWrap w:val="0"/>
                  <w:vAlign w:val="center"/>
                </w:tcPr>
                <w:p w14:paraId="018DEC99">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闪点（℃）：&gt;52</w:t>
                  </w:r>
                </w:p>
              </w:tc>
              <w:tc>
                <w:tcPr>
                  <w:tcW w:w="2172" w:type="pct"/>
                  <w:noWrap w:val="0"/>
                  <w:vAlign w:val="center"/>
                </w:tcPr>
                <w:p w14:paraId="43DC2166">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密度：0.8（比重）</w:t>
                  </w:r>
                </w:p>
              </w:tc>
            </w:tr>
            <w:tr w14:paraId="1B09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5" w:type="pct"/>
                  <w:vMerge w:val="continue"/>
                  <w:noWrap w:val="0"/>
                  <w:vAlign w:val="center"/>
                </w:tcPr>
                <w:p w14:paraId="0D4A7A40">
                  <w:pPr>
                    <w:pStyle w:val="88"/>
                    <w:rPr>
                      <w:rFonts w:hint="default" w:ascii="Times New Roman" w:hAnsi="Times New Roman" w:eastAsia="宋体" w:cs="Times New Roman"/>
                      <w:color w:val="auto"/>
                    </w:rPr>
                  </w:pPr>
                </w:p>
              </w:tc>
              <w:tc>
                <w:tcPr>
                  <w:tcW w:w="2323" w:type="pct"/>
                  <w:noWrap w:val="0"/>
                  <w:vAlign w:val="center"/>
                </w:tcPr>
                <w:p w14:paraId="2C57B9E6">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spacing w:val="8"/>
                    </w:rPr>
                    <w:t>蒸气压：0.00026MPa@20</w:t>
                  </w:r>
                  <w:r>
                    <w:rPr>
                      <w:rFonts w:hint="default" w:ascii="Times New Roman" w:hAnsi="Times New Roman" w:eastAsia="宋体" w:cs="Times New Roman"/>
                      <w:color w:val="auto"/>
                    </w:rPr>
                    <w:t>℃</w:t>
                  </w:r>
                </w:p>
              </w:tc>
              <w:tc>
                <w:tcPr>
                  <w:tcW w:w="2172" w:type="pct"/>
                  <w:noWrap w:val="0"/>
                  <w:vAlign w:val="center"/>
                </w:tcPr>
                <w:p w14:paraId="3670D068">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蒸气密度（Air=1）：&gt;1</w:t>
                  </w:r>
                </w:p>
              </w:tc>
            </w:tr>
            <w:tr w14:paraId="1C7B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5" w:type="pct"/>
                  <w:vMerge w:val="continue"/>
                  <w:noWrap w:val="0"/>
                  <w:vAlign w:val="center"/>
                </w:tcPr>
                <w:p w14:paraId="0FBD647B">
                  <w:pPr>
                    <w:pStyle w:val="88"/>
                    <w:rPr>
                      <w:rFonts w:hint="default" w:ascii="Times New Roman" w:hAnsi="Times New Roman" w:eastAsia="宋体" w:cs="Times New Roman"/>
                      <w:color w:val="auto"/>
                    </w:rPr>
                  </w:pPr>
                </w:p>
              </w:tc>
              <w:tc>
                <w:tcPr>
                  <w:tcW w:w="2323" w:type="pct"/>
                  <w:noWrap w:val="0"/>
                  <w:vAlign w:val="center"/>
                </w:tcPr>
                <w:p w14:paraId="67385BD7">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自燃温度（℃）：177（351°F）</w:t>
                  </w:r>
                </w:p>
              </w:tc>
              <w:tc>
                <w:tcPr>
                  <w:tcW w:w="2172" w:type="pct"/>
                  <w:noWrap w:val="0"/>
                  <w:vAlign w:val="center"/>
                </w:tcPr>
                <w:p w14:paraId="203B9019">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爆炸界限：LEL：1.3% </w:t>
                  </w:r>
                </w:p>
                <w:p w14:paraId="17FDE54A">
                  <w:pPr>
                    <w:pStyle w:val="88"/>
                    <w:ind w:firstLine="1050" w:firstLineChars="500"/>
                    <w:jc w:val="left"/>
                    <w:rPr>
                      <w:rFonts w:hint="default" w:ascii="Times New Roman" w:hAnsi="Times New Roman" w:eastAsia="宋体" w:cs="Times New Roman"/>
                      <w:color w:val="auto"/>
                    </w:rPr>
                  </w:pPr>
                  <w:r>
                    <w:rPr>
                      <w:rFonts w:hint="default" w:ascii="Times New Roman" w:hAnsi="Times New Roman" w:eastAsia="宋体" w:cs="Times New Roman"/>
                      <w:color w:val="auto"/>
                    </w:rPr>
                    <w:t>UEL：6.0%</w:t>
                  </w:r>
                </w:p>
              </w:tc>
            </w:tr>
            <w:tr w14:paraId="31D9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5" w:type="pct"/>
                  <w:vMerge w:val="continue"/>
                  <w:noWrap w:val="0"/>
                  <w:vAlign w:val="center"/>
                </w:tcPr>
                <w:p w14:paraId="23AD4ABA">
                  <w:pPr>
                    <w:pStyle w:val="88"/>
                    <w:rPr>
                      <w:rFonts w:hint="default" w:ascii="Times New Roman" w:hAnsi="Times New Roman" w:eastAsia="宋体" w:cs="Times New Roman"/>
                      <w:color w:val="auto"/>
                    </w:rPr>
                  </w:pPr>
                </w:p>
              </w:tc>
              <w:tc>
                <w:tcPr>
                  <w:tcW w:w="2323" w:type="pct"/>
                  <w:noWrap w:val="0"/>
                  <w:vAlign w:val="center"/>
                </w:tcPr>
                <w:p w14:paraId="0B51AF69">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溶解性：不溶于水</w:t>
                  </w:r>
                </w:p>
              </w:tc>
              <w:tc>
                <w:tcPr>
                  <w:tcW w:w="2172" w:type="pct"/>
                  <w:noWrap w:val="0"/>
                  <w:vAlign w:val="center"/>
                </w:tcPr>
                <w:p w14:paraId="21ADCDA3">
                  <w:pPr>
                    <w:pStyle w:val="88"/>
                    <w:jc w:val="left"/>
                    <w:rPr>
                      <w:rFonts w:hint="default" w:ascii="Times New Roman" w:hAnsi="Times New Roman" w:eastAsia="宋体" w:cs="Times New Roman"/>
                      <w:color w:val="auto"/>
                    </w:rPr>
                  </w:pPr>
                </w:p>
              </w:tc>
            </w:tr>
            <w:tr w14:paraId="33DA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5" w:type="pct"/>
                  <w:vMerge w:val="restart"/>
                  <w:noWrap w:val="0"/>
                  <w:vAlign w:val="center"/>
                </w:tcPr>
                <w:p w14:paraId="7391C0B1">
                  <w:pPr>
                    <w:pStyle w:val="88"/>
                    <w:rPr>
                      <w:rFonts w:hint="default" w:ascii="Times New Roman" w:hAnsi="Times New Roman" w:eastAsia="宋体" w:cs="Times New Roman"/>
                      <w:color w:val="auto"/>
                    </w:rPr>
                  </w:pPr>
                  <w:r>
                    <w:rPr>
                      <w:rFonts w:hint="default" w:ascii="Times New Roman" w:hAnsi="Times New Roman" w:eastAsia="宋体" w:cs="Times New Roman"/>
                      <w:color w:val="auto"/>
                      <w:kern w:val="0"/>
                    </w:rPr>
                    <w:t>危险</w:t>
                  </w:r>
                </w:p>
                <w:p w14:paraId="6FFB014E">
                  <w:pPr>
                    <w:pStyle w:val="88"/>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特性</w:t>
                  </w:r>
                </w:p>
              </w:tc>
              <w:tc>
                <w:tcPr>
                  <w:tcW w:w="4495" w:type="pct"/>
                  <w:gridSpan w:val="2"/>
                  <w:noWrap w:val="0"/>
                  <w:vAlign w:val="center"/>
                </w:tcPr>
                <w:p w14:paraId="598DE631">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反应性：</w:t>
                  </w:r>
                </w:p>
                <w:p w14:paraId="4989BE67">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kern w:val="0"/>
                    </w:rPr>
                    <w:t>①</w:t>
                  </w:r>
                  <w:r>
                    <w:rPr>
                      <w:rFonts w:hint="default" w:ascii="Times New Roman" w:hAnsi="Times New Roman" w:eastAsia="宋体" w:cs="Times New Roman"/>
                      <w:color w:val="auto"/>
                    </w:rPr>
                    <w:t>避免热、火焰、火花及其他燃烧物质。若暴露于热源，容器会破裂或爆炸。远离水源及下水道。有害气体会累积在密闭空间。</w:t>
                  </w:r>
                </w:p>
                <w:p w14:paraId="69788D16">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②避免和强氧化剂</w:t>
                  </w:r>
                  <w:r>
                    <w:rPr>
                      <w:rFonts w:hint="default" w:ascii="Times New Roman" w:hAnsi="Times New Roman" w:cs="Times New Roman"/>
                      <w:color w:val="auto"/>
                      <w:kern w:val="0"/>
                      <w:lang w:val="en-US" w:eastAsia="zh-CN"/>
                    </w:rPr>
                    <w:t>接触</w:t>
                  </w:r>
                  <w:r>
                    <w:rPr>
                      <w:rFonts w:hint="default" w:ascii="Times New Roman" w:hAnsi="Times New Roman" w:eastAsia="宋体" w:cs="Times New Roman"/>
                      <w:color w:val="auto"/>
                      <w:kern w:val="0"/>
                    </w:rPr>
                    <w:t>。</w:t>
                  </w:r>
                </w:p>
              </w:tc>
            </w:tr>
            <w:tr w14:paraId="0A72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5" w:type="pct"/>
                  <w:vMerge w:val="continue"/>
                  <w:noWrap w:val="0"/>
                  <w:vAlign w:val="center"/>
                </w:tcPr>
                <w:p w14:paraId="0E0E5FFD">
                  <w:pPr>
                    <w:pStyle w:val="88"/>
                    <w:rPr>
                      <w:rFonts w:hint="default" w:ascii="Times New Roman" w:hAnsi="Times New Roman" w:eastAsia="宋体" w:cs="Times New Roman"/>
                      <w:color w:val="auto"/>
                    </w:rPr>
                  </w:pPr>
                </w:p>
              </w:tc>
              <w:tc>
                <w:tcPr>
                  <w:tcW w:w="4495" w:type="pct"/>
                  <w:gridSpan w:val="2"/>
                  <w:noWrap w:val="0"/>
                  <w:vAlign w:val="center"/>
                </w:tcPr>
                <w:p w14:paraId="63DE8A37">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急性毒性：</w:t>
                  </w:r>
                </w:p>
                <w:p w14:paraId="03FF5778">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①食入：会引起反胃、呕吐、腹部绞痛、腹泻且可能中枢神经系统抑制的症状。在食入</w:t>
                  </w:r>
                  <w:r>
                    <w:rPr>
                      <w:rFonts w:hint="default" w:ascii="Times New Roman" w:hAnsi="Times New Roman" w:cs="Times New Roman"/>
                      <w:color w:val="auto"/>
                      <w:lang w:eastAsia="zh-CN"/>
                    </w:rPr>
                    <w:t>期间</w:t>
                  </w:r>
                  <w:r>
                    <w:rPr>
                      <w:rFonts w:hint="default" w:ascii="Times New Roman" w:hAnsi="Times New Roman" w:eastAsia="宋体" w:cs="Times New Roman"/>
                      <w:color w:val="auto"/>
                    </w:rPr>
                    <w:t>甚至小量的吸入或呕吐会导致严重肺部刺激，而带有咳嗽、反胃、呼吸困难、肺部浮肿、肺炎与死亡。</w:t>
                  </w:r>
                </w:p>
                <w:p w14:paraId="4E6E2BAC">
                  <w:pPr>
                    <w:pStyle w:val="88"/>
                    <w:jc w:val="left"/>
                    <w:rPr>
                      <w:rFonts w:hint="default" w:ascii="Times New Roman" w:hAnsi="Times New Roman" w:eastAsia="宋体" w:cs="Times New Roman"/>
                      <w:color w:val="auto"/>
                    </w:rPr>
                  </w:pPr>
                  <w:r>
                    <w:rPr>
                      <w:rFonts w:hint="default" w:ascii="Times New Roman" w:hAnsi="Times New Roman" w:eastAsia="宋体" w:cs="Times New Roman"/>
                      <w:color w:val="auto"/>
                    </w:rPr>
                    <w:t>②吸入：蒸气或油雾会引起呼吸道刺激。人类暴露会导致立即咳嗽、呼吸困难、发绀且一小时的无知觉。持续闻柴油37 天，则带有痰的大量咳嗽。高浓度，另外也会引起中枢神经系统兴奋随后受抑制，其症状可能为：运动失调、迷惑、头痛、头昏眼花、厌食、反胃、呕吐、虚弱、精神错乱、昏迷。皮肤：会引起痛苦、红色与刺激。</w:t>
                  </w:r>
                </w:p>
                <w:p w14:paraId="47E8BE62">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rPr>
                    <w:t>③眼睛：液体或蒸气会引起轻微刺激。</w:t>
                  </w:r>
                </w:p>
              </w:tc>
            </w:tr>
            <w:tr w14:paraId="54E7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5" w:type="pct"/>
                  <w:vMerge w:val="continue"/>
                  <w:noWrap w:val="0"/>
                  <w:vAlign w:val="center"/>
                </w:tcPr>
                <w:p w14:paraId="678F0922">
                  <w:pPr>
                    <w:pStyle w:val="88"/>
                    <w:rPr>
                      <w:rFonts w:hint="default" w:ascii="Times New Roman" w:hAnsi="Times New Roman" w:eastAsia="宋体" w:cs="Times New Roman"/>
                      <w:color w:val="auto"/>
                    </w:rPr>
                  </w:pPr>
                </w:p>
              </w:tc>
              <w:tc>
                <w:tcPr>
                  <w:tcW w:w="4495" w:type="pct"/>
                  <w:gridSpan w:val="2"/>
                  <w:noWrap w:val="0"/>
                  <w:vAlign w:val="center"/>
                </w:tcPr>
                <w:p w14:paraId="3EB1C51C">
                  <w:pPr>
                    <w:pStyle w:val="88"/>
                    <w:jc w:val="left"/>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燃爆危险性：</w:t>
                  </w:r>
                  <w:r>
                    <w:rPr>
                      <w:rFonts w:hint="default" w:ascii="Times New Roman" w:hAnsi="Times New Roman" w:eastAsia="宋体" w:cs="Times New Roman"/>
                      <w:color w:val="auto"/>
                    </w:rPr>
                    <w:t>可燃液体。</w:t>
                  </w:r>
                </w:p>
              </w:tc>
            </w:tr>
          </w:tbl>
          <w:p w14:paraId="0C4C0994">
            <w:pPr>
              <w:pStyle w:val="62"/>
              <w:spacing w:line="360" w:lineRule="auto"/>
              <w:ind w:firstLine="0" w:firstLineChars="0"/>
              <w:rPr>
                <w:rFonts w:hint="default" w:ascii="Times New Roman" w:hAnsi="Times New Roman" w:eastAsia="宋体" w:cs="Times New Roman"/>
                <w:b/>
                <w:bCs w:val="0"/>
                <w:color w:val="auto"/>
              </w:rPr>
            </w:pPr>
            <w:r>
              <w:rPr>
                <w:rFonts w:hint="default" w:ascii="Times New Roman" w:hAnsi="Times New Roman" w:eastAsia="宋体" w:cs="Times New Roman"/>
                <w:b/>
                <w:bCs w:val="0"/>
                <w:color w:val="auto"/>
              </w:rPr>
              <w:t>4.2.7.2风险潜势初判</w:t>
            </w:r>
          </w:p>
          <w:p w14:paraId="21DB08A0">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根据《建设项目环境风险评价技术导则》（HJ169-2018）附录B.1，计算所涉及的每种危险物质在场界内的最大存在总量与其在附录 B 中对应临界量的比值</w:t>
            </w:r>
            <w:r>
              <w:rPr>
                <w:rFonts w:hint="default" w:ascii="Times New Roman" w:hAnsi="Times New Roman" w:eastAsia="宋体" w:cs="Times New Roman"/>
                <w:iCs/>
                <w:color w:val="auto"/>
                <w:sz w:val="24"/>
              </w:rPr>
              <w:t>Q。</w:t>
            </w:r>
          </w:p>
          <w:p w14:paraId="0A1C2908">
            <w:pPr>
              <w:widowControl/>
              <w:adjustRightInd w:val="0"/>
              <w:snapToGrid w:val="0"/>
              <w:spacing w:line="360" w:lineRule="auto"/>
              <w:ind w:firstLine="561"/>
              <w:rPr>
                <w:rFonts w:hint="default" w:ascii="Times New Roman" w:hAnsi="Times New Roman" w:eastAsia="宋体" w:cs="Times New Roman"/>
                <w:color w:val="auto"/>
                <w:kern w:val="0"/>
                <w:sz w:val="24"/>
                <w:szCs w:val="22"/>
              </w:rPr>
            </w:pPr>
            <w:r>
              <w:rPr>
                <w:rFonts w:hint="default" w:ascii="Times New Roman" w:hAnsi="Times New Roman" w:eastAsia="宋体" w:cs="Times New Roman"/>
                <w:color w:val="auto"/>
                <w:kern w:val="0"/>
                <w:sz w:val="24"/>
                <w:szCs w:val="22"/>
              </w:rPr>
              <w:t>当企业只涉及一种风险物质时，该物质的数量与其临界量比值，即为Q。</w:t>
            </w:r>
          </w:p>
          <w:p w14:paraId="7CD409D0">
            <w:pPr>
              <w:widowControl/>
              <w:adjustRightInd w:val="0"/>
              <w:snapToGrid w:val="0"/>
              <w:spacing w:line="360" w:lineRule="auto"/>
              <w:ind w:firstLine="561"/>
              <w:rPr>
                <w:rFonts w:hint="default" w:ascii="Times New Roman" w:hAnsi="Times New Roman" w:eastAsia="宋体" w:cs="Times New Roman"/>
                <w:color w:val="auto"/>
                <w:kern w:val="0"/>
                <w:sz w:val="24"/>
                <w:szCs w:val="22"/>
              </w:rPr>
            </w:pPr>
            <w:r>
              <w:rPr>
                <w:rFonts w:hint="default" w:ascii="Times New Roman" w:hAnsi="Times New Roman" w:eastAsia="宋体" w:cs="Times New Roman"/>
                <w:color w:val="auto"/>
                <w:kern w:val="0"/>
                <w:sz w:val="24"/>
                <w:szCs w:val="22"/>
              </w:rPr>
              <w:t>当企业存在多种风险物质时，则按式（1）计算：</w:t>
            </w:r>
          </w:p>
          <w:p w14:paraId="1F0FC7E6">
            <w:pPr>
              <w:widowControl/>
              <w:adjustRightInd w:val="0"/>
              <w:snapToGrid w:val="0"/>
              <w:spacing w:line="360" w:lineRule="auto"/>
              <w:ind w:firstLine="2699"/>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szCs w:val="22"/>
              </w:rPr>
              <w:drawing>
                <wp:inline distT="0" distB="0" distL="114300" distR="114300">
                  <wp:extent cx="1411605" cy="495300"/>
                  <wp:effectExtent l="0" t="0" r="5715" b="7620"/>
                  <wp:docPr id="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4"/>
                          <pic:cNvPicPr>
                            <a:picLocks noChangeAspect="1"/>
                          </pic:cNvPicPr>
                        </pic:nvPicPr>
                        <pic:blipFill>
                          <a:blip r:embed="rId20"/>
                          <a:stretch>
                            <a:fillRect/>
                          </a:stretch>
                        </pic:blipFill>
                        <pic:spPr>
                          <a:xfrm>
                            <a:off x="0" y="0"/>
                            <a:ext cx="1411605" cy="495300"/>
                          </a:xfrm>
                          <a:prstGeom prst="rect">
                            <a:avLst/>
                          </a:prstGeom>
                          <a:noFill/>
                          <a:ln>
                            <a:noFill/>
                          </a:ln>
                        </pic:spPr>
                      </pic:pic>
                    </a:graphicData>
                  </a:graphic>
                </wp:inline>
              </w:drawing>
            </w:r>
            <w:r>
              <w:rPr>
                <w:rFonts w:hint="default" w:ascii="Times New Roman" w:hAnsi="Times New Roman" w:eastAsia="宋体" w:cs="Times New Roman"/>
                <w:color w:val="auto"/>
                <w:kern w:val="0"/>
                <w:sz w:val="28"/>
                <w:szCs w:val="28"/>
              </w:rPr>
              <w:t xml:space="preserve">        </w:t>
            </w:r>
            <w:r>
              <w:rPr>
                <w:rFonts w:hint="default" w:ascii="Times New Roman" w:hAnsi="Times New Roman" w:eastAsia="宋体" w:cs="Times New Roman"/>
                <w:color w:val="auto"/>
                <w:kern w:val="0"/>
                <w:szCs w:val="21"/>
              </w:rPr>
              <w:t>（1）</w:t>
            </w:r>
          </w:p>
          <w:p w14:paraId="378B9B07">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w:t>
            </w:r>
            <w:r>
              <w:rPr>
                <w:rFonts w:hint="default" w:ascii="Times New Roman" w:hAnsi="Times New Roman" w:eastAsia="宋体" w:cs="Times New Roman"/>
                <w:iCs/>
                <w:color w:val="auto"/>
                <w:sz w:val="24"/>
              </w:rPr>
              <w:t>q</w:t>
            </w:r>
            <w:r>
              <w:rPr>
                <w:rFonts w:hint="default" w:ascii="Times New Roman" w:hAnsi="Times New Roman" w:eastAsia="宋体" w:cs="Times New Roman"/>
                <w:color w:val="auto"/>
                <w:sz w:val="24"/>
                <w:vertAlign w:val="subscript"/>
              </w:rPr>
              <w:t>1</w:t>
            </w:r>
            <w:r>
              <w:rPr>
                <w:rFonts w:hint="default" w:ascii="Times New Roman" w:hAnsi="Times New Roman" w:eastAsia="宋体" w:cs="Times New Roman"/>
                <w:color w:val="auto"/>
                <w:sz w:val="24"/>
              </w:rPr>
              <w:t>，</w:t>
            </w:r>
            <w:r>
              <w:rPr>
                <w:rFonts w:hint="default" w:ascii="Times New Roman" w:hAnsi="Times New Roman" w:eastAsia="宋体" w:cs="Times New Roman"/>
                <w:iCs/>
                <w:color w:val="auto"/>
                <w:sz w:val="24"/>
              </w:rPr>
              <w:t>q</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w:t>
            </w:r>
            <w:r>
              <w:rPr>
                <w:rFonts w:hint="default" w:ascii="Times New Roman" w:hAnsi="Times New Roman" w:eastAsia="宋体" w:cs="Times New Roman"/>
                <w:iCs/>
                <w:color w:val="auto"/>
                <w:sz w:val="24"/>
              </w:rPr>
              <w:t>q</w:t>
            </w:r>
            <w:r>
              <w:rPr>
                <w:rFonts w:hint="default" w:ascii="Times New Roman" w:hAnsi="Times New Roman" w:eastAsia="宋体" w:cs="Times New Roman"/>
                <w:iCs/>
                <w:color w:val="auto"/>
                <w:sz w:val="24"/>
                <w:vertAlign w:val="subscript"/>
              </w:rPr>
              <w:t>n</w:t>
            </w:r>
            <w:r>
              <w:rPr>
                <w:rFonts w:hint="default" w:ascii="Times New Roman" w:hAnsi="Times New Roman" w:eastAsia="宋体" w:cs="Times New Roman"/>
                <w:color w:val="auto"/>
                <w:sz w:val="24"/>
              </w:rPr>
              <w:t>——每种危险物质的最大存在总量，t；</w:t>
            </w:r>
          </w:p>
          <w:p w14:paraId="4970C947">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iCs/>
                <w:color w:val="auto"/>
                <w:sz w:val="24"/>
              </w:rPr>
              <w:t>Q</w:t>
            </w:r>
            <w:r>
              <w:rPr>
                <w:rFonts w:hint="default" w:ascii="Times New Roman" w:hAnsi="Times New Roman" w:eastAsia="宋体" w:cs="Times New Roman"/>
                <w:color w:val="auto"/>
                <w:sz w:val="24"/>
                <w:vertAlign w:val="subscript"/>
              </w:rPr>
              <w:t>1</w:t>
            </w:r>
            <w:r>
              <w:rPr>
                <w:rFonts w:hint="default" w:ascii="Times New Roman" w:hAnsi="Times New Roman" w:eastAsia="宋体" w:cs="Times New Roman"/>
                <w:color w:val="auto"/>
                <w:sz w:val="24"/>
              </w:rPr>
              <w:t>，</w:t>
            </w:r>
            <w:r>
              <w:rPr>
                <w:rFonts w:hint="default" w:ascii="Times New Roman" w:hAnsi="Times New Roman" w:eastAsia="宋体" w:cs="Times New Roman"/>
                <w:iCs/>
                <w:color w:val="auto"/>
                <w:sz w:val="24"/>
              </w:rPr>
              <w:t>Q</w:t>
            </w:r>
            <w:r>
              <w:rPr>
                <w:rFonts w:hint="default" w:ascii="Times New Roman" w:hAnsi="Times New Roman" w:eastAsia="宋体" w:cs="Times New Roman"/>
                <w:color w:val="auto"/>
                <w:sz w:val="24"/>
                <w:vertAlign w:val="subscript"/>
              </w:rPr>
              <w:t>2</w:t>
            </w:r>
            <w:r>
              <w:rPr>
                <w:rFonts w:hint="default" w:ascii="Times New Roman" w:hAnsi="Times New Roman" w:eastAsia="宋体" w:cs="Times New Roman"/>
                <w:color w:val="auto"/>
                <w:sz w:val="24"/>
              </w:rPr>
              <w:t>，...，</w:t>
            </w:r>
            <w:r>
              <w:rPr>
                <w:rFonts w:hint="default" w:ascii="Times New Roman" w:hAnsi="Times New Roman" w:eastAsia="宋体" w:cs="Times New Roman"/>
                <w:iCs/>
                <w:color w:val="auto"/>
                <w:sz w:val="24"/>
              </w:rPr>
              <w:t>Q</w:t>
            </w:r>
            <w:r>
              <w:rPr>
                <w:rFonts w:hint="default" w:ascii="Times New Roman" w:hAnsi="Times New Roman" w:eastAsia="宋体" w:cs="Times New Roman"/>
                <w:iCs/>
                <w:color w:val="auto"/>
                <w:sz w:val="24"/>
                <w:vertAlign w:val="subscript"/>
              </w:rPr>
              <w:t>n</w:t>
            </w:r>
            <w:r>
              <w:rPr>
                <w:rFonts w:hint="default" w:ascii="Times New Roman" w:hAnsi="Times New Roman" w:eastAsia="宋体" w:cs="Times New Roman"/>
                <w:color w:val="auto"/>
                <w:sz w:val="24"/>
              </w:rPr>
              <w:t>——每种危险物质的临界量，t。</w:t>
            </w:r>
          </w:p>
          <w:p w14:paraId="365DBB1D">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当</w:t>
            </w:r>
            <w:r>
              <w:rPr>
                <w:rFonts w:hint="default" w:ascii="Times New Roman" w:hAnsi="Times New Roman" w:eastAsia="宋体" w:cs="Times New Roman"/>
                <w:iCs/>
                <w:color w:val="auto"/>
                <w:sz w:val="24"/>
              </w:rPr>
              <w:t>Q</w:t>
            </w:r>
            <w:r>
              <w:rPr>
                <w:rFonts w:hint="default" w:ascii="Times New Roman" w:hAnsi="Times New Roman" w:eastAsia="宋体" w:cs="Times New Roman"/>
                <w:color w:val="auto"/>
                <w:sz w:val="24"/>
              </w:rPr>
              <w:t>＜1时，该项目环境风险潜势为Ⅰ。</w:t>
            </w:r>
          </w:p>
          <w:p w14:paraId="4011FD88">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当</w:t>
            </w:r>
            <w:r>
              <w:rPr>
                <w:rFonts w:hint="default" w:ascii="Times New Roman" w:hAnsi="Times New Roman" w:eastAsia="宋体" w:cs="Times New Roman"/>
                <w:iCs/>
                <w:color w:val="auto"/>
                <w:sz w:val="24"/>
              </w:rPr>
              <w:t>Q</w:t>
            </w:r>
            <w:r>
              <w:rPr>
                <w:rFonts w:hint="default" w:ascii="Times New Roman" w:hAnsi="Times New Roman" w:eastAsia="宋体" w:cs="Times New Roman"/>
                <w:color w:val="auto"/>
                <w:sz w:val="24"/>
              </w:rPr>
              <w:t>≥1时，将</w:t>
            </w:r>
            <w:r>
              <w:rPr>
                <w:rFonts w:hint="default" w:ascii="Times New Roman" w:hAnsi="Times New Roman" w:eastAsia="宋体" w:cs="Times New Roman"/>
                <w:iCs/>
                <w:color w:val="auto"/>
                <w:sz w:val="24"/>
              </w:rPr>
              <w:t>Q</w:t>
            </w:r>
            <w:r>
              <w:rPr>
                <w:rFonts w:hint="default" w:ascii="Times New Roman" w:hAnsi="Times New Roman" w:eastAsia="宋体" w:cs="Times New Roman"/>
                <w:color w:val="auto"/>
                <w:sz w:val="24"/>
              </w:rPr>
              <w:t>值划分为：（1）1≤</w:t>
            </w:r>
            <w:r>
              <w:rPr>
                <w:rFonts w:hint="default" w:ascii="Times New Roman" w:hAnsi="Times New Roman" w:eastAsia="宋体" w:cs="Times New Roman"/>
                <w:iCs/>
                <w:color w:val="auto"/>
                <w:sz w:val="24"/>
              </w:rPr>
              <w:t>Q</w:t>
            </w:r>
            <w:r>
              <w:rPr>
                <w:rFonts w:hint="default" w:ascii="Times New Roman" w:hAnsi="Times New Roman" w:eastAsia="宋体" w:cs="Times New Roman"/>
                <w:color w:val="auto"/>
                <w:sz w:val="24"/>
              </w:rPr>
              <w:t>＜10；（2）10≤</w:t>
            </w:r>
            <w:r>
              <w:rPr>
                <w:rFonts w:hint="default" w:ascii="Times New Roman" w:hAnsi="Times New Roman" w:eastAsia="宋体" w:cs="Times New Roman"/>
                <w:iCs/>
                <w:color w:val="auto"/>
                <w:sz w:val="24"/>
              </w:rPr>
              <w:t>Q</w:t>
            </w:r>
            <w:r>
              <w:rPr>
                <w:rFonts w:hint="default" w:ascii="Times New Roman" w:hAnsi="Times New Roman" w:eastAsia="宋体" w:cs="Times New Roman"/>
                <w:color w:val="auto"/>
                <w:sz w:val="24"/>
              </w:rPr>
              <w:t>＜100；（3）</w:t>
            </w:r>
            <w:r>
              <w:rPr>
                <w:rFonts w:hint="default" w:ascii="Times New Roman" w:hAnsi="Times New Roman" w:eastAsia="宋体" w:cs="Times New Roman"/>
                <w:iCs/>
                <w:color w:val="auto"/>
                <w:sz w:val="24"/>
              </w:rPr>
              <w:t>Q</w:t>
            </w:r>
            <w:r>
              <w:rPr>
                <w:rFonts w:hint="default" w:ascii="Times New Roman" w:hAnsi="Times New Roman" w:eastAsia="宋体" w:cs="Times New Roman"/>
                <w:color w:val="auto"/>
                <w:sz w:val="24"/>
              </w:rPr>
              <w:t>≥100。</w:t>
            </w:r>
          </w:p>
          <w:p w14:paraId="20FFCD53">
            <w:pPr>
              <w:pStyle w:val="83"/>
              <w:spacing w:line="360" w:lineRule="auto"/>
              <w:ind w:firstLine="240" w:firstLineChars="100"/>
              <w:rPr>
                <w:rFonts w:hint="default" w:ascii="Times New Roman" w:hAnsi="Times New Roman" w:eastAsia="宋体" w:cs="Times New Roman"/>
                <w:b w:val="0"/>
                <w:bCs/>
                <w:color w:val="auto"/>
                <w:sz w:val="24"/>
              </w:rPr>
            </w:pPr>
            <w:r>
              <w:rPr>
                <w:rFonts w:hint="default" w:ascii="Times New Roman" w:hAnsi="Times New Roman" w:eastAsia="宋体" w:cs="Times New Roman"/>
                <w:b w:val="0"/>
                <w:bCs/>
                <w:color w:val="auto"/>
                <w:sz w:val="24"/>
              </w:rPr>
              <w:t>本项目涉及的危险物质临界存储量见表4.2-1</w:t>
            </w:r>
            <w:r>
              <w:rPr>
                <w:rFonts w:hint="default" w:ascii="Times New Roman" w:hAnsi="Times New Roman" w:cs="Times New Roman"/>
                <w:b w:val="0"/>
                <w:bCs/>
                <w:color w:val="auto"/>
                <w:sz w:val="24"/>
                <w:lang w:val="en-US" w:eastAsia="zh-CN"/>
              </w:rPr>
              <w:t>9</w:t>
            </w:r>
            <w:r>
              <w:rPr>
                <w:rFonts w:hint="default" w:ascii="Times New Roman" w:hAnsi="Times New Roman" w:eastAsia="宋体" w:cs="Times New Roman"/>
                <w:b w:val="0"/>
                <w:bCs/>
                <w:color w:val="auto"/>
                <w:sz w:val="24"/>
              </w:rPr>
              <w:t>。</w:t>
            </w:r>
          </w:p>
          <w:p w14:paraId="44C45A64">
            <w:pPr>
              <w:pStyle w:val="26"/>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表4.2-1</w:t>
            </w:r>
            <w:r>
              <w:rPr>
                <w:rFonts w:hint="default" w:ascii="Times New Roman" w:hAnsi="Times New Roman" w:cs="Times New Roman"/>
                <w:bCs/>
                <w:color w:val="auto"/>
                <w:sz w:val="24"/>
                <w:lang w:val="en-US" w:eastAsia="zh-CN"/>
              </w:rPr>
              <w:t>9</w:t>
            </w:r>
            <w:r>
              <w:rPr>
                <w:rFonts w:hint="default" w:ascii="Times New Roman" w:hAnsi="Times New Roman" w:eastAsia="宋体" w:cs="Times New Roman"/>
                <w:bCs/>
                <w:color w:val="auto"/>
                <w:sz w:val="24"/>
              </w:rPr>
              <w:t xml:space="preserve"> 本项目</w:t>
            </w:r>
            <w:r>
              <w:rPr>
                <w:rFonts w:hint="eastAsia" w:cs="Times New Roman"/>
                <w:bCs/>
                <w:color w:val="auto"/>
                <w:sz w:val="24"/>
                <w:lang w:eastAsia="zh-CN"/>
              </w:rPr>
              <w:t>实施</w:t>
            </w:r>
            <w:r>
              <w:rPr>
                <w:rFonts w:hint="default" w:ascii="Times New Roman" w:hAnsi="Times New Roman" w:eastAsia="宋体" w:cs="Times New Roman"/>
                <w:bCs/>
                <w:color w:val="auto"/>
                <w:sz w:val="24"/>
              </w:rPr>
              <w:t>后全厂危险物质贮存一览表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990"/>
              <w:gridCol w:w="1133"/>
              <w:gridCol w:w="1275"/>
              <w:gridCol w:w="1133"/>
              <w:gridCol w:w="995"/>
              <w:gridCol w:w="832"/>
            </w:tblGrid>
            <w:tr w14:paraId="19DA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pct"/>
                  <w:noWrap w:val="0"/>
                  <w:vAlign w:val="center"/>
                </w:tcPr>
                <w:p w14:paraId="21A13CB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序号</w:t>
                  </w:r>
                </w:p>
              </w:tc>
              <w:tc>
                <w:tcPr>
                  <w:tcW w:w="1254" w:type="pct"/>
                  <w:noWrap w:val="0"/>
                  <w:vAlign w:val="center"/>
                </w:tcPr>
                <w:p w14:paraId="1778E768">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危险源名称及规格</w:t>
                  </w:r>
                </w:p>
              </w:tc>
              <w:tc>
                <w:tcPr>
                  <w:tcW w:w="714" w:type="pct"/>
                  <w:noWrap w:val="0"/>
                  <w:vAlign w:val="center"/>
                </w:tcPr>
                <w:p w14:paraId="01479AE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危险物质名称</w:t>
                  </w:r>
                </w:p>
              </w:tc>
              <w:tc>
                <w:tcPr>
                  <w:tcW w:w="803" w:type="pct"/>
                  <w:noWrap w:val="0"/>
                  <w:vAlign w:val="center"/>
                </w:tcPr>
                <w:p w14:paraId="5DEC9F17">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CAS号</w:t>
                  </w:r>
                </w:p>
              </w:tc>
              <w:tc>
                <w:tcPr>
                  <w:tcW w:w="714" w:type="pct"/>
                  <w:noWrap w:val="0"/>
                  <w:vAlign w:val="center"/>
                </w:tcPr>
                <w:p w14:paraId="0C055BD9">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最大存在总量q</w:t>
                  </w:r>
                  <w:r>
                    <w:rPr>
                      <w:rFonts w:hint="default" w:ascii="Times New Roman" w:hAnsi="Times New Roman" w:eastAsia="宋体" w:cs="Times New Roman"/>
                      <w:color w:val="auto"/>
                      <w:sz w:val="21"/>
                      <w:vertAlign w:val="subscript"/>
                    </w:rPr>
                    <w:t>n</w:t>
                  </w:r>
                  <w:r>
                    <w:rPr>
                      <w:rFonts w:hint="default" w:ascii="Times New Roman" w:hAnsi="Times New Roman" w:eastAsia="宋体" w:cs="Times New Roman"/>
                      <w:color w:val="auto"/>
                      <w:sz w:val="21"/>
                    </w:rPr>
                    <w:t>/t</w:t>
                  </w:r>
                </w:p>
              </w:tc>
              <w:tc>
                <w:tcPr>
                  <w:tcW w:w="627" w:type="pct"/>
                  <w:noWrap w:val="0"/>
                  <w:vAlign w:val="center"/>
                </w:tcPr>
                <w:p w14:paraId="4270E601">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临界量Q</w:t>
                  </w:r>
                  <w:r>
                    <w:rPr>
                      <w:rFonts w:hint="default" w:ascii="Times New Roman" w:hAnsi="Times New Roman" w:eastAsia="宋体" w:cs="Times New Roman"/>
                      <w:color w:val="auto"/>
                      <w:sz w:val="21"/>
                      <w:vertAlign w:val="subscript"/>
                    </w:rPr>
                    <w:t>n</w:t>
                  </w:r>
                  <w:r>
                    <w:rPr>
                      <w:rFonts w:hint="default" w:ascii="Times New Roman" w:hAnsi="Times New Roman" w:eastAsia="宋体" w:cs="Times New Roman"/>
                      <w:color w:val="auto"/>
                      <w:sz w:val="21"/>
                    </w:rPr>
                    <w:t>/t</w:t>
                  </w:r>
                </w:p>
              </w:tc>
              <w:tc>
                <w:tcPr>
                  <w:tcW w:w="524" w:type="pct"/>
                  <w:noWrap w:val="0"/>
                  <w:vAlign w:val="center"/>
                </w:tcPr>
                <w:p w14:paraId="3D4BFB6F">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Q值</w:t>
                  </w:r>
                </w:p>
              </w:tc>
            </w:tr>
            <w:tr w14:paraId="5C5D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pct"/>
                  <w:noWrap w:val="0"/>
                  <w:vAlign w:val="center"/>
                </w:tcPr>
                <w:p w14:paraId="7DFA38D1">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w:t>
                  </w:r>
                </w:p>
              </w:tc>
              <w:tc>
                <w:tcPr>
                  <w:tcW w:w="1254" w:type="pct"/>
                  <w:noWrap w:val="0"/>
                  <w:vAlign w:val="center"/>
                </w:tcPr>
                <w:p w14:paraId="03C3FE8A">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92#汽油罐2</w:t>
                  </w:r>
                  <w:r>
                    <w:rPr>
                      <w:rFonts w:hint="default" w:ascii="Times New Roman" w:hAnsi="Times New Roman" w:cs="Times New Roman"/>
                      <w:color w:val="auto"/>
                      <w:sz w:val="21"/>
                      <w:lang w:val="en-US" w:eastAsia="zh-CN"/>
                    </w:rPr>
                    <w:t>5</w:t>
                  </w:r>
                  <w:r>
                    <w:rPr>
                      <w:rFonts w:hint="default" w:ascii="Times New Roman" w:hAnsi="Times New Roman" w:eastAsia="宋体" w:cs="Times New Roman"/>
                      <w:color w:val="auto"/>
                      <w:sz w:val="21"/>
                    </w:rPr>
                    <w:t>m</w:t>
                  </w:r>
                  <w:r>
                    <w:rPr>
                      <w:rFonts w:hint="default" w:ascii="Times New Roman" w:hAnsi="Times New Roman" w:eastAsia="宋体" w:cs="Times New Roman"/>
                      <w:color w:val="auto"/>
                      <w:sz w:val="21"/>
                      <w:vertAlign w:val="superscript"/>
                    </w:rPr>
                    <w:t>3</w:t>
                  </w:r>
                </w:p>
              </w:tc>
              <w:tc>
                <w:tcPr>
                  <w:tcW w:w="714" w:type="pct"/>
                  <w:noWrap w:val="0"/>
                  <w:vAlign w:val="center"/>
                </w:tcPr>
                <w:p w14:paraId="632E8B7F">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汽油</w:t>
                  </w:r>
                </w:p>
              </w:tc>
              <w:tc>
                <w:tcPr>
                  <w:tcW w:w="803" w:type="pct"/>
                  <w:noWrap w:val="0"/>
                  <w:vAlign w:val="center"/>
                </w:tcPr>
                <w:p w14:paraId="056D446C">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86290-81-5</w:t>
                  </w:r>
                </w:p>
              </w:tc>
              <w:tc>
                <w:tcPr>
                  <w:tcW w:w="714" w:type="pct"/>
                  <w:noWrap w:val="0"/>
                  <w:vAlign w:val="center"/>
                </w:tcPr>
                <w:p w14:paraId="54CC8E93">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lang w:val="en-US" w:eastAsia="zh-CN"/>
                    </w:rPr>
                    <w:t>15.4</w:t>
                  </w:r>
                  <w:r>
                    <w:rPr>
                      <w:rFonts w:hint="default" w:ascii="Times New Roman" w:hAnsi="Times New Roman" w:eastAsia="宋体" w:cs="Times New Roman"/>
                      <w:color w:val="auto"/>
                      <w:sz w:val="21"/>
                    </w:rPr>
                    <w:t>1</w:t>
                  </w:r>
                </w:p>
              </w:tc>
              <w:tc>
                <w:tcPr>
                  <w:tcW w:w="627" w:type="pct"/>
                  <w:noWrap w:val="0"/>
                  <w:vAlign w:val="center"/>
                </w:tcPr>
                <w:p w14:paraId="0328C51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2500</w:t>
                  </w:r>
                </w:p>
              </w:tc>
              <w:tc>
                <w:tcPr>
                  <w:tcW w:w="524" w:type="pct"/>
                  <w:noWrap w:val="0"/>
                  <w:vAlign w:val="center"/>
                </w:tcPr>
                <w:p w14:paraId="5C04AEEF">
                  <w:pPr>
                    <w:widowControl/>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rPr>
                    <w:t>0.0</w:t>
                  </w:r>
                  <w:r>
                    <w:rPr>
                      <w:rFonts w:hint="default" w:ascii="Times New Roman" w:hAnsi="Times New Roman" w:eastAsia="宋体" w:cs="Times New Roman"/>
                      <w:color w:val="auto"/>
                      <w:kern w:val="0"/>
                      <w:szCs w:val="21"/>
                      <w:lang w:val="en-US" w:eastAsia="zh-CN"/>
                    </w:rPr>
                    <w:t>06</w:t>
                  </w:r>
                </w:p>
              </w:tc>
            </w:tr>
            <w:tr w14:paraId="742F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pct"/>
                  <w:noWrap w:val="0"/>
                  <w:vAlign w:val="center"/>
                </w:tcPr>
                <w:p w14:paraId="1F904EC9">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w:t>
                  </w:r>
                </w:p>
              </w:tc>
              <w:tc>
                <w:tcPr>
                  <w:tcW w:w="1254" w:type="pct"/>
                  <w:noWrap w:val="0"/>
                  <w:vAlign w:val="center"/>
                </w:tcPr>
                <w:p w14:paraId="7CD0DBA0">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95#汽油罐2</w:t>
                  </w:r>
                  <w:r>
                    <w:rPr>
                      <w:rFonts w:hint="default" w:ascii="Times New Roman" w:hAnsi="Times New Roman" w:cs="Times New Roman"/>
                      <w:color w:val="auto"/>
                      <w:sz w:val="21"/>
                      <w:lang w:val="en-US" w:eastAsia="zh-CN"/>
                    </w:rPr>
                    <w:t>5</w:t>
                  </w:r>
                  <w:r>
                    <w:rPr>
                      <w:rFonts w:hint="default" w:ascii="Times New Roman" w:hAnsi="Times New Roman" w:eastAsia="宋体" w:cs="Times New Roman"/>
                      <w:color w:val="auto"/>
                      <w:sz w:val="21"/>
                    </w:rPr>
                    <w:t>m</w:t>
                  </w:r>
                  <w:r>
                    <w:rPr>
                      <w:rFonts w:hint="default" w:ascii="Times New Roman" w:hAnsi="Times New Roman" w:eastAsia="宋体" w:cs="Times New Roman"/>
                      <w:color w:val="auto"/>
                      <w:sz w:val="21"/>
                      <w:vertAlign w:val="superscript"/>
                    </w:rPr>
                    <w:t>3</w:t>
                  </w:r>
                </w:p>
              </w:tc>
              <w:tc>
                <w:tcPr>
                  <w:tcW w:w="714" w:type="pct"/>
                  <w:noWrap w:val="0"/>
                  <w:vAlign w:val="center"/>
                </w:tcPr>
                <w:p w14:paraId="7B0AE7AC">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汽油</w:t>
                  </w:r>
                </w:p>
              </w:tc>
              <w:tc>
                <w:tcPr>
                  <w:tcW w:w="803" w:type="pct"/>
                  <w:noWrap w:val="0"/>
                  <w:vAlign w:val="center"/>
                </w:tcPr>
                <w:p w14:paraId="5EC5BBF5">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86290-81-5</w:t>
                  </w:r>
                </w:p>
              </w:tc>
              <w:tc>
                <w:tcPr>
                  <w:tcW w:w="714" w:type="pct"/>
                  <w:noWrap w:val="0"/>
                  <w:vAlign w:val="center"/>
                </w:tcPr>
                <w:p w14:paraId="77E67F5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15.66</w:t>
                  </w:r>
                </w:p>
              </w:tc>
              <w:tc>
                <w:tcPr>
                  <w:tcW w:w="627" w:type="pct"/>
                  <w:noWrap w:val="0"/>
                  <w:vAlign w:val="center"/>
                </w:tcPr>
                <w:p w14:paraId="4592909E">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2500</w:t>
                  </w:r>
                </w:p>
              </w:tc>
              <w:tc>
                <w:tcPr>
                  <w:tcW w:w="524" w:type="pct"/>
                  <w:noWrap w:val="0"/>
                  <w:vAlign w:val="center"/>
                </w:tcPr>
                <w:p w14:paraId="07CE0EC4">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0.006</w:t>
                  </w:r>
                </w:p>
              </w:tc>
            </w:tr>
            <w:tr w14:paraId="1401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pct"/>
                  <w:noWrap w:val="0"/>
                  <w:vAlign w:val="center"/>
                </w:tcPr>
                <w:p w14:paraId="722C32B2">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3</w:t>
                  </w:r>
                </w:p>
              </w:tc>
              <w:tc>
                <w:tcPr>
                  <w:tcW w:w="1990" w:type="dxa"/>
                  <w:noWrap w:val="0"/>
                  <w:vAlign w:val="center"/>
                </w:tcPr>
                <w:p w14:paraId="5C82C6F0">
                  <w:pPr>
                    <w:pStyle w:val="77"/>
                    <w:spacing w:line="240" w:lineRule="auto"/>
                    <w:rPr>
                      <w:rFonts w:hint="default" w:ascii="Times New Roman" w:hAnsi="Times New Roman" w:eastAsia="宋体" w:cs="Times New Roman"/>
                      <w:color w:val="auto"/>
                      <w:sz w:val="21"/>
                      <w:lang w:val="en-US"/>
                    </w:rPr>
                  </w:pPr>
                  <w:r>
                    <w:rPr>
                      <w:rFonts w:hint="default" w:ascii="Times New Roman" w:hAnsi="Times New Roman" w:eastAsia="宋体" w:cs="Times New Roman"/>
                      <w:color w:val="auto"/>
                      <w:sz w:val="21"/>
                    </w:rPr>
                    <w:t>9</w:t>
                  </w:r>
                  <w:r>
                    <w:rPr>
                      <w:rFonts w:hint="default" w:ascii="Times New Roman" w:hAnsi="Times New Roman" w:eastAsia="宋体" w:cs="Times New Roman"/>
                      <w:color w:val="auto"/>
                      <w:sz w:val="21"/>
                      <w:lang w:val="en-US" w:eastAsia="zh-CN"/>
                    </w:rPr>
                    <w:t>8</w:t>
                  </w:r>
                  <w:r>
                    <w:rPr>
                      <w:rFonts w:hint="default" w:ascii="Times New Roman" w:hAnsi="Times New Roman" w:eastAsia="宋体" w:cs="Times New Roman"/>
                      <w:color w:val="auto"/>
                      <w:sz w:val="21"/>
                    </w:rPr>
                    <w:t>#汽油罐2</w:t>
                  </w:r>
                  <w:r>
                    <w:rPr>
                      <w:rFonts w:hint="default" w:ascii="Times New Roman" w:hAnsi="Times New Roman" w:cs="Times New Roman"/>
                      <w:color w:val="auto"/>
                      <w:sz w:val="21"/>
                      <w:lang w:val="en-US" w:eastAsia="zh-CN"/>
                    </w:rPr>
                    <w:t>5</w:t>
                  </w:r>
                  <w:r>
                    <w:rPr>
                      <w:rFonts w:hint="default" w:ascii="Times New Roman" w:hAnsi="Times New Roman" w:eastAsia="宋体" w:cs="Times New Roman"/>
                      <w:color w:val="auto"/>
                      <w:sz w:val="21"/>
                    </w:rPr>
                    <w:t>m</w:t>
                  </w:r>
                  <w:r>
                    <w:rPr>
                      <w:rFonts w:hint="default" w:ascii="Times New Roman" w:hAnsi="Times New Roman" w:eastAsia="宋体" w:cs="Times New Roman"/>
                      <w:color w:val="auto"/>
                      <w:sz w:val="21"/>
                      <w:vertAlign w:val="superscript"/>
                    </w:rPr>
                    <w:t>3</w:t>
                  </w:r>
                </w:p>
              </w:tc>
              <w:tc>
                <w:tcPr>
                  <w:tcW w:w="1133" w:type="dxa"/>
                  <w:noWrap w:val="0"/>
                  <w:vAlign w:val="center"/>
                </w:tcPr>
                <w:p w14:paraId="2438BF36">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汽油</w:t>
                  </w:r>
                </w:p>
              </w:tc>
              <w:tc>
                <w:tcPr>
                  <w:tcW w:w="1275" w:type="dxa"/>
                  <w:noWrap w:val="0"/>
                  <w:vAlign w:val="center"/>
                </w:tcPr>
                <w:p w14:paraId="774122EA">
                  <w:pPr>
                    <w:pStyle w:val="77"/>
                    <w:spacing w:line="240" w:lineRule="auto"/>
                    <w:rPr>
                      <w:rFonts w:hint="default" w:ascii="Times New Roman" w:hAnsi="Times New Roman" w:eastAsia="宋体" w:cs="Times New Roman"/>
                      <w:color w:val="auto"/>
                      <w:sz w:val="21"/>
                      <w:lang w:val="en-US"/>
                    </w:rPr>
                  </w:pPr>
                  <w:r>
                    <w:rPr>
                      <w:rFonts w:hint="default" w:ascii="Times New Roman" w:hAnsi="Times New Roman" w:eastAsia="宋体" w:cs="Times New Roman"/>
                      <w:color w:val="auto"/>
                      <w:sz w:val="21"/>
                    </w:rPr>
                    <w:t>86290-81-5</w:t>
                  </w:r>
                </w:p>
              </w:tc>
              <w:tc>
                <w:tcPr>
                  <w:tcW w:w="1133" w:type="dxa"/>
                  <w:noWrap w:val="0"/>
                  <w:vAlign w:val="center"/>
                </w:tcPr>
                <w:p w14:paraId="410C72E5">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15.73</w:t>
                  </w:r>
                </w:p>
              </w:tc>
              <w:tc>
                <w:tcPr>
                  <w:tcW w:w="995" w:type="dxa"/>
                  <w:noWrap w:val="0"/>
                  <w:vAlign w:val="center"/>
                </w:tcPr>
                <w:p w14:paraId="3BB67509">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2500</w:t>
                  </w:r>
                </w:p>
              </w:tc>
              <w:tc>
                <w:tcPr>
                  <w:tcW w:w="832" w:type="dxa"/>
                  <w:noWrap w:val="0"/>
                  <w:vAlign w:val="center"/>
                </w:tcPr>
                <w:p w14:paraId="15D2FF6F">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0.006</w:t>
                  </w:r>
                </w:p>
              </w:tc>
            </w:tr>
            <w:tr w14:paraId="13B5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4" w:type="pct"/>
                  <w:noWrap w:val="0"/>
                  <w:vAlign w:val="center"/>
                </w:tcPr>
                <w:p w14:paraId="24E8FEAC">
                  <w:pPr>
                    <w:pStyle w:val="77"/>
                    <w:spacing w:line="240" w:lineRule="auto"/>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lang w:val="en-US" w:eastAsia="zh-CN"/>
                    </w:rPr>
                    <w:t>4</w:t>
                  </w:r>
                </w:p>
              </w:tc>
              <w:tc>
                <w:tcPr>
                  <w:tcW w:w="1254" w:type="pct"/>
                  <w:noWrap w:val="0"/>
                  <w:vAlign w:val="center"/>
                </w:tcPr>
                <w:p w14:paraId="203396D3">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0#柴油罐2</w:t>
                  </w:r>
                  <w:r>
                    <w:rPr>
                      <w:rFonts w:hint="default" w:ascii="Times New Roman" w:hAnsi="Times New Roman" w:cs="Times New Roman"/>
                      <w:color w:val="auto"/>
                      <w:sz w:val="21"/>
                      <w:lang w:val="en-US" w:eastAsia="zh-CN"/>
                    </w:rPr>
                    <w:t>5</w:t>
                  </w:r>
                  <w:r>
                    <w:rPr>
                      <w:rFonts w:hint="default" w:ascii="Times New Roman" w:hAnsi="Times New Roman" w:eastAsia="宋体" w:cs="Times New Roman"/>
                      <w:color w:val="auto"/>
                      <w:sz w:val="21"/>
                    </w:rPr>
                    <w:t>m</w:t>
                  </w:r>
                  <w:r>
                    <w:rPr>
                      <w:rFonts w:hint="default" w:ascii="Times New Roman" w:hAnsi="Times New Roman" w:eastAsia="宋体" w:cs="Times New Roman"/>
                      <w:color w:val="auto"/>
                      <w:sz w:val="21"/>
                      <w:vertAlign w:val="superscript"/>
                    </w:rPr>
                    <w:t>3</w:t>
                  </w:r>
                </w:p>
              </w:tc>
              <w:tc>
                <w:tcPr>
                  <w:tcW w:w="714" w:type="pct"/>
                  <w:noWrap w:val="0"/>
                  <w:vAlign w:val="center"/>
                </w:tcPr>
                <w:p w14:paraId="048F47C6">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柴油</w:t>
                  </w:r>
                </w:p>
              </w:tc>
              <w:tc>
                <w:tcPr>
                  <w:tcW w:w="803" w:type="pct"/>
                  <w:noWrap w:val="0"/>
                  <w:vAlign w:val="center"/>
                </w:tcPr>
                <w:p w14:paraId="68502A3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68334-30-5</w:t>
                  </w:r>
                </w:p>
              </w:tc>
              <w:tc>
                <w:tcPr>
                  <w:tcW w:w="714" w:type="pct"/>
                  <w:noWrap w:val="0"/>
                  <w:vAlign w:val="center"/>
                </w:tcPr>
                <w:p w14:paraId="1E6EEF32">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18.90</w:t>
                  </w:r>
                </w:p>
              </w:tc>
              <w:tc>
                <w:tcPr>
                  <w:tcW w:w="627" w:type="pct"/>
                  <w:noWrap w:val="0"/>
                  <w:vAlign w:val="center"/>
                </w:tcPr>
                <w:p w14:paraId="6044276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2500</w:t>
                  </w:r>
                </w:p>
              </w:tc>
              <w:tc>
                <w:tcPr>
                  <w:tcW w:w="524" w:type="pct"/>
                  <w:noWrap w:val="0"/>
                  <w:vAlign w:val="center"/>
                </w:tcPr>
                <w:p w14:paraId="6D495DA0">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0.008</w:t>
                  </w:r>
                </w:p>
              </w:tc>
            </w:tr>
            <w:tr w14:paraId="5EBB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76" w:type="pct"/>
                  <w:gridSpan w:val="6"/>
                  <w:noWrap w:val="0"/>
                  <w:vAlign w:val="center"/>
                </w:tcPr>
                <w:p w14:paraId="30C9055C">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项目Q值Σ</w:t>
                  </w:r>
                </w:p>
              </w:tc>
              <w:tc>
                <w:tcPr>
                  <w:tcW w:w="524" w:type="pct"/>
                  <w:noWrap w:val="0"/>
                  <w:vAlign w:val="center"/>
                </w:tcPr>
                <w:p w14:paraId="56CEFD1D">
                  <w:pPr>
                    <w:pStyle w:val="77"/>
                    <w:spacing w:line="240" w:lineRule="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rPr>
                    <w:t>0.0</w:t>
                  </w:r>
                  <w:r>
                    <w:rPr>
                      <w:rFonts w:hint="default" w:ascii="Times New Roman" w:hAnsi="Times New Roman" w:cs="Times New Roman"/>
                      <w:color w:val="auto"/>
                      <w:sz w:val="21"/>
                      <w:lang w:val="en-US" w:eastAsia="zh-CN"/>
                    </w:rPr>
                    <w:t>26</w:t>
                  </w:r>
                </w:p>
              </w:tc>
            </w:tr>
          </w:tbl>
          <w:p w14:paraId="30783356">
            <w:pPr>
              <w:pStyle w:val="62"/>
              <w:spacing w:line="240" w:lineRule="auto"/>
              <w:ind w:firstLine="480"/>
              <w:rPr>
                <w:rFonts w:hint="default" w:ascii="Times New Roman" w:hAnsi="Times New Roman" w:eastAsia="宋体" w:cs="Times New Roman"/>
                <w:color w:val="auto"/>
                <w:sz w:val="24"/>
                <w:szCs w:val="24"/>
              </w:rPr>
            </w:pPr>
          </w:p>
          <w:p w14:paraId="1D33C6AE">
            <w:pPr>
              <w:pStyle w:val="62"/>
              <w:spacing w:line="360" w:lineRule="auto"/>
              <w:ind w:firstLine="480"/>
              <w:rPr>
                <w:rFonts w:hint="default" w:ascii="Times New Roman" w:hAnsi="Times New Roman" w:eastAsia="宋体" w:cs="Times New Roman"/>
                <w:bCs w:val="0"/>
                <w:color w:val="auto"/>
              </w:rPr>
            </w:pPr>
            <w:r>
              <w:rPr>
                <w:rFonts w:hint="default" w:ascii="Times New Roman" w:hAnsi="Times New Roman" w:eastAsia="宋体" w:cs="Times New Roman"/>
                <w:color w:val="auto"/>
                <w:sz w:val="24"/>
                <w:szCs w:val="24"/>
              </w:rPr>
              <w:t>经计算，Q=0.0</w:t>
            </w:r>
            <w:r>
              <w:rPr>
                <w:rFonts w:hint="default" w:ascii="Times New Roman" w:hAnsi="Times New Roman" w:cs="Times New Roman"/>
                <w:color w:val="auto"/>
                <w:sz w:val="24"/>
                <w:szCs w:val="24"/>
                <w:lang w:val="en-US" w:eastAsia="zh-CN"/>
              </w:rPr>
              <w:t>26</w:t>
            </w:r>
            <w:r>
              <w:rPr>
                <w:rFonts w:hint="default" w:ascii="Times New Roman" w:hAnsi="Times New Roman" w:eastAsia="宋体" w:cs="Times New Roman"/>
                <w:color w:val="auto"/>
                <w:sz w:val="24"/>
                <w:szCs w:val="24"/>
              </w:rPr>
              <w:t>＜1，该项目环</w:t>
            </w:r>
            <w:r>
              <w:rPr>
                <w:rFonts w:hint="default" w:ascii="Times New Roman" w:hAnsi="Times New Roman" w:eastAsia="宋体" w:cs="Times New Roman"/>
                <w:bCs w:val="0"/>
                <w:color w:val="auto"/>
                <w:sz w:val="24"/>
                <w:szCs w:val="24"/>
              </w:rPr>
              <w:t>境风险潜势为Ⅰ。</w:t>
            </w:r>
          </w:p>
          <w:p w14:paraId="4FBEAE13">
            <w:pPr>
              <w:pStyle w:val="65"/>
              <w:spacing w:line="360" w:lineRule="auto"/>
              <w:rPr>
                <w:rFonts w:hint="default" w:ascii="Times New Roman" w:hAnsi="Times New Roman" w:eastAsia="宋体" w:cs="Times New Roman"/>
                <w:color w:val="auto"/>
              </w:rPr>
            </w:pPr>
            <w:r>
              <w:rPr>
                <w:rFonts w:hint="default" w:ascii="Times New Roman" w:hAnsi="Times New Roman" w:eastAsia="宋体" w:cs="Times New Roman"/>
                <w:color w:val="auto"/>
              </w:rPr>
              <w:t>4.2.7.3风险影响途径</w:t>
            </w:r>
          </w:p>
          <w:p w14:paraId="65B1A2D6">
            <w:pPr>
              <w:pStyle w:val="62"/>
              <w:spacing w:line="360" w:lineRule="auto"/>
              <w:ind w:firstLine="48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油品运输过程及储罐区的风险主要为溢油（跑、冒、漏）、火灾爆炸，油品由有资质的单位实施，本次评价不分析运输过程中的环境风险。本项目主要环境风险见下表4.2-</w:t>
            </w:r>
            <w:r>
              <w:rPr>
                <w:rFonts w:hint="default" w:ascii="Times New Roman" w:hAnsi="Times New Roman" w:cs="Times New Roman"/>
                <w:color w:val="auto"/>
                <w:sz w:val="24"/>
                <w:lang w:val="en-US" w:eastAsia="zh-CN"/>
              </w:rPr>
              <w:t>20</w:t>
            </w:r>
            <w:r>
              <w:rPr>
                <w:rFonts w:hint="default" w:ascii="Times New Roman" w:hAnsi="Times New Roman" w:eastAsia="宋体" w:cs="Times New Roman"/>
                <w:color w:val="auto"/>
                <w:sz w:val="24"/>
              </w:rPr>
              <w:t>。</w:t>
            </w:r>
          </w:p>
          <w:p w14:paraId="35FE0E1A">
            <w:pPr>
              <w:pStyle w:val="26"/>
              <w:jc w:val="center"/>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表4.2-</w:t>
            </w:r>
            <w:r>
              <w:rPr>
                <w:rFonts w:hint="default" w:ascii="Times New Roman" w:hAnsi="Times New Roman" w:cs="Times New Roman"/>
                <w:bCs/>
                <w:color w:val="auto"/>
                <w:sz w:val="24"/>
                <w:lang w:val="en-US" w:eastAsia="zh-CN"/>
              </w:rPr>
              <w:t>20</w:t>
            </w:r>
            <w:r>
              <w:rPr>
                <w:rFonts w:hint="default" w:ascii="Times New Roman" w:hAnsi="Times New Roman" w:eastAsia="宋体" w:cs="Times New Roman"/>
                <w:bCs/>
                <w:color w:val="auto"/>
                <w:sz w:val="24"/>
              </w:rPr>
              <w:t xml:space="preserve"> 本项目主要环境风险特征</w:t>
            </w:r>
          </w:p>
          <w:tbl>
            <w:tblPr>
              <w:tblStyle w:val="19"/>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99"/>
              <w:gridCol w:w="2545"/>
              <w:gridCol w:w="3599"/>
            </w:tblGrid>
            <w:tr w14:paraId="0C09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 w:type="pct"/>
                  <w:noWrap w:val="0"/>
                  <w:vAlign w:val="center"/>
                </w:tcPr>
                <w:p w14:paraId="5CCC07C2">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序号</w:t>
                  </w:r>
                </w:p>
              </w:tc>
              <w:tc>
                <w:tcPr>
                  <w:tcW w:w="747" w:type="pct"/>
                  <w:noWrap w:val="0"/>
                  <w:vAlign w:val="center"/>
                </w:tcPr>
                <w:p w14:paraId="5E02B79A">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风险类型</w:t>
                  </w:r>
                </w:p>
              </w:tc>
              <w:tc>
                <w:tcPr>
                  <w:tcW w:w="1587" w:type="pct"/>
                  <w:noWrap w:val="0"/>
                  <w:vAlign w:val="center"/>
                </w:tcPr>
                <w:p w14:paraId="48318945">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危害</w:t>
                  </w:r>
                </w:p>
              </w:tc>
              <w:tc>
                <w:tcPr>
                  <w:tcW w:w="2245" w:type="pct"/>
                  <w:noWrap w:val="0"/>
                  <w:vAlign w:val="center"/>
                </w:tcPr>
                <w:p w14:paraId="17B2BF07">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原因分析</w:t>
                  </w:r>
                </w:p>
              </w:tc>
            </w:tr>
            <w:tr w14:paraId="3BDA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 w:type="pct"/>
                  <w:noWrap w:val="0"/>
                  <w:vAlign w:val="center"/>
                </w:tcPr>
                <w:p w14:paraId="0D6B7332">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1</w:t>
                  </w:r>
                </w:p>
              </w:tc>
              <w:tc>
                <w:tcPr>
                  <w:tcW w:w="747" w:type="pct"/>
                  <w:noWrap w:val="0"/>
                  <w:vAlign w:val="center"/>
                </w:tcPr>
                <w:p w14:paraId="17612691">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溢油（跑、冒、漏）</w:t>
                  </w:r>
                </w:p>
              </w:tc>
              <w:tc>
                <w:tcPr>
                  <w:tcW w:w="1587" w:type="pct"/>
                  <w:noWrap w:val="0"/>
                  <w:vAlign w:val="center"/>
                </w:tcPr>
                <w:p w14:paraId="0E297DB0">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污染地表水</w:t>
                  </w:r>
                </w:p>
                <w:p w14:paraId="3A9DAEF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污染地下水</w:t>
                  </w:r>
                </w:p>
                <w:p w14:paraId="25B9918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引起火灾爆炸</w:t>
                  </w:r>
                </w:p>
                <w:p w14:paraId="30B847B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污染环境空气</w:t>
                  </w:r>
                </w:p>
              </w:tc>
              <w:tc>
                <w:tcPr>
                  <w:tcW w:w="2245" w:type="pct"/>
                  <w:noWrap w:val="0"/>
                  <w:vAlign w:val="center"/>
                </w:tcPr>
                <w:p w14:paraId="3AAFE982">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油罐及泵、管道破损</w:t>
                  </w:r>
                </w:p>
                <w:p w14:paraId="70738F69">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阀门壳、盖孔泄露或阀杆损坏</w:t>
                  </w:r>
                </w:p>
                <w:p w14:paraId="12CF13B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油罐及管道受腐蚀</w:t>
                  </w:r>
                </w:p>
                <w:p w14:paraId="749E0C83">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油罐液泛、突沸、渗漏、操作错误</w:t>
                  </w:r>
                </w:p>
              </w:tc>
            </w:tr>
            <w:tr w14:paraId="2277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 w:type="pct"/>
                  <w:noWrap w:val="0"/>
                  <w:vAlign w:val="center"/>
                </w:tcPr>
                <w:p w14:paraId="17C5D42D">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2</w:t>
                  </w:r>
                </w:p>
              </w:tc>
              <w:tc>
                <w:tcPr>
                  <w:tcW w:w="747" w:type="pct"/>
                  <w:noWrap w:val="0"/>
                  <w:vAlign w:val="center"/>
                </w:tcPr>
                <w:p w14:paraId="6C20E23E">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火灾爆炸</w:t>
                  </w:r>
                </w:p>
              </w:tc>
              <w:tc>
                <w:tcPr>
                  <w:tcW w:w="1587" w:type="pct"/>
                  <w:noWrap w:val="0"/>
                  <w:vAlign w:val="center"/>
                </w:tcPr>
                <w:p w14:paraId="6537486F">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财产损失</w:t>
                  </w:r>
                </w:p>
                <w:p w14:paraId="72F153FB">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人员伤亡</w:t>
                  </w:r>
                </w:p>
                <w:p w14:paraId="4E09E865">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污染大气环境及水环境</w:t>
                  </w:r>
                </w:p>
              </w:tc>
              <w:tc>
                <w:tcPr>
                  <w:tcW w:w="2245" w:type="pct"/>
                  <w:noWrap w:val="0"/>
                  <w:vAlign w:val="center"/>
                </w:tcPr>
                <w:p w14:paraId="3C88B084">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油品泄漏</w:t>
                  </w:r>
                </w:p>
                <w:p w14:paraId="3D5CEDDE">
                  <w:pPr>
                    <w:pStyle w:val="77"/>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sz w:val="21"/>
                    </w:rPr>
                    <w:t>存在机械、高温、电器、化学火源、静电</w:t>
                  </w:r>
                </w:p>
              </w:tc>
            </w:tr>
          </w:tbl>
          <w:p w14:paraId="0DFE8605">
            <w:pPr>
              <w:pStyle w:val="65"/>
              <w:spacing w:line="240" w:lineRule="auto"/>
              <w:rPr>
                <w:rFonts w:hint="default" w:ascii="Times New Roman" w:hAnsi="Times New Roman" w:eastAsia="宋体" w:cs="Times New Roman"/>
                <w:color w:val="auto"/>
                <w:sz w:val="24"/>
              </w:rPr>
            </w:pPr>
          </w:p>
          <w:p w14:paraId="34B4BB08">
            <w:pPr>
              <w:pStyle w:val="65"/>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4.2.7.4环境风险防范措施</w:t>
            </w:r>
          </w:p>
          <w:p w14:paraId="46A647CE">
            <w:pPr>
              <w:pStyle w:val="65"/>
              <w:spacing w:line="360" w:lineRule="auto"/>
              <w:ind w:firstLine="480" w:firstLineChars="200"/>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（1）</w:t>
            </w:r>
            <w:r>
              <w:rPr>
                <w:rFonts w:hint="default" w:ascii="Times New Roman" w:hAnsi="Times New Roman" w:cs="Times New Roman"/>
                <w:b w:val="0"/>
                <w:color w:val="auto"/>
                <w:sz w:val="24"/>
                <w:szCs w:val="24"/>
                <w:lang w:eastAsia="zh-CN"/>
              </w:rPr>
              <w:t>泄漏风险</w:t>
            </w:r>
            <w:r>
              <w:rPr>
                <w:rFonts w:hint="default" w:ascii="Times New Roman" w:hAnsi="Times New Roman" w:eastAsia="宋体" w:cs="Times New Roman"/>
                <w:b w:val="0"/>
                <w:color w:val="auto"/>
                <w:sz w:val="24"/>
                <w:szCs w:val="24"/>
              </w:rPr>
              <w:t>防范措施</w:t>
            </w:r>
          </w:p>
          <w:p w14:paraId="1C964BFD">
            <w:pPr>
              <w:pStyle w:val="65"/>
              <w:spacing w:line="360" w:lineRule="auto"/>
              <w:ind w:firstLine="480" w:firstLineChars="200"/>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①本项目汽油罐和柴油罐均采取单层卧式储罐+防渗池，满足防渗需求。每个油罐设置通气立管，通气管高出地面大于4m，并安装阻火器。</w:t>
            </w:r>
            <w:r>
              <w:rPr>
                <w:rFonts w:hint="default" w:ascii="Times New Roman" w:hAnsi="Times New Roman" w:eastAsia="宋体" w:cs="Times New Roman"/>
                <w:b w:val="0"/>
                <w:color w:val="auto"/>
                <w:sz w:val="24"/>
                <w:szCs w:val="24"/>
                <w:lang w:val="en-US" w:eastAsia="zh-CN"/>
              </w:rPr>
              <w:t>油罐人孔操作井、卸油口井均密封处理。油罐采用卸油防满溢措施，</w:t>
            </w:r>
            <w:r>
              <w:rPr>
                <w:rFonts w:hint="default" w:ascii="Times New Roman" w:hAnsi="Times New Roman" w:eastAsia="宋体" w:cs="Times New Roman"/>
                <w:b w:val="0"/>
                <w:color w:val="auto"/>
                <w:sz w:val="24"/>
                <w:szCs w:val="24"/>
              </w:rPr>
              <w:t>汽油充装达到油罐容积85%，柴油充装达到油罐容积90%，触动高液位报警装置，自动停止油料继续进罐。每个油罐各自设置卸油管道和卸油接口，各卸油接口及油气回收接口，有明显的标识，卸油接口装设快速接头及密封盖。</w:t>
            </w:r>
          </w:p>
          <w:p w14:paraId="231968F3">
            <w:pPr>
              <w:pStyle w:val="65"/>
              <w:spacing w:line="360" w:lineRule="auto"/>
              <w:ind w:firstLine="480" w:firstLineChars="200"/>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color w:val="auto"/>
                <w:sz w:val="24"/>
                <w:szCs w:val="24"/>
              </w:rPr>
              <w:t>②储油罐设带有高液位报警功能的液位计，避免卸油时计量失误使罐内液位过高造成冒油。卸油时有专人监督和监控设施，若出现泄漏事故，一般可在1min内关闭阀门并进行控制处理。</w:t>
            </w:r>
          </w:p>
          <w:p w14:paraId="58C70475">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w:t>
            </w:r>
            <w:r>
              <w:rPr>
                <w:rFonts w:hint="default" w:ascii="Times New Roman" w:hAnsi="Times New Roman" w:eastAsia="宋体" w:cs="Times New Roman"/>
                <w:color w:val="auto"/>
                <w:sz w:val="24"/>
                <w:szCs w:val="24"/>
                <w:lang w:val="en-US" w:eastAsia="zh-CN"/>
              </w:rPr>
              <w:t>加油机底槽采用成品集油盆并填沙，</w:t>
            </w:r>
            <w:r>
              <w:rPr>
                <w:rFonts w:hint="default" w:ascii="Times New Roman" w:hAnsi="Times New Roman" w:eastAsia="宋体" w:cs="Times New Roman"/>
                <w:color w:val="auto"/>
                <w:sz w:val="24"/>
                <w:szCs w:val="24"/>
              </w:rPr>
              <w:t>定期对油品储存、输送、零售环节的设备、阀门、法兰盘、管道等进行检修、维护和保养，输油管道为埋地双层无缝钢管，采用防锈漆防锈、聚乙烯胶粘带加强绝缘防腐，由于采取严格防范措施，埋地管道发生泄漏事故情况极少。</w:t>
            </w:r>
          </w:p>
          <w:p w14:paraId="546DDF4F">
            <w:pPr>
              <w:pStyle w:val="65"/>
              <w:spacing w:line="360" w:lineRule="auto"/>
              <w:ind w:firstLine="480" w:firstLineChars="200"/>
              <w:rPr>
                <w:rFonts w:hint="default" w:ascii="Times New Roman" w:hAnsi="Times New Roman" w:eastAsia="宋体" w:cs="Times New Roman"/>
                <w:b w:val="0"/>
                <w:color w:val="auto"/>
                <w:sz w:val="24"/>
                <w:szCs w:val="24"/>
              </w:rPr>
            </w:pPr>
            <w:r>
              <w:rPr>
                <w:rFonts w:hint="default" w:ascii="Times New Roman" w:hAnsi="Times New Roman" w:eastAsia="宋体" w:cs="Times New Roman"/>
                <w:b w:val="0"/>
                <w:bCs w:val="0"/>
                <w:color w:val="auto"/>
                <w:sz w:val="24"/>
                <w:szCs w:val="24"/>
              </w:rPr>
              <w:t>（2</w:t>
            </w:r>
            <w:r>
              <w:rPr>
                <w:rFonts w:hint="default" w:ascii="Times New Roman" w:hAnsi="Times New Roman" w:eastAsia="宋体" w:cs="Times New Roman"/>
                <w:b w:val="0"/>
                <w:color w:val="auto"/>
                <w:sz w:val="24"/>
                <w:szCs w:val="24"/>
              </w:rPr>
              <w:t>）火灾事故风险防范措施</w:t>
            </w:r>
          </w:p>
          <w:p w14:paraId="0202BFA1">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①建立、完善安全管理制度；</w:t>
            </w:r>
          </w:p>
          <w:p w14:paraId="74140931">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②设立安全标识，加油站内设立禁止吸烟、禁止打手机的警示牌，严格禁止站内明火、电焊等作业；</w:t>
            </w:r>
          </w:p>
          <w:p w14:paraId="01C0D958">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③对每个工作人员进行消防培训，提高安全防范意识，加强员工的安全技术培训，规范安全操作；</w:t>
            </w:r>
          </w:p>
          <w:p w14:paraId="68F63367">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④加强日常防火巡查，加强设备管理，做好防雷、消除静电工作，加油软管设拉断截止阀；</w:t>
            </w:r>
          </w:p>
          <w:p w14:paraId="4F780CF5">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⑤在加油站内设有仪表值班室，对工艺区等处可燃气体的泄漏情况进行集中监测，异常报警和联动。另外，还在站区配有便携式可燃气体检测报警仪，供工作人员进入生产区时使用；</w:t>
            </w:r>
          </w:p>
          <w:p w14:paraId="6F29C678">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⑥加油站配备有</w:t>
            </w:r>
            <w:r>
              <w:rPr>
                <w:rFonts w:hint="eastAsia" w:cs="Times New Roman"/>
                <w:color w:val="auto"/>
                <w:sz w:val="24"/>
                <w:szCs w:val="24"/>
                <w:lang w:eastAsia="zh-CN"/>
              </w:rPr>
              <w:t>消防沙</w:t>
            </w:r>
            <w:r>
              <w:rPr>
                <w:rFonts w:hint="default" w:ascii="Times New Roman" w:hAnsi="Times New Roman" w:eastAsia="宋体" w:cs="Times New Roman"/>
                <w:color w:val="auto"/>
                <w:sz w:val="24"/>
                <w:szCs w:val="24"/>
              </w:rPr>
              <w:t>池、灭火器，灭火毯等；</w:t>
            </w:r>
          </w:p>
          <w:p w14:paraId="2D491ED1">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⑦</w:t>
            </w:r>
            <w:r>
              <w:rPr>
                <w:rFonts w:hint="default" w:ascii="Times New Roman" w:hAnsi="Times New Roman" w:eastAsia="宋体" w:cs="Times New Roman"/>
                <w:color w:val="auto"/>
                <w:sz w:val="24"/>
                <w:szCs w:val="24"/>
                <w:lang w:val="en-US" w:eastAsia="zh-CN"/>
              </w:rPr>
              <w:t>卸油区和加油站设置环保沟，初期雨水通过环保沟收集进入三段式隔油池处理；事故状态下，消防水及场地清洗废水经环保沟收集进入三段式隔油池处理</w:t>
            </w:r>
            <w:r>
              <w:rPr>
                <w:rFonts w:hint="default" w:ascii="Times New Roman" w:hAnsi="Times New Roman" w:eastAsia="宋体" w:cs="Times New Roman"/>
                <w:color w:val="auto"/>
                <w:sz w:val="24"/>
                <w:szCs w:val="24"/>
              </w:rPr>
              <w:t>。</w:t>
            </w:r>
          </w:p>
          <w:p w14:paraId="3B0DC853">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另外，企业应按照《企业突发环境</w:t>
            </w:r>
            <w:r>
              <w:rPr>
                <w:rFonts w:hint="default" w:ascii="Times New Roman" w:hAnsi="Times New Roman" w:cs="Times New Roman"/>
                <w:color w:val="auto"/>
                <w:sz w:val="24"/>
                <w:szCs w:val="24"/>
                <w:lang w:eastAsia="zh-CN"/>
              </w:rPr>
              <w:t>事件</w:t>
            </w:r>
            <w:r>
              <w:rPr>
                <w:rFonts w:hint="default" w:ascii="Times New Roman" w:hAnsi="Times New Roman" w:eastAsia="宋体" w:cs="Times New Roman"/>
                <w:color w:val="auto"/>
                <w:sz w:val="24"/>
                <w:szCs w:val="24"/>
              </w:rPr>
              <w:t>风险评估指南（</w:t>
            </w:r>
            <w:r>
              <w:rPr>
                <w:rFonts w:hint="default" w:ascii="Times New Roman" w:hAnsi="Times New Roman" w:eastAsia="宋体" w:cs="Times New Roman"/>
                <w:color w:val="auto"/>
                <w:sz w:val="24"/>
                <w:szCs w:val="24"/>
                <w:lang w:val="en-US" w:eastAsia="zh-CN"/>
              </w:rPr>
              <w:t>试</w:t>
            </w:r>
            <w:r>
              <w:rPr>
                <w:rFonts w:hint="default" w:ascii="Times New Roman" w:hAnsi="Times New Roman" w:eastAsia="宋体" w:cs="Times New Roman"/>
                <w:color w:val="auto"/>
                <w:sz w:val="24"/>
                <w:szCs w:val="24"/>
              </w:rPr>
              <w:t>行）》（环办</w:t>
            </w:r>
            <w:r>
              <w:rPr>
                <w:rFonts w:hint="default" w:ascii="Times New Roman" w:hAnsi="Times New Roman" w:cs="Times New Roman"/>
                <w:color w:val="auto"/>
                <w:sz w:val="24"/>
                <w:szCs w:val="24"/>
                <w:lang w:eastAsia="zh-CN"/>
              </w:rPr>
              <w:t>〔2014〕34号</w:t>
            </w:r>
            <w:r>
              <w:rPr>
                <w:rFonts w:hint="default" w:ascii="Times New Roman" w:hAnsi="Times New Roman" w:eastAsia="宋体" w:cs="Times New Roman"/>
                <w:color w:val="auto"/>
                <w:sz w:val="24"/>
                <w:szCs w:val="24"/>
              </w:rPr>
              <w:t>）、《企业突发环境事件风险分级方法》（HJ941-2018）的相关要求，定期开展本项目突发环境事件风险评估及应急预案修订工作。</w:t>
            </w:r>
          </w:p>
          <w:p w14:paraId="1EC5AE4C">
            <w:pPr>
              <w:pStyle w:val="62"/>
              <w:spacing w:line="360" w:lineRule="auto"/>
              <w:ind w:firstLine="0" w:firstLineChars="0"/>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4.</w:t>
            </w:r>
            <w:r>
              <w:rPr>
                <w:rFonts w:hint="default" w:ascii="Times New Roman" w:hAnsi="Times New Roman" w:cs="Times New Roman"/>
                <w:b/>
                <w:bCs w:val="0"/>
                <w:color w:val="auto"/>
                <w:sz w:val="24"/>
                <w:szCs w:val="24"/>
                <w:lang w:val="en-US" w:eastAsia="zh-CN"/>
              </w:rPr>
              <w:t>3</w:t>
            </w:r>
            <w:r>
              <w:rPr>
                <w:rFonts w:hint="default" w:ascii="Times New Roman" w:hAnsi="Times New Roman" w:eastAsia="宋体" w:cs="Times New Roman"/>
                <w:b/>
                <w:bCs w:val="0"/>
                <w:color w:val="auto"/>
                <w:sz w:val="24"/>
                <w:szCs w:val="24"/>
              </w:rPr>
              <w:t>本项目</w:t>
            </w:r>
            <w:r>
              <w:rPr>
                <w:rFonts w:hint="eastAsia" w:ascii="宋体" w:hAnsi="宋体" w:eastAsia="宋体" w:cs="宋体"/>
                <w:b/>
                <w:bCs w:val="0"/>
                <w:color w:val="auto"/>
                <w:sz w:val="24"/>
                <w:szCs w:val="24"/>
              </w:rPr>
              <w:t>“三本账”</w:t>
            </w:r>
          </w:p>
          <w:p w14:paraId="6210B004">
            <w:pPr>
              <w:pStyle w:val="62"/>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eastAsia="宋体" w:cs="Times New Roman"/>
                <w:color w:val="auto"/>
                <w:sz w:val="24"/>
                <w:szCs w:val="24"/>
                <w:lang w:eastAsia="zh-CN"/>
              </w:rPr>
              <w:t>实施</w:t>
            </w:r>
            <w:r>
              <w:rPr>
                <w:rFonts w:hint="default" w:ascii="Times New Roman" w:hAnsi="Times New Roman" w:eastAsia="宋体" w:cs="Times New Roman"/>
                <w:color w:val="auto"/>
                <w:sz w:val="24"/>
                <w:szCs w:val="24"/>
              </w:rPr>
              <w:t>后，由于油罐容积增大，年销售油量增加，导致非甲烷</w:t>
            </w:r>
            <w:r>
              <w:rPr>
                <w:rFonts w:hint="default" w:ascii="Times New Roman" w:hAnsi="Times New Roman" w:cs="Times New Roman"/>
                <w:color w:val="auto"/>
                <w:sz w:val="24"/>
                <w:szCs w:val="24"/>
                <w:lang w:val="en-US" w:eastAsia="zh-CN"/>
              </w:rPr>
              <w:t>总烃</w:t>
            </w:r>
            <w:r>
              <w:rPr>
                <w:rFonts w:hint="default" w:ascii="Times New Roman" w:hAnsi="Times New Roman" w:eastAsia="宋体" w:cs="Times New Roman"/>
                <w:color w:val="auto"/>
                <w:sz w:val="24"/>
                <w:szCs w:val="24"/>
              </w:rPr>
              <w:t>排放量增加；驾乘人员产生的生活污水有所增加，导致废水污染物排放量有少量增加。本项目</w:t>
            </w:r>
            <w:r>
              <w:rPr>
                <w:rFonts w:hint="eastAsia" w:eastAsia="宋体" w:cs="Times New Roman"/>
                <w:color w:val="auto"/>
                <w:sz w:val="24"/>
                <w:szCs w:val="24"/>
                <w:lang w:eastAsia="zh-CN"/>
              </w:rPr>
              <w:t>实施</w:t>
            </w:r>
            <w:r>
              <w:rPr>
                <w:rFonts w:hint="default" w:ascii="Times New Roman" w:hAnsi="Times New Roman" w:eastAsia="宋体" w:cs="Times New Roman"/>
                <w:color w:val="auto"/>
                <w:sz w:val="24"/>
                <w:szCs w:val="24"/>
              </w:rPr>
              <w:t>前后</w:t>
            </w:r>
            <w:r>
              <w:rPr>
                <w:rFonts w:hint="eastAsia" w:ascii="宋体" w:hAnsi="宋体" w:eastAsia="宋体" w:cs="宋体"/>
                <w:color w:val="auto"/>
                <w:sz w:val="24"/>
                <w:szCs w:val="24"/>
              </w:rPr>
              <w:t>“三本账”</w:t>
            </w:r>
            <w:r>
              <w:rPr>
                <w:rFonts w:hint="default" w:ascii="Times New Roman" w:hAnsi="Times New Roman" w:eastAsia="宋体" w:cs="Times New Roman"/>
                <w:color w:val="auto"/>
                <w:sz w:val="24"/>
                <w:szCs w:val="24"/>
              </w:rPr>
              <w:t>情况见表4.</w:t>
            </w:r>
            <w:r>
              <w:rPr>
                <w:rFonts w:hint="default"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rPr>
              <w:t>-1。</w:t>
            </w:r>
          </w:p>
          <w:p w14:paraId="59DFBC49">
            <w:pPr>
              <w:pStyle w:val="62"/>
              <w:spacing w:line="240" w:lineRule="auto"/>
              <w:ind w:firstLine="0" w:firstLineChars="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表4.</w:t>
            </w:r>
            <w:r>
              <w:rPr>
                <w:rFonts w:hint="default" w:ascii="Times New Roman" w:hAnsi="Times New Roman" w:cs="Times New Roman"/>
                <w:b/>
                <w:color w:val="auto"/>
                <w:sz w:val="24"/>
                <w:szCs w:val="24"/>
                <w:lang w:val="en-US" w:eastAsia="zh-CN"/>
              </w:rPr>
              <w:t>3</w:t>
            </w:r>
            <w:r>
              <w:rPr>
                <w:rFonts w:hint="default" w:ascii="Times New Roman" w:hAnsi="Times New Roman" w:eastAsia="宋体" w:cs="Times New Roman"/>
                <w:b/>
                <w:color w:val="auto"/>
                <w:sz w:val="24"/>
                <w:szCs w:val="24"/>
              </w:rPr>
              <w:t>-1    本项目</w:t>
            </w:r>
            <w:r>
              <w:rPr>
                <w:rFonts w:hint="eastAsia" w:cs="Times New Roman"/>
                <w:b/>
                <w:color w:val="auto"/>
                <w:sz w:val="24"/>
                <w:szCs w:val="24"/>
                <w:lang w:eastAsia="zh-CN"/>
              </w:rPr>
              <w:t>实施</w:t>
            </w:r>
            <w:r>
              <w:rPr>
                <w:rFonts w:hint="default" w:ascii="Times New Roman" w:hAnsi="Times New Roman" w:eastAsia="宋体" w:cs="Times New Roman"/>
                <w:b/>
                <w:color w:val="auto"/>
                <w:sz w:val="24"/>
                <w:szCs w:val="24"/>
              </w:rPr>
              <w:t>前后“三本账”一览表</w:t>
            </w:r>
          </w:p>
          <w:tbl>
            <w:tblPr>
              <w:tblStyle w:val="19"/>
              <w:tblW w:w="7941" w:type="dxa"/>
              <w:tblInd w:w="0" w:type="dxa"/>
              <w:tblLayout w:type="fixed"/>
              <w:tblCellMar>
                <w:top w:w="0" w:type="dxa"/>
                <w:left w:w="108" w:type="dxa"/>
                <w:bottom w:w="0" w:type="dxa"/>
                <w:right w:w="108" w:type="dxa"/>
              </w:tblCellMar>
            </w:tblPr>
            <w:tblGrid>
              <w:gridCol w:w="514"/>
              <w:gridCol w:w="875"/>
              <w:gridCol w:w="972"/>
              <w:gridCol w:w="1040"/>
              <w:gridCol w:w="1124"/>
              <w:gridCol w:w="1182"/>
              <w:gridCol w:w="1169"/>
              <w:gridCol w:w="1065"/>
            </w:tblGrid>
            <w:tr w14:paraId="47D5F052">
              <w:tblPrEx>
                <w:tblCellMar>
                  <w:top w:w="0" w:type="dxa"/>
                  <w:left w:w="108" w:type="dxa"/>
                  <w:bottom w:w="0" w:type="dxa"/>
                  <w:right w:w="108" w:type="dxa"/>
                </w:tblCellMar>
              </w:tblPrEx>
              <w:trPr>
                <w:trHeight w:val="283" w:hRule="atLeast"/>
              </w:trPr>
              <w:tc>
                <w:tcPr>
                  <w:tcW w:w="2361" w:type="dxa"/>
                  <w:gridSpan w:val="3"/>
                  <w:tcBorders>
                    <w:top w:val="single" w:color="000000" w:sz="4" w:space="0"/>
                    <w:left w:val="single" w:color="000000" w:sz="4" w:space="0"/>
                    <w:bottom w:val="single" w:color="000000" w:sz="4" w:space="0"/>
                    <w:right w:val="single" w:color="000000" w:sz="4" w:space="0"/>
                  </w:tcBorders>
                  <w:noWrap w:val="0"/>
                  <w:vAlign w:val="center"/>
                </w:tcPr>
                <w:p w14:paraId="73697A4A">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污染物名称</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3574D2E">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现有工程排放量（t/a</w:t>
                  </w:r>
                  <w:r>
                    <w:rPr>
                      <w:rFonts w:hint="eastAsia" w:cs="Times New Roman"/>
                      <w:i w:val="0"/>
                      <w:iCs w:val="0"/>
                      <w:color w:val="auto"/>
                      <w:kern w:val="0"/>
                      <w:sz w:val="18"/>
                      <w:szCs w:val="18"/>
                      <w:u w:val="none"/>
                      <w:lang w:val="en-US" w:eastAsia="zh-CN" w:bidi="ar"/>
                    </w:rPr>
                    <w:t>）</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EC9EA2F">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本项目排放量（t/a</w:t>
                  </w:r>
                  <w:r>
                    <w:rPr>
                      <w:rFonts w:hint="eastAsia" w:cs="Times New Roman"/>
                      <w:i w:val="0"/>
                      <w:iCs w:val="0"/>
                      <w:color w:val="auto"/>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44B7D883">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“以新带老”削减量（t/a</w:t>
                  </w:r>
                  <w:r>
                    <w:rPr>
                      <w:rFonts w:hint="eastAsia" w:cs="Times New Roman"/>
                      <w:i w:val="0"/>
                      <w:iCs w:val="0"/>
                      <w:color w:val="auto"/>
                      <w:kern w:val="0"/>
                      <w:sz w:val="18"/>
                      <w:szCs w:val="18"/>
                      <w:u w:val="none"/>
                      <w:lang w:val="en-US" w:eastAsia="zh-CN" w:bidi="ar"/>
                    </w:rPr>
                    <w:t>）</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4977A9B">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eastAsia" w:ascii="宋体" w:hAnsi="宋体" w:eastAsia="宋体" w:cs="宋体"/>
                      <w:i w:val="0"/>
                      <w:iCs w:val="0"/>
                      <w:color w:val="auto"/>
                      <w:kern w:val="0"/>
                      <w:sz w:val="18"/>
                      <w:szCs w:val="18"/>
                      <w:highlight w:val="none"/>
                      <w:u w:val="none"/>
                      <w:lang w:val="en-US" w:eastAsia="zh-CN" w:bidi="ar"/>
                    </w:rPr>
                    <w:t>本项目实施后</w:t>
                  </w:r>
                  <w:r>
                    <w:rPr>
                      <w:rFonts w:hint="default" w:ascii="Times New Roman" w:hAnsi="Times New Roman" w:eastAsia="宋体" w:cs="Times New Roman"/>
                      <w:i w:val="0"/>
                      <w:iCs w:val="0"/>
                      <w:color w:val="auto"/>
                      <w:kern w:val="0"/>
                      <w:sz w:val="18"/>
                      <w:szCs w:val="18"/>
                      <w:u w:val="none"/>
                      <w:lang w:val="en-US" w:eastAsia="zh-CN" w:bidi="ar"/>
                    </w:rPr>
                    <w:t>全厂排放量（t/a</w:t>
                  </w:r>
                  <w:r>
                    <w:rPr>
                      <w:rFonts w:hint="eastAsia" w:cs="Times New Roman"/>
                      <w:i w:val="0"/>
                      <w:iCs w:val="0"/>
                      <w:color w:val="auto"/>
                      <w:kern w:val="0"/>
                      <w:sz w:val="18"/>
                      <w:szCs w:val="18"/>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6A21A5">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排放增加量（t/a</w:t>
                  </w:r>
                  <w:r>
                    <w:rPr>
                      <w:rFonts w:hint="eastAsia" w:cs="Times New Roman"/>
                      <w:i w:val="0"/>
                      <w:iCs w:val="0"/>
                      <w:color w:val="auto"/>
                      <w:kern w:val="0"/>
                      <w:sz w:val="18"/>
                      <w:szCs w:val="18"/>
                      <w:u w:val="none"/>
                      <w:lang w:val="en-US" w:eastAsia="zh-CN" w:bidi="ar"/>
                    </w:rPr>
                    <w:t>）</w:t>
                  </w:r>
                </w:p>
              </w:tc>
            </w:tr>
            <w:tr w14:paraId="2347A906">
              <w:tblPrEx>
                <w:tblCellMar>
                  <w:top w:w="0" w:type="dxa"/>
                  <w:left w:w="108" w:type="dxa"/>
                  <w:bottom w:w="0" w:type="dxa"/>
                  <w:right w:w="108" w:type="dxa"/>
                </w:tblCellMar>
              </w:tblPrEx>
              <w:trPr>
                <w:trHeight w:val="283" w:hRule="atLeast"/>
              </w:trPr>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82EC3">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废水</w:t>
                  </w:r>
                </w:p>
              </w:tc>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D74B97">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综合污水</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A734C4A">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废水量</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D01D8D5">
                  <w:pPr>
                    <w:keepNext w:val="0"/>
                    <w:keepLines w:val="0"/>
                    <w:widowControl/>
                    <w:suppressLineNumbers w:val="0"/>
                    <w:jc w:val="center"/>
                    <w:textAlignment w:val="center"/>
                    <w:rPr>
                      <w:rFonts w:hint="default" w:ascii="Times New Roman" w:hAnsi="Times New Roman" w:eastAsia="宋体" w:cs="Times New Roman"/>
                      <w:color w:val="auto"/>
                      <w:kern w:val="0"/>
                      <w:sz w:val="18"/>
                      <w:szCs w:val="18"/>
                      <w:highlight w:val="yellow"/>
                      <w:lang w:val="en-US"/>
                    </w:rPr>
                  </w:pPr>
                  <w:r>
                    <w:rPr>
                      <w:rFonts w:hint="default" w:ascii="Times New Roman" w:hAnsi="Times New Roman" w:eastAsia="宋体" w:cs="Times New Roman"/>
                      <w:i w:val="0"/>
                      <w:iCs w:val="0"/>
                      <w:color w:val="auto"/>
                      <w:kern w:val="0"/>
                      <w:sz w:val="18"/>
                      <w:szCs w:val="18"/>
                      <w:u w:val="none"/>
                      <w:lang w:val="en-US" w:eastAsia="zh-CN" w:bidi="ar"/>
                    </w:rPr>
                    <w:t>1754.00</w:t>
                  </w:r>
                  <w:r>
                    <w:rPr>
                      <w:rFonts w:hint="default" w:ascii="Times New Roman" w:hAnsi="Times New Roman" w:cs="Times New Roman"/>
                      <w:i w:val="0"/>
                      <w:iCs w:val="0"/>
                      <w:color w:val="auto"/>
                      <w:kern w:val="0"/>
                      <w:sz w:val="18"/>
                      <w:szCs w:val="18"/>
                      <w:u w:val="none"/>
                      <w:lang w:val="en-US" w:eastAsia="zh-CN" w:bidi="ar"/>
                    </w:rPr>
                    <w:t>8</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9D7C4C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1797.44</w:t>
                  </w:r>
                  <w:r>
                    <w:rPr>
                      <w:rFonts w:hint="default" w:ascii="Times New Roman" w:hAnsi="Times New Roman" w:cs="Times New Roman"/>
                      <w:i w:val="0"/>
                      <w:iCs w:val="0"/>
                      <w:color w:val="auto"/>
                      <w:kern w:val="0"/>
                      <w:sz w:val="18"/>
                      <w:szCs w:val="18"/>
                      <w:u w:val="none"/>
                      <w:lang w:val="en-US" w:eastAsia="zh-CN" w:bidi="ar"/>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1620F">
                  <w:pPr>
                    <w:keepNext w:val="0"/>
                    <w:keepLines w:val="0"/>
                    <w:widowControl/>
                    <w:suppressLineNumbers w:val="0"/>
                    <w:jc w:val="center"/>
                    <w:textAlignment w:val="center"/>
                    <w:rPr>
                      <w:rFonts w:hint="default" w:ascii="Times New Roman" w:hAnsi="Times New Roman" w:eastAsia="宋体" w:cs="Times New Roman"/>
                      <w:color w:val="auto"/>
                      <w:kern w:val="0"/>
                      <w:sz w:val="18"/>
                      <w:szCs w:val="18"/>
                      <w:highlight w:val="yellow"/>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1754.00</w:t>
                  </w:r>
                  <w:r>
                    <w:rPr>
                      <w:rFonts w:hint="default" w:ascii="Times New Roman" w:hAnsi="Times New Roman" w:cs="Times New Roman"/>
                      <w:i w:val="0"/>
                      <w:iCs w:val="0"/>
                      <w:color w:val="auto"/>
                      <w:kern w:val="0"/>
                      <w:sz w:val="18"/>
                      <w:szCs w:val="18"/>
                      <w:u w:val="none"/>
                      <w:lang w:val="en-US" w:eastAsia="zh-CN" w:bidi="ar"/>
                    </w:rPr>
                    <w:t>8</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79C8D0D">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i w:val="0"/>
                      <w:iCs w:val="0"/>
                      <w:color w:val="auto"/>
                      <w:kern w:val="0"/>
                      <w:sz w:val="18"/>
                      <w:szCs w:val="18"/>
                      <w:u w:val="none"/>
                      <w:lang w:val="en-US" w:eastAsia="zh-CN" w:bidi="ar"/>
                    </w:rPr>
                    <w:t>1797.44</w:t>
                  </w:r>
                  <w:r>
                    <w:rPr>
                      <w:rFonts w:hint="default" w:ascii="Times New Roman" w:hAnsi="Times New Roman" w:cs="Times New Roman"/>
                      <w:i w:val="0"/>
                      <w:iCs w:val="0"/>
                      <w:color w:val="auto"/>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898DE2">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lang w:val="en-US"/>
                    </w:rPr>
                  </w:pPr>
                  <w:r>
                    <w:rPr>
                      <w:rFonts w:hint="default" w:ascii="Times New Roman" w:hAnsi="Times New Roman"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43.435</w:t>
                  </w:r>
                </w:p>
              </w:tc>
            </w:tr>
            <w:tr w14:paraId="216993DC">
              <w:tblPrEx>
                <w:tblCellMar>
                  <w:top w:w="0" w:type="dxa"/>
                  <w:left w:w="108" w:type="dxa"/>
                  <w:bottom w:w="0" w:type="dxa"/>
                  <w:right w:w="108" w:type="dxa"/>
                </w:tblCellMar>
              </w:tblPrEx>
              <w:trPr>
                <w:trHeight w:val="283"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6C179">
                  <w:pPr>
                    <w:jc w:val="center"/>
                    <w:rPr>
                      <w:rFonts w:hint="default" w:ascii="Times New Roman" w:hAnsi="Times New Roman" w:eastAsia="宋体" w:cs="Times New Roman"/>
                      <w:color w:val="auto"/>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28CB3">
                  <w:pPr>
                    <w:jc w:val="center"/>
                    <w:rPr>
                      <w:rFonts w:hint="default" w:ascii="Times New Roman" w:hAnsi="Times New Roman" w:eastAsia="宋体" w:cs="Times New Roman"/>
                      <w:color w:val="auto"/>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CB51638">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COD</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BF9461A">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lang w:val="en-US"/>
                    </w:rPr>
                  </w:pPr>
                  <w:r>
                    <w:rPr>
                      <w:rFonts w:hint="default" w:ascii="Times New Roman" w:hAnsi="Times New Roman" w:eastAsia="宋体" w:cs="Times New Roman"/>
                      <w:i w:val="0"/>
                      <w:iCs w:val="0"/>
                      <w:color w:val="auto"/>
                      <w:kern w:val="0"/>
                      <w:sz w:val="18"/>
                      <w:szCs w:val="18"/>
                      <w:u w:val="none"/>
                      <w:lang w:val="en-US" w:eastAsia="zh-CN" w:bidi="ar"/>
                    </w:rPr>
                    <w:t>0.088</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5950CC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0.090</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046F360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0.088</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6CA8834">
                  <w:pPr>
                    <w:keepNext w:val="0"/>
                    <w:keepLines w:val="0"/>
                    <w:widowControl/>
                    <w:suppressLineNumbers w:val="0"/>
                    <w:jc w:val="center"/>
                    <w:textAlignment w:val="bottom"/>
                    <w:rPr>
                      <w:rFonts w:hint="default" w:ascii="Times New Roman" w:hAnsi="Times New Roman" w:eastAsia="宋体" w:cs="Times New Roman"/>
                      <w:color w:val="auto"/>
                      <w:sz w:val="18"/>
                      <w:szCs w:val="18"/>
                      <w:highlight w:val="yellow"/>
                      <w:lang w:val="en-US"/>
                    </w:rPr>
                  </w:pPr>
                  <w:r>
                    <w:rPr>
                      <w:rFonts w:hint="default" w:ascii="Times New Roman" w:hAnsi="Times New Roman" w:eastAsia="宋体" w:cs="Times New Roman"/>
                      <w:i w:val="0"/>
                      <w:iCs w:val="0"/>
                      <w:color w:val="auto"/>
                      <w:kern w:val="0"/>
                      <w:sz w:val="18"/>
                      <w:szCs w:val="18"/>
                      <w:u w:val="none"/>
                      <w:lang w:val="en-US" w:eastAsia="zh-CN" w:bidi="ar"/>
                    </w:rPr>
                    <w:t>0.090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48CDC56">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lang w:val="en-US"/>
                    </w:rPr>
                  </w:pPr>
                  <w:r>
                    <w:rPr>
                      <w:rFonts w:hint="default" w:ascii="Times New Roman" w:hAnsi="Times New Roman"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0.002</w:t>
                  </w:r>
                </w:p>
              </w:tc>
            </w:tr>
            <w:tr w14:paraId="429AB81D">
              <w:tblPrEx>
                <w:tblCellMar>
                  <w:top w:w="0" w:type="dxa"/>
                  <w:left w:w="108" w:type="dxa"/>
                  <w:bottom w:w="0" w:type="dxa"/>
                  <w:right w:w="108" w:type="dxa"/>
                </w:tblCellMar>
              </w:tblPrEx>
              <w:trPr>
                <w:trHeight w:val="283"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C91C6A">
                  <w:pPr>
                    <w:jc w:val="center"/>
                    <w:rPr>
                      <w:rFonts w:hint="default" w:ascii="Times New Roman" w:hAnsi="Times New Roman" w:eastAsia="宋体" w:cs="Times New Roman"/>
                      <w:color w:val="auto"/>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E0330">
                  <w:pPr>
                    <w:jc w:val="center"/>
                    <w:rPr>
                      <w:rFonts w:hint="default" w:ascii="Times New Roman" w:hAnsi="Times New Roman" w:eastAsia="宋体" w:cs="Times New Roman"/>
                      <w:color w:val="auto"/>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6D1642C">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BOD</w:t>
                  </w:r>
                  <w:r>
                    <w:rPr>
                      <w:rFonts w:hint="default" w:ascii="Times New Roman" w:hAnsi="Times New Roman" w:eastAsia="宋体" w:cs="Times New Roman"/>
                      <w:i w:val="0"/>
                      <w:iCs w:val="0"/>
                      <w:color w:val="auto"/>
                      <w:kern w:val="0"/>
                      <w:sz w:val="18"/>
                      <w:szCs w:val="18"/>
                      <w:u w:val="none"/>
                      <w:vertAlign w:val="subscript"/>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2C360A3">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DECF86D">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062883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2D6D312">
                  <w:pPr>
                    <w:keepNext w:val="0"/>
                    <w:keepLines w:val="0"/>
                    <w:widowControl/>
                    <w:suppressLineNumbers w:val="0"/>
                    <w:jc w:val="center"/>
                    <w:textAlignment w:val="bottom"/>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9562CE5">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lang w:val="en-US"/>
                    </w:rPr>
                  </w:pPr>
                  <w:r>
                    <w:rPr>
                      <w:rFonts w:hint="default" w:ascii="Times New Roman" w:hAnsi="Times New Roman" w:cs="Times New Roman"/>
                      <w:i w:val="0"/>
                      <w:iCs w:val="0"/>
                      <w:color w:val="auto"/>
                      <w:kern w:val="0"/>
                      <w:sz w:val="18"/>
                      <w:szCs w:val="18"/>
                      <w:u w:val="none"/>
                      <w:lang w:val="en-US" w:eastAsia="zh-CN" w:bidi="ar"/>
                    </w:rPr>
                    <w:t>0</w:t>
                  </w:r>
                </w:p>
              </w:tc>
            </w:tr>
            <w:tr w14:paraId="06481602">
              <w:tblPrEx>
                <w:tblCellMar>
                  <w:top w:w="0" w:type="dxa"/>
                  <w:left w:w="108" w:type="dxa"/>
                  <w:bottom w:w="0" w:type="dxa"/>
                  <w:right w:w="108" w:type="dxa"/>
                </w:tblCellMar>
              </w:tblPrEx>
              <w:trPr>
                <w:trHeight w:val="283"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6C01A">
                  <w:pPr>
                    <w:jc w:val="center"/>
                    <w:rPr>
                      <w:rFonts w:hint="default" w:ascii="Times New Roman" w:hAnsi="Times New Roman" w:eastAsia="宋体" w:cs="Times New Roman"/>
                      <w:color w:val="auto"/>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A0A4AD">
                  <w:pPr>
                    <w:jc w:val="center"/>
                    <w:rPr>
                      <w:rFonts w:hint="default" w:ascii="Times New Roman" w:hAnsi="Times New Roman" w:eastAsia="宋体" w:cs="Times New Roman"/>
                      <w:color w:val="auto"/>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21B0C75">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SS</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A663A10">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AFC26C2">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315EDA0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D18B485">
                  <w:pPr>
                    <w:keepNext w:val="0"/>
                    <w:keepLines w:val="0"/>
                    <w:widowControl/>
                    <w:suppressLineNumbers w:val="0"/>
                    <w:jc w:val="center"/>
                    <w:textAlignment w:val="bottom"/>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767A3A4">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lang w:val="en-US"/>
                    </w:rPr>
                  </w:pPr>
                  <w:r>
                    <w:rPr>
                      <w:rFonts w:hint="default" w:ascii="Times New Roman" w:hAnsi="Times New Roman" w:cs="Times New Roman"/>
                      <w:i w:val="0"/>
                      <w:iCs w:val="0"/>
                      <w:color w:val="auto"/>
                      <w:kern w:val="0"/>
                      <w:sz w:val="18"/>
                      <w:szCs w:val="18"/>
                      <w:u w:val="none"/>
                      <w:lang w:val="en-US" w:eastAsia="zh-CN" w:bidi="ar"/>
                    </w:rPr>
                    <w:t>0</w:t>
                  </w:r>
                </w:p>
              </w:tc>
            </w:tr>
            <w:tr w14:paraId="0B662073">
              <w:tblPrEx>
                <w:tblCellMar>
                  <w:top w:w="0" w:type="dxa"/>
                  <w:left w:w="108" w:type="dxa"/>
                  <w:bottom w:w="0" w:type="dxa"/>
                  <w:right w:w="108" w:type="dxa"/>
                </w:tblCellMar>
              </w:tblPrEx>
              <w:trPr>
                <w:trHeight w:val="283"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1D06B">
                  <w:pPr>
                    <w:jc w:val="center"/>
                    <w:rPr>
                      <w:rFonts w:hint="default" w:ascii="Times New Roman" w:hAnsi="Times New Roman" w:eastAsia="宋体" w:cs="Times New Roman"/>
                      <w:color w:val="auto"/>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F4F44">
                  <w:pPr>
                    <w:jc w:val="center"/>
                    <w:rPr>
                      <w:rFonts w:hint="default" w:ascii="Times New Roman" w:hAnsi="Times New Roman" w:eastAsia="宋体" w:cs="Times New Roman"/>
                      <w:color w:val="auto"/>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7316EEB8">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NH</w:t>
                  </w:r>
                  <w:r>
                    <w:rPr>
                      <w:rFonts w:hint="default" w:ascii="Times New Roman" w:hAnsi="Times New Roman" w:eastAsia="宋体" w:cs="Times New Roman"/>
                      <w:i w:val="0"/>
                      <w:iCs w:val="0"/>
                      <w:color w:val="auto"/>
                      <w:kern w:val="0"/>
                      <w:sz w:val="18"/>
                      <w:szCs w:val="18"/>
                      <w:u w:val="none"/>
                      <w:vertAlign w:val="subscript"/>
                      <w:lang w:val="en-US" w:eastAsia="zh-CN" w:bidi="ar"/>
                    </w:rPr>
                    <w:t>3</w:t>
                  </w:r>
                  <w:r>
                    <w:rPr>
                      <w:rFonts w:hint="default" w:ascii="Times New Roman" w:hAnsi="Times New Roman" w:eastAsia="宋体" w:cs="Times New Roman"/>
                      <w:i w:val="0"/>
                      <w:iCs w:val="0"/>
                      <w:color w:val="auto"/>
                      <w:kern w:val="0"/>
                      <w:sz w:val="18"/>
                      <w:szCs w:val="18"/>
                      <w:u w:val="none"/>
                      <w:lang w:val="en-US" w:eastAsia="zh-CN" w:bidi="ar"/>
                    </w:rPr>
                    <w:t>-N</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EEC1391">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lang w:val="en-US"/>
                    </w:rPr>
                  </w:pPr>
                  <w:r>
                    <w:rPr>
                      <w:rFonts w:hint="default" w:ascii="Times New Roman" w:hAnsi="Times New Roman" w:eastAsia="宋体" w:cs="Times New Roman"/>
                      <w:i w:val="0"/>
                      <w:iCs w:val="0"/>
                      <w:color w:val="auto"/>
                      <w:kern w:val="0"/>
                      <w:sz w:val="18"/>
                      <w:szCs w:val="18"/>
                      <w:u w:val="none"/>
                      <w:lang w:val="en-US" w:eastAsia="zh-CN" w:bidi="ar"/>
                    </w:rPr>
                    <w:t>0.0</w:t>
                  </w:r>
                  <w:r>
                    <w:rPr>
                      <w:rFonts w:hint="default" w:ascii="Times New Roman" w:hAnsi="Times New Roman" w:cs="Times New Roman"/>
                      <w:i w:val="0"/>
                      <w:iCs w:val="0"/>
                      <w:color w:val="auto"/>
                      <w:kern w:val="0"/>
                      <w:sz w:val="18"/>
                      <w:szCs w:val="18"/>
                      <w:u w:val="none"/>
                      <w:lang w:val="en-US" w:eastAsia="zh-CN" w:bidi="ar"/>
                    </w:rPr>
                    <w:t>14</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9487741">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0.014</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27CCC66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w:t>
                  </w:r>
                  <w:r>
                    <w:rPr>
                      <w:rFonts w:hint="default" w:ascii="Times New Roman" w:hAnsi="Times New Roman" w:cs="Times New Roman"/>
                      <w:i w:val="0"/>
                      <w:iCs w:val="0"/>
                      <w:color w:val="auto"/>
                      <w:kern w:val="0"/>
                      <w:sz w:val="18"/>
                      <w:szCs w:val="18"/>
                      <w:u w:val="none"/>
                      <w:lang w:val="en-US" w:eastAsia="zh-CN" w:bidi="ar"/>
                    </w:rPr>
                    <w:t>14</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7814FF3">
                  <w:pPr>
                    <w:keepNext w:val="0"/>
                    <w:keepLines w:val="0"/>
                    <w:widowControl/>
                    <w:suppressLineNumbers w:val="0"/>
                    <w:jc w:val="center"/>
                    <w:textAlignment w:val="bottom"/>
                    <w:rPr>
                      <w:rFonts w:hint="default" w:ascii="Times New Roman" w:hAnsi="Times New Roman" w:eastAsia="宋体" w:cs="Times New Roman"/>
                      <w:color w:val="auto"/>
                      <w:sz w:val="18"/>
                      <w:szCs w:val="18"/>
                      <w:highlight w:val="yellow"/>
                      <w:lang w:val="en-US"/>
                    </w:rPr>
                  </w:pPr>
                  <w:r>
                    <w:rPr>
                      <w:rFonts w:hint="default" w:ascii="Times New Roman" w:hAnsi="Times New Roman" w:eastAsia="宋体" w:cs="Times New Roman"/>
                      <w:i w:val="0"/>
                      <w:iCs w:val="0"/>
                      <w:color w:val="auto"/>
                      <w:kern w:val="0"/>
                      <w:sz w:val="18"/>
                      <w:szCs w:val="18"/>
                      <w:u w:val="none"/>
                      <w:lang w:val="en-US" w:eastAsia="zh-CN" w:bidi="ar"/>
                    </w:rPr>
                    <w:t>0.014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3D1180F">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lang w:val="en-US"/>
                    </w:rPr>
                  </w:pPr>
                  <w:r>
                    <w:rPr>
                      <w:rFonts w:hint="eastAsia" w:cs="Times New Roman"/>
                      <w:i w:val="0"/>
                      <w:iCs w:val="0"/>
                      <w:color w:val="auto"/>
                      <w:kern w:val="0"/>
                      <w:sz w:val="18"/>
                      <w:szCs w:val="18"/>
                      <w:u w:val="none"/>
                      <w:lang w:val="en-US" w:eastAsia="zh-CN" w:bidi="ar"/>
                    </w:rPr>
                    <w:t>0</w:t>
                  </w:r>
                </w:p>
              </w:tc>
            </w:tr>
            <w:tr w14:paraId="0595EE8B">
              <w:tblPrEx>
                <w:tblCellMar>
                  <w:top w:w="0" w:type="dxa"/>
                  <w:left w:w="108" w:type="dxa"/>
                  <w:bottom w:w="0" w:type="dxa"/>
                  <w:right w:w="108" w:type="dxa"/>
                </w:tblCellMar>
              </w:tblPrEx>
              <w:trPr>
                <w:trHeight w:val="283"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98859">
                  <w:pPr>
                    <w:jc w:val="center"/>
                    <w:rPr>
                      <w:rFonts w:hint="default" w:ascii="Times New Roman" w:hAnsi="Times New Roman" w:eastAsia="宋体" w:cs="Times New Roman"/>
                      <w:color w:val="auto"/>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440A1">
                  <w:pPr>
                    <w:jc w:val="center"/>
                    <w:rPr>
                      <w:rFonts w:hint="default" w:ascii="Times New Roman" w:hAnsi="Times New Roman" w:eastAsia="宋体" w:cs="Times New Roman"/>
                      <w:color w:val="auto"/>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9F017DF">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石油类</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996F148">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i w:val="0"/>
                      <w:iCs w:val="0"/>
                      <w:color w:val="auto"/>
                      <w:kern w:val="0"/>
                      <w:sz w:val="18"/>
                      <w:szCs w:val="18"/>
                      <w:u w:val="none"/>
                      <w:lang w:val="en-US" w:eastAsia="zh-CN" w:bidi="ar"/>
                    </w:rPr>
                    <w:t>0.002</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EBC2B95">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i w:val="0"/>
                      <w:iCs w:val="0"/>
                      <w:color w:val="auto"/>
                      <w:kern w:val="0"/>
                      <w:sz w:val="18"/>
                      <w:szCs w:val="18"/>
                      <w:u w:val="none"/>
                      <w:lang w:val="en-US" w:eastAsia="zh-CN" w:bidi="ar"/>
                    </w:rPr>
                    <w:t>0.002</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E53DFBB">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i w:val="0"/>
                      <w:iCs w:val="0"/>
                      <w:color w:val="auto"/>
                      <w:kern w:val="0"/>
                      <w:sz w:val="18"/>
                      <w:szCs w:val="18"/>
                      <w:u w:val="none"/>
                      <w:lang w:val="en-US" w:eastAsia="zh-CN" w:bidi="ar"/>
                    </w:rPr>
                    <w:t>0.002</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9A2E079">
                  <w:pPr>
                    <w:keepNext w:val="0"/>
                    <w:keepLines w:val="0"/>
                    <w:widowControl/>
                    <w:suppressLineNumbers w:val="0"/>
                    <w:jc w:val="center"/>
                    <w:textAlignment w:val="bottom"/>
                    <w:rPr>
                      <w:rFonts w:hint="default" w:ascii="Times New Roman" w:hAnsi="Times New Roman" w:eastAsia="宋体" w:cs="Times New Roman"/>
                      <w:color w:val="auto"/>
                      <w:sz w:val="18"/>
                      <w:szCs w:val="18"/>
                      <w:highlight w:val="yellow"/>
                    </w:rPr>
                  </w:pPr>
                  <w:r>
                    <w:rPr>
                      <w:rFonts w:hint="default" w:ascii="Times New Roman" w:hAnsi="Times New Roman" w:eastAsia="宋体" w:cs="Times New Roman"/>
                      <w:i w:val="0"/>
                      <w:iCs w:val="0"/>
                      <w:color w:val="auto"/>
                      <w:kern w:val="0"/>
                      <w:sz w:val="18"/>
                      <w:szCs w:val="18"/>
                      <w:u w:val="none"/>
                      <w:lang w:val="en-US" w:eastAsia="zh-CN" w:bidi="ar"/>
                    </w:rPr>
                    <w:t>0.002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BDAC66F">
                  <w:pPr>
                    <w:keepNext w:val="0"/>
                    <w:keepLines w:val="0"/>
                    <w:widowControl/>
                    <w:suppressLineNumbers w:val="0"/>
                    <w:jc w:val="center"/>
                    <w:textAlignment w:val="center"/>
                    <w:rPr>
                      <w:rFonts w:hint="default" w:ascii="Times New Roman" w:hAnsi="Times New Roman" w:eastAsia="宋体" w:cs="Times New Roman"/>
                      <w:color w:val="auto"/>
                      <w:sz w:val="18"/>
                      <w:szCs w:val="18"/>
                      <w:highlight w:val="yellow"/>
                    </w:rPr>
                  </w:pPr>
                  <w:r>
                    <w:rPr>
                      <w:rFonts w:hint="default" w:ascii="Times New Roman" w:hAnsi="Times New Roman" w:cs="Times New Roman"/>
                      <w:i w:val="0"/>
                      <w:iCs w:val="0"/>
                      <w:color w:val="auto"/>
                      <w:kern w:val="0"/>
                      <w:sz w:val="18"/>
                      <w:szCs w:val="18"/>
                      <w:u w:val="none"/>
                      <w:lang w:val="en-US" w:eastAsia="zh-CN" w:bidi="ar"/>
                    </w:rPr>
                    <w:t>0</w:t>
                  </w:r>
                </w:p>
              </w:tc>
            </w:tr>
            <w:tr w14:paraId="605B6FB2">
              <w:tblPrEx>
                <w:tblCellMar>
                  <w:top w:w="0" w:type="dxa"/>
                  <w:left w:w="108" w:type="dxa"/>
                  <w:bottom w:w="0" w:type="dxa"/>
                  <w:right w:w="108" w:type="dxa"/>
                </w:tblCellMar>
              </w:tblPrEx>
              <w:trPr>
                <w:trHeight w:val="283" w:hRule="atLeast"/>
              </w:trPr>
              <w:tc>
                <w:tcPr>
                  <w:tcW w:w="514" w:type="dxa"/>
                  <w:vMerge w:val="continue"/>
                  <w:tcBorders>
                    <w:left w:val="single" w:color="000000" w:sz="4" w:space="0"/>
                    <w:bottom w:val="single" w:color="000000" w:sz="4" w:space="0"/>
                    <w:right w:val="single" w:color="000000" w:sz="4" w:space="0"/>
                  </w:tcBorders>
                  <w:noWrap w:val="0"/>
                  <w:vAlign w:val="center"/>
                </w:tcPr>
                <w:p w14:paraId="7731D539">
                  <w:pPr>
                    <w:jc w:val="center"/>
                    <w:rPr>
                      <w:rFonts w:hint="default" w:ascii="Times New Roman" w:hAnsi="Times New Roman" w:eastAsia="宋体" w:cs="Times New Roman"/>
                      <w:color w:val="auto"/>
                      <w:sz w:val="18"/>
                      <w:szCs w:val="18"/>
                    </w:rPr>
                  </w:pPr>
                </w:p>
              </w:tc>
              <w:tc>
                <w:tcPr>
                  <w:tcW w:w="875" w:type="dxa"/>
                  <w:vMerge w:val="continue"/>
                  <w:tcBorders>
                    <w:left w:val="single" w:color="000000" w:sz="4" w:space="0"/>
                    <w:bottom w:val="single" w:color="000000" w:sz="4" w:space="0"/>
                    <w:right w:val="single" w:color="000000" w:sz="4" w:space="0"/>
                  </w:tcBorders>
                  <w:noWrap w:val="0"/>
                  <w:vAlign w:val="center"/>
                </w:tcPr>
                <w:p w14:paraId="4A8FA790">
                  <w:pPr>
                    <w:jc w:val="center"/>
                    <w:rPr>
                      <w:rFonts w:hint="default" w:ascii="Times New Roman" w:hAnsi="Times New Roman" w:eastAsia="宋体" w:cs="Times New Roman"/>
                      <w:color w:val="auto"/>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1A09296">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LAS</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2D7DEE2">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0.001</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E8523BA">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0.001</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82E573C">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3F591D3">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5927587">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cs="Times New Roman"/>
                      <w:i w:val="0"/>
                      <w:iCs w:val="0"/>
                      <w:color w:val="auto"/>
                      <w:kern w:val="0"/>
                      <w:sz w:val="18"/>
                      <w:szCs w:val="18"/>
                      <w:u w:val="none"/>
                      <w:lang w:val="en-US" w:eastAsia="zh-CN" w:bidi="ar"/>
                    </w:rPr>
                    <w:t>0</w:t>
                  </w:r>
                </w:p>
              </w:tc>
            </w:tr>
            <w:tr w14:paraId="6AFDC257">
              <w:tblPrEx>
                <w:tblCellMar>
                  <w:top w:w="0" w:type="dxa"/>
                  <w:left w:w="108" w:type="dxa"/>
                  <w:bottom w:w="0" w:type="dxa"/>
                  <w:right w:w="108" w:type="dxa"/>
                </w:tblCellMar>
              </w:tblPrEx>
              <w:trPr>
                <w:trHeight w:val="283" w:hRule="atLeast"/>
              </w:trPr>
              <w:tc>
                <w:tcPr>
                  <w:tcW w:w="514" w:type="dxa"/>
                  <w:vMerge w:val="restart"/>
                  <w:tcBorders>
                    <w:top w:val="single" w:color="000000" w:sz="4" w:space="0"/>
                    <w:left w:val="single" w:color="000000" w:sz="4" w:space="0"/>
                    <w:right w:val="single" w:color="000000" w:sz="4" w:space="0"/>
                  </w:tcBorders>
                  <w:noWrap w:val="0"/>
                  <w:vAlign w:val="center"/>
                </w:tcPr>
                <w:p w14:paraId="39D65E4A">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废气</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E9B8AD7">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卸油、加油</w:t>
                  </w:r>
                  <w:r>
                    <w:rPr>
                      <w:rFonts w:hint="eastAsia" w:cs="Times New Roman"/>
                      <w:i w:val="0"/>
                      <w:iCs w:val="0"/>
                      <w:color w:val="auto"/>
                      <w:kern w:val="0"/>
                      <w:sz w:val="18"/>
                      <w:szCs w:val="18"/>
                      <w:u w:val="none"/>
                      <w:lang w:val="en-US" w:eastAsia="zh-CN" w:bidi="ar"/>
                    </w:rPr>
                    <w:t>、储油</w:t>
                  </w:r>
                  <w:r>
                    <w:rPr>
                      <w:rFonts w:hint="default" w:ascii="Times New Roman" w:hAnsi="Times New Roman" w:eastAsia="宋体" w:cs="Times New Roman"/>
                      <w:i w:val="0"/>
                      <w:iCs w:val="0"/>
                      <w:color w:val="auto"/>
                      <w:kern w:val="0"/>
                      <w:sz w:val="18"/>
                      <w:szCs w:val="18"/>
                      <w:u w:val="none"/>
                      <w:lang w:val="en-US" w:eastAsia="zh-CN" w:bidi="ar"/>
                    </w:rPr>
                    <w:t>废气</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6E7D716">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非甲烷总烃*</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8913AF5">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rPr>
                  </w:pPr>
                  <w:r>
                    <w:rPr>
                      <w:rFonts w:hint="eastAsia" w:cs="Times New Roman"/>
                      <w:i w:val="0"/>
                      <w:iCs w:val="0"/>
                      <w:color w:val="auto"/>
                      <w:kern w:val="0"/>
                      <w:sz w:val="18"/>
                      <w:szCs w:val="18"/>
                      <w:u w:val="none"/>
                      <w:lang w:val="en-US" w:eastAsia="zh-CN" w:bidi="ar"/>
                    </w:rPr>
                    <w:t>1.635</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425EE85">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eastAsia" w:cs="Times New Roman"/>
                      <w:i w:val="0"/>
                      <w:iCs w:val="0"/>
                      <w:color w:val="auto"/>
                      <w:kern w:val="0"/>
                      <w:sz w:val="18"/>
                      <w:szCs w:val="18"/>
                      <w:u w:val="none"/>
                      <w:lang w:val="en-US" w:eastAsia="zh-CN" w:bidi="ar"/>
                    </w:rPr>
                    <w:t>2.310</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2CF4424">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eastAsia" w:cs="Times New Roman"/>
                      <w:i w:val="0"/>
                      <w:iCs w:val="0"/>
                      <w:color w:val="auto"/>
                      <w:kern w:val="0"/>
                      <w:sz w:val="18"/>
                      <w:szCs w:val="18"/>
                      <w:u w:val="none"/>
                      <w:lang w:val="en-US" w:eastAsia="zh-CN" w:bidi="ar"/>
                    </w:rPr>
                    <w:t>1.635</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91B806F">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eastAsia" w:cs="Times New Roman"/>
                      <w:i w:val="0"/>
                      <w:iCs w:val="0"/>
                      <w:color w:val="auto"/>
                      <w:kern w:val="0"/>
                      <w:sz w:val="18"/>
                      <w:szCs w:val="18"/>
                      <w:u w:val="none"/>
                      <w:lang w:val="en-US" w:eastAsia="zh-CN" w:bidi="ar"/>
                    </w:rPr>
                    <w:t>2.310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3198141">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i w:val="0"/>
                      <w:iCs w:val="0"/>
                      <w:color w:val="auto"/>
                      <w:kern w:val="0"/>
                      <w:sz w:val="18"/>
                      <w:szCs w:val="18"/>
                      <w:u w:val="none"/>
                      <w:lang w:val="en-US" w:eastAsia="zh-CN" w:bidi="ar"/>
                    </w:rPr>
                    <w:t>+</w:t>
                  </w:r>
                  <w:r>
                    <w:rPr>
                      <w:rFonts w:hint="eastAsia" w:cs="Times New Roman"/>
                      <w:i w:val="0"/>
                      <w:iCs w:val="0"/>
                      <w:color w:val="auto"/>
                      <w:kern w:val="0"/>
                      <w:sz w:val="18"/>
                      <w:szCs w:val="18"/>
                      <w:u w:val="none"/>
                      <w:lang w:val="en-US" w:eastAsia="zh-CN" w:bidi="ar"/>
                    </w:rPr>
                    <w:t>0.675</w:t>
                  </w:r>
                </w:p>
              </w:tc>
            </w:tr>
            <w:tr w14:paraId="55276CD1">
              <w:tblPrEx>
                <w:tblCellMar>
                  <w:top w:w="0" w:type="dxa"/>
                  <w:left w:w="108" w:type="dxa"/>
                  <w:bottom w:w="0" w:type="dxa"/>
                  <w:right w:w="108" w:type="dxa"/>
                </w:tblCellMar>
              </w:tblPrEx>
              <w:trPr>
                <w:trHeight w:val="283" w:hRule="atLeast"/>
              </w:trPr>
              <w:tc>
                <w:tcPr>
                  <w:tcW w:w="514" w:type="dxa"/>
                  <w:vMerge w:val="continue"/>
                  <w:tcBorders>
                    <w:left w:val="single" w:color="000000" w:sz="4" w:space="0"/>
                    <w:right w:val="single" w:color="000000" w:sz="4" w:space="0"/>
                  </w:tcBorders>
                  <w:noWrap w:val="0"/>
                  <w:vAlign w:val="center"/>
                </w:tcPr>
                <w:p w14:paraId="659534F8">
                  <w:pPr>
                    <w:jc w:val="center"/>
                    <w:rPr>
                      <w:rFonts w:hint="default" w:ascii="Times New Roman" w:hAnsi="Times New Roman" w:eastAsia="宋体" w:cs="Times New Roman"/>
                      <w:color w:val="auto"/>
                      <w:sz w:val="18"/>
                      <w:szCs w:val="18"/>
                    </w:rPr>
                  </w:pPr>
                </w:p>
              </w:tc>
              <w:tc>
                <w:tcPr>
                  <w:tcW w:w="875" w:type="dxa"/>
                  <w:tcBorders>
                    <w:top w:val="single" w:color="000000" w:sz="4" w:space="0"/>
                    <w:left w:val="single" w:color="000000" w:sz="4" w:space="0"/>
                    <w:right w:val="single" w:color="000000" w:sz="4" w:space="0"/>
                  </w:tcBorders>
                  <w:noWrap w:val="0"/>
                  <w:vAlign w:val="center"/>
                </w:tcPr>
                <w:p w14:paraId="5C034C0F">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汽车尾气</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186E4B9">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CO、THC、NOx</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8C01582">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少量</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D6C7CB8">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2581396B">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39200D0">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少量</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30C61C0">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w:t>
                  </w:r>
                </w:p>
              </w:tc>
            </w:tr>
            <w:tr w14:paraId="757CF2AF">
              <w:tblPrEx>
                <w:tblCellMar>
                  <w:top w:w="0" w:type="dxa"/>
                  <w:left w:w="108" w:type="dxa"/>
                  <w:bottom w:w="0" w:type="dxa"/>
                  <w:right w:w="108" w:type="dxa"/>
                </w:tblCellMar>
              </w:tblPrEx>
              <w:trPr>
                <w:trHeight w:val="283" w:hRule="atLeast"/>
              </w:trPr>
              <w:tc>
                <w:tcPr>
                  <w:tcW w:w="514" w:type="dxa"/>
                  <w:vMerge w:val="restart"/>
                  <w:tcBorders>
                    <w:top w:val="single" w:color="000000" w:sz="4" w:space="0"/>
                    <w:left w:val="single" w:color="000000" w:sz="4" w:space="0"/>
                    <w:right w:val="single" w:color="000000" w:sz="4" w:space="0"/>
                  </w:tcBorders>
                  <w:noWrap w:val="0"/>
                  <w:vAlign w:val="center"/>
                </w:tcPr>
                <w:p w14:paraId="7FB6B1E1">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固废</w:t>
                  </w:r>
                </w:p>
              </w:tc>
              <w:tc>
                <w:tcPr>
                  <w:tcW w:w="1847" w:type="dxa"/>
                  <w:gridSpan w:val="2"/>
                  <w:tcBorders>
                    <w:top w:val="single" w:color="000000" w:sz="4" w:space="0"/>
                    <w:left w:val="single" w:color="000000" w:sz="4" w:space="0"/>
                    <w:bottom w:val="single" w:color="000000" w:sz="4" w:space="0"/>
                    <w:right w:val="single" w:color="000000" w:sz="4" w:space="0"/>
                  </w:tcBorders>
                  <w:noWrap w:val="0"/>
                  <w:vAlign w:val="center"/>
                </w:tcPr>
                <w:p w14:paraId="7F855F40">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生活垃圾</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B95491A">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2.482 </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7B843B2">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2.738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24D29F96">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2.482 </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6A9F625">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 xml:space="preserve">2.738 </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938E8D6">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0.256 </w:t>
                  </w:r>
                </w:p>
              </w:tc>
            </w:tr>
            <w:tr w14:paraId="7DC2EDD3">
              <w:tblPrEx>
                <w:tblCellMar>
                  <w:top w:w="0" w:type="dxa"/>
                  <w:left w:w="108" w:type="dxa"/>
                  <w:bottom w:w="0" w:type="dxa"/>
                  <w:right w:w="108" w:type="dxa"/>
                </w:tblCellMar>
              </w:tblPrEx>
              <w:trPr>
                <w:trHeight w:val="283" w:hRule="atLeast"/>
              </w:trPr>
              <w:tc>
                <w:tcPr>
                  <w:tcW w:w="514" w:type="dxa"/>
                  <w:vMerge w:val="continue"/>
                  <w:tcBorders>
                    <w:left w:val="single" w:color="000000" w:sz="4" w:space="0"/>
                    <w:right w:val="single" w:color="000000" w:sz="4" w:space="0"/>
                  </w:tcBorders>
                  <w:noWrap w:val="0"/>
                  <w:vAlign w:val="center"/>
                </w:tcPr>
                <w:p w14:paraId="283C5663">
                  <w:pPr>
                    <w:jc w:val="center"/>
                    <w:rPr>
                      <w:rFonts w:hint="default" w:ascii="Times New Roman" w:hAnsi="Times New Roman" w:eastAsia="宋体" w:cs="Times New Roman"/>
                      <w:color w:val="auto"/>
                      <w:kern w:val="0"/>
                      <w:sz w:val="18"/>
                      <w:szCs w:val="18"/>
                      <w:lang w:bidi="ar"/>
                    </w:rPr>
                  </w:pPr>
                </w:p>
              </w:tc>
              <w:tc>
                <w:tcPr>
                  <w:tcW w:w="1847" w:type="dxa"/>
                  <w:gridSpan w:val="2"/>
                  <w:tcBorders>
                    <w:top w:val="single" w:color="000000" w:sz="4" w:space="0"/>
                    <w:left w:val="single" w:color="000000" w:sz="4" w:space="0"/>
                    <w:bottom w:val="single" w:color="000000" w:sz="4" w:space="0"/>
                    <w:right w:val="single" w:color="000000" w:sz="4" w:space="0"/>
                  </w:tcBorders>
                  <w:noWrap w:val="0"/>
                  <w:vAlign w:val="center"/>
                </w:tcPr>
                <w:p w14:paraId="7F22CE11">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生化池污泥</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3A0E8FF">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rPr>
                  </w:pPr>
                  <w:r>
                    <w:rPr>
                      <w:rFonts w:hint="default" w:ascii="Times New Roman" w:hAnsi="Times New Roman" w:eastAsia="宋体" w:cs="Times New Roman"/>
                      <w:i w:val="0"/>
                      <w:iCs w:val="0"/>
                      <w:color w:val="auto"/>
                      <w:kern w:val="0"/>
                      <w:sz w:val="18"/>
                      <w:szCs w:val="18"/>
                      <w:u w:val="none"/>
                      <w:lang w:val="en-US" w:eastAsia="zh-CN" w:bidi="ar"/>
                    </w:rPr>
                    <w:t>0.</w:t>
                  </w:r>
                  <w:r>
                    <w:rPr>
                      <w:rFonts w:hint="eastAsia" w:cs="Times New Roman"/>
                      <w:i w:val="0"/>
                      <w:iCs w:val="0"/>
                      <w:color w:val="auto"/>
                      <w:kern w:val="0"/>
                      <w:sz w:val="18"/>
                      <w:szCs w:val="18"/>
                      <w:u w:val="none"/>
                      <w:lang w:val="en-US" w:eastAsia="zh-CN" w:bidi="ar"/>
                    </w:rPr>
                    <w:t>169</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46FE781D">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i w:val="0"/>
                      <w:iCs w:val="0"/>
                      <w:color w:val="auto"/>
                      <w:kern w:val="0"/>
                      <w:sz w:val="18"/>
                      <w:szCs w:val="18"/>
                      <w:u w:val="none"/>
                      <w:lang w:val="en-US" w:eastAsia="zh-CN" w:bidi="ar"/>
                    </w:rPr>
                    <w:t>0.</w:t>
                  </w:r>
                  <w:r>
                    <w:rPr>
                      <w:rFonts w:hint="eastAsia" w:cs="Times New Roman"/>
                      <w:i w:val="0"/>
                      <w:iCs w:val="0"/>
                      <w:color w:val="auto"/>
                      <w:kern w:val="0"/>
                      <w:sz w:val="18"/>
                      <w:szCs w:val="18"/>
                      <w:u w:val="none"/>
                      <w:lang w:val="en-US" w:eastAsia="zh-CN" w:bidi="ar"/>
                    </w:rPr>
                    <w:t>195</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4C36A0E8">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i w:val="0"/>
                      <w:iCs w:val="0"/>
                      <w:color w:val="auto"/>
                      <w:kern w:val="0"/>
                      <w:sz w:val="18"/>
                      <w:szCs w:val="18"/>
                      <w:u w:val="none"/>
                      <w:lang w:val="en-US" w:eastAsia="zh-CN" w:bidi="ar"/>
                    </w:rPr>
                    <w:t>0.</w:t>
                  </w:r>
                  <w:r>
                    <w:rPr>
                      <w:rFonts w:hint="eastAsia" w:cs="Times New Roman"/>
                      <w:i w:val="0"/>
                      <w:iCs w:val="0"/>
                      <w:color w:val="auto"/>
                      <w:kern w:val="0"/>
                      <w:sz w:val="18"/>
                      <w:szCs w:val="18"/>
                      <w:u w:val="none"/>
                      <w:lang w:val="en-US" w:eastAsia="zh-CN" w:bidi="ar"/>
                    </w:rPr>
                    <w:t>169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26F7622">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i w:val="0"/>
                      <w:iCs w:val="0"/>
                      <w:color w:val="auto"/>
                      <w:kern w:val="0"/>
                      <w:sz w:val="18"/>
                      <w:szCs w:val="18"/>
                      <w:u w:val="none"/>
                      <w:lang w:val="en-US" w:eastAsia="zh-CN" w:bidi="ar"/>
                    </w:rPr>
                    <w:t>0.</w:t>
                  </w:r>
                  <w:r>
                    <w:rPr>
                      <w:rFonts w:hint="eastAsia" w:cs="Times New Roman"/>
                      <w:i w:val="0"/>
                      <w:iCs w:val="0"/>
                      <w:color w:val="auto"/>
                      <w:kern w:val="0"/>
                      <w:sz w:val="18"/>
                      <w:szCs w:val="18"/>
                      <w:u w:val="none"/>
                      <w:lang w:val="en-US" w:eastAsia="zh-CN" w:bidi="ar"/>
                    </w:rPr>
                    <w:t>195</w:t>
                  </w:r>
                  <w:r>
                    <w:rPr>
                      <w:rFonts w:hint="default" w:ascii="Times New Roman" w:hAnsi="Times New Roman" w:eastAsia="宋体" w:cs="Times New Roman"/>
                      <w:i w:val="0"/>
                      <w:iCs w:val="0"/>
                      <w:color w:val="auto"/>
                      <w:kern w:val="0"/>
                      <w:sz w:val="18"/>
                      <w:szCs w:val="18"/>
                      <w:u w:val="none"/>
                      <w:lang w:val="en-US" w:eastAsia="zh-CN" w:bidi="ar"/>
                    </w:rPr>
                    <w:t xml:space="preserve"> </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CB4E616">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 xml:space="preserve">0.026 </w:t>
                  </w:r>
                </w:p>
              </w:tc>
            </w:tr>
            <w:tr w14:paraId="040DCA84">
              <w:tblPrEx>
                <w:tblCellMar>
                  <w:top w:w="0" w:type="dxa"/>
                  <w:left w:w="108" w:type="dxa"/>
                  <w:bottom w:w="0" w:type="dxa"/>
                  <w:right w:w="108" w:type="dxa"/>
                </w:tblCellMar>
              </w:tblPrEx>
              <w:trPr>
                <w:trHeight w:val="283" w:hRule="atLeast"/>
              </w:trPr>
              <w:tc>
                <w:tcPr>
                  <w:tcW w:w="514" w:type="dxa"/>
                  <w:vMerge w:val="continue"/>
                  <w:tcBorders>
                    <w:left w:val="single" w:color="000000" w:sz="4" w:space="0"/>
                    <w:right w:val="single" w:color="000000" w:sz="4" w:space="0"/>
                  </w:tcBorders>
                  <w:noWrap w:val="0"/>
                  <w:vAlign w:val="center"/>
                </w:tcPr>
                <w:p w14:paraId="702EC2C2">
                  <w:pPr>
                    <w:jc w:val="center"/>
                    <w:rPr>
                      <w:rFonts w:hint="default" w:ascii="Times New Roman" w:hAnsi="Times New Roman" w:eastAsia="宋体" w:cs="Times New Roman"/>
                      <w:color w:val="auto"/>
                      <w:sz w:val="18"/>
                      <w:szCs w:val="18"/>
                    </w:rPr>
                  </w:pPr>
                </w:p>
              </w:tc>
              <w:tc>
                <w:tcPr>
                  <w:tcW w:w="875" w:type="dxa"/>
                  <w:vMerge w:val="restart"/>
                  <w:tcBorders>
                    <w:top w:val="single" w:color="000000" w:sz="4" w:space="0"/>
                    <w:left w:val="single" w:color="000000" w:sz="4" w:space="0"/>
                    <w:right w:val="single" w:color="000000" w:sz="4" w:space="0"/>
                  </w:tcBorders>
                  <w:noWrap w:val="0"/>
                  <w:vAlign w:val="center"/>
                </w:tcPr>
                <w:p w14:paraId="7B3F3A44">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危险废物</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5933B0B2">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设备检修废物</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68D1801">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0.4</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8F121EE">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default" w:ascii="Times New Roman" w:hAnsi="Times New Roman" w:cs="Times New Roman"/>
                      <w:i w:val="0"/>
                      <w:iCs w:val="0"/>
                      <w:color w:val="auto"/>
                      <w:kern w:val="0"/>
                      <w:sz w:val="18"/>
                      <w:szCs w:val="18"/>
                      <w:u w:val="none"/>
                      <w:lang w:val="en-US" w:eastAsia="zh-CN" w:bidi="ar"/>
                    </w:rPr>
                    <w:t>0</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03E6CCED">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default" w:ascii="Times New Roman" w:hAnsi="Times New Roman" w:cs="Times New Roman"/>
                      <w:i w:val="0"/>
                      <w:iCs w:val="0"/>
                      <w:color w:val="auto"/>
                      <w:kern w:val="0"/>
                      <w:sz w:val="18"/>
                      <w:szCs w:val="18"/>
                      <w:u w:val="none"/>
                      <w:lang w:val="en-US" w:eastAsia="zh-CN" w:bidi="ar"/>
                    </w:rPr>
                    <w:t>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AA4AA58">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E13900C">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w:t>
                  </w:r>
                </w:p>
              </w:tc>
            </w:tr>
            <w:tr w14:paraId="1C7781CC">
              <w:tblPrEx>
                <w:tblCellMar>
                  <w:top w:w="0" w:type="dxa"/>
                  <w:left w:w="108" w:type="dxa"/>
                  <w:bottom w:w="0" w:type="dxa"/>
                  <w:right w:w="108" w:type="dxa"/>
                </w:tblCellMar>
              </w:tblPrEx>
              <w:trPr>
                <w:trHeight w:val="283" w:hRule="atLeast"/>
              </w:trPr>
              <w:tc>
                <w:tcPr>
                  <w:tcW w:w="514" w:type="dxa"/>
                  <w:vMerge w:val="continue"/>
                  <w:tcBorders>
                    <w:left w:val="single" w:color="000000" w:sz="4" w:space="0"/>
                    <w:right w:val="single" w:color="000000" w:sz="4" w:space="0"/>
                  </w:tcBorders>
                  <w:noWrap w:val="0"/>
                  <w:vAlign w:val="center"/>
                </w:tcPr>
                <w:p w14:paraId="2E54B167">
                  <w:pPr>
                    <w:jc w:val="center"/>
                    <w:rPr>
                      <w:rFonts w:hint="default" w:ascii="Times New Roman" w:hAnsi="Times New Roman" w:eastAsia="宋体" w:cs="Times New Roman"/>
                      <w:color w:val="auto"/>
                      <w:sz w:val="18"/>
                      <w:szCs w:val="18"/>
                    </w:rPr>
                  </w:pPr>
                </w:p>
              </w:tc>
              <w:tc>
                <w:tcPr>
                  <w:tcW w:w="875" w:type="dxa"/>
                  <w:vMerge w:val="continue"/>
                  <w:tcBorders>
                    <w:left w:val="single" w:color="000000" w:sz="4" w:space="0"/>
                    <w:right w:val="single" w:color="000000" w:sz="4" w:space="0"/>
                  </w:tcBorders>
                  <w:noWrap w:val="0"/>
                  <w:vAlign w:val="center"/>
                </w:tcPr>
                <w:p w14:paraId="0137F438">
                  <w:pPr>
                    <w:jc w:val="center"/>
                    <w:rPr>
                      <w:rFonts w:hint="default" w:ascii="Times New Roman" w:hAnsi="Times New Roman" w:eastAsia="宋体" w:cs="Times New Roman"/>
                      <w:color w:val="auto"/>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5FB41BA">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清罐废物</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E640D50">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1.2t/5a</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1669E46A">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2.0t/5a</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03FA6F6C">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1.2t/5a</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8C75511">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2.0t/5a</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8ACAAAF">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default" w:ascii="Times New Roman" w:hAnsi="Times New Roman"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0.8t/5a</w:t>
                  </w:r>
                </w:p>
              </w:tc>
            </w:tr>
            <w:tr w14:paraId="4FA12B85">
              <w:tblPrEx>
                <w:tblCellMar>
                  <w:top w:w="0" w:type="dxa"/>
                  <w:left w:w="108" w:type="dxa"/>
                  <w:bottom w:w="0" w:type="dxa"/>
                  <w:right w:w="108" w:type="dxa"/>
                </w:tblCellMar>
              </w:tblPrEx>
              <w:trPr>
                <w:trHeight w:val="283" w:hRule="atLeast"/>
              </w:trPr>
              <w:tc>
                <w:tcPr>
                  <w:tcW w:w="514" w:type="dxa"/>
                  <w:vMerge w:val="continue"/>
                  <w:tcBorders>
                    <w:left w:val="single" w:color="000000" w:sz="4" w:space="0"/>
                    <w:right w:val="single" w:color="000000" w:sz="4" w:space="0"/>
                  </w:tcBorders>
                  <w:noWrap w:val="0"/>
                  <w:vAlign w:val="center"/>
                </w:tcPr>
                <w:p w14:paraId="3E4BC879">
                  <w:pPr>
                    <w:jc w:val="center"/>
                    <w:rPr>
                      <w:rFonts w:hint="default" w:ascii="Times New Roman" w:hAnsi="Times New Roman" w:eastAsia="宋体" w:cs="Times New Roman"/>
                      <w:color w:val="auto"/>
                      <w:sz w:val="18"/>
                      <w:szCs w:val="18"/>
                    </w:rPr>
                  </w:pPr>
                </w:p>
              </w:tc>
              <w:tc>
                <w:tcPr>
                  <w:tcW w:w="875" w:type="dxa"/>
                  <w:vMerge w:val="continue"/>
                  <w:tcBorders>
                    <w:left w:val="single" w:color="000000" w:sz="4" w:space="0"/>
                    <w:right w:val="single" w:color="000000" w:sz="4" w:space="0"/>
                  </w:tcBorders>
                  <w:noWrap w:val="0"/>
                  <w:vAlign w:val="center"/>
                </w:tcPr>
                <w:p w14:paraId="0A3EEE1B">
                  <w:pPr>
                    <w:jc w:val="center"/>
                    <w:rPr>
                      <w:rFonts w:hint="default" w:ascii="Times New Roman" w:hAnsi="Times New Roman" w:eastAsia="宋体" w:cs="Times New Roman"/>
                      <w:color w:val="auto"/>
                      <w:sz w:val="18"/>
                      <w:szCs w:val="18"/>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3E958D58">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含油污泥</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C4F698E">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0.05</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3D9169EE">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cs="Times New Roman"/>
                      <w:i w:val="0"/>
                      <w:iCs w:val="0"/>
                      <w:color w:val="auto"/>
                      <w:kern w:val="0"/>
                      <w:sz w:val="18"/>
                      <w:szCs w:val="18"/>
                      <w:u w:val="none"/>
                      <w:lang w:val="en-US" w:eastAsia="zh-CN" w:bidi="ar"/>
                    </w:rPr>
                    <w:t>0</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301BA9CC">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cs="Times New Roman"/>
                      <w:i w:val="0"/>
                      <w:iCs w:val="0"/>
                      <w:color w:val="auto"/>
                      <w:kern w:val="0"/>
                      <w:sz w:val="18"/>
                      <w:szCs w:val="18"/>
                      <w:u w:val="none"/>
                      <w:lang w:val="en-US" w:eastAsia="zh-CN" w:bidi="ar"/>
                    </w:rPr>
                    <w:t>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9E11386">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5E7DA0">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w:t>
                  </w:r>
                </w:p>
              </w:tc>
            </w:tr>
            <w:tr w14:paraId="69244D32">
              <w:tblPrEx>
                <w:tblCellMar>
                  <w:top w:w="0" w:type="dxa"/>
                  <w:left w:w="108" w:type="dxa"/>
                  <w:bottom w:w="0" w:type="dxa"/>
                  <w:right w:w="108" w:type="dxa"/>
                </w:tblCellMar>
              </w:tblPrEx>
              <w:trPr>
                <w:trHeight w:val="283" w:hRule="atLeast"/>
              </w:trPr>
              <w:tc>
                <w:tcPr>
                  <w:tcW w:w="514" w:type="dxa"/>
                  <w:vMerge w:val="continue"/>
                  <w:tcBorders>
                    <w:left w:val="single" w:color="000000" w:sz="4" w:space="0"/>
                    <w:bottom w:val="single" w:color="auto" w:sz="4" w:space="0"/>
                    <w:right w:val="single" w:color="000000" w:sz="4" w:space="0"/>
                  </w:tcBorders>
                  <w:noWrap w:val="0"/>
                  <w:vAlign w:val="center"/>
                </w:tcPr>
                <w:p w14:paraId="3CFCC4C4">
                  <w:pPr>
                    <w:jc w:val="center"/>
                    <w:rPr>
                      <w:rFonts w:hint="default" w:ascii="Times New Roman" w:hAnsi="Times New Roman" w:eastAsia="宋体" w:cs="Times New Roman"/>
                      <w:color w:val="auto"/>
                      <w:sz w:val="18"/>
                      <w:szCs w:val="18"/>
                    </w:rPr>
                  </w:pPr>
                </w:p>
              </w:tc>
              <w:tc>
                <w:tcPr>
                  <w:tcW w:w="875" w:type="dxa"/>
                  <w:vMerge w:val="continue"/>
                  <w:tcBorders>
                    <w:left w:val="single" w:color="000000" w:sz="4" w:space="0"/>
                    <w:bottom w:val="single" w:color="auto" w:sz="4" w:space="0"/>
                    <w:right w:val="single" w:color="000000" w:sz="4" w:space="0"/>
                  </w:tcBorders>
                  <w:noWrap w:val="0"/>
                  <w:vAlign w:val="center"/>
                </w:tcPr>
                <w:p w14:paraId="72EF946D">
                  <w:pPr>
                    <w:jc w:val="center"/>
                    <w:rPr>
                      <w:rFonts w:hint="default" w:ascii="Times New Roman" w:hAnsi="Times New Roman" w:eastAsia="宋体" w:cs="Times New Roman"/>
                      <w:color w:val="auto"/>
                      <w:sz w:val="18"/>
                      <w:szCs w:val="18"/>
                    </w:rPr>
                  </w:pPr>
                </w:p>
              </w:tc>
              <w:tc>
                <w:tcPr>
                  <w:tcW w:w="972" w:type="dxa"/>
                  <w:tcBorders>
                    <w:top w:val="single" w:color="000000" w:sz="4" w:space="0"/>
                    <w:left w:val="single" w:color="000000" w:sz="4" w:space="0"/>
                    <w:bottom w:val="single" w:color="auto" w:sz="4" w:space="0"/>
                    <w:right w:val="single" w:color="000000" w:sz="4" w:space="0"/>
                  </w:tcBorders>
                  <w:noWrap w:val="0"/>
                  <w:vAlign w:val="center"/>
                </w:tcPr>
                <w:p w14:paraId="6433BE38">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废弃的含油抹布</w:t>
                  </w:r>
                </w:p>
              </w:tc>
              <w:tc>
                <w:tcPr>
                  <w:tcW w:w="1040" w:type="dxa"/>
                  <w:tcBorders>
                    <w:top w:val="single" w:color="000000" w:sz="4" w:space="0"/>
                    <w:left w:val="single" w:color="000000" w:sz="4" w:space="0"/>
                    <w:bottom w:val="single" w:color="auto" w:sz="4" w:space="0"/>
                    <w:right w:val="single" w:color="000000" w:sz="4" w:space="0"/>
                  </w:tcBorders>
                  <w:noWrap w:val="0"/>
                  <w:vAlign w:val="center"/>
                </w:tcPr>
                <w:p w14:paraId="10E17463">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0.01</w:t>
                  </w:r>
                </w:p>
              </w:tc>
              <w:tc>
                <w:tcPr>
                  <w:tcW w:w="1124" w:type="dxa"/>
                  <w:tcBorders>
                    <w:top w:val="single" w:color="000000" w:sz="4" w:space="0"/>
                    <w:left w:val="single" w:color="000000" w:sz="4" w:space="0"/>
                    <w:bottom w:val="single" w:color="auto" w:sz="4" w:space="0"/>
                    <w:right w:val="single" w:color="000000" w:sz="4" w:space="0"/>
                  </w:tcBorders>
                  <w:noWrap w:val="0"/>
                  <w:vAlign w:val="center"/>
                </w:tcPr>
                <w:p w14:paraId="3CF303F1">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cs="Times New Roman"/>
                      <w:i w:val="0"/>
                      <w:iCs w:val="0"/>
                      <w:color w:val="auto"/>
                      <w:kern w:val="0"/>
                      <w:sz w:val="18"/>
                      <w:szCs w:val="18"/>
                      <w:u w:val="none"/>
                      <w:lang w:val="en-US" w:eastAsia="zh-CN" w:bidi="ar"/>
                    </w:rPr>
                    <w:t>0</w:t>
                  </w:r>
                </w:p>
              </w:tc>
              <w:tc>
                <w:tcPr>
                  <w:tcW w:w="1182" w:type="dxa"/>
                  <w:tcBorders>
                    <w:top w:val="single" w:color="000000" w:sz="4" w:space="0"/>
                    <w:left w:val="single" w:color="000000" w:sz="4" w:space="0"/>
                    <w:bottom w:val="single" w:color="auto" w:sz="4" w:space="0"/>
                    <w:right w:val="single" w:color="000000" w:sz="4" w:space="0"/>
                  </w:tcBorders>
                  <w:noWrap w:val="0"/>
                  <w:vAlign w:val="center"/>
                </w:tcPr>
                <w:p w14:paraId="4283CBEC">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cs="Times New Roman"/>
                      <w:i w:val="0"/>
                      <w:iCs w:val="0"/>
                      <w:color w:val="auto"/>
                      <w:kern w:val="0"/>
                      <w:sz w:val="18"/>
                      <w:szCs w:val="18"/>
                      <w:u w:val="none"/>
                      <w:lang w:val="en-US" w:eastAsia="zh-CN" w:bidi="ar"/>
                    </w:rPr>
                    <w:t>0</w:t>
                  </w:r>
                </w:p>
              </w:tc>
              <w:tc>
                <w:tcPr>
                  <w:tcW w:w="1169" w:type="dxa"/>
                  <w:tcBorders>
                    <w:top w:val="single" w:color="000000" w:sz="4" w:space="0"/>
                    <w:left w:val="single" w:color="000000" w:sz="4" w:space="0"/>
                    <w:bottom w:val="single" w:color="auto" w:sz="4" w:space="0"/>
                    <w:right w:val="single" w:color="000000" w:sz="4" w:space="0"/>
                  </w:tcBorders>
                  <w:noWrap w:val="0"/>
                  <w:vAlign w:val="center"/>
                </w:tcPr>
                <w:p w14:paraId="1EF5CD82">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0.01</w:t>
                  </w:r>
                </w:p>
              </w:tc>
              <w:tc>
                <w:tcPr>
                  <w:tcW w:w="1065" w:type="dxa"/>
                  <w:tcBorders>
                    <w:top w:val="single" w:color="000000" w:sz="4" w:space="0"/>
                    <w:left w:val="single" w:color="000000" w:sz="4" w:space="0"/>
                    <w:bottom w:val="single" w:color="auto" w:sz="4" w:space="0"/>
                    <w:right w:val="single" w:color="000000" w:sz="4" w:space="0"/>
                  </w:tcBorders>
                  <w:noWrap w:val="0"/>
                  <w:vAlign w:val="center"/>
                </w:tcPr>
                <w:p w14:paraId="632FDB9F">
                  <w:pPr>
                    <w:keepNext w:val="0"/>
                    <w:keepLines w:val="0"/>
                    <w:widowControl/>
                    <w:suppressLineNumbers w:val="0"/>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0</w:t>
                  </w:r>
                </w:p>
              </w:tc>
            </w:tr>
            <w:tr w14:paraId="582ECD17">
              <w:tblPrEx>
                <w:tblCellMar>
                  <w:top w:w="0" w:type="dxa"/>
                  <w:left w:w="108" w:type="dxa"/>
                  <w:bottom w:w="0" w:type="dxa"/>
                  <w:right w:w="108" w:type="dxa"/>
                </w:tblCellMar>
              </w:tblPrEx>
              <w:trPr>
                <w:trHeight w:val="283" w:hRule="atLeast"/>
              </w:trPr>
              <w:tc>
                <w:tcPr>
                  <w:tcW w:w="514" w:type="dxa"/>
                  <w:vMerge w:val="continue"/>
                  <w:tcBorders>
                    <w:left w:val="single" w:color="000000" w:sz="4" w:space="0"/>
                    <w:bottom w:val="single" w:color="auto" w:sz="4" w:space="0"/>
                    <w:right w:val="single" w:color="000000" w:sz="4" w:space="0"/>
                  </w:tcBorders>
                  <w:noWrap w:val="0"/>
                  <w:vAlign w:val="center"/>
                </w:tcPr>
                <w:p w14:paraId="589BCCD7">
                  <w:pPr>
                    <w:jc w:val="center"/>
                    <w:rPr>
                      <w:rFonts w:hint="default" w:ascii="Times New Roman" w:hAnsi="Times New Roman" w:eastAsia="宋体" w:cs="Times New Roman"/>
                      <w:color w:val="auto"/>
                    </w:rPr>
                  </w:pPr>
                </w:p>
              </w:tc>
              <w:tc>
                <w:tcPr>
                  <w:tcW w:w="875" w:type="dxa"/>
                  <w:vMerge w:val="continue"/>
                  <w:tcBorders>
                    <w:left w:val="single" w:color="000000" w:sz="4" w:space="0"/>
                    <w:bottom w:val="single" w:color="auto" w:sz="4" w:space="0"/>
                    <w:right w:val="single" w:color="000000" w:sz="4" w:space="0"/>
                  </w:tcBorders>
                  <w:noWrap w:val="0"/>
                  <w:vAlign w:val="center"/>
                </w:tcPr>
                <w:p w14:paraId="1A678A60">
                  <w:pPr>
                    <w:jc w:val="center"/>
                    <w:rPr>
                      <w:rFonts w:hint="default" w:ascii="Times New Roman" w:hAnsi="Times New Roman" w:eastAsia="宋体" w:cs="Times New Roman"/>
                      <w:color w:val="auto"/>
                    </w:rPr>
                  </w:pPr>
                </w:p>
              </w:tc>
              <w:tc>
                <w:tcPr>
                  <w:tcW w:w="972" w:type="dxa"/>
                  <w:tcBorders>
                    <w:top w:val="single" w:color="000000" w:sz="4" w:space="0"/>
                    <w:left w:val="single" w:color="000000" w:sz="4" w:space="0"/>
                    <w:bottom w:val="single" w:color="auto" w:sz="4" w:space="0"/>
                    <w:right w:val="single" w:color="000000" w:sz="4" w:space="0"/>
                  </w:tcBorders>
                  <w:noWrap w:val="0"/>
                  <w:vAlign w:val="center"/>
                </w:tcPr>
                <w:p w14:paraId="1BA9859C">
                  <w:pPr>
                    <w:keepNext w:val="0"/>
                    <w:keepLines w:val="0"/>
                    <w:widowControl/>
                    <w:suppressLineNumbers w:val="0"/>
                    <w:jc w:val="center"/>
                    <w:textAlignment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废过滤膜</w:t>
                  </w:r>
                </w:p>
              </w:tc>
              <w:tc>
                <w:tcPr>
                  <w:tcW w:w="1040" w:type="dxa"/>
                  <w:tcBorders>
                    <w:top w:val="single" w:color="000000" w:sz="4" w:space="0"/>
                    <w:left w:val="single" w:color="000000" w:sz="4" w:space="0"/>
                    <w:bottom w:val="single" w:color="auto" w:sz="4" w:space="0"/>
                    <w:right w:val="single" w:color="000000" w:sz="4" w:space="0"/>
                  </w:tcBorders>
                  <w:noWrap w:val="0"/>
                  <w:vAlign w:val="center"/>
                </w:tcPr>
                <w:p w14:paraId="231E443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0.001t/2a</w:t>
                  </w:r>
                </w:p>
              </w:tc>
              <w:tc>
                <w:tcPr>
                  <w:tcW w:w="1124" w:type="dxa"/>
                  <w:tcBorders>
                    <w:top w:val="single" w:color="000000" w:sz="4" w:space="0"/>
                    <w:left w:val="single" w:color="000000" w:sz="4" w:space="0"/>
                    <w:bottom w:val="single" w:color="auto" w:sz="4" w:space="0"/>
                    <w:right w:val="single" w:color="000000" w:sz="4" w:space="0"/>
                  </w:tcBorders>
                  <w:noWrap w:val="0"/>
                  <w:vAlign w:val="center"/>
                </w:tcPr>
                <w:p w14:paraId="3F14616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0</w:t>
                  </w:r>
                </w:p>
              </w:tc>
              <w:tc>
                <w:tcPr>
                  <w:tcW w:w="1182" w:type="dxa"/>
                  <w:tcBorders>
                    <w:top w:val="single" w:color="000000" w:sz="4" w:space="0"/>
                    <w:left w:val="single" w:color="000000" w:sz="4" w:space="0"/>
                    <w:bottom w:val="single" w:color="auto" w:sz="4" w:space="0"/>
                    <w:right w:val="single" w:color="000000" w:sz="4" w:space="0"/>
                  </w:tcBorders>
                  <w:noWrap w:val="0"/>
                  <w:vAlign w:val="center"/>
                </w:tcPr>
                <w:p w14:paraId="5C7865B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0</w:t>
                  </w:r>
                </w:p>
              </w:tc>
              <w:tc>
                <w:tcPr>
                  <w:tcW w:w="1169" w:type="dxa"/>
                  <w:tcBorders>
                    <w:top w:val="single" w:color="000000" w:sz="4" w:space="0"/>
                    <w:left w:val="single" w:color="000000" w:sz="4" w:space="0"/>
                    <w:bottom w:val="single" w:color="auto" w:sz="4" w:space="0"/>
                    <w:right w:val="single" w:color="000000" w:sz="4" w:space="0"/>
                  </w:tcBorders>
                  <w:noWrap w:val="0"/>
                  <w:vAlign w:val="center"/>
                </w:tcPr>
                <w:p w14:paraId="5E27226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0.001t/2a</w:t>
                  </w:r>
                </w:p>
              </w:tc>
              <w:tc>
                <w:tcPr>
                  <w:tcW w:w="1065" w:type="dxa"/>
                  <w:tcBorders>
                    <w:top w:val="single" w:color="000000" w:sz="4" w:space="0"/>
                    <w:left w:val="single" w:color="000000" w:sz="4" w:space="0"/>
                    <w:bottom w:val="single" w:color="auto" w:sz="4" w:space="0"/>
                    <w:right w:val="single" w:color="000000" w:sz="4" w:space="0"/>
                  </w:tcBorders>
                  <w:noWrap w:val="0"/>
                  <w:vAlign w:val="center"/>
                </w:tcPr>
                <w:p w14:paraId="620DE37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cs="Times New Roman"/>
                      <w:i w:val="0"/>
                      <w:iCs w:val="0"/>
                      <w:color w:val="auto"/>
                      <w:kern w:val="0"/>
                      <w:sz w:val="18"/>
                      <w:szCs w:val="18"/>
                      <w:u w:val="none"/>
                      <w:lang w:val="en-US" w:eastAsia="zh-CN" w:bidi="ar"/>
                    </w:rPr>
                    <w:t>0</w:t>
                  </w:r>
                </w:p>
              </w:tc>
            </w:tr>
            <w:tr w14:paraId="75CA7B06">
              <w:tblPrEx>
                <w:tblCellMar>
                  <w:top w:w="0" w:type="dxa"/>
                  <w:left w:w="108" w:type="dxa"/>
                  <w:bottom w:w="0" w:type="dxa"/>
                  <w:right w:w="108" w:type="dxa"/>
                </w:tblCellMar>
              </w:tblPrEx>
              <w:trPr>
                <w:trHeight w:val="283" w:hRule="atLeast"/>
              </w:trPr>
              <w:tc>
                <w:tcPr>
                  <w:tcW w:w="7941" w:type="dxa"/>
                  <w:gridSpan w:val="8"/>
                  <w:tcBorders>
                    <w:top w:val="single" w:color="auto" w:sz="4" w:space="0"/>
                    <w:left w:val="single" w:color="auto" w:sz="4" w:space="0"/>
                    <w:bottom w:val="single" w:color="auto" w:sz="4" w:space="0"/>
                    <w:right w:val="single" w:color="auto" w:sz="4" w:space="0"/>
                  </w:tcBorders>
                  <w:noWrap w:val="0"/>
                  <w:vAlign w:val="center"/>
                </w:tcPr>
                <w:p w14:paraId="259BF044">
                  <w:pPr>
                    <w:keepNext w:val="0"/>
                    <w:keepLines w:val="0"/>
                    <w:widowControl/>
                    <w:suppressLineNumbers w:val="0"/>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i w:val="0"/>
                      <w:iCs w:val="0"/>
                      <w:color w:val="auto"/>
                      <w:kern w:val="0"/>
                      <w:sz w:val="18"/>
                      <w:szCs w:val="18"/>
                      <w:u w:val="none"/>
                      <w:lang w:val="en-US" w:eastAsia="zh-CN" w:bidi="ar"/>
                    </w:rPr>
                    <w:t>备注：*为无组织排放；固废为产生量。</w:t>
                  </w:r>
                </w:p>
              </w:tc>
            </w:tr>
          </w:tbl>
          <w:p w14:paraId="13387EB5">
            <w:pPr>
              <w:pStyle w:val="62"/>
              <w:spacing w:line="360" w:lineRule="auto"/>
              <w:ind w:left="0" w:leftChars="0" w:firstLine="0" w:firstLineChars="0"/>
              <w:rPr>
                <w:rFonts w:hint="default" w:ascii="Times New Roman" w:hAnsi="Times New Roman" w:eastAsia="宋体" w:cs="Times New Roman"/>
                <w:bCs w:val="0"/>
                <w:color w:val="auto"/>
                <w:spacing w:val="-10"/>
                <w:szCs w:val="21"/>
                <w:highlight w:val="yellow"/>
              </w:rPr>
            </w:pPr>
          </w:p>
        </w:tc>
      </w:tr>
    </w:tbl>
    <w:p w14:paraId="51E72ED2">
      <w:pPr>
        <w:pStyle w:val="16"/>
        <w:jc w:val="center"/>
        <w:outlineLvl w:val="0"/>
        <w:rPr>
          <w:rFonts w:hint="default" w:ascii="Times New Roman" w:hAnsi="Times New Roman" w:eastAsia="宋体" w:cs="Times New Roman"/>
          <w:b/>
          <w:bCs/>
          <w:snapToGrid w:val="0"/>
          <w:color w:val="auto"/>
          <w:sz w:val="30"/>
          <w:szCs w:val="30"/>
          <w:highlight w:val="yellow"/>
        </w:rPr>
        <w:sectPr>
          <w:pgSz w:w="11906" w:h="16838"/>
          <w:pgMar w:top="1701" w:right="1531" w:bottom="1701" w:left="1531" w:header="851" w:footer="851" w:gutter="0"/>
          <w:pgNumType w:fmt="decimal"/>
          <w:cols w:space="720" w:num="1"/>
          <w:docGrid w:linePitch="312" w:charSpace="0"/>
        </w:sectPr>
      </w:pPr>
    </w:p>
    <w:p w14:paraId="547D6AFE">
      <w:pPr>
        <w:pStyle w:val="16"/>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sz w:val="30"/>
          <w:szCs w:val="30"/>
        </w:rPr>
        <w:t>五、</w:t>
      </w:r>
      <w:bookmarkStart w:id="7" w:name="_Hlk54167917"/>
      <w:r>
        <w:rPr>
          <w:rFonts w:hint="default" w:ascii="Times New Roman" w:hAnsi="Times New Roman" w:eastAsia="宋体" w:cs="Times New Roman"/>
          <w:snapToGrid w:val="0"/>
          <w:color w:val="auto"/>
          <w:sz w:val="30"/>
          <w:szCs w:val="30"/>
        </w:rPr>
        <w:t>环境保护措施监督检查清单</w:t>
      </w:r>
      <w:bookmarkEnd w:id="7"/>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06"/>
        <w:gridCol w:w="1299"/>
        <w:gridCol w:w="2406"/>
        <w:gridCol w:w="2498"/>
      </w:tblGrid>
      <w:tr w14:paraId="6EC86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1" w:type="dxa"/>
            <w:tcBorders>
              <w:tl2br w:val="single" w:color="auto" w:sz="4" w:space="0"/>
            </w:tcBorders>
            <w:noWrap w:val="0"/>
            <w:vAlign w:val="top"/>
          </w:tcPr>
          <w:p w14:paraId="60DD2538">
            <w:pPr>
              <w:adjustRightInd w:val="0"/>
              <w:snapToGrid w:val="0"/>
              <w:spacing w:line="24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内容</w:t>
            </w:r>
          </w:p>
          <w:p w14:paraId="5F354D6C">
            <w:pPr>
              <w:adjustRightInd w:val="0"/>
              <w:snapToGrid w:val="0"/>
              <w:spacing w:line="240" w:lineRule="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要素</w:t>
            </w:r>
          </w:p>
        </w:tc>
        <w:tc>
          <w:tcPr>
            <w:tcW w:w="1406" w:type="dxa"/>
            <w:noWrap w:val="0"/>
            <w:vAlign w:val="center"/>
          </w:tcPr>
          <w:p w14:paraId="49B90264">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编号、</w:t>
            </w:r>
          </w:p>
          <w:p w14:paraId="17B0313B">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r>
              <w:rPr>
                <w:rFonts w:hint="eastAsia" w:cs="Times New Roman"/>
                <w:color w:val="auto"/>
                <w:sz w:val="21"/>
                <w:szCs w:val="21"/>
                <w:lang w:eastAsia="zh-CN"/>
              </w:rPr>
              <w:t>）</w:t>
            </w:r>
            <w:r>
              <w:rPr>
                <w:rFonts w:hint="default" w:ascii="Times New Roman" w:hAnsi="Times New Roman" w:eastAsia="宋体" w:cs="Times New Roman"/>
                <w:color w:val="auto"/>
                <w:sz w:val="21"/>
                <w:szCs w:val="21"/>
              </w:rPr>
              <w:t>/污染源</w:t>
            </w:r>
          </w:p>
        </w:tc>
        <w:tc>
          <w:tcPr>
            <w:tcW w:w="1299" w:type="dxa"/>
            <w:noWrap w:val="0"/>
            <w:vAlign w:val="center"/>
          </w:tcPr>
          <w:p w14:paraId="5F6F169C">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污染物项目</w:t>
            </w:r>
          </w:p>
        </w:tc>
        <w:tc>
          <w:tcPr>
            <w:tcW w:w="2406" w:type="dxa"/>
            <w:noWrap w:val="0"/>
            <w:vAlign w:val="center"/>
          </w:tcPr>
          <w:p w14:paraId="0A775B2C">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环境保护措施</w:t>
            </w:r>
          </w:p>
        </w:tc>
        <w:tc>
          <w:tcPr>
            <w:tcW w:w="2498" w:type="dxa"/>
            <w:noWrap w:val="0"/>
            <w:vAlign w:val="center"/>
          </w:tcPr>
          <w:p w14:paraId="023554FB">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执行标准</w:t>
            </w:r>
          </w:p>
        </w:tc>
      </w:tr>
      <w:tr w14:paraId="4B72E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91" w:type="dxa"/>
            <w:vMerge w:val="restart"/>
            <w:noWrap w:val="0"/>
            <w:vAlign w:val="center"/>
          </w:tcPr>
          <w:p w14:paraId="0F8FA435">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406" w:type="dxa"/>
            <w:noWrap w:val="0"/>
            <w:vAlign w:val="center"/>
          </w:tcPr>
          <w:p w14:paraId="7A97CEF2">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油气无组织排放</w:t>
            </w:r>
          </w:p>
        </w:tc>
        <w:tc>
          <w:tcPr>
            <w:tcW w:w="1299" w:type="dxa"/>
            <w:noWrap w:val="0"/>
            <w:vAlign w:val="center"/>
          </w:tcPr>
          <w:p w14:paraId="45DA945B">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非甲烷总烃</w:t>
            </w:r>
          </w:p>
        </w:tc>
        <w:tc>
          <w:tcPr>
            <w:tcW w:w="2406" w:type="dxa"/>
            <w:noWrap w:val="0"/>
            <w:vAlign w:val="center"/>
          </w:tcPr>
          <w:p w14:paraId="6CCC6633">
            <w:pPr>
              <w:adjustRightInd w:val="0"/>
              <w:snapToGrid w:val="0"/>
              <w:spacing w:line="240" w:lineRule="auto"/>
              <w:jc w:val="left"/>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采用自流卸油和密闭卸油方式、油罐埋地设置；依托现有汽油加（卸）油一、二次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三次油气回收位置设置；设置通气立管</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根，高度≥4m</w:t>
            </w:r>
            <w:r>
              <w:rPr>
                <w:rFonts w:hint="eastAsia" w:cs="Times New Roman"/>
                <w:color w:val="auto"/>
                <w:sz w:val="21"/>
                <w:szCs w:val="21"/>
                <w:lang w:eastAsia="zh-CN"/>
              </w:rPr>
              <w:t>；</w:t>
            </w:r>
            <w:r>
              <w:rPr>
                <w:rFonts w:hint="eastAsia"/>
                <w:color w:val="auto"/>
                <w:sz w:val="21"/>
                <w:szCs w:val="21"/>
                <w:highlight w:val="none"/>
                <w:lang w:eastAsia="zh-CN"/>
              </w:rPr>
              <w:t>设置油气回收在线监测装置</w:t>
            </w:r>
          </w:p>
        </w:tc>
        <w:tc>
          <w:tcPr>
            <w:tcW w:w="2498" w:type="dxa"/>
            <w:noWrap w:val="0"/>
            <w:vAlign w:val="center"/>
          </w:tcPr>
          <w:p w14:paraId="3DC4EC44">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《加油站大气污染物排放标准》（GB 20952-2020）</w:t>
            </w:r>
          </w:p>
        </w:tc>
      </w:tr>
      <w:tr w14:paraId="304F0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1" w:type="dxa"/>
            <w:vMerge w:val="continue"/>
            <w:noWrap w:val="0"/>
            <w:vAlign w:val="center"/>
          </w:tcPr>
          <w:p w14:paraId="7EECA09D">
            <w:pPr>
              <w:adjustRightInd w:val="0"/>
              <w:snapToGrid w:val="0"/>
              <w:spacing w:line="240" w:lineRule="auto"/>
              <w:jc w:val="center"/>
              <w:rPr>
                <w:rFonts w:hint="default" w:ascii="Times New Roman" w:hAnsi="Times New Roman" w:eastAsia="宋体" w:cs="Times New Roman"/>
                <w:color w:val="auto"/>
                <w:sz w:val="21"/>
                <w:szCs w:val="21"/>
              </w:rPr>
            </w:pPr>
          </w:p>
        </w:tc>
        <w:tc>
          <w:tcPr>
            <w:tcW w:w="1406" w:type="dxa"/>
            <w:noWrap w:val="0"/>
            <w:vAlign w:val="center"/>
          </w:tcPr>
          <w:p w14:paraId="3EE13C70">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生化池臭气无组织排放</w:t>
            </w:r>
          </w:p>
        </w:tc>
        <w:tc>
          <w:tcPr>
            <w:tcW w:w="1299" w:type="dxa"/>
            <w:noWrap w:val="0"/>
            <w:vAlign w:val="center"/>
          </w:tcPr>
          <w:p w14:paraId="01A3CEC6">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臭气浓度</w:t>
            </w:r>
          </w:p>
        </w:tc>
        <w:tc>
          <w:tcPr>
            <w:tcW w:w="2406" w:type="dxa"/>
            <w:noWrap w:val="0"/>
            <w:vAlign w:val="center"/>
          </w:tcPr>
          <w:p w14:paraId="4EF9BF2E">
            <w:pPr>
              <w:adjustRightInd w:val="0"/>
              <w:snapToGrid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依托现有措施，经专用管道引至绿化带排放</w:t>
            </w:r>
          </w:p>
        </w:tc>
        <w:tc>
          <w:tcPr>
            <w:tcW w:w="2498" w:type="dxa"/>
            <w:noWrap w:val="0"/>
            <w:vAlign w:val="center"/>
          </w:tcPr>
          <w:p w14:paraId="27AF3302">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《恶臭污染物排放标准》（GB14554-93）表1中的恶臭污染物厂界标准</w:t>
            </w:r>
          </w:p>
        </w:tc>
      </w:tr>
      <w:tr w14:paraId="36902A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1" w:type="dxa"/>
            <w:vMerge w:val="continue"/>
            <w:noWrap w:val="0"/>
            <w:vAlign w:val="center"/>
          </w:tcPr>
          <w:p w14:paraId="367FFBFF">
            <w:pPr>
              <w:adjustRightInd w:val="0"/>
              <w:snapToGrid w:val="0"/>
              <w:spacing w:line="240" w:lineRule="auto"/>
              <w:jc w:val="center"/>
              <w:rPr>
                <w:rFonts w:hint="default" w:ascii="Times New Roman" w:hAnsi="Times New Roman" w:eastAsia="宋体" w:cs="Times New Roman"/>
                <w:color w:val="auto"/>
                <w:sz w:val="21"/>
                <w:szCs w:val="21"/>
              </w:rPr>
            </w:pPr>
          </w:p>
        </w:tc>
        <w:tc>
          <w:tcPr>
            <w:tcW w:w="1406" w:type="dxa"/>
            <w:noWrap w:val="0"/>
            <w:vAlign w:val="center"/>
          </w:tcPr>
          <w:p w14:paraId="2BD236A3">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柴油发电机无组织排放</w:t>
            </w:r>
          </w:p>
        </w:tc>
        <w:tc>
          <w:tcPr>
            <w:tcW w:w="1299" w:type="dxa"/>
            <w:noWrap w:val="0"/>
            <w:vAlign w:val="center"/>
          </w:tcPr>
          <w:p w14:paraId="73B30FFE">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NOx、THC</w:t>
            </w:r>
          </w:p>
        </w:tc>
        <w:tc>
          <w:tcPr>
            <w:tcW w:w="2406" w:type="dxa"/>
            <w:noWrap w:val="0"/>
            <w:vAlign w:val="center"/>
          </w:tcPr>
          <w:p w14:paraId="2C125818">
            <w:pPr>
              <w:adjustRightInd w:val="0"/>
              <w:snapToGrid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依托现有措施，经专用管道引至站房屋顶排放</w:t>
            </w:r>
          </w:p>
        </w:tc>
        <w:tc>
          <w:tcPr>
            <w:tcW w:w="2498" w:type="dxa"/>
            <w:noWrap w:val="0"/>
            <w:vAlign w:val="center"/>
          </w:tcPr>
          <w:p w14:paraId="4227A7B3">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3C006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1191" w:type="dxa"/>
            <w:noWrap w:val="0"/>
            <w:vAlign w:val="center"/>
          </w:tcPr>
          <w:p w14:paraId="2991824D">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1406" w:type="dxa"/>
            <w:noWrap w:val="0"/>
            <w:vAlign w:val="center"/>
          </w:tcPr>
          <w:p w14:paraId="7D1A56A5">
            <w:pPr>
              <w:adjustRightInd w:val="0"/>
              <w:snapToGrid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废水总排口</w:t>
            </w:r>
          </w:p>
        </w:tc>
        <w:tc>
          <w:tcPr>
            <w:tcW w:w="1299" w:type="dxa"/>
            <w:noWrap w:val="0"/>
            <w:vAlign w:val="center"/>
          </w:tcPr>
          <w:p w14:paraId="6990118E">
            <w:pPr>
              <w:adjustRightInd w:val="0"/>
              <w:snapToGri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w:t>
            </w:r>
            <w:r>
              <w:rPr>
                <w:rFonts w:hint="default" w:ascii="Times New Roman" w:hAnsi="Times New Roman" w:eastAsia="宋体" w:cs="Times New Roman"/>
                <w:color w:val="auto"/>
                <w:sz w:val="21"/>
                <w:szCs w:val="21"/>
              </w:rPr>
              <w:t>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、SS、氨氮</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石油类、LAS</w:t>
            </w:r>
          </w:p>
        </w:tc>
        <w:tc>
          <w:tcPr>
            <w:tcW w:w="2406" w:type="dxa"/>
            <w:noWrap w:val="0"/>
            <w:vAlign w:val="center"/>
          </w:tcPr>
          <w:p w14:paraId="4232C455">
            <w:pPr>
              <w:pStyle w:val="62"/>
              <w:spacing w:line="240" w:lineRule="auto"/>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生活污水：依托加油站现有生化池处理达《污水综合排放标准》（GB8978-1996）三级标准后通过市政污水管网进入鸡冠石污水处理厂</w:t>
            </w:r>
          </w:p>
          <w:p w14:paraId="3479E174">
            <w:pPr>
              <w:adjustRightInd w:val="0"/>
              <w:snapToGrid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含油废水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洗车废水</w:t>
            </w:r>
            <w:r>
              <w:rPr>
                <w:rFonts w:hint="default" w:ascii="Times New Roman" w:hAnsi="Times New Roman" w:eastAsia="宋体" w:cs="Times New Roman"/>
                <w:color w:val="auto"/>
                <w:sz w:val="21"/>
                <w:szCs w:val="21"/>
              </w:rPr>
              <w:t>：依托加油站现有三段式隔油池处理达《污水综合排放标准》（GB8978-1996）三级标准后通过市政污水管网进入鸡冠石污水处理厂</w:t>
            </w:r>
          </w:p>
        </w:tc>
        <w:tc>
          <w:tcPr>
            <w:tcW w:w="2498" w:type="dxa"/>
            <w:noWrap w:val="0"/>
            <w:vAlign w:val="center"/>
          </w:tcPr>
          <w:p w14:paraId="71D94DA4">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《污水综合排放标准》（GB8978-1996）三级标准；</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-N参照执行《污水排入城镇下水道水质标准》（GB/T31962-2015）中表1 B级限值</w:t>
            </w:r>
          </w:p>
        </w:tc>
      </w:tr>
      <w:tr w14:paraId="4CA09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91" w:type="dxa"/>
            <w:noWrap w:val="0"/>
            <w:vAlign w:val="center"/>
          </w:tcPr>
          <w:p w14:paraId="72CEFF21">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406" w:type="dxa"/>
            <w:noWrap w:val="0"/>
            <w:vAlign w:val="center"/>
          </w:tcPr>
          <w:p w14:paraId="24D35F6E">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设备、运输车辆等</w:t>
            </w:r>
          </w:p>
        </w:tc>
        <w:tc>
          <w:tcPr>
            <w:tcW w:w="1299" w:type="dxa"/>
            <w:noWrap w:val="0"/>
            <w:vAlign w:val="center"/>
          </w:tcPr>
          <w:p w14:paraId="3F3B420C">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2406" w:type="dxa"/>
            <w:noWrap w:val="0"/>
            <w:vAlign w:val="center"/>
          </w:tcPr>
          <w:p w14:paraId="76EFE12B">
            <w:pPr>
              <w:adjustRightInd w:val="0"/>
              <w:snapToGrid w:val="0"/>
              <w:spacing w:line="240" w:lineRule="auto"/>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选用先进低噪设备，加强站内管理；加油站进出口设置禁鸣及减速标志</w:t>
            </w:r>
          </w:p>
        </w:tc>
        <w:tc>
          <w:tcPr>
            <w:tcW w:w="2498" w:type="dxa"/>
            <w:noWrap w:val="0"/>
            <w:vAlign w:val="center"/>
          </w:tcPr>
          <w:p w14:paraId="2522C33E">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东、西、北侧厂界执行《工业企业厂界环境噪声排放标准》（GB12348-2008）4类标准，南侧厂界执行</w:t>
            </w: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类标准</w:t>
            </w:r>
          </w:p>
        </w:tc>
      </w:tr>
      <w:tr w14:paraId="2745A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91" w:type="dxa"/>
            <w:noWrap w:val="0"/>
            <w:vAlign w:val="center"/>
          </w:tcPr>
          <w:p w14:paraId="79B4C199">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电磁辐射</w:t>
            </w:r>
          </w:p>
        </w:tc>
        <w:tc>
          <w:tcPr>
            <w:tcW w:w="1406" w:type="dxa"/>
            <w:noWrap w:val="0"/>
            <w:vAlign w:val="center"/>
          </w:tcPr>
          <w:p w14:paraId="7F576C80">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299" w:type="dxa"/>
            <w:noWrap w:val="0"/>
            <w:vAlign w:val="center"/>
          </w:tcPr>
          <w:p w14:paraId="75443BEA">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406" w:type="dxa"/>
            <w:noWrap w:val="0"/>
            <w:vAlign w:val="center"/>
          </w:tcPr>
          <w:p w14:paraId="3BF9E8BB">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498" w:type="dxa"/>
            <w:noWrap w:val="0"/>
            <w:vAlign w:val="center"/>
          </w:tcPr>
          <w:p w14:paraId="2010AB34">
            <w:pPr>
              <w:adjustRightInd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14:paraId="3DE37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1191" w:type="dxa"/>
            <w:noWrap w:val="0"/>
            <w:vAlign w:val="center"/>
          </w:tcPr>
          <w:p w14:paraId="15904BA4">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highlight w:val="none"/>
              </w:rPr>
              <w:t>固体废物</w:t>
            </w:r>
          </w:p>
        </w:tc>
        <w:tc>
          <w:tcPr>
            <w:tcW w:w="7609" w:type="dxa"/>
            <w:gridSpan w:val="4"/>
            <w:noWrap w:val="0"/>
            <w:vAlign w:val="center"/>
          </w:tcPr>
          <w:p w14:paraId="3A7E3EE0">
            <w:pPr>
              <w:pStyle w:val="62"/>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危险废物：依托</w:t>
            </w:r>
            <w:r>
              <w:rPr>
                <w:rFonts w:hint="default" w:ascii="Times New Roman" w:hAnsi="Times New Roman" w:cs="Times New Roman"/>
                <w:color w:val="auto"/>
                <w:sz w:val="21"/>
                <w:szCs w:val="21"/>
                <w:highlight w:val="none"/>
              </w:rPr>
              <w:t>站区</w:t>
            </w:r>
            <w:r>
              <w:rPr>
                <w:rFonts w:hint="default" w:ascii="Times New Roman" w:hAnsi="Times New Roman" w:cs="Times New Roman"/>
                <w:color w:val="auto"/>
                <w:sz w:val="21"/>
                <w:szCs w:val="21"/>
                <w:highlight w:val="none"/>
                <w:lang w:val="en-US" w:eastAsia="zh-CN"/>
              </w:rPr>
              <w:t>现有</w:t>
            </w:r>
            <w:r>
              <w:rPr>
                <w:rFonts w:hint="default" w:ascii="Times New Roman" w:hAnsi="Times New Roman" w:cs="Times New Roman"/>
                <w:color w:val="auto"/>
                <w:sz w:val="21"/>
                <w:szCs w:val="21"/>
                <w:highlight w:val="none"/>
              </w:rPr>
              <w:t>危废暂存箱，用于暂存项目产生的危险废物，定期</w:t>
            </w:r>
            <w:r>
              <w:rPr>
                <w:rFonts w:hint="default" w:ascii="Times New Roman" w:hAnsi="Times New Roman" w:cs="Times New Roman"/>
                <w:color w:val="auto"/>
                <w:sz w:val="21"/>
                <w:szCs w:val="21"/>
                <w:highlight w:val="none"/>
                <w:lang w:eastAsia="zh-CN"/>
              </w:rPr>
              <w:t>委托有资质单位</w:t>
            </w:r>
            <w:r>
              <w:rPr>
                <w:rFonts w:hint="default" w:ascii="Times New Roman" w:hAnsi="Times New Roman" w:cs="Times New Roman"/>
                <w:color w:val="auto"/>
                <w:sz w:val="21"/>
                <w:szCs w:val="21"/>
                <w:highlight w:val="none"/>
              </w:rPr>
              <w:t>进行处置；</w:t>
            </w:r>
          </w:p>
          <w:p w14:paraId="4D329486">
            <w:pPr>
              <w:adjustRightInd w:val="0"/>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生活垃圾：依托现有垃圾桶</w:t>
            </w:r>
            <w:r>
              <w:rPr>
                <w:rFonts w:hint="default" w:ascii="Times New Roman" w:hAnsi="Times New Roman" w:cs="Times New Roman"/>
                <w:color w:val="auto"/>
                <w:sz w:val="21"/>
                <w:szCs w:val="21"/>
              </w:rPr>
              <w:t>经袋装收集后</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交由当地环卫部门统一清运，日产日清，防止二次污染；</w:t>
            </w:r>
          </w:p>
          <w:p w14:paraId="460BCB9F">
            <w:pPr>
              <w:adjustRightInd w:val="0"/>
              <w:snapToGrid w:val="0"/>
              <w:jc w:val="left"/>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highlight w:val="none"/>
              </w:rPr>
              <w:t>生化池污泥需定期清掏，交由环卫部门处置</w:t>
            </w:r>
            <w:r>
              <w:rPr>
                <w:rFonts w:hint="default" w:ascii="Times New Roman" w:hAnsi="Times New Roman" w:cs="Times New Roman"/>
                <w:color w:val="auto"/>
                <w:sz w:val="21"/>
                <w:szCs w:val="21"/>
                <w:highlight w:val="none"/>
                <w:lang w:eastAsia="zh-CN"/>
              </w:rPr>
              <w:t>。</w:t>
            </w:r>
          </w:p>
        </w:tc>
      </w:tr>
      <w:tr w14:paraId="443A6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4" w:hRule="atLeast"/>
          <w:jc w:val="center"/>
        </w:trPr>
        <w:tc>
          <w:tcPr>
            <w:tcW w:w="1191" w:type="dxa"/>
            <w:noWrap w:val="0"/>
            <w:vAlign w:val="center"/>
          </w:tcPr>
          <w:p w14:paraId="7B354CC1">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土壤及地下水</w:t>
            </w:r>
          </w:p>
          <w:p w14:paraId="328BF245">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highlight w:val="none"/>
              </w:rPr>
              <w:t>污染防治措施</w:t>
            </w:r>
          </w:p>
        </w:tc>
        <w:tc>
          <w:tcPr>
            <w:tcW w:w="7609" w:type="dxa"/>
            <w:gridSpan w:val="4"/>
            <w:noWrap w:val="0"/>
            <w:vAlign w:val="center"/>
          </w:tcPr>
          <w:p w14:paraId="0539F69F">
            <w:pPr>
              <w:adjustRightInd w:val="0"/>
              <w:snapToGrid w:val="0"/>
              <w:spacing w:line="280" w:lineRule="exact"/>
              <w:jc w:val="left"/>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地下水：</w:t>
            </w:r>
          </w:p>
          <w:p w14:paraId="5CDF5198">
            <w:pPr>
              <w:adjustRightInd w:val="0"/>
              <w:snapToGrid w:val="0"/>
              <w:spacing w:line="280" w:lineRule="exact"/>
              <w:ind w:firstLine="420" w:firstLineChars="200"/>
              <w:jc w:val="lef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①分区防渗</w:t>
            </w:r>
          </w:p>
          <w:p w14:paraId="1D660D61">
            <w:pPr>
              <w:adjustRightInd w:val="0"/>
              <w:snapToGrid w:val="0"/>
              <w:spacing w:line="280" w:lineRule="exact"/>
              <w:ind w:firstLine="420" w:firstLineChars="20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现有工程已按照《石油化工工程防渗技术规范》（GB/T50934-2013）中的相关要求对站区内各建（构）筑物进行了分区防渗，并已通过竣工环保验收。本项目仅对埋地罐区进行改造，并按照重点污染防治区的要求进行防渗处理，具体措施如下：</w:t>
            </w:r>
          </w:p>
          <w:p w14:paraId="167CBE25">
            <w:pPr>
              <w:adjustRightInd w:val="0"/>
              <w:snapToGrid w:val="0"/>
              <w:spacing w:line="280" w:lineRule="exact"/>
              <w:ind w:firstLine="420" w:firstLineChars="200"/>
              <w:jc w:val="lef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本项目采用单层卧式罐体+防渗池的防渗方式。埋地油罐设有液位自动检测系统，具有油罐渗漏的监测功能和高液位报警功能。防渗池采用防渗混凝土整体浇筑，符合现行国家标准《地下工程防水技术规范》</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GB 50108</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的有关规定。设1</w:t>
            </w:r>
            <w:r>
              <w:rPr>
                <w:rFonts w:hint="eastAsia" w:cs="Times New Roman"/>
                <w:color w:val="auto"/>
                <w:sz w:val="21"/>
                <w:szCs w:val="21"/>
                <w:highlight w:val="none"/>
                <w:lang w:eastAsia="zh-CN"/>
              </w:rPr>
              <w:t>座</w:t>
            </w:r>
            <w:r>
              <w:rPr>
                <w:rFonts w:hint="default" w:ascii="Times New Roman" w:hAnsi="Times New Roman" w:cs="Times New Roman"/>
                <w:color w:val="auto"/>
                <w:sz w:val="21"/>
                <w:szCs w:val="21"/>
                <w:highlight w:val="none"/>
                <w:lang w:eastAsia="zh-CN"/>
              </w:rPr>
              <w:t>防渗罐池；防渗池的内表面采用玻璃钢防渗，内部采取中性砂回填，上部采取了防止雨水、地表水和外部泄漏油品渗入池内的措施。防渗池的各隔池内设置了检测立管，检测立管采取耐油、耐腐蚀的管材，下端置于防渗池的最低处；检测立管周围用粒径10～30mm的砾石回填；检测口设有防止雨水、油污、杂物侵入的保护盖和标识。</w:t>
            </w:r>
          </w:p>
          <w:p w14:paraId="4769063C">
            <w:pPr>
              <w:adjustRightInd w:val="0"/>
              <w:snapToGrid w:val="0"/>
              <w:spacing w:line="280" w:lineRule="exact"/>
              <w:ind w:firstLine="420" w:firstLineChars="200"/>
              <w:jc w:val="lef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埋地输油管线采用</w:t>
            </w:r>
            <w:r>
              <w:rPr>
                <w:rFonts w:hint="default" w:ascii="Times New Roman" w:hAnsi="Times New Roman" w:cs="Times New Roman"/>
                <w:color w:val="auto"/>
                <w:sz w:val="21"/>
                <w:szCs w:val="21"/>
                <w:highlight w:val="none"/>
                <w:lang w:val="en-US" w:eastAsia="zh-CN"/>
              </w:rPr>
              <w:t>双层复合管道。</w:t>
            </w:r>
          </w:p>
          <w:p w14:paraId="031778E4">
            <w:pPr>
              <w:adjustRightInd w:val="0"/>
              <w:snapToGrid w:val="0"/>
              <w:spacing w:line="280" w:lineRule="exact"/>
              <w:ind w:firstLine="420" w:firstLineChars="200"/>
              <w:jc w:val="lef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②管理措施</w:t>
            </w:r>
          </w:p>
          <w:p w14:paraId="396BDA24">
            <w:pPr>
              <w:adjustRightInd w:val="0"/>
              <w:snapToGrid w:val="0"/>
              <w:spacing w:line="280" w:lineRule="exact"/>
              <w:ind w:firstLine="420" w:firstLineChars="200"/>
              <w:jc w:val="lef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加强运行管理，从油品储存、运输等全过程控制油品泄漏，采取行之有效的防渗措施，定期检查污染源地下水保护设施，及时消除污染隐患，杜绝跑冒滴漏现象：发现有污染物泄漏或渗漏，采取清理污染物和修补漏洞（缝）等补救措施。</w:t>
            </w:r>
          </w:p>
          <w:p w14:paraId="4172311D">
            <w:pPr>
              <w:adjustRightInd w:val="0"/>
              <w:snapToGrid w:val="0"/>
              <w:spacing w:line="280" w:lineRule="exact"/>
              <w:jc w:val="left"/>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土壤：</w:t>
            </w:r>
          </w:p>
          <w:p w14:paraId="20F4CCB2">
            <w:pPr>
              <w:adjustRightInd w:val="0"/>
              <w:snapToGrid w:val="0"/>
              <w:spacing w:line="280" w:lineRule="exact"/>
              <w:ind w:firstLine="420" w:firstLineChars="200"/>
              <w:jc w:val="lef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①建立土壤和地下水污染隐患排查治理制度，定期对重点区域、重点设施开展隐患排查。发现污染隐患的，应当制定整改方案，及时采取技术、管理措施消除隐患。隐患排查、治理情况应当如实记录并建立档案。</w:t>
            </w:r>
          </w:p>
          <w:p w14:paraId="0B688E3C">
            <w:pPr>
              <w:adjustRightInd w:val="0"/>
              <w:snapToGrid w:val="0"/>
              <w:spacing w:line="280" w:lineRule="exact"/>
              <w:ind w:firstLine="420" w:firstLineChars="200"/>
              <w:jc w:val="lef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②建议污水处理设施、油罐、加油区、卸油区等存在土壤污染风险的设施，按照国家有关标准和规范的要求，设计、建设和安装有关防腐蚀、防泄漏设施和泄漏检测装置，防止有毒有害物质污染土壤和地下水。</w:t>
            </w:r>
          </w:p>
          <w:p w14:paraId="66090576">
            <w:pPr>
              <w:adjustRightInd w:val="0"/>
              <w:snapToGrid w:val="0"/>
              <w:spacing w:line="280" w:lineRule="exact"/>
              <w:ind w:firstLine="420" w:firstLineChars="200"/>
              <w:jc w:val="left"/>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③建议通过油料周转量核算正常损耗率，通过异常损耗率可间接反映出可能存在污染事故。</w:t>
            </w:r>
          </w:p>
          <w:p w14:paraId="02E1A68A">
            <w:pPr>
              <w:adjustRightInd w:val="0"/>
              <w:snapToGrid w:val="0"/>
              <w:spacing w:line="28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④定期维护相应分区防渗措施，维持相应防渗区的防渗能力。</w:t>
            </w:r>
          </w:p>
        </w:tc>
      </w:tr>
      <w:tr w14:paraId="00F5D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191" w:type="dxa"/>
            <w:noWrap w:val="0"/>
            <w:vAlign w:val="center"/>
          </w:tcPr>
          <w:p w14:paraId="67FE025E">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highlight w:val="none"/>
              </w:rPr>
              <w:t>生态保护措施</w:t>
            </w:r>
          </w:p>
        </w:tc>
        <w:tc>
          <w:tcPr>
            <w:tcW w:w="7609" w:type="dxa"/>
            <w:gridSpan w:val="4"/>
            <w:noWrap w:val="0"/>
            <w:vAlign w:val="center"/>
          </w:tcPr>
          <w:p w14:paraId="122B1DC9">
            <w:pPr>
              <w:adjustRightInd w:val="0"/>
              <w:snapToGrid w:val="0"/>
              <w:jc w:val="center"/>
              <w:rPr>
                <w:rFonts w:hint="default" w:ascii="Times New Roman" w:hAnsi="Times New Roman" w:cs="Times New Roman"/>
                <w:color w:val="auto"/>
                <w:sz w:val="21"/>
                <w:szCs w:val="21"/>
                <w:highlight w:val="none"/>
              </w:rPr>
            </w:pPr>
          </w:p>
          <w:p w14:paraId="03596353">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highlight w:val="none"/>
              </w:rPr>
              <w:t>/</w:t>
            </w:r>
          </w:p>
        </w:tc>
      </w:tr>
      <w:tr w14:paraId="62FD3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9" w:hRule="atLeast"/>
          <w:jc w:val="center"/>
        </w:trPr>
        <w:tc>
          <w:tcPr>
            <w:tcW w:w="1191" w:type="dxa"/>
            <w:noWrap w:val="0"/>
            <w:vAlign w:val="center"/>
          </w:tcPr>
          <w:p w14:paraId="2F0DCBC5">
            <w:pPr>
              <w:adjustRightInd w:val="0"/>
              <w:snapToGrid w:val="0"/>
              <w:jc w:val="center"/>
              <w:rPr>
                <w:rFonts w:hint="default" w:ascii="Times New Roman" w:hAnsi="Times New Roman" w:cs="Times New Roman"/>
                <w:color w:val="auto"/>
                <w:spacing w:val="-8"/>
                <w:sz w:val="21"/>
                <w:szCs w:val="21"/>
                <w:highlight w:val="none"/>
              </w:rPr>
            </w:pPr>
            <w:r>
              <w:rPr>
                <w:rFonts w:hint="default" w:ascii="Times New Roman" w:hAnsi="Times New Roman" w:cs="Times New Roman"/>
                <w:color w:val="auto"/>
                <w:spacing w:val="-8"/>
                <w:sz w:val="21"/>
                <w:szCs w:val="21"/>
                <w:highlight w:val="none"/>
              </w:rPr>
              <w:t>环境风险</w:t>
            </w:r>
          </w:p>
          <w:p w14:paraId="0BF1FA79">
            <w:pPr>
              <w:adjustRightInd w:val="0"/>
              <w:snapToGrid w:val="0"/>
              <w:jc w:val="center"/>
              <w:rPr>
                <w:rFonts w:hint="default" w:ascii="Times New Roman" w:hAnsi="Times New Roman" w:eastAsia="宋体" w:cs="Times New Roman"/>
                <w:color w:val="auto"/>
                <w:spacing w:val="-8"/>
                <w:sz w:val="21"/>
                <w:szCs w:val="21"/>
              </w:rPr>
            </w:pPr>
            <w:r>
              <w:rPr>
                <w:rFonts w:hint="default" w:ascii="Times New Roman" w:hAnsi="Times New Roman" w:cs="Times New Roman"/>
                <w:color w:val="auto"/>
                <w:spacing w:val="-8"/>
                <w:sz w:val="21"/>
                <w:szCs w:val="21"/>
                <w:highlight w:val="none"/>
              </w:rPr>
              <w:t>防范措施</w:t>
            </w:r>
          </w:p>
        </w:tc>
        <w:tc>
          <w:tcPr>
            <w:tcW w:w="7609" w:type="dxa"/>
            <w:gridSpan w:val="4"/>
            <w:noWrap w:val="0"/>
            <w:vAlign w:val="center"/>
          </w:tcPr>
          <w:p w14:paraId="77125DBA">
            <w:pPr>
              <w:pStyle w:val="65"/>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（1）泄漏风险防范措施</w:t>
            </w:r>
          </w:p>
          <w:p w14:paraId="1D6A7B4E">
            <w:pPr>
              <w:pStyle w:val="62"/>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①本项目汽油罐和柴油罐均采取单层卧式罐体+防渗池，满足防渗需求。每个油罐设置通气立管，通气管高出地面大于4m，并安装阻火器。</w:t>
            </w:r>
            <w:r>
              <w:rPr>
                <w:rFonts w:hint="eastAsia" w:ascii="Times New Roman" w:hAnsi="Times New Roman" w:eastAsia="宋体" w:cs="Times New Roman"/>
                <w:b w:val="0"/>
                <w:bCs/>
                <w:color w:val="auto"/>
                <w:kern w:val="2"/>
                <w:sz w:val="21"/>
                <w:szCs w:val="21"/>
                <w:highlight w:val="none"/>
                <w:lang w:val="en-US" w:eastAsia="zh-CN" w:bidi="ar-SA"/>
              </w:rPr>
              <w:t>油罐人孔操作井、卸油口井均密封处理。油罐采用卸油防满溢措施，</w:t>
            </w:r>
            <w:r>
              <w:rPr>
                <w:rFonts w:hint="default" w:ascii="Times New Roman" w:hAnsi="Times New Roman" w:eastAsia="宋体" w:cs="Times New Roman"/>
                <w:b w:val="0"/>
                <w:bCs/>
                <w:color w:val="auto"/>
                <w:kern w:val="2"/>
                <w:sz w:val="21"/>
                <w:szCs w:val="21"/>
                <w:highlight w:val="none"/>
                <w:lang w:val="en-US" w:eastAsia="zh-CN" w:bidi="ar-SA"/>
              </w:rPr>
              <w:t>汽油充装达到油罐容量85%，柴油充装达到油罐容量90%时，触动高液位报警装置，自动停止油料继续进罐。每个油罐各自设置卸油管道和卸油接口，各卸油接口及油气回收接口，有明显的标识，卸油接口装设快速接头及密封盖。</w:t>
            </w:r>
          </w:p>
          <w:p w14:paraId="76CF3FA8">
            <w:pPr>
              <w:pStyle w:val="65"/>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②储油罐设带有高液位报警功能的液位计，避免卸油时计量失误使罐内液位过高造成冒油。卸油时有专人监督和监控设施，若出现泄漏事故，一般可在1min内关闭阀门并进行控制处理。</w:t>
            </w:r>
          </w:p>
          <w:p w14:paraId="1DB23AD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③</w:t>
            </w:r>
            <w:r>
              <w:rPr>
                <w:rFonts w:hint="eastAsia" w:ascii="Times New Roman" w:hAnsi="Times New Roman" w:eastAsia="宋体" w:cs="Times New Roman"/>
                <w:b w:val="0"/>
                <w:bCs/>
                <w:color w:val="auto"/>
                <w:kern w:val="2"/>
                <w:sz w:val="21"/>
                <w:szCs w:val="21"/>
                <w:highlight w:val="none"/>
                <w:lang w:val="en-US" w:eastAsia="zh-CN" w:bidi="ar-SA"/>
              </w:rPr>
              <w:t>加油机底槽采用成品集油盆并填沙，</w:t>
            </w:r>
            <w:r>
              <w:rPr>
                <w:rFonts w:hint="default" w:ascii="Times New Roman" w:hAnsi="Times New Roman" w:eastAsia="宋体" w:cs="Times New Roman"/>
                <w:b w:val="0"/>
                <w:bCs/>
                <w:color w:val="auto"/>
                <w:kern w:val="2"/>
                <w:sz w:val="21"/>
                <w:szCs w:val="21"/>
                <w:highlight w:val="none"/>
                <w:lang w:val="en-US" w:eastAsia="zh-CN" w:bidi="ar-SA"/>
              </w:rPr>
              <w:t>定期对油品储存、输送、零售环节的设备、阀门、法兰盘、管道等进行检修、维护和保养，工艺管线采用埋地双层复合材料管道，采用防锈漆防锈、聚乙烯胶粘带加强绝缘防腐。</w:t>
            </w:r>
          </w:p>
          <w:p w14:paraId="32C6C62A">
            <w:pPr>
              <w:adjustRightInd w:val="0"/>
              <w:snapToGrid w:val="0"/>
              <w:jc w:val="left"/>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（2）火灾事故风险防范措施</w:t>
            </w:r>
          </w:p>
          <w:p w14:paraId="23AFF342">
            <w:pPr>
              <w:adjustRightInd w:val="0"/>
              <w:snapToGrid w:val="0"/>
              <w:ind w:firstLine="420" w:firstLineChars="200"/>
              <w:jc w:val="left"/>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①建立、完善安全管理制度；</w:t>
            </w:r>
          </w:p>
          <w:p w14:paraId="75860314">
            <w:pPr>
              <w:adjustRightInd w:val="0"/>
              <w:snapToGrid w:val="0"/>
              <w:ind w:firstLine="420" w:firstLineChars="200"/>
              <w:jc w:val="left"/>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②设立安全标识，加油站内设立禁止吸烟、禁止打手机的警示牌，严格禁止站内明火、电焊等作业；</w:t>
            </w:r>
          </w:p>
          <w:p w14:paraId="62E96CC2">
            <w:pPr>
              <w:adjustRightInd w:val="0"/>
              <w:snapToGrid w:val="0"/>
              <w:ind w:firstLine="420" w:firstLineChars="200"/>
              <w:jc w:val="left"/>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③对每个工作人员进行消防培训，提高安全防范意识，加强员工的安全技术培训，规范安全操作；</w:t>
            </w:r>
          </w:p>
          <w:p w14:paraId="73575C05">
            <w:pPr>
              <w:adjustRightInd w:val="0"/>
              <w:snapToGrid w:val="0"/>
              <w:ind w:firstLine="420" w:firstLineChars="200"/>
              <w:jc w:val="left"/>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④加强日常防火巡查，加强设备管理，做好防雷、消除静电工作，加油软管设拉断截止阀；</w:t>
            </w:r>
          </w:p>
          <w:p w14:paraId="24AD1831">
            <w:pPr>
              <w:adjustRightInd w:val="0"/>
              <w:snapToGrid w:val="0"/>
              <w:ind w:firstLine="420" w:firstLineChars="200"/>
              <w:jc w:val="left"/>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⑤在加油站内设有仪表值班室，对工艺区等处可燃气体的泄漏情况进行集中监测，异常报警和联动。另外，还在站区配有便携式可燃气体检测报警仪，供工作人员进入生产区时使用；</w:t>
            </w:r>
          </w:p>
          <w:p w14:paraId="7F2B8274">
            <w:pPr>
              <w:adjustRightInd w:val="0"/>
              <w:snapToGrid w:val="0"/>
              <w:ind w:firstLine="420" w:firstLineChars="200"/>
              <w:jc w:val="left"/>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⑥加油站配备有</w:t>
            </w:r>
            <w:r>
              <w:rPr>
                <w:rFonts w:hint="eastAsia" w:cs="Times New Roman"/>
                <w:b w:val="0"/>
                <w:bCs w:val="0"/>
                <w:color w:val="auto"/>
                <w:sz w:val="21"/>
                <w:szCs w:val="21"/>
                <w:highlight w:val="none"/>
                <w:lang w:val="en-US" w:eastAsia="zh-CN"/>
              </w:rPr>
              <w:t>消防沙</w:t>
            </w:r>
            <w:r>
              <w:rPr>
                <w:rFonts w:hint="default" w:ascii="Times New Roman" w:hAnsi="Times New Roman" w:cs="Times New Roman"/>
                <w:b w:val="0"/>
                <w:bCs w:val="0"/>
                <w:color w:val="auto"/>
                <w:sz w:val="21"/>
                <w:szCs w:val="21"/>
                <w:highlight w:val="none"/>
                <w:lang w:val="en-US" w:eastAsia="zh-CN"/>
              </w:rPr>
              <w:t>池、灭火器，灭火毯等；</w:t>
            </w:r>
          </w:p>
          <w:p w14:paraId="33DF6B9B">
            <w:pPr>
              <w:adjustRightInd w:val="0"/>
              <w:snapToGrid w:val="0"/>
              <w:ind w:firstLine="420" w:firstLineChars="200"/>
              <w:jc w:val="left"/>
              <w:rPr>
                <w:rFonts w:hint="default" w:ascii="Times New Roman" w:hAnsi="Times New Roman" w:eastAsia="宋体" w:cs="Times New Roman"/>
                <w:color w:val="auto"/>
                <w:sz w:val="21"/>
                <w:szCs w:val="21"/>
              </w:rPr>
            </w:pPr>
            <w:r>
              <w:rPr>
                <w:rFonts w:hint="eastAsia"/>
                <w:b w:val="0"/>
                <w:bCs w:val="0"/>
                <w:color w:val="auto"/>
                <w:sz w:val="21"/>
                <w:szCs w:val="21"/>
                <w:highlight w:val="none"/>
                <w:lang w:val="en-US" w:eastAsia="zh-CN"/>
              </w:rPr>
              <w:t>⑦卸油区和加油站设置环保沟，初期雨水通过环保沟收集进入三段式隔油池处理；事故状态下，消防水及场地清洗废水经环保沟收集进入三段式隔油池处理</w:t>
            </w:r>
            <w:r>
              <w:rPr>
                <w:rFonts w:hint="default" w:ascii="Times New Roman" w:hAnsi="Times New Roman" w:cs="Times New Roman"/>
                <w:b w:val="0"/>
                <w:bCs w:val="0"/>
                <w:color w:val="auto"/>
                <w:sz w:val="21"/>
                <w:szCs w:val="21"/>
                <w:highlight w:val="none"/>
                <w:lang w:val="en-US" w:eastAsia="zh-CN"/>
              </w:rPr>
              <w:t>。</w:t>
            </w:r>
          </w:p>
        </w:tc>
      </w:tr>
      <w:tr w14:paraId="4B8A5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1191" w:type="dxa"/>
            <w:noWrap w:val="0"/>
            <w:vAlign w:val="center"/>
          </w:tcPr>
          <w:p w14:paraId="2A31C41F">
            <w:pPr>
              <w:adjustRightInd w:val="0"/>
              <w:snapToGrid w:val="0"/>
              <w:jc w:val="center"/>
              <w:rPr>
                <w:rFonts w:hint="default" w:ascii="Times New Roman" w:hAnsi="Times New Roman" w:cs="Times New Roman"/>
                <w:color w:val="auto"/>
                <w:spacing w:val="-8"/>
                <w:sz w:val="21"/>
                <w:szCs w:val="21"/>
                <w:highlight w:val="none"/>
              </w:rPr>
            </w:pPr>
            <w:r>
              <w:rPr>
                <w:rFonts w:hint="default" w:ascii="Times New Roman" w:hAnsi="Times New Roman" w:cs="Times New Roman"/>
                <w:color w:val="auto"/>
                <w:spacing w:val="-8"/>
                <w:sz w:val="21"/>
                <w:szCs w:val="21"/>
                <w:highlight w:val="none"/>
              </w:rPr>
              <w:t>其他环境</w:t>
            </w:r>
          </w:p>
          <w:p w14:paraId="3AA358E9">
            <w:pPr>
              <w:adjustRightInd w:val="0"/>
              <w:snapToGrid w:val="0"/>
              <w:jc w:val="center"/>
              <w:rPr>
                <w:rFonts w:hint="default" w:ascii="Times New Roman" w:hAnsi="Times New Roman" w:eastAsia="宋体" w:cs="Times New Roman"/>
                <w:color w:val="auto"/>
                <w:spacing w:val="-8"/>
                <w:sz w:val="21"/>
                <w:szCs w:val="21"/>
              </w:rPr>
            </w:pPr>
            <w:r>
              <w:rPr>
                <w:rFonts w:hint="default" w:ascii="Times New Roman" w:hAnsi="Times New Roman" w:cs="Times New Roman"/>
                <w:color w:val="auto"/>
                <w:spacing w:val="-8"/>
                <w:sz w:val="21"/>
                <w:szCs w:val="21"/>
                <w:highlight w:val="none"/>
              </w:rPr>
              <w:t>管理要求</w:t>
            </w:r>
          </w:p>
        </w:tc>
        <w:tc>
          <w:tcPr>
            <w:tcW w:w="7609" w:type="dxa"/>
            <w:gridSpan w:val="4"/>
            <w:noWrap w:val="0"/>
            <w:vAlign w:val="center"/>
          </w:tcPr>
          <w:p w14:paraId="1E432B49">
            <w:pPr>
              <w:adjustRightInd w:val="0"/>
              <w:snapToGrid w:val="0"/>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采取风险防范措施，落实分区防渗处理措施，编制《突发环境事件风险评估报告》和《突发环境事件风险应急预案》并进行备案，定期进行演练，加强环境风险管理，防止因事故引发环境污染。</w:t>
            </w:r>
          </w:p>
          <w:p w14:paraId="0D85C1E2">
            <w:pPr>
              <w:adjustRightInd w:val="0"/>
              <w:snapToGrid w:val="0"/>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固定污染源排污许可分类管理名录（2019年版）》，本项目属于“四十二、零售业52-100汽车、摩托车、零配件和燃料及其他动力销售526 -位于城市建成区的加油站”，企业固定污染源排污许可类型为简化管理；本项目实施后，建设单位应尽快更新排污许可环保手续。</w:t>
            </w:r>
          </w:p>
          <w:p w14:paraId="1E862CE2">
            <w:pPr>
              <w:pStyle w:val="7"/>
              <w:spacing w:before="0" w:after="0" w:line="240" w:lineRule="auto"/>
              <w:ind w:right="0"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需要配套建设的环境保护设施，必须与主体工程同时设计、同时施工、同时投产使用。项目竣工后，建设单位应当按照国务院环境保护行政主管部门规定的标准和程序，对配套建设的环境保护设施进行验收，编制竣工环境保护验收监测报告。</w:t>
            </w:r>
          </w:p>
          <w:p w14:paraId="55762630">
            <w:pPr>
              <w:adjustRightInd w:val="0"/>
              <w:snapToGrid w:val="0"/>
              <w:jc w:val="left"/>
              <w:rPr>
                <w:rFonts w:hint="default" w:ascii="Times New Roman" w:hAnsi="Times New Roman" w:eastAsia="宋体" w:cs="Times New Roman"/>
                <w:color w:val="auto"/>
                <w:sz w:val="21"/>
                <w:szCs w:val="21"/>
              </w:rPr>
            </w:pPr>
          </w:p>
        </w:tc>
      </w:tr>
      <w:tr w14:paraId="5908D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91" w:type="dxa"/>
            <w:noWrap w:val="0"/>
            <w:vAlign w:val="center"/>
          </w:tcPr>
          <w:p w14:paraId="281CB560">
            <w:pPr>
              <w:adjustRightInd w:val="0"/>
              <w:snapToGrid w:val="0"/>
              <w:jc w:val="center"/>
              <w:rPr>
                <w:rFonts w:hint="default" w:ascii="Times New Roman" w:hAnsi="Times New Roman" w:cs="Times New Roman"/>
                <w:color w:val="auto"/>
                <w:spacing w:val="-8"/>
                <w:sz w:val="21"/>
                <w:szCs w:val="21"/>
                <w:highlight w:val="none"/>
              </w:rPr>
            </w:pPr>
            <w:r>
              <w:rPr>
                <w:rFonts w:hint="eastAsia"/>
                <w:color w:val="auto"/>
                <w:spacing w:val="-8"/>
                <w:sz w:val="21"/>
                <w:szCs w:val="21"/>
                <w:highlight w:val="none"/>
                <w:lang w:val="en-US" w:eastAsia="zh-CN"/>
              </w:rPr>
              <w:t>整改措施</w:t>
            </w:r>
          </w:p>
        </w:tc>
        <w:tc>
          <w:tcPr>
            <w:tcW w:w="7609" w:type="dxa"/>
            <w:gridSpan w:val="4"/>
            <w:noWrap w:val="0"/>
            <w:vAlign w:val="center"/>
          </w:tcPr>
          <w:p w14:paraId="7B2BA220">
            <w:pPr>
              <w:adjustRightInd w:val="0"/>
              <w:snapToGrid w:val="0"/>
              <w:jc w:val="left"/>
              <w:rPr>
                <w:rFonts w:hint="default" w:ascii="Times New Roman" w:hAnsi="Times New Roman" w:eastAsia="宋体" w:cs="Times New Roman"/>
                <w:color w:val="auto"/>
                <w:sz w:val="21"/>
                <w:szCs w:val="21"/>
              </w:rPr>
            </w:pPr>
            <w:r>
              <w:rPr>
                <w:rFonts w:hint="eastAsia" w:ascii="Times New Roman" w:hAnsi="Times New Roman" w:eastAsia="宋体" w:cs="Times New Roman"/>
                <w:b w:val="0"/>
                <w:bCs/>
                <w:color w:val="auto"/>
                <w:sz w:val="21"/>
                <w:szCs w:val="21"/>
                <w:highlight w:val="none"/>
                <w:vertAlign w:val="baseline"/>
                <w:lang w:val="en-US" w:eastAsia="zh-CN"/>
              </w:rPr>
              <w:t>在罐区地下水下游方向站区内设置一口地下水跟踪监测井，距离埋地油罐距离不超过30m，地下水监测井结构采用一孔成井工艺，符合《加油站地下水污染防治技术指南（试行）》中的相关要求。</w:t>
            </w:r>
          </w:p>
        </w:tc>
      </w:tr>
    </w:tbl>
    <w:p w14:paraId="6F973D61">
      <w:pPr>
        <w:pStyle w:val="16"/>
        <w:jc w:val="center"/>
        <w:outlineLvl w:val="0"/>
        <w:rPr>
          <w:rFonts w:hint="default" w:ascii="Times New Roman" w:hAnsi="Times New Roman" w:eastAsia="黑体" w:cs="Times New Roman"/>
          <w:snapToGrid w:val="0"/>
          <w:color w:val="auto"/>
          <w:sz w:val="30"/>
          <w:szCs w:val="30"/>
        </w:rPr>
      </w:pPr>
      <w:r>
        <w:rPr>
          <w:rFonts w:hint="default" w:ascii="Times New Roman" w:hAnsi="Times New Roman" w:eastAsia="宋体" w:cs="Times New Roman"/>
          <w:snapToGrid w:val="0"/>
          <w:color w:val="auto"/>
          <w:highlight w:val="yellow"/>
        </w:rPr>
        <w:br w:type="page"/>
      </w:r>
      <w:r>
        <w:rPr>
          <w:rFonts w:hint="default" w:ascii="Times New Roman" w:hAnsi="Times New Roman" w:eastAsia="黑体" w:cs="Times New Roman"/>
          <w:snapToGrid w:val="0"/>
          <w:color w:val="auto"/>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DC18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02" w:hRule="atLeast"/>
          <w:jc w:val="center"/>
        </w:trPr>
        <w:tc>
          <w:tcPr>
            <w:tcW w:w="8865" w:type="dxa"/>
            <w:noWrap w:val="0"/>
            <w:vAlign w:val="top"/>
          </w:tcPr>
          <w:p w14:paraId="27775E59">
            <w:pPr>
              <w:snapToGrid w:val="0"/>
              <w:spacing w:line="360" w:lineRule="auto"/>
              <w:ind w:firstLine="480" w:firstLineChars="200"/>
              <w:rPr>
                <w:rFonts w:hint="default" w:ascii="Times New Roman" w:hAnsi="Times New Roman" w:cs="Times New Roman"/>
                <w:color w:val="auto"/>
                <w:sz w:val="24"/>
                <w:szCs w:val="26"/>
              </w:rPr>
            </w:pPr>
          </w:p>
          <w:p w14:paraId="05C69D7D">
            <w:pPr>
              <w:snapToGrid w:val="0"/>
              <w:spacing w:line="360" w:lineRule="auto"/>
              <w:ind w:firstLine="480" w:firstLineChars="200"/>
              <w:rPr>
                <w:rFonts w:hint="default" w:ascii="Times New Roman" w:hAnsi="Times New Roman" w:cs="Times New Roman"/>
                <w:color w:val="auto"/>
                <w:sz w:val="24"/>
                <w:szCs w:val="26"/>
              </w:rPr>
            </w:pPr>
            <w:bookmarkStart w:id="8" w:name="_GoBack"/>
            <w:bookmarkEnd w:id="8"/>
            <w:r>
              <w:rPr>
                <w:rFonts w:hint="default" w:ascii="Times New Roman" w:hAnsi="Times New Roman" w:cs="Times New Roman"/>
                <w:color w:val="auto"/>
                <w:sz w:val="24"/>
                <w:szCs w:val="26"/>
              </w:rPr>
              <w:t>本项目的建设符合国家、地方的产业政策及相关规划，项目组成、选址、布局、规模和工艺合理可行。项目严格按本环评提出的污染防治措施对污染物进行治理，可确保污染物达标排放，环境风险可控，对周围环境影响较小，区域环境功能不会发生改变。</w:t>
            </w:r>
          </w:p>
          <w:p w14:paraId="2295FAE6">
            <w:pPr>
              <w:snapToGrid w:val="0"/>
              <w:spacing w:line="360" w:lineRule="auto"/>
              <w:ind w:firstLine="480" w:firstLineChars="200"/>
              <w:rPr>
                <w:rFonts w:hint="default" w:ascii="Times New Roman" w:hAnsi="Times New Roman" w:cs="Times New Roman"/>
                <w:color w:val="auto"/>
                <w:sz w:val="24"/>
                <w:szCs w:val="26"/>
              </w:rPr>
            </w:pPr>
            <w:r>
              <w:rPr>
                <w:rFonts w:hint="default" w:ascii="Times New Roman" w:hAnsi="Times New Roman" w:cs="Times New Roman"/>
                <w:color w:val="auto"/>
                <w:sz w:val="24"/>
                <w:szCs w:val="26"/>
              </w:rPr>
              <w:t>在建设单位认真落实各项环境治理措施的情况下，从环境保护角度分析，评价认为本项目建设可行。</w:t>
            </w:r>
          </w:p>
          <w:p w14:paraId="23DA5147">
            <w:pPr>
              <w:snapToGrid w:val="0"/>
              <w:spacing w:line="480" w:lineRule="exact"/>
              <w:ind w:firstLine="520" w:firstLineChars="200"/>
              <w:rPr>
                <w:rFonts w:hint="default" w:ascii="Times New Roman" w:hAnsi="Times New Roman" w:cs="Times New Roman"/>
                <w:color w:val="auto"/>
                <w:sz w:val="26"/>
                <w:szCs w:val="26"/>
              </w:rPr>
            </w:pPr>
          </w:p>
          <w:p w14:paraId="4D6B4A5D">
            <w:pPr>
              <w:snapToGrid w:val="0"/>
              <w:spacing w:line="480" w:lineRule="exact"/>
              <w:ind w:firstLine="520" w:firstLineChars="200"/>
              <w:rPr>
                <w:rFonts w:hint="default" w:ascii="Times New Roman" w:hAnsi="Times New Roman" w:cs="Times New Roman"/>
                <w:color w:val="auto"/>
                <w:sz w:val="26"/>
                <w:szCs w:val="26"/>
              </w:rPr>
            </w:pPr>
          </w:p>
          <w:p w14:paraId="2CF3158F">
            <w:pPr>
              <w:snapToGrid w:val="0"/>
              <w:spacing w:line="480" w:lineRule="exact"/>
              <w:ind w:firstLine="520" w:firstLineChars="200"/>
              <w:rPr>
                <w:rFonts w:hint="default" w:ascii="Times New Roman" w:hAnsi="Times New Roman" w:cs="Times New Roman"/>
                <w:color w:val="auto"/>
                <w:sz w:val="26"/>
                <w:szCs w:val="26"/>
              </w:rPr>
            </w:pPr>
          </w:p>
          <w:p w14:paraId="1D4988DF">
            <w:pPr>
              <w:snapToGrid w:val="0"/>
              <w:spacing w:line="480" w:lineRule="exact"/>
              <w:ind w:firstLine="520" w:firstLineChars="200"/>
              <w:rPr>
                <w:rFonts w:hint="default" w:ascii="Times New Roman" w:hAnsi="Times New Roman" w:cs="Times New Roman"/>
                <w:color w:val="auto"/>
                <w:sz w:val="26"/>
                <w:szCs w:val="26"/>
              </w:rPr>
            </w:pPr>
          </w:p>
          <w:p w14:paraId="458BE3C2">
            <w:pPr>
              <w:snapToGrid w:val="0"/>
              <w:spacing w:line="480" w:lineRule="exact"/>
              <w:ind w:firstLine="520" w:firstLineChars="200"/>
              <w:rPr>
                <w:rFonts w:hint="default" w:ascii="Times New Roman" w:hAnsi="Times New Roman" w:cs="Times New Roman"/>
                <w:color w:val="auto"/>
                <w:sz w:val="26"/>
                <w:szCs w:val="26"/>
              </w:rPr>
            </w:pPr>
          </w:p>
          <w:p w14:paraId="14B0BC31">
            <w:pPr>
              <w:snapToGrid w:val="0"/>
              <w:spacing w:line="480" w:lineRule="exact"/>
              <w:ind w:firstLine="520" w:firstLineChars="200"/>
              <w:rPr>
                <w:rFonts w:hint="default" w:ascii="Times New Roman" w:hAnsi="Times New Roman" w:cs="Times New Roman"/>
                <w:color w:val="auto"/>
                <w:sz w:val="26"/>
                <w:szCs w:val="26"/>
              </w:rPr>
            </w:pPr>
          </w:p>
          <w:p w14:paraId="47D1C0ED">
            <w:pPr>
              <w:snapToGrid w:val="0"/>
              <w:spacing w:line="480" w:lineRule="exact"/>
              <w:ind w:firstLine="520" w:firstLineChars="200"/>
              <w:rPr>
                <w:rFonts w:hint="default" w:ascii="Times New Roman" w:hAnsi="Times New Roman" w:cs="Times New Roman"/>
                <w:color w:val="auto"/>
                <w:sz w:val="26"/>
                <w:szCs w:val="26"/>
              </w:rPr>
            </w:pPr>
          </w:p>
          <w:p w14:paraId="56120904">
            <w:pPr>
              <w:snapToGrid w:val="0"/>
              <w:spacing w:line="480" w:lineRule="exact"/>
              <w:ind w:firstLine="520" w:firstLineChars="200"/>
              <w:rPr>
                <w:rFonts w:hint="default" w:ascii="Times New Roman" w:hAnsi="Times New Roman" w:cs="Times New Roman"/>
                <w:color w:val="auto"/>
                <w:sz w:val="26"/>
                <w:szCs w:val="26"/>
              </w:rPr>
            </w:pPr>
          </w:p>
          <w:p w14:paraId="418F008C">
            <w:pPr>
              <w:snapToGrid w:val="0"/>
              <w:spacing w:line="480" w:lineRule="exact"/>
              <w:ind w:firstLine="520" w:firstLineChars="200"/>
              <w:rPr>
                <w:rFonts w:hint="default" w:ascii="Times New Roman" w:hAnsi="Times New Roman" w:cs="Times New Roman"/>
                <w:color w:val="auto"/>
                <w:sz w:val="26"/>
                <w:szCs w:val="26"/>
              </w:rPr>
            </w:pPr>
          </w:p>
          <w:p w14:paraId="0DF64850">
            <w:pPr>
              <w:snapToGrid w:val="0"/>
              <w:spacing w:line="480" w:lineRule="exact"/>
              <w:ind w:firstLine="520" w:firstLineChars="200"/>
              <w:rPr>
                <w:rFonts w:hint="default" w:ascii="Times New Roman" w:hAnsi="Times New Roman" w:cs="Times New Roman"/>
                <w:color w:val="auto"/>
                <w:sz w:val="26"/>
                <w:szCs w:val="26"/>
              </w:rPr>
            </w:pPr>
          </w:p>
          <w:p w14:paraId="09DCF246">
            <w:pPr>
              <w:snapToGrid w:val="0"/>
              <w:spacing w:line="480" w:lineRule="exact"/>
              <w:ind w:firstLine="520" w:firstLineChars="200"/>
              <w:rPr>
                <w:rFonts w:hint="default" w:ascii="Times New Roman" w:hAnsi="Times New Roman" w:cs="Times New Roman"/>
                <w:color w:val="auto"/>
                <w:sz w:val="26"/>
                <w:szCs w:val="26"/>
              </w:rPr>
            </w:pPr>
          </w:p>
          <w:p w14:paraId="140480F9">
            <w:pPr>
              <w:snapToGrid w:val="0"/>
              <w:spacing w:line="480" w:lineRule="exact"/>
              <w:ind w:firstLine="520" w:firstLineChars="200"/>
              <w:rPr>
                <w:rFonts w:hint="default" w:ascii="Times New Roman" w:hAnsi="Times New Roman" w:cs="Times New Roman"/>
                <w:color w:val="auto"/>
                <w:sz w:val="26"/>
                <w:szCs w:val="26"/>
              </w:rPr>
            </w:pPr>
          </w:p>
          <w:p w14:paraId="0FE8EEAA">
            <w:pPr>
              <w:snapToGrid w:val="0"/>
              <w:spacing w:line="480" w:lineRule="exact"/>
              <w:ind w:firstLine="520" w:firstLineChars="200"/>
              <w:rPr>
                <w:rFonts w:hint="default" w:ascii="Times New Roman" w:hAnsi="Times New Roman" w:cs="Times New Roman"/>
                <w:color w:val="auto"/>
                <w:sz w:val="26"/>
                <w:szCs w:val="26"/>
              </w:rPr>
            </w:pPr>
          </w:p>
          <w:p w14:paraId="5FB07DF9">
            <w:pPr>
              <w:snapToGrid w:val="0"/>
              <w:spacing w:line="480" w:lineRule="exact"/>
              <w:ind w:firstLine="520" w:firstLineChars="200"/>
              <w:rPr>
                <w:rFonts w:hint="default" w:ascii="Times New Roman" w:hAnsi="Times New Roman" w:cs="Times New Roman"/>
                <w:color w:val="auto"/>
                <w:sz w:val="26"/>
                <w:szCs w:val="26"/>
              </w:rPr>
            </w:pPr>
          </w:p>
          <w:p w14:paraId="714A8289">
            <w:pPr>
              <w:snapToGrid w:val="0"/>
              <w:spacing w:line="480" w:lineRule="exact"/>
              <w:ind w:firstLine="520" w:firstLineChars="200"/>
              <w:rPr>
                <w:rFonts w:hint="default" w:ascii="Times New Roman" w:hAnsi="Times New Roman" w:cs="Times New Roman"/>
                <w:color w:val="auto"/>
                <w:sz w:val="26"/>
                <w:szCs w:val="26"/>
              </w:rPr>
            </w:pPr>
          </w:p>
          <w:p w14:paraId="2D8CB634">
            <w:pPr>
              <w:snapToGrid w:val="0"/>
              <w:spacing w:line="480" w:lineRule="exact"/>
              <w:ind w:firstLine="520" w:firstLineChars="200"/>
              <w:rPr>
                <w:rFonts w:hint="default" w:ascii="Times New Roman" w:hAnsi="Times New Roman" w:cs="Times New Roman"/>
                <w:color w:val="auto"/>
                <w:sz w:val="26"/>
                <w:szCs w:val="26"/>
              </w:rPr>
            </w:pPr>
          </w:p>
          <w:p w14:paraId="5AA2A13A">
            <w:pPr>
              <w:snapToGrid w:val="0"/>
              <w:spacing w:line="480" w:lineRule="exact"/>
              <w:ind w:firstLine="520" w:firstLineChars="200"/>
              <w:rPr>
                <w:rFonts w:hint="default" w:ascii="Times New Roman" w:hAnsi="Times New Roman" w:cs="Times New Roman"/>
                <w:color w:val="auto"/>
                <w:sz w:val="26"/>
                <w:szCs w:val="26"/>
              </w:rPr>
            </w:pPr>
          </w:p>
          <w:p w14:paraId="6DC6C221">
            <w:pPr>
              <w:snapToGrid w:val="0"/>
              <w:spacing w:line="480" w:lineRule="exact"/>
              <w:ind w:firstLine="480" w:firstLineChars="200"/>
              <w:rPr>
                <w:rFonts w:hint="default" w:ascii="Times New Roman" w:hAnsi="Times New Roman" w:cs="Times New Roman"/>
                <w:color w:val="auto"/>
                <w:sz w:val="24"/>
              </w:rPr>
            </w:pPr>
          </w:p>
          <w:p w14:paraId="686EC2F7">
            <w:pPr>
              <w:snapToGrid w:val="0"/>
              <w:spacing w:line="480" w:lineRule="exact"/>
              <w:ind w:firstLine="480" w:firstLineChars="200"/>
              <w:rPr>
                <w:rFonts w:hint="default" w:ascii="Times New Roman" w:hAnsi="Times New Roman" w:cs="Times New Roman"/>
                <w:color w:val="auto"/>
                <w:sz w:val="24"/>
              </w:rPr>
            </w:pPr>
          </w:p>
        </w:tc>
      </w:tr>
    </w:tbl>
    <w:p w14:paraId="264845E6">
      <w:pPr>
        <w:rPr>
          <w:rFonts w:hint="default" w:ascii="Times New Roman" w:hAnsi="Times New Roman" w:cs="Times New Roman"/>
          <w:color w:val="auto"/>
          <w:highlight w:val="yellow"/>
        </w:rPr>
        <w:sectPr>
          <w:pgSz w:w="11906" w:h="16838"/>
          <w:pgMar w:top="1701" w:right="1531" w:bottom="1701" w:left="1531" w:header="851" w:footer="851" w:gutter="0"/>
          <w:pgNumType w:fmt="decimal"/>
          <w:cols w:space="720" w:num="1"/>
          <w:docGrid w:linePitch="312" w:charSpace="0"/>
        </w:sectPr>
      </w:pPr>
    </w:p>
    <w:p w14:paraId="55A59497">
      <w:pPr>
        <w:pStyle w:val="16"/>
        <w:adjustRightInd w:val="0"/>
        <w:snapToGrid w:val="0"/>
        <w:spacing w:before="0" w:beforeAutospacing="0" w:after="0" w:afterAutospacing="0" w:line="648" w:lineRule="auto"/>
        <w:outlineLvl w:val="0"/>
        <w:rPr>
          <w:rFonts w:hint="default" w:ascii="Times New Roman" w:hAnsi="Times New Roman" w:eastAsia="黑体" w:cs="Times New Roman"/>
          <w:snapToGrid w:val="0"/>
          <w:color w:val="auto"/>
          <w:sz w:val="32"/>
          <w:szCs w:val="32"/>
        </w:rPr>
      </w:pPr>
      <w:r>
        <w:rPr>
          <w:rFonts w:hint="default" w:ascii="Times New Roman" w:hAnsi="Times New Roman" w:eastAsia="黑体" w:cs="Times New Roman"/>
          <w:snapToGrid w:val="0"/>
          <w:color w:val="auto"/>
          <w:sz w:val="32"/>
          <w:szCs w:val="32"/>
        </w:rPr>
        <w:t>附表</w:t>
      </w:r>
    </w:p>
    <w:p w14:paraId="3FDEF81A">
      <w:pPr>
        <w:pStyle w:val="16"/>
        <w:adjustRightInd w:val="0"/>
        <w:snapToGrid w:val="0"/>
        <w:spacing w:before="0" w:beforeAutospacing="0" w:after="0" w:afterAutospacing="0" w:line="360" w:lineRule="auto"/>
        <w:jc w:val="center"/>
        <w:outlineLvl w:val="0"/>
        <w:rPr>
          <w:rFonts w:hint="default" w:ascii="Times New Roman" w:hAnsi="Times New Roman" w:eastAsia="方正小标宋_GBK" w:cs="Times New Roman"/>
          <w:snapToGrid w:val="0"/>
          <w:color w:val="auto"/>
          <w:sz w:val="38"/>
          <w:szCs w:val="38"/>
        </w:rPr>
      </w:pPr>
      <w:r>
        <w:rPr>
          <w:rFonts w:hint="default" w:ascii="Times New Roman" w:hAnsi="Times New Roman" w:eastAsia="方正小标宋_GBK" w:cs="Times New Roman"/>
          <w:snapToGrid w:val="0"/>
          <w:color w:val="auto"/>
          <w:sz w:val="38"/>
          <w:szCs w:val="38"/>
        </w:rPr>
        <w:t>建设项目污染物排放量汇总表</w:t>
      </w:r>
    </w:p>
    <w:tbl>
      <w:tblPr>
        <w:tblStyle w:val="19"/>
        <w:tblW w:w="13788" w:type="dxa"/>
        <w:tblInd w:w="-3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701"/>
        <w:gridCol w:w="1701"/>
        <w:gridCol w:w="1418"/>
        <w:gridCol w:w="1559"/>
        <w:gridCol w:w="1559"/>
        <w:gridCol w:w="1701"/>
        <w:gridCol w:w="1701"/>
        <w:gridCol w:w="1286"/>
      </w:tblGrid>
      <w:tr w14:paraId="5FAC0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tcBorders>
              <w:tl2br w:val="single" w:color="auto" w:sz="4" w:space="0"/>
            </w:tcBorders>
            <w:noWrap w:val="0"/>
            <w:tcMar>
              <w:left w:w="28" w:type="dxa"/>
              <w:right w:w="28" w:type="dxa"/>
            </w:tcMar>
            <w:vAlign w:val="center"/>
          </w:tcPr>
          <w:p w14:paraId="1FDB2220">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lang w:val="en-US" w:eastAsia="zh-CN"/>
              </w:rPr>
              <w:t xml:space="preserve">     </w:t>
            </w:r>
            <w:r>
              <w:rPr>
                <w:rFonts w:hint="default" w:ascii="Times New Roman" w:hAnsi="Times New Roman" w:eastAsia="黑体" w:cs="Times New Roman"/>
                <w:snapToGrid w:val="0"/>
                <w:color w:val="auto"/>
                <w:spacing w:val="-6"/>
                <w:kern w:val="21"/>
                <w:sz w:val="21"/>
                <w:szCs w:val="21"/>
              </w:rPr>
              <w:t>项目</w:t>
            </w:r>
          </w:p>
          <w:p w14:paraId="0C9ABC64">
            <w:pPr>
              <w:pStyle w:val="51"/>
              <w:spacing w:beforeLines="0" w:afterLines="0" w:line="240" w:lineRule="auto"/>
              <w:ind w:firstLine="198" w:firstLineChars="100"/>
              <w:jc w:val="both"/>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分类</w:t>
            </w:r>
          </w:p>
        </w:tc>
        <w:tc>
          <w:tcPr>
            <w:tcW w:w="1701" w:type="dxa"/>
            <w:noWrap w:val="0"/>
            <w:tcMar>
              <w:left w:w="28" w:type="dxa"/>
              <w:right w:w="28" w:type="dxa"/>
            </w:tcMar>
            <w:vAlign w:val="center"/>
          </w:tcPr>
          <w:p w14:paraId="434F39D8">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污染物名称</w:t>
            </w:r>
          </w:p>
        </w:tc>
        <w:tc>
          <w:tcPr>
            <w:tcW w:w="1701" w:type="dxa"/>
            <w:noWrap w:val="0"/>
            <w:tcMar>
              <w:left w:w="28" w:type="dxa"/>
              <w:right w:w="28" w:type="dxa"/>
            </w:tcMar>
            <w:vAlign w:val="center"/>
          </w:tcPr>
          <w:p w14:paraId="6CB38D35">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w:t>
            </w:r>
          </w:p>
          <w:p w14:paraId="242EFCC4">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1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①</w:t>
            </w:r>
            <w:r>
              <w:rPr>
                <w:rFonts w:hint="default" w:ascii="Times New Roman" w:hAnsi="Times New Roman" w:eastAsia="黑体" w:cs="Times New Roman"/>
                <w:snapToGrid w:val="0"/>
                <w:color w:val="auto"/>
                <w:spacing w:val="-6"/>
                <w:kern w:val="21"/>
                <w:sz w:val="21"/>
                <w:szCs w:val="21"/>
              </w:rPr>
              <w:fldChar w:fldCharType="end"/>
            </w:r>
          </w:p>
        </w:tc>
        <w:tc>
          <w:tcPr>
            <w:tcW w:w="1418" w:type="dxa"/>
            <w:noWrap w:val="0"/>
            <w:tcMar>
              <w:left w:w="28" w:type="dxa"/>
              <w:right w:w="28" w:type="dxa"/>
            </w:tcMar>
            <w:vAlign w:val="center"/>
          </w:tcPr>
          <w:p w14:paraId="09AE6B9C">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现有工程</w:t>
            </w:r>
          </w:p>
          <w:p w14:paraId="25514C68">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许可排放量</w:t>
            </w:r>
          </w:p>
          <w:p w14:paraId="576B1236">
            <w:pPr>
              <w:pStyle w:val="51"/>
              <w:spacing w:beforeLines="0" w:afterLines="0"/>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2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snapToGrid w:val="0"/>
                <w:color w:val="auto"/>
                <w:spacing w:val="-6"/>
                <w:kern w:val="21"/>
                <w:sz w:val="21"/>
                <w:szCs w:val="21"/>
              </w:rPr>
              <w:t>②</w:t>
            </w:r>
            <w:r>
              <w:rPr>
                <w:rFonts w:hint="default" w:ascii="Times New Roman" w:hAnsi="Times New Roman" w:eastAsia="黑体" w:cs="Times New Roman"/>
                <w:snapToGrid w:val="0"/>
                <w:color w:val="auto"/>
                <w:spacing w:val="-6"/>
                <w:kern w:val="21"/>
                <w:sz w:val="21"/>
                <w:szCs w:val="21"/>
              </w:rPr>
              <w:fldChar w:fldCharType="end"/>
            </w:r>
          </w:p>
        </w:tc>
        <w:tc>
          <w:tcPr>
            <w:tcW w:w="1559" w:type="dxa"/>
            <w:noWrap w:val="0"/>
            <w:tcMar>
              <w:left w:w="28" w:type="dxa"/>
              <w:right w:w="28" w:type="dxa"/>
            </w:tcMar>
            <w:vAlign w:val="center"/>
          </w:tcPr>
          <w:p w14:paraId="18696B71">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在建工程</w:t>
            </w:r>
          </w:p>
          <w:p w14:paraId="6A3BF346">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3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③</w:t>
            </w:r>
            <w:r>
              <w:rPr>
                <w:rFonts w:hint="default" w:ascii="Times New Roman" w:hAnsi="Times New Roman" w:eastAsia="黑体" w:cs="Times New Roman"/>
                <w:snapToGrid w:val="0"/>
                <w:color w:val="auto"/>
                <w:spacing w:val="-6"/>
                <w:kern w:val="21"/>
                <w:sz w:val="21"/>
                <w:szCs w:val="21"/>
              </w:rPr>
              <w:fldChar w:fldCharType="end"/>
            </w:r>
          </w:p>
        </w:tc>
        <w:tc>
          <w:tcPr>
            <w:tcW w:w="1559" w:type="dxa"/>
            <w:noWrap w:val="0"/>
            <w:tcMar>
              <w:left w:w="28" w:type="dxa"/>
              <w:right w:w="28" w:type="dxa"/>
            </w:tcMar>
            <w:vAlign w:val="center"/>
          </w:tcPr>
          <w:p w14:paraId="6EF95CD4">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本项目</w:t>
            </w:r>
          </w:p>
          <w:p w14:paraId="743C7778">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排放量（固体废物产生量）</w:t>
            </w: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4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④</w:t>
            </w:r>
            <w:r>
              <w:rPr>
                <w:rFonts w:hint="default" w:ascii="Times New Roman" w:hAnsi="Times New Roman" w:eastAsia="黑体" w:cs="Times New Roman"/>
                <w:snapToGrid w:val="0"/>
                <w:color w:val="auto"/>
                <w:spacing w:val="-6"/>
                <w:kern w:val="21"/>
                <w:sz w:val="21"/>
                <w:szCs w:val="21"/>
              </w:rPr>
              <w:fldChar w:fldCharType="end"/>
            </w:r>
          </w:p>
        </w:tc>
        <w:tc>
          <w:tcPr>
            <w:tcW w:w="1701" w:type="dxa"/>
            <w:noWrap w:val="0"/>
            <w:tcMar>
              <w:left w:w="28" w:type="dxa"/>
              <w:right w:w="28" w:type="dxa"/>
            </w:tcMar>
            <w:vAlign w:val="center"/>
          </w:tcPr>
          <w:p w14:paraId="22D672F9">
            <w:pPr>
              <w:pStyle w:val="51"/>
              <w:spacing w:beforeLines="0" w:afterLines="0" w:line="240" w:lineRule="auto"/>
              <w:jc w:val="center"/>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以新带老削减量</w:t>
            </w:r>
          </w:p>
          <w:p w14:paraId="058CB364">
            <w:pPr>
              <w:pStyle w:val="51"/>
              <w:spacing w:beforeLines="0" w:afterLines="0" w:line="240" w:lineRule="auto"/>
              <w:jc w:val="center"/>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（新建项目不填）</w:t>
            </w:r>
            <w:r>
              <w:rPr>
                <w:rFonts w:hint="default" w:ascii="Times New Roman" w:hAnsi="Times New Roman" w:eastAsia="黑体" w:cs="Times New Roman"/>
                <w:snapToGrid w:val="0"/>
                <w:color w:val="auto"/>
                <w:spacing w:val="-16"/>
                <w:kern w:val="21"/>
                <w:sz w:val="21"/>
                <w:szCs w:val="21"/>
              </w:rPr>
              <w:fldChar w:fldCharType="begin"/>
            </w:r>
            <w:r>
              <w:rPr>
                <w:rFonts w:hint="default" w:ascii="Times New Roman" w:hAnsi="Times New Roman" w:eastAsia="黑体" w:cs="Times New Roman"/>
                <w:snapToGrid w:val="0"/>
                <w:color w:val="auto"/>
                <w:spacing w:val="-16"/>
                <w:kern w:val="21"/>
                <w:sz w:val="21"/>
                <w:szCs w:val="21"/>
              </w:rPr>
              <w:instrText xml:space="preserve"> = 5 \* GB3 \* MERGEFORMAT </w:instrText>
            </w:r>
            <w:r>
              <w:rPr>
                <w:rFonts w:hint="default" w:ascii="Times New Roman" w:hAnsi="Times New Roman" w:eastAsia="黑体" w:cs="Times New Roman"/>
                <w:snapToGrid w:val="0"/>
                <w:color w:val="auto"/>
                <w:spacing w:val="-16"/>
                <w:kern w:val="21"/>
                <w:sz w:val="21"/>
                <w:szCs w:val="21"/>
              </w:rPr>
              <w:fldChar w:fldCharType="separate"/>
            </w:r>
            <w:r>
              <w:rPr>
                <w:rFonts w:hint="default" w:ascii="Times New Roman" w:hAnsi="Times New Roman" w:eastAsia="黑体" w:cs="Times New Roman"/>
                <w:color w:val="auto"/>
                <w:kern w:val="2"/>
                <w:sz w:val="21"/>
                <w:szCs w:val="21"/>
              </w:rPr>
              <w:t>⑤</w:t>
            </w:r>
            <w:r>
              <w:rPr>
                <w:rFonts w:hint="default" w:ascii="Times New Roman" w:hAnsi="Times New Roman" w:eastAsia="黑体" w:cs="Times New Roman"/>
                <w:snapToGrid w:val="0"/>
                <w:color w:val="auto"/>
                <w:spacing w:val="-16"/>
                <w:kern w:val="21"/>
                <w:sz w:val="21"/>
                <w:szCs w:val="21"/>
              </w:rPr>
              <w:fldChar w:fldCharType="end"/>
            </w:r>
          </w:p>
        </w:tc>
        <w:tc>
          <w:tcPr>
            <w:tcW w:w="1701" w:type="dxa"/>
            <w:noWrap w:val="0"/>
            <w:tcMar>
              <w:left w:w="28" w:type="dxa"/>
              <w:right w:w="28" w:type="dxa"/>
            </w:tcMar>
            <w:vAlign w:val="center"/>
          </w:tcPr>
          <w:p w14:paraId="05528602">
            <w:pPr>
              <w:pStyle w:val="51"/>
              <w:spacing w:beforeLines="0" w:afterLines="0" w:line="240" w:lineRule="auto"/>
              <w:jc w:val="center"/>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本项目建成后</w:t>
            </w:r>
          </w:p>
          <w:p w14:paraId="74988812">
            <w:pPr>
              <w:pStyle w:val="51"/>
              <w:spacing w:beforeLines="0" w:afterLines="0" w:line="240" w:lineRule="auto"/>
              <w:jc w:val="center"/>
              <w:rPr>
                <w:rFonts w:hint="default" w:ascii="Times New Roman" w:hAnsi="Times New Roman" w:eastAsia="黑体" w:cs="Times New Roman"/>
                <w:snapToGrid w:val="0"/>
                <w:color w:val="auto"/>
                <w:spacing w:val="-16"/>
                <w:kern w:val="21"/>
                <w:sz w:val="21"/>
                <w:szCs w:val="21"/>
              </w:rPr>
            </w:pPr>
            <w:r>
              <w:rPr>
                <w:rFonts w:hint="default" w:ascii="Times New Roman" w:hAnsi="Times New Roman" w:eastAsia="黑体" w:cs="Times New Roman"/>
                <w:snapToGrid w:val="0"/>
                <w:color w:val="auto"/>
                <w:spacing w:val="-16"/>
                <w:kern w:val="21"/>
                <w:sz w:val="21"/>
                <w:szCs w:val="21"/>
              </w:rPr>
              <w:t>全厂排放量（固体废物产生量）</w:t>
            </w:r>
            <w:r>
              <w:rPr>
                <w:rFonts w:hint="default" w:ascii="Times New Roman" w:hAnsi="Times New Roman" w:eastAsia="黑体" w:cs="Times New Roman"/>
                <w:snapToGrid w:val="0"/>
                <w:color w:val="auto"/>
                <w:spacing w:val="-16"/>
                <w:kern w:val="21"/>
                <w:sz w:val="21"/>
                <w:szCs w:val="21"/>
              </w:rPr>
              <w:fldChar w:fldCharType="begin"/>
            </w:r>
            <w:r>
              <w:rPr>
                <w:rFonts w:hint="default" w:ascii="Times New Roman" w:hAnsi="Times New Roman" w:eastAsia="黑体" w:cs="Times New Roman"/>
                <w:snapToGrid w:val="0"/>
                <w:color w:val="auto"/>
                <w:spacing w:val="-16"/>
                <w:kern w:val="21"/>
                <w:sz w:val="21"/>
                <w:szCs w:val="21"/>
              </w:rPr>
              <w:instrText xml:space="preserve"> = 6 \* GB3 \* MERGEFORMAT </w:instrText>
            </w:r>
            <w:r>
              <w:rPr>
                <w:rFonts w:hint="default" w:ascii="Times New Roman" w:hAnsi="Times New Roman" w:eastAsia="黑体" w:cs="Times New Roman"/>
                <w:snapToGrid w:val="0"/>
                <w:color w:val="auto"/>
                <w:spacing w:val="-16"/>
                <w:kern w:val="21"/>
                <w:sz w:val="21"/>
                <w:szCs w:val="21"/>
              </w:rPr>
              <w:fldChar w:fldCharType="separate"/>
            </w:r>
            <w:r>
              <w:rPr>
                <w:rFonts w:hint="default" w:ascii="Times New Roman" w:hAnsi="Times New Roman" w:eastAsia="黑体" w:cs="Times New Roman"/>
                <w:color w:val="auto"/>
                <w:kern w:val="2"/>
                <w:sz w:val="21"/>
                <w:szCs w:val="21"/>
              </w:rPr>
              <w:t>⑥</w:t>
            </w:r>
            <w:r>
              <w:rPr>
                <w:rFonts w:hint="default" w:ascii="Times New Roman" w:hAnsi="Times New Roman" w:eastAsia="黑体" w:cs="Times New Roman"/>
                <w:snapToGrid w:val="0"/>
                <w:color w:val="auto"/>
                <w:spacing w:val="-16"/>
                <w:kern w:val="21"/>
                <w:sz w:val="21"/>
                <w:szCs w:val="21"/>
              </w:rPr>
              <w:fldChar w:fldCharType="end"/>
            </w:r>
          </w:p>
        </w:tc>
        <w:tc>
          <w:tcPr>
            <w:tcW w:w="1286" w:type="dxa"/>
            <w:noWrap w:val="0"/>
            <w:tcMar>
              <w:left w:w="28" w:type="dxa"/>
              <w:right w:w="28" w:type="dxa"/>
            </w:tcMar>
            <w:vAlign w:val="center"/>
          </w:tcPr>
          <w:p w14:paraId="50F8966C">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t>变化量</w:t>
            </w:r>
          </w:p>
          <w:p w14:paraId="2DDEBA38">
            <w:pPr>
              <w:pStyle w:val="51"/>
              <w:spacing w:beforeLines="0" w:afterLines="0" w:line="240" w:lineRule="auto"/>
              <w:jc w:val="center"/>
              <w:rPr>
                <w:rFonts w:hint="default" w:ascii="Times New Roman" w:hAnsi="Times New Roman" w:eastAsia="黑体" w:cs="Times New Roman"/>
                <w:snapToGrid w:val="0"/>
                <w:color w:val="auto"/>
                <w:spacing w:val="-6"/>
                <w:kern w:val="21"/>
                <w:sz w:val="21"/>
                <w:szCs w:val="21"/>
              </w:rPr>
            </w:pPr>
            <w:r>
              <w:rPr>
                <w:rFonts w:hint="default" w:ascii="Times New Roman" w:hAnsi="Times New Roman" w:eastAsia="黑体" w:cs="Times New Roman"/>
                <w:snapToGrid w:val="0"/>
                <w:color w:val="auto"/>
                <w:spacing w:val="-6"/>
                <w:kern w:val="21"/>
                <w:sz w:val="21"/>
                <w:szCs w:val="21"/>
              </w:rPr>
              <w:fldChar w:fldCharType="begin"/>
            </w:r>
            <w:r>
              <w:rPr>
                <w:rFonts w:hint="default" w:ascii="Times New Roman" w:hAnsi="Times New Roman" w:eastAsia="黑体" w:cs="Times New Roman"/>
                <w:snapToGrid w:val="0"/>
                <w:color w:val="auto"/>
                <w:spacing w:val="-6"/>
                <w:kern w:val="21"/>
                <w:sz w:val="21"/>
                <w:szCs w:val="21"/>
              </w:rPr>
              <w:instrText xml:space="preserve"> = 7 \* GB3 \* MERGEFORMAT </w:instrText>
            </w:r>
            <w:r>
              <w:rPr>
                <w:rFonts w:hint="default" w:ascii="Times New Roman" w:hAnsi="Times New Roman" w:eastAsia="黑体" w:cs="Times New Roman"/>
                <w:snapToGrid w:val="0"/>
                <w:color w:val="auto"/>
                <w:spacing w:val="-6"/>
                <w:kern w:val="21"/>
                <w:sz w:val="21"/>
                <w:szCs w:val="21"/>
              </w:rPr>
              <w:fldChar w:fldCharType="separate"/>
            </w:r>
            <w:r>
              <w:rPr>
                <w:rFonts w:hint="default" w:ascii="Times New Roman" w:hAnsi="Times New Roman" w:eastAsia="黑体" w:cs="Times New Roman"/>
                <w:color w:val="auto"/>
                <w:kern w:val="2"/>
                <w:sz w:val="21"/>
                <w:szCs w:val="21"/>
              </w:rPr>
              <w:t>⑦</w:t>
            </w:r>
            <w:r>
              <w:rPr>
                <w:rFonts w:hint="default" w:ascii="Times New Roman" w:hAnsi="Times New Roman" w:eastAsia="黑体" w:cs="Times New Roman"/>
                <w:snapToGrid w:val="0"/>
                <w:color w:val="auto"/>
                <w:spacing w:val="-6"/>
                <w:kern w:val="21"/>
                <w:sz w:val="21"/>
                <w:szCs w:val="21"/>
              </w:rPr>
              <w:fldChar w:fldCharType="end"/>
            </w:r>
          </w:p>
        </w:tc>
      </w:tr>
      <w:tr w14:paraId="260BE0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restart"/>
            <w:noWrap w:val="0"/>
            <w:vAlign w:val="center"/>
          </w:tcPr>
          <w:p w14:paraId="538A4C6D">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废气</w:t>
            </w:r>
          </w:p>
        </w:tc>
        <w:tc>
          <w:tcPr>
            <w:tcW w:w="1701" w:type="dxa"/>
            <w:noWrap w:val="0"/>
            <w:vAlign w:val="center"/>
          </w:tcPr>
          <w:p w14:paraId="6FE32DBE">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非甲烷总烃</w:t>
            </w:r>
          </w:p>
        </w:tc>
        <w:tc>
          <w:tcPr>
            <w:tcW w:w="1701" w:type="dxa"/>
            <w:noWrap w:val="0"/>
            <w:vAlign w:val="center"/>
          </w:tcPr>
          <w:p w14:paraId="2CD8583B">
            <w:pPr>
              <w:pStyle w:val="51"/>
              <w:spacing w:beforeLines="0" w:afterLines="0" w:line="240" w:lineRule="auto"/>
              <w:jc w:val="center"/>
              <w:rPr>
                <w:rFonts w:hint="default" w:ascii="Times New Roman" w:hAnsi="Times New Roman" w:cs="Times New Roman"/>
                <w:snapToGrid w:val="0"/>
                <w:color w:val="auto"/>
                <w:kern w:val="21"/>
                <w:sz w:val="21"/>
                <w:szCs w:val="21"/>
                <w:lang w:val="en-US"/>
              </w:rPr>
            </w:pPr>
            <w:r>
              <w:rPr>
                <w:rFonts w:hint="eastAsia" w:ascii="Times New Roman" w:cs="Times New Roman"/>
                <w:snapToGrid w:val="0"/>
                <w:color w:val="auto"/>
                <w:kern w:val="21"/>
                <w:sz w:val="21"/>
                <w:szCs w:val="21"/>
                <w:lang w:val="en-US" w:eastAsia="zh-CN"/>
              </w:rPr>
              <w:t>1.635</w:t>
            </w:r>
          </w:p>
        </w:tc>
        <w:tc>
          <w:tcPr>
            <w:tcW w:w="1418" w:type="dxa"/>
            <w:noWrap w:val="0"/>
            <w:vAlign w:val="center"/>
          </w:tcPr>
          <w:p w14:paraId="4F1538CC">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6127AB9C">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6F5B188A">
            <w:pPr>
              <w:pStyle w:val="51"/>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2.310</w:t>
            </w:r>
          </w:p>
        </w:tc>
        <w:tc>
          <w:tcPr>
            <w:tcW w:w="1701" w:type="dxa"/>
            <w:noWrap w:val="0"/>
            <w:vAlign w:val="center"/>
          </w:tcPr>
          <w:p w14:paraId="1639285C">
            <w:pPr>
              <w:pStyle w:val="51"/>
              <w:spacing w:beforeLines="0" w:afterLines="0" w:line="240" w:lineRule="auto"/>
              <w:jc w:val="center"/>
              <w:rPr>
                <w:rFonts w:hint="default" w:ascii="Times New Roman" w:hAnsi="Times New Roman" w:cs="Times New Roman"/>
                <w:snapToGrid w:val="0"/>
                <w:color w:val="auto"/>
                <w:kern w:val="21"/>
                <w:sz w:val="21"/>
                <w:szCs w:val="21"/>
                <w:lang w:val="en-US"/>
              </w:rPr>
            </w:pPr>
            <w:r>
              <w:rPr>
                <w:rFonts w:hint="eastAsia" w:ascii="Times New Roman" w:cs="Times New Roman"/>
                <w:snapToGrid w:val="0"/>
                <w:color w:val="auto"/>
                <w:kern w:val="21"/>
                <w:sz w:val="21"/>
                <w:szCs w:val="21"/>
                <w:lang w:val="en-US" w:eastAsia="zh-CN"/>
              </w:rPr>
              <w:t>1.635</w:t>
            </w:r>
          </w:p>
        </w:tc>
        <w:tc>
          <w:tcPr>
            <w:tcW w:w="1701" w:type="dxa"/>
            <w:noWrap w:val="0"/>
            <w:vAlign w:val="center"/>
          </w:tcPr>
          <w:p w14:paraId="1907AA20">
            <w:pPr>
              <w:pStyle w:val="51"/>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2.310</w:t>
            </w:r>
          </w:p>
        </w:tc>
        <w:tc>
          <w:tcPr>
            <w:tcW w:w="1286" w:type="dxa"/>
            <w:noWrap w:val="0"/>
            <w:vAlign w:val="center"/>
          </w:tcPr>
          <w:p w14:paraId="63E07DFF">
            <w:pPr>
              <w:pStyle w:val="51"/>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rPr>
            </w:pPr>
            <w:r>
              <w:rPr>
                <w:rFonts w:hint="eastAsia" w:ascii="Times New Roman" w:cs="Times New Roman"/>
                <w:snapToGrid w:val="0"/>
                <w:color w:val="auto"/>
                <w:kern w:val="21"/>
                <w:sz w:val="21"/>
                <w:szCs w:val="21"/>
                <w:lang w:val="en-US" w:eastAsia="zh-CN"/>
              </w:rPr>
              <w:t>+0.675</w:t>
            </w:r>
          </w:p>
        </w:tc>
      </w:tr>
      <w:tr w14:paraId="03A67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continue"/>
            <w:noWrap w:val="0"/>
            <w:vAlign w:val="center"/>
          </w:tcPr>
          <w:p w14:paraId="04C9CBDF">
            <w:pPr>
              <w:pStyle w:val="51"/>
              <w:spacing w:beforeLines="0" w:afterLines="0" w:line="240" w:lineRule="auto"/>
              <w:jc w:val="center"/>
              <w:rPr>
                <w:rFonts w:hint="default" w:ascii="Times New Roman" w:hAnsi="Times New Roman" w:cs="Times New Roman"/>
                <w:color w:val="auto"/>
                <w:sz w:val="21"/>
                <w:szCs w:val="21"/>
              </w:rPr>
            </w:pPr>
          </w:p>
        </w:tc>
        <w:tc>
          <w:tcPr>
            <w:tcW w:w="1701" w:type="dxa"/>
            <w:noWrap w:val="0"/>
            <w:vAlign w:val="center"/>
          </w:tcPr>
          <w:p w14:paraId="309C1739">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4C98E8F0">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418" w:type="dxa"/>
            <w:noWrap w:val="0"/>
            <w:vAlign w:val="center"/>
          </w:tcPr>
          <w:p w14:paraId="1D788451">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559" w:type="dxa"/>
            <w:noWrap w:val="0"/>
            <w:vAlign w:val="center"/>
          </w:tcPr>
          <w:p w14:paraId="44EC34E6">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559" w:type="dxa"/>
            <w:noWrap w:val="0"/>
            <w:vAlign w:val="center"/>
          </w:tcPr>
          <w:p w14:paraId="6F3FA641">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16C06686">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00701E30">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286" w:type="dxa"/>
            <w:noWrap w:val="0"/>
            <w:vAlign w:val="center"/>
          </w:tcPr>
          <w:p w14:paraId="4EA41E66">
            <w:pPr>
              <w:pStyle w:val="51"/>
              <w:spacing w:beforeLines="0" w:afterLines="0" w:line="240" w:lineRule="auto"/>
              <w:jc w:val="center"/>
              <w:rPr>
                <w:rFonts w:hint="default" w:ascii="Times New Roman" w:hAnsi="Times New Roman" w:cs="Times New Roman"/>
                <w:snapToGrid w:val="0"/>
                <w:color w:val="auto"/>
                <w:kern w:val="21"/>
                <w:sz w:val="21"/>
                <w:szCs w:val="21"/>
              </w:rPr>
            </w:pPr>
          </w:p>
        </w:tc>
      </w:tr>
      <w:tr w14:paraId="64C34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restart"/>
            <w:noWrap w:val="0"/>
            <w:vAlign w:val="center"/>
          </w:tcPr>
          <w:p w14:paraId="3C82F8E8">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废水</w:t>
            </w:r>
          </w:p>
        </w:tc>
        <w:tc>
          <w:tcPr>
            <w:tcW w:w="1701" w:type="dxa"/>
            <w:noWrap w:val="0"/>
            <w:vAlign w:val="center"/>
          </w:tcPr>
          <w:p w14:paraId="36A1ACA6">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COD</w:t>
            </w:r>
          </w:p>
        </w:tc>
        <w:tc>
          <w:tcPr>
            <w:tcW w:w="1701" w:type="dxa"/>
            <w:noWrap w:val="0"/>
            <w:vAlign w:val="center"/>
          </w:tcPr>
          <w:p w14:paraId="1A151023">
            <w:pPr>
              <w:keepNext w:val="0"/>
              <w:keepLines w:val="0"/>
              <w:widowControl/>
              <w:suppressLineNumbers w:val="0"/>
              <w:jc w:val="center"/>
              <w:textAlignment w:val="center"/>
              <w:rPr>
                <w:rFonts w:hint="default" w:ascii="Times New Roman" w:hAnsi="Times New Roman" w:cs="Times New Roman"/>
                <w:b w:val="0"/>
                <w:bCs w:val="0"/>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0.088</w:t>
            </w:r>
          </w:p>
        </w:tc>
        <w:tc>
          <w:tcPr>
            <w:tcW w:w="1418" w:type="dxa"/>
            <w:noWrap w:val="0"/>
            <w:vAlign w:val="center"/>
          </w:tcPr>
          <w:p w14:paraId="3ED00FBD">
            <w:pPr>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48D0D113">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07E88F15">
            <w:pPr>
              <w:keepNext w:val="0"/>
              <w:keepLines w:val="0"/>
              <w:widowControl/>
              <w:suppressLineNumbers w:val="0"/>
              <w:jc w:val="center"/>
              <w:textAlignment w:val="bottom"/>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0.090</w:t>
            </w:r>
          </w:p>
        </w:tc>
        <w:tc>
          <w:tcPr>
            <w:tcW w:w="1701" w:type="dxa"/>
            <w:noWrap w:val="0"/>
            <w:vAlign w:val="center"/>
          </w:tcPr>
          <w:p w14:paraId="3580A0DD">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0.088</w:t>
            </w:r>
          </w:p>
        </w:tc>
        <w:tc>
          <w:tcPr>
            <w:tcW w:w="1701" w:type="dxa"/>
            <w:noWrap w:val="0"/>
            <w:vAlign w:val="center"/>
          </w:tcPr>
          <w:p w14:paraId="5105F652">
            <w:pPr>
              <w:keepNext w:val="0"/>
              <w:keepLines w:val="0"/>
              <w:widowControl/>
              <w:suppressLineNumbers w:val="0"/>
              <w:jc w:val="center"/>
              <w:textAlignment w:val="bottom"/>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0.090</w:t>
            </w:r>
          </w:p>
        </w:tc>
        <w:tc>
          <w:tcPr>
            <w:tcW w:w="1286" w:type="dxa"/>
            <w:noWrap w:val="0"/>
            <w:vAlign w:val="center"/>
          </w:tcPr>
          <w:p w14:paraId="1F2AAAB9">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0.002</w:t>
            </w:r>
          </w:p>
        </w:tc>
      </w:tr>
      <w:tr w14:paraId="4D043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continue"/>
            <w:noWrap w:val="0"/>
            <w:vAlign w:val="center"/>
          </w:tcPr>
          <w:p w14:paraId="4FD7F446">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3F0923BA">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BOD</w:t>
            </w:r>
            <w:r>
              <w:rPr>
                <w:rFonts w:hint="default" w:ascii="Times New Roman" w:hAnsi="Times New Roman" w:cs="Times New Roman"/>
                <w:snapToGrid w:val="0"/>
                <w:color w:val="auto"/>
                <w:kern w:val="21"/>
                <w:sz w:val="21"/>
                <w:szCs w:val="21"/>
                <w:vertAlign w:val="subscript"/>
              </w:rPr>
              <w:t>5</w:t>
            </w:r>
          </w:p>
        </w:tc>
        <w:tc>
          <w:tcPr>
            <w:tcW w:w="1701" w:type="dxa"/>
            <w:noWrap w:val="0"/>
            <w:vAlign w:val="center"/>
          </w:tcPr>
          <w:p w14:paraId="0ADC8331">
            <w:pPr>
              <w:keepNext w:val="0"/>
              <w:keepLines w:val="0"/>
              <w:widowControl/>
              <w:suppressLineNumbers w:val="0"/>
              <w:jc w:val="center"/>
              <w:textAlignment w:val="center"/>
              <w:rPr>
                <w:rFonts w:hint="default" w:ascii="Times New Roman" w:hAnsi="Times New Roman" w:cs="Times New Roman"/>
                <w:b w:val="0"/>
                <w:bCs w:val="0"/>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418" w:type="dxa"/>
            <w:noWrap w:val="0"/>
            <w:vAlign w:val="center"/>
          </w:tcPr>
          <w:p w14:paraId="191B36DD">
            <w:pPr>
              <w:widowControl/>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18A4BC69">
            <w:pPr>
              <w:pStyle w:val="51"/>
              <w:widowControl/>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5614DE1C">
            <w:pPr>
              <w:keepNext w:val="0"/>
              <w:keepLines w:val="0"/>
              <w:widowControl/>
              <w:suppressLineNumbers w:val="0"/>
              <w:jc w:val="center"/>
              <w:textAlignment w:val="bottom"/>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701" w:type="dxa"/>
            <w:noWrap w:val="0"/>
            <w:vAlign w:val="center"/>
          </w:tcPr>
          <w:p w14:paraId="3F872746">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701" w:type="dxa"/>
            <w:noWrap w:val="0"/>
            <w:vAlign w:val="center"/>
          </w:tcPr>
          <w:p w14:paraId="68049F24">
            <w:pPr>
              <w:keepNext w:val="0"/>
              <w:keepLines w:val="0"/>
              <w:widowControl/>
              <w:suppressLineNumbers w:val="0"/>
              <w:jc w:val="center"/>
              <w:textAlignment w:val="bottom"/>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286" w:type="dxa"/>
            <w:noWrap w:val="0"/>
            <w:vAlign w:val="center"/>
          </w:tcPr>
          <w:p w14:paraId="749A3DE7">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lang w:val="en-US"/>
              </w:rPr>
            </w:pPr>
            <w:r>
              <w:rPr>
                <w:rFonts w:hint="default" w:ascii="Times New Roman" w:hAnsi="Times New Roman" w:eastAsia="宋体" w:cs="Times New Roman"/>
                <w:i w:val="0"/>
                <w:iCs w:val="0"/>
                <w:color w:val="auto"/>
                <w:kern w:val="0"/>
                <w:sz w:val="18"/>
                <w:szCs w:val="18"/>
                <w:u w:val="none"/>
                <w:lang w:val="en-US" w:eastAsia="zh-CN" w:bidi="ar"/>
              </w:rPr>
              <w:t>0</w:t>
            </w:r>
          </w:p>
        </w:tc>
      </w:tr>
      <w:tr w14:paraId="6842B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62" w:type="dxa"/>
            <w:vMerge w:val="continue"/>
            <w:noWrap w:val="0"/>
            <w:vAlign w:val="center"/>
          </w:tcPr>
          <w:p w14:paraId="7655FB67">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13E1D9C4">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SS</w:t>
            </w:r>
          </w:p>
        </w:tc>
        <w:tc>
          <w:tcPr>
            <w:tcW w:w="1701" w:type="dxa"/>
            <w:noWrap w:val="0"/>
            <w:vAlign w:val="center"/>
          </w:tcPr>
          <w:p w14:paraId="2DE746C5">
            <w:pPr>
              <w:keepNext w:val="0"/>
              <w:keepLines w:val="0"/>
              <w:widowControl/>
              <w:suppressLineNumbers w:val="0"/>
              <w:jc w:val="center"/>
              <w:textAlignment w:val="center"/>
              <w:rPr>
                <w:rFonts w:hint="default" w:ascii="Times New Roman" w:hAnsi="Times New Roman" w:cs="Times New Roman"/>
                <w:b w:val="0"/>
                <w:bCs w:val="0"/>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418" w:type="dxa"/>
            <w:noWrap w:val="0"/>
            <w:vAlign w:val="center"/>
          </w:tcPr>
          <w:p w14:paraId="60F2A701">
            <w:pPr>
              <w:widowControl/>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55018EA0">
            <w:pPr>
              <w:pStyle w:val="51"/>
              <w:widowControl/>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5D4AF55E">
            <w:pPr>
              <w:keepNext w:val="0"/>
              <w:keepLines w:val="0"/>
              <w:widowControl/>
              <w:suppressLineNumbers w:val="0"/>
              <w:jc w:val="center"/>
              <w:textAlignment w:val="bottom"/>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701" w:type="dxa"/>
            <w:noWrap w:val="0"/>
            <w:vAlign w:val="center"/>
          </w:tcPr>
          <w:p w14:paraId="674C2350">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701" w:type="dxa"/>
            <w:noWrap w:val="0"/>
            <w:vAlign w:val="center"/>
          </w:tcPr>
          <w:p w14:paraId="406CC0D8">
            <w:pPr>
              <w:keepNext w:val="0"/>
              <w:keepLines w:val="0"/>
              <w:widowControl/>
              <w:suppressLineNumbers w:val="0"/>
              <w:jc w:val="center"/>
              <w:textAlignment w:val="bottom"/>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0.018</w:t>
            </w:r>
          </w:p>
        </w:tc>
        <w:tc>
          <w:tcPr>
            <w:tcW w:w="1286" w:type="dxa"/>
            <w:noWrap w:val="0"/>
            <w:vAlign w:val="center"/>
          </w:tcPr>
          <w:p w14:paraId="7D4D5763">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lang w:val="en-US"/>
              </w:rPr>
            </w:pPr>
            <w:r>
              <w:rPr>
                <w:rFonts w:hint="default" w:ascii="Times New Roman" w:hAnsi="Times New Roman" w:eastAsia="宋体" w:cs="Times New Roman"/>
                <w:i w:val="0"/>
                <w:iCs w:val="0"/>
                <w:color w:val="auto"/>
                <w:kern w:val="0"/>
                <w:sz w:val="18"/>
                <w:szCs w:val="18"/>
                <w:u w:val="none"/>
                <w:lang w:val="en-US" w:eastAsia="zh-CN" w:bidi="ar"/>
              </w:rPr>
              <w:t>0</w:t>
            </w:r>
          </w:p>
        </w:tc>
      </w:tr>
      <w:tr w14:paraId="5598C6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continue"/>
            <w:noWrap w:val="0"/>
            <w:vAlign w:val="center"/>
          </w:tcPr>
          <w:p w14:paraId="4BD81D71">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07D3FAEE">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氨氮</w:t>
            </w:r>
          </w:p>
        </w:tc>
        <w:tc>
          <w:tcPr>
            <w:tcW w:w="1701" w:type="dxa"/>
            <w:noWrap w:val="0"/>
            <w:vAlign w:val="center"/>
          </w:tcPr>
          <w:p w14:paraId="2D1CF695">
            <w:pPr>
              <w:keepNext w:val="0"/>
              <w:keepLines w:val="0"/>
              <w:widowControl/>
              <w:suppressLineNumbers w:val="0"/>
              <w:jc w:val="center"/>
              <w:textAlignment w:val="center"/>
              <w:rPr>
                <w:rFonts w:hint="default" w:ascii="Times New Roman" w:hAnsi="Times New Roman" w:cs="Times New Roman"/>
                <w:b w:val="0"/>
                <w:bCs w:val="0"/>
                <w:snapToGrid w:val="0"/>
                <w:color w:val="auto"/>
                <w:kern w:val="21"/>
                <w:sz w:val="21"/>
                <w:szCs w:val="21"/>
                <w:lang w:val="en-US"/>
              </w:rPr>
            </w:pPr>
            <w:r>
              <w:rPr>
                <w:rFonts w:hint="default" w:ascii="Times New Roman" w:hAnsi="Times New Roman" w:eastAsia="宋体" w:cs="Times New Roman"/>
                <w:i w:val="0"/>
                <w:iCs w:val="0"/>
                <w:color w:val="auto"/>
                <w:kern w:val="0"/>
                <w:sz w:val="18"/>
                <w:szCs w:val="18"/>
                <w:u w:val="none"/>
                <w:lang w:val="en-US" w:eastAsia="zh-CN" w:bidi="ar"/>
              </w:rPr>
              <w:t>0.0</w:t>
            </w:r>
            <w:r>
              <w:rPr>
                <w:rFonts w:hint="default" w:ascii="Times New Roman" w:hAnsi="Times New Roman" w:cs="Times New Roman"/>
                <w:i w:val="0"/>
                <w:iCs w:val="0"/>
                <w:color w:val="auto"/>
                <w:kern w:val="0"/>
                <w:sz w:val="18"/>
                <w:szCs w:val="18"/>
                <w:u w:val="none"/>
                <w:lang w:val="en-US" w:eastAsia="zh-CN" w:bidi="ar"/>
              </w:rPr>
              <w:t>14</w:t>
            </w:r>
          </w:p>
        </w:tc>
        <w:tc>
          <w:tcPr>
            <w:tcW w:w="1418" w:type="dxa"/>
            <w:noWrap w:val="0"/>
            <w:vAlign w:val="center"/>
          </w:tcPr>
          <w:p w14:paraId="605A3DE7">
            <w:pPr>
              <w:widowControl/>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21414EC7">
            <w:pPr>
              <w:pStyle w:val="51"/>
              <w:widowControl/>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6B306103">
            <w:pPr>
              <w:keepNext w:val="0"/>
              <w:keepLines w:val="0"/>
              <w:widowControl/>
              <w:suppressLineNumbers w:val="0"/>
              <w:jc w:val="center"/>
              <w:textAlignment w:val="bottom"/>
              <w:rPr>
                <w:rFonts w:hint="default" w:ascii="Times New Roman" w:hAnsi="Times New Roman" w:cs="Times New Roman"/>
                <w:snapToGrid w:val="0"/>
                <w:color w:val="auto"/>
                <w:kern w:val="21"/>
                <w:sz w:val="21"/>
                <w:szCs w:val="21"/>
                <w:lang w:val="en-US"/>
              </w:rPr>
            </w:pPr>
            <w:r>
              <w:rPr>
                <w:rFonts w:hint="default" w:ascii="Times New Roman" w:hAnsi="Times New Roman" w:eastAsia="宋体" w:cs="Times New Roman"/>
                <w:i w:val="0"/>
                <w:iCs w:val="0"/>
                <w:color w:val="auto"/>
                <w:kern w:val="0"/>
                <w:sz w:val="18"/>
                <w:szCs w:val="18"/>
                <w:u w:val="none"/>
                <w:lang w:val="en-US" w:eastAsia="zh-CN" w:bidi="ar"/>
              </w:rPr>
              <w:t>0.014</w:t>
            </w:r>
          </w:p>
        </w:tc>
        <w:tc>
          <w:tcPr>
            <w:tcW w:w="1701" w:type="dxa"/>
            <w:noWrap w:val="0"/>
            <w:vAlign w:val="center"/>
          </w:tcPr>
          <w:p w14:paraId="18C6CE9A">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lang w:val="en-US"/>
              </w:rPr>
            </w:pPr>
            <w:r>
              <w:rPr>
                <w:rFonts w:hint="default" w:ascii="Times New Roman" w:hAnsi="Times New Roman" w:eastAsia="宋体" w:cs="Times New Roman"/>
                <w:i w:val="0"/>
                <w:iCs w:val="0"/>
                <w:color w:val="auto"/>
                <w:kern w:val="0"/>
                <w:sz w:val="18"/>
                <w:szCs w:val="18"/>
                <w:u w:val="none"/>
                <w:lang w:val="en-US" w:eastAsia="zh-CN" w:bidi="ar"/>
              </w:rPr>
              <w:t>0.0</w:t>
            </w:r>
            <w:r>
              <w:rPr>
                <w:rFonts w:hint="default" w:ascii="Times New Roman" w:hAnsi="Times New Roman" w:cs="Times New Roman"/>
                <w:i w:val="0"/>
                <w:iCs w:val="0"/>
                <w:color w:val="auto"/>
                <w:kern w:val="0"/>
                <w:sz w:val="18"/>
                <w:szCs w:val="18"/>
                <w:u w:val="none"/>
                <w:lang w:val="en-US" w:eastAsia="zh-CN" w:bidi="ar"/>
              </w:rPr>
              <w:t>14</w:t>
            </w:r>
          </w:p>
        </w:tc>
        <w:tc>
          <w:tcPr>
            <w:tcW w:w="1701" w:type="dxa"/>
            <w:noWrap w:val="0"/>
            <w:vAlign w:val="center"/>
          </w:tcPr>
          <w:p w14:paraId="08763723">
            <w:pPr>
              <w:keepNext w:val="0"/>
              <w:keepLines w:val="0"/>
              <w:widowControl/>
              <w:suppressLineNumbers w:val="0"/>
              <w:jc w:val="center"/>
              <w:textAlignment w:val="bottom"/>
              <w:rPr>
                <w:rFonts w:hint="default" w:ascii="Times New Roman" w:hAnsi="Times New Roman" w:cs="Times New Roman"/>
                <w:snapToGrid w:val="0"/>
                <w:color w:val="auto"/>
                <w:kern w:val="21"/>
                <w:sz w:val="21"/>
                <w:szCs w:val="21"/>
                <w:lang w:val="en-US"/>
              </w:rPr>
            </w:pPr>
            <w:r>
              <w:rPr>
                <w:rFonts w:hint="default" w:ascii="Times New Roman" w:hAnsi="Times New Roman" w:eastAsia="宋体" w:cs="Times New Roman"/>
                <w:i w:val="0"/>
                <w:iCs w:val="0"/>
                <w:color w:val="auto"/>
                <w:kern w:val="0"/>
                <w:sz w:val="18"/>
                <w:szCs w:val="18"/>
                <w:u w:val="none"/>
                <w:lang w:val="en-US" w:eastAsia="zh-CN" w:bidi="ar"/>
              </w:rPr>
              <w:t>0.014</w:t>
            </w:r>
          </w:p>
        </w:tc>
        <w:tc>
          <w:tcPr>
            <w:tcW w:w="1286" w:type="dxa"/>
            <w:noWrap w:val="0"/>
            <w:vAlign w:val="center"/>
          </w:tcPr>
          <w:p w14:paraId="0B166B24">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lang w:val="en-US"/>
              </w:rPr>
            </w:pPr>
            <w:r>
              <w:rPr>
                <w:rFonts w:hint="eastAsia" w:cs="Times New Roman"/>
                <w:i w:val="0"/>
                <w:iCs w:val="0"/>
                <w:color w:val="auto"/>
                <w:kern w:val="0"/>
                <w:sz w:val="18"/>
                <w:szCs w:val="18"/>
                <w:u w:val="none"/>
                <w:lang w:val="en-US" w:eastAsia="zh-CN" w:bidi="ar"/>
              </w:rPr>
              <w:t>0</w:t>
            </w:r>
          </w:p>
        </w:tc>
      </w:tr>
      <w:tr w14:paraId="48DC1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62" w:type="dxa"/>
            <w:vMerge w:val="continue"/>
            <w:noWrap w:val="0"/>
            <w:vAlign w:val="center"/>
          </w:tcPr>
          <w:p w14:paraId="4DAC99BB">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41DB6F3B">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石油类</w:t>
            </w:r>
          </w:p>
        </w:tc>
        <w:tc>
          <w:tcPr>
            <w:tcW w:w="1701" w:type="dxa"/>
            <w:noWrap w:val="0"/>
            <w:vAlign w:val="center"/>
          </w:tcPr>
          <w:p w14:paraId="720218AE">
            <w:pPr>
              <w:keepNext w:val="0"/>
              <w:keepLines w:val="0"/>
              <w:widowControl/>
              <w:suppressLineNumbers w:val="0"/>
              <w:jc w:val="center"/>
              <w:textAlignment w:val="center"/>
              <w:rPr>
                <w:rFonts w:hint="default" w:ascii="Times New Roman" w:hAnsi="Times New Roman" w:cs="Times New Roman"/>
                <w:b w:val="0"/>
                <w:bCs w:val="0"/>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0.002</w:t>
            </w:r>
          </w:p>
        </w:tc>
        <w:tc>
          <w:tcPr>
            <w:tcW w:w="1418" w:type="dxa"/>
            <w:noWrap w:val="0"/>
            <w:vAlign w:val="center"/>
          </w:tcPr>
          <w:p w14:paraId="461A2458">
            <w:pPr>
              <w:pStyle w:val="51"/>
              <w:widowControl/>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0A6EE178">
            <w:pPr>
              <w:pStyle w:val="51"/>
              <w:widowControl/>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1D58AF4F">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0.002</w:t>
            </w:r>
          </w:p>
        </w:tc>
        <w:tc>
          <w:tcPr>
            <w:tcW w:w="1701" w:type="dxa"/>
            <w:noWrap w:val="0"/>
            <w:vAlign w:val="center"/>
          </w:tcPr>
          <w:p w14:paraId="2889C53D">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0.002</w:t>
            </w:r>
          </w:p>
        </w:tc>
        <w:tc>
          <w:tcPr>
            <w:tcW w:w="1701" w:type="dxa"/>
            <w:noWrap w:val="0"/>
            <w:vAlign w:val="center"/>
          </w:tcPr>
          <w:p w14:paraId="4A671BAA">
            <w:pPr>
              <w:keepNext w:val="0"/>
              <w:keepLines w:val="0"/>
              <w:widowControl/>
              <w:suppressLineNumbers w:val="0"/>
              <w:jc w:val="center"/>
              <w:textAlignment w:val="bottom"/>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18"/>
                <w:szCs w:val="18"/>
                <w:u w:val="none"/>
                <w:lang w:val="en-US" w:eastAsia="zh-CN" w:bidi="ar"/>
              </w:rPr>
              <w:t>0.002</w:t>
            </w:r>
          </w:p>
        </w:tc>
        <w:tc>
          <w:tcPr>
            <w:tcW w:w="1286" w:type="dxa"/>
            <w:noWrap w:val="0"/>
            <w:vAlign w:val="center"/>
          </w:tcPr>
          <w:p w14:paraId="6DCB5B2F">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lang w:val="en-US"/>
              </w:rPr>
            </w:pPr>
            <w:r>
              <w:rPr>
                <w:rFonts w:hint="default" w:ascii="Times New Roman" w:hAnsi="Times New Roman" w:eastAsia="宋体" w:cs="Times New Roman"/>
                <w:i w:val="0"/>
                <w:iCs w:val="0"/>
                <w:color w:val="auto"/>
                <w:kern w:val="0"/>
                <w:sz w:val="18"/>
                <w:szCs w:val="18"/>
                <w:u w:val="none"/>
                <w:lang w:val="en-US" w:eastAsia="zh-CN" w:bidi="ar"/>
              </w:rPr>
              <w:t>0</w:t>
            </w:r>
          </w:p>
        </w:tc>
      </w:tr>
      <w:tr w14:paraId="5C9C66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continue"/>
            <w:noWrap w:val="0"/>
            <w:vAlign w:val="center"/>
          </w:tcPr>
          <w:p w14:paraId="5C64E456">
            <w:pPr>
              <w:widowControl/>
              <w:jc w:val="center"/>
              <w:rPr>
                <w:rFonts w:hint="default" w:ascii="Times New Roman" w:hAnsi="Times New Roman" w:cs="Times New Roman"/>
                <w:color w:val="auto"/>
                <w:sz w:val="21"/>
                <w:szCs w:val="21"/>
              </w:rPr>
            </w:pPr>
          </w:p>
        </w:tc>
        <w:tc>
          <w:tcPr>
            <w:tcW w:w="1701" w:type="dxa"/>
            <w:noWrap w:val="0"/>
            <w:vAlign w:val="center"/>
          </w:tcPr>
          <w:p w14:paraId="7D02E6DA">
            <w:pPr>
              <w:widowControl/>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cs="Times New Roman"/>
                <w:snapToGrid w:val="0"/>
                <w:color w:val="auto"/>
                <w:kern w:val="21"/>
                <w:sz w:val="21"/>
                <w:szCs w:val="21"/>
                <w:lang w:val="en-US" w:eastAsia="zh-CN"/>
              </w:rPr>
              <w:t>LAS</w:t>
            </w:r>
          </w:p>
        </w:tc>
        <w:tc>
          <w:tcPr>
            <w:tcW w:w="1701" w:type="dxa"/>
            <w:noWrap w:val="0"/>
            <w:vAlign w:val="center"/>
          </w:tcPr>
          <w:p w14:paraId="0978A8C2">
            <w:pPr>
              <w:keepNext w:val="0"/>
              <w:keepLines w:val="0"/>
              <w:widowControl/>
              <w:suppressLineNumbers w:val="0"/>
              <w:jc w:val="center"/>
              <w:textAlignment w:val="center"/>
              <w:rPr>
                <w:rFonts w:hint="default" w:ascii="Times New Roman" w:hAnsi="Times New Roman" w:eastAsia="宋体" w:cs="Times New Roman"/>
                <w:b w:val="0"/>
                <w:bCs w:val="0"/>
                <w:snapToGrid w:val="0"/>
                <w:color w:val="auto"/>
                <w:kern w:val="21"/>
                <w:sz w:val="21"/>
                <w:szCs w:val="21"/>
                <w:lang w:val="en-US" w:eastAsia="zh-CN"/>
              </w:rPr>
            </w:pPr>
            <w:r>
              <w:rPr>
                <w:rFonts w:hint="default" w:ascii="Times New Roman" w:hAnsi="Times New Roman" w:eastAsia="宋体" w:cs="Times New Roman"/>
                <w:i w:val="0"/>
                <w:iCs w:val="0"/>
                <w:color w:val="auto"/>
                <w:kern w:val="0"/>
                <w:sz w:val="18"/>
                <w:szCs w:val="18"/>
                <w:u w:val="none"/>
                <w:lang w:val="en-US" w:eastAsia="zh-CN" w:bidi="ar"/>
              </w:rPr>
              <w:t>0.001</w:t>
            </w:r>
          </w:p>
        </w:tc>
        <w:tc>
          <w:tcPr>
            <w:tcW w:w="1418" w:type="dxa"/>
            <w:noWrap w:val="0"/>
            <w:vAlign w:val="center"/>
          </w:tcPr>
          <w:p w14:paraId="4221D0FD">
            <w:pPr>
              <w:widowControl/>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cs="Times New Roman"/>
                <w:snapToGrid w:val="0"/>
                <w:color w:val="auto"/>
                <w:kern w:val="21"/>
                <w:sz w:val="21"/>
                <w:szCs w:val="21"/>
                <w:lang w:val="en-US" w:eastAsia="zh-CN"/>
              </w:rPr>
              <w:t>/</w:t>
            </w:r>
          </w:p>
        </w:tc>
        <w:tc>
          <w:tcPr>
            <w:tcW w:w="1559" w:type="dxa"/>
            <w:noWrap w:val="0"/>
            <w:vAlign w:val="center"/>
          </w:tcPr>
          <w:p w14:paraId="6F38D742">
            <w:pPr>
              <w:widowControl/>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cs="Times New Roman"/>
                <w:snapToGrid w:val="0"/>
                <w:color w:val="auto"/>
                <w:kern w:val="21"/>
                <w:sz w:val="21"/>
                <w:szCs w:val="21"/>
                <w:lang w:val="en-US" w:eastAsia="zh-CN"/>
              </w:rPr>
              <w:t>/</w:t>
            </w:r>
          </w:p>
        </w:tc>
        <w:tc>
          <w:tcPr>
            <w:tcW w:w="1559" w:type="dxa"/>
            <w:noWrap w:val="0"/>
            <w:vAlign w:val="center"/>
          </w:tcPr>
          <w:p w14:paraId="0F1737B9">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i w:val="0"/>
                <w:iCs w:val="0"/>
                <w:color w:val="auto"/>
                <w:kern w:val="0"/>
                <w:sz w:val="18"/>
                <w:szCs w:val="18"/>
                <w:u w:val="none"/>
                <w:lang w:val="en-US" w:eastAsia="zh-CN" w:bidi="ar"/>
              </w:rPr>
              <w:t>0.001</w:t>
            </w:r>
          </w:p>
        </w:tc>
        <w:tc>
          <w:tcPr>
            <w:tcW w:w="1701" w:type="dxa"/>
            <w:noWrap w:val="0"/>
            <w:vAlign w:val="center"/>
          </w:tcPr>
          <w:p w14:paraId="14B4823F">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i w:val="0"/>
                <w:iCs w:val="0"/>
                <w:color w:val="auto"/>
                <w:kern w:val="0"/>
                <w:sz w:val="18"/>
                <w:szCs w:val="18"/>
                <w:u w:val="none"/>
                <w:lang w:val="en-US" w:eastAsia="zh-CN" w:bidi="ar"/>
              </w:rPr>
              <w:t>0.001</w:t>
            </w:r>
          </w:p>
        </w:tc>
        <w:tc>
          <w:tcPr>
            <w:tcW w:w="1701" w:type="dxa"/>
            <w:noWrap w:val="0"/>
            <w:vAlign w:val="center"/>
          </w:tcPr>
          <w:p w14:paraId="2F8F3494">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i w:val="0"/>
                <w:iCs w:val="0"/>
                <w:color w:val="auto"/>
                <w:kern w:val="0"/>
                <w:sz w:val="18"/>
                <w:szCs w:val="18"/>
                <w:u w:val="none"/>
                <w:lang w:val="en-US" w:eastAsia="zh-CN" w:bidi="ar"/>
              </w:rPr>
              <w:t>0.001</w:t>
            </w:r>
          </w:p>
        </w:tc>
        <w:tc>
          <w:tcPr>
            <w:tcW w:w="1286" w:type="dxa"/>
            <w:noWrap w:val="0"/>
            <w:vAlign w:val="center"/>
          </w:tcPr>
          <w:p w14:paraId="7A341C7F">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eastAsia="宋体" w:cs="Times New Roman"/>
                <w:i w:val="0"/>
                <w:iCs w:val="0"/>
                <w:color w:val="auto"/>
                <w:kern w:val="0"/>
                <w:sz w:val="18"/>
                <w:szCs w:val="18"/>
                <w:u w:val="none"/>
                <w:lang w:val="en-US" w:eastAsia="zh-CN" w:bidi="ar"/>
              </w:rPr>
              <w:t>0</w:t>
            </w:r>
          </w:p>
        </w:tc>
      </w:tr>
      <w:tr w14:paraId="3A65AF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restart"/>
            <w:noWrap w:val="0"/>
            <w:vAlign w:val="center"/>
          </w:tcPr>
          <w:p w14:paraId="3794BA44">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一般工业</w:t>
            </w:r>
          </w:p>
          <w:p w14:paraId="46411095">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固体废物</w:t>
            </w:r>
          </w:p>
        </w:tc>
        <w:tc>
          <w:tcPr>
            <w:tcW w:w="1701" w:type="dxa"/>
            <w:noWrap w:val="0"/>
            <w:vAlign w:val="center"/>
          </w:tcPr>
          <w:p w14:paraId="63D25549">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5F43CCCC">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418" w:type="dxa"/>
            <w:noWrap w:val="0"/>
            <w:vAlign w:val="center"/>
          </w:tcPr>
          <w:p w14:paraId="4055902D">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559" w:type="dxa"/>
            <w:noWrap w:val="0"/>
            <w:vAlign w:val="center"/>
          </w:tcPr>
          <w:p w14:paraId="3A36A60B">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559" w:type="dxa"/>
            <w:noWrap w:val="0"/>
            <w:vAlign w:val="center"/>
          </w:tcPr>
          <w:p w14:paraId="70771EA7">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70E4B0F6">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40F07280">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286" w:type="dxa"/>
            <w:noWrap w:val="0"/>
            <w:vAlign w:val="center"/>
          </w:tcPr>
          <w:p w14:paraId="3EB08887">
            <w:pPr>
              <w:pStyle w:val="51"/>
              <w:spacing w:beforeLines="0" w:afterLines="0" w:line="240" w:lineRule="auto"/>
              <w:jc w:val="center"/>
              <w:rPr>
                <w:rFonts w:hint="default" w:ascii="Times New Roman" w:hAnsi="Times New Roman" w:cs="Times New Roman"/>
                <w:snapToGrid w:val="0"/>
                <w:color w:val="auto"/>
                <w:kern w:val="21"/>
                <w:sz w:val="21"/>
                <w:szCs w:val="21"/>
              </w:rPr>
            </w:pPr>
          </w:p>
        </w:tc>
      </w:tr>
      <w:tr w14:paraId="5B395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continue"/>
            <w:noWrap w:val="0"/>
            <w:vAlign w:val="center"/>
          </w:tcPr>
          <w:p w14:paraId="7EC653D9">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6723AEFB">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5002A07B">
            <w:pPr>
              <w:pStyle w:val="54"/>
              <w:jc w:val="center"/>
              <w:rPr>
                <w:rFonts w:hint="default" w:ascii="Times New Roman" w:hAnsi="Times New Roman" w:cs="Times New Roman"/>
                <w:snapToGrid w:val="0"/>
                <w:color w:val="auto"/>
                <w:kern w:val="21"/>
                <w:sz w:val="21"/>
                <w:szCs w:val="21"/>
              </w:rPr>
            </w:pPr>
          </w:p>
        </w:tc>
        <w:tc>
          <w:tcPr>
            <w:tcW w:w="1418" w:type="dxa"/>
            <w:noWrap w:val="0"/>
            <w:vAlign w:val="center"/>
          </w:tcPr>
          <w:p w14:paraId="27876475">
            <w:pPr>
              <w:jc w:val="center"/>
              <w:rPr>
                <w:rFonts w:hint="default" w:ascii="Times New Roman" w:hAnsi="Times New Roman" w:cs="Times New Roman"/>
                <w:snapToGrid w:val="0"/>
                <w:color w:val="auto"/>
                <w:kern w:val="21"/>
                <w:sz w:val="21"/>
                <w:szCs w:val="21"/>
              </w:rPr>
            </w:pPr>
          </w:p>
        </w:tc>
        <w:tc>
          <w:tcPr>
            <w:tcW w:w="1559" w:type="dxa"/>
            <w:noWrap w:val="0"/>
            <w:vAlign w:val="center"/>
          </w:tcPr>
          <w:p w14:paraId="19B309C8">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559" w:type="dxa"/>
            <w:noWrap w:val="0"/>
            <w:vAlign w:val="center"/>
          </w:tcPr>
          <w:p w14:paraId="17EC69B4">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284310E9">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6A378785">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286" w:type="dxa"/>
            <w:noWrap w:val="0"/>
            <w:vAlign w:val="center"/>
          </w:tcPr>
          <w:p w14:paraId="6D63D558">
            <w:pPr>
              <w:pStyle w:val="51"/>
              <w:spacing w:beforeLines="0" w:afterLines="0" w:line="240" w:lineRule="auto"/>
              <w:jc w:val="center"/>
              <w:rPr>
                <w:rFonts w:hint="default" w:ascii="Times New Roman" w:hAnsi="Times New Roman" w:cs="Times New Roman"/>
                <w:snapToGrid w:val="0"/>
                <w:color w:val="auto"/>
                <w:kern w:val="21"/>
                <w:sz w:val="21"/>
                <w:szCs w:val="21"/>
              </w:rPr>
            </w:pPr>
          </w:p>
        </w:tc>
      </w:tr>
      <w:tr w14:paraId="6D51A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restart"/>
            <w:noWrap w:val="0"/>
            <w:vAlign w:val="center"/>
          </w:tcPr>
          <w:p w14:paraId="1A8FD7C1">
            <w:pPr>
              <w:pStyle w:val="51"/>
              <w:spacing w:before="24" w:after="24"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危险废物</w:t>
            </w:r>
          </w:p>
        </w:tc>
        <w:tc>
          <w:tcPr>
            <w:tcW w:w="1701" w:type="dxa"/>
            <w:noWrap w:val="0"/>
            <w:vAlign w:val="center"/>
          </w:tcPr>
          <w:p w14:paraId="2CDCB74C">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设备检修废物</w:t>
            </w:r>
          </w:p>
        </w:tc>
        <w:tc>
          <w:tcPr>
            <w:tcW w:w="1701" w:type="dxa"/>
            <w:noWrap w:val="0"/>
            <w:vAlign w:val="center"/>
          </w:tcPr>
          <w:p w14:paraId="06F3E3E2">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0.4</w:t>
            </w:r>
          </w:p>
        </w:tc>
        <w:tc>
          <w:tcPr>
            <w:tcW w:w="1418" w:type="dxa"/>
            <w:noWrap w:val="0"/>
            <w:vAlign w:val="center"/>
          </w:tcPr>
          <w:p w14:paraId="3A4F9578">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569B3A71">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02219ED4">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lang w:val="en-US"/>
              </w:rPr>
            </w:pPr>
            <w:r>
              <w:rPr>
                <w:rFonts w:hint="default" w:ascii="Times New Roman" w:hAnsi="Times New Roman" w:cs="Times New Roman"/>
                <w:i w:val="0"/>
                <w:iCs w:val="0"/>
                <w:color w:val="auto"/>
                <w:kern w:val="0"/>
                <w:sz w:val="21"/>
                <w:szCs w:val="21"/>
                <w:u w:val="none"/>
                <w:lang w:val="en-US" w:eastAsia="zh-CN" w:bidi="ar"/>
              </w:rPr>
              <w:t>0</w:t>
            </w:r>
          </w:p>
        </w:tc>
        <w:tc>
          <w:tcPr>
            <w:tcW w:w="1701" w:type="dxa"/>
            <w:noWrap w:val="0"/>
            <w:vAlign w:val="center"/>
          </w:tcPr>
          <w:p w14:paraId="1CEA444C">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lang w:val="en-US"/>
              </w:rPr>
            </w:pPr>
            <w:r>
              <w:rPr>
                <w:rFonts w:hint="default" w:ascii="Times New Roman" w:hAnsi="Times New Roman" w:cs="Times New Roman"/>
                <w:i w:val="0"/>
                <w:iCs w:val="0"/>
                <w:color w:val="auto"/>
                <w:kern w:val="0"/>
                <w:sz w:val="21"/>
                <w:szCs w:val="21"/>
                <w:u w:val="none"/>
                <w:lang w:val="en-US" w:eastAsia="zh-CN" w:bidi="ar"/>
              </w:rPr>
              <w:t>0</w:t>
            </w:r>
          </w:p>
        </w:tc>
        <w:tc>
          <w:tcPr>
            <w:tcW w:w="1701" w:type="dxa"/>
            <w:noWrap w:val="0"/>
            <w:vAlign w:val="center"/>
          </w:tcPr>
          <w:p w14:paraId="241AD116">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0.4</w:t>
            </w:r>
          </w:p>
        </w:tc>
        <w:tc>
          <w:tcPr>
            <w:tcW w:w="1286" w:type="dxa"/>
            <w:noWrap w:val="0"/>
            <w:vAlign w:val="center"/>
          </w:tcPr>
          <w:p w14:paraId="3B3F7091">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w:t>
            </w:r>
          </w:p>
        </w:tc>
      </w:tr>
      <w:tr w14:paraId="530B6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continue"/>
            <w:noWrap w:val="0"/>
            <w:vAlign w:val="center"/>
          </w:tcPr>
          <w:p w14:paraId="4CDEBEA7">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7AF1F28E">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2"/>
                <w:sz w:val="21"/>
                <w:szCs w:val="21"/>
                <w:lang w:bidi="ar"/>
              </w:rPr>
              <w:t>清罐废物</w:t>
            </w:r>
          </w:p>
        </w:tc>
        <w:tc>
          <w:tcPr>
            <w:tcW w:w="1701" w:type="dxa"/>
            <w:noWrap w:val="0"/>
            <w:vAlign w:val="center"/>
          </w:tcPr>
          <w:p w14:paraId="2E08C6E6">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t/5a</w:t>
            </w:r>
          </w:p>
        </w:tc>
        <w:tc>
          <w:tcPr>
            <w:tcW w:w="1418" w:type="dxa"/>
            <w:noWrap w:val="0"/>
            <w:vAlign w:val="center"/>
          </w:tcPr>
          <w:p w14:paraId="2BAC0B12">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17952357">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0A5AD9B1">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i w:val="0"/>
                <w:iCs w:val="0"/>
                <w:color w:val="auto"/>
                <w:kern w:val="0"/>
                <w:sz w:val="21"/>
                <w:szCs w:val="21"/>
                <w:u w:val="none"/>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t/5a</w:t>
            </w:r>
          </w:p>
        </w:tc>
        <w:tc>
          <w:tcPr>
            <w:tcW w:w="1701" w:type="dxa"/>
            <w:noWrap w:val="0"/>
            <w:vAlign w:val="center"/>
          </w:tcPr>
          <w:p w14:paraId="52C54F7E">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1.</w:t>
            </w:r>
            <w:r>
              <w:rPr>
                <w:rFonts w:hint="default" w:ascii="Times New Roman" w:hAnsi="Times New Roman"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t/5a</w:t>
            </w:r>
          </w:p>
        </w:tc>
        <w:tc>
          <w:tcPr>
            <w:tcW w:w="1701" w:type="dxa"/>
            <w:noWrap w:val="0"/>
            <w:vAlign w:val="center"/>
          </w:tcPr>
          <w:p w14:paraId="316960E7">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i w:val="0"/>
                <w:iCs w:val="0"/>
                <w:color w:val="auto"/>
                <w:kern w:val="0"/>
                <w:sz w:val="21"/>
                <w:szCs w:val="21"/>
                <w:u w:val="none"/>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t/5a</w:t>
            </w:r>
          </w:p>
        </w:tc>
        <w:tc>
          <w:tcPr>
            <w:tcW w:w="1286" w:type="dxa"/>
            <w:noWrap w:val="0"/>
            <w:vAlign w:val="center"/>
          </w:tcPr>
          <w:p w14:paraId="6B36D8B2">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lang w:val="en-US"/>
              </w:rPr>
            </w:pPr>
            <w:r>
              <w:rPr>
                <w:rFonts w:hint="default" w:ascii="Times New Roman" w:hAnsi="Times New Roman" w:cs="Times New Roman"/>
                <w:i w:val="0"/>
                <w:iCs w:val="0"/>
                <w:color w:val="auto"/>
                <w:kern w:val="0"/>
                <w:sz w:val="21"/>
                <w:szCs w:val="21"/>
                <w:u w:val="none"/>
                <w:lang w:val="en-US" w:eastAsia="zh-CN" w:bidi="ar"/>
              </w:rPr>
              <w:t>+0.8t/5a</w:t>
            </w:r>
          </w:p>
        </w:tc>
      </w:tr>
      <w:tr w14:paraId="5B50A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continue"/>
            <w:noWrap w:val="0"/>
            <w:vAlign w:val="center"/>
          </w:tcPr>
          <w:p w14:paraId="16F22B3B">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55C24077">
            <w:pPr>
              <w:pStyle w:val="51"/>
              <w:spacing w:beforeLines="0" w:afterLines="0"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kern w:val="2"/>
                <w:sz w:val="21"/>
                <w:szCs w:val="21"/>
                <w:lang w:bidi="ar"/>
              </w:rPr>
              <w:t>含油污泥</w:t>
            </w:r>
          </w:p>
        </w:tc>
        <w:tc>
          <w:tcPr>
            <w:tcW w:w="1701" w:type="dxa"/>
            <w:noWrap w:val="0"/>
            <w:vAlign w:val="center"/>
          </w:tcPr>
          <w:p w14:paraId="31491BDC">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0.05</w:t>
            </w:r>
          </w:p>
        </w:tc>
        <w:tc>
          <w:tcPr>
            <w:tcW w:w="1418" w:type="dxa"/>
            <w:noWrap w:val="0"/>
            <w:vAlign w:val="center"/>
          </w:tcPr>
          <w:p w14:paraId="7E5D0139">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4E042128">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56D0D8DC">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i w:val="0"/>
                <w:iCs w:val="0"/>
                <w:color w:val="auto"/>
                <w:kern w:val="0"/>
                <w:sz w:val="21"/>
                <w:szCs w:val="21"/>
                <w:u w:val="none"/>
                <w:lang w:val="en-US" w:eastAsia="zh-CN" w:bidi="ar"/>
              </w:rPr>
              <w:t>0</w:t>
            </w:r>
          </w:p>
        </w:tc>
        <w:tc>
          <w:tcPr>
            <w:tcW w:w="1701" w:type="dxa"/>
            <w:noWrap w:val="0"/>
            <w:vAlign w:val="center"/>
          </w:tcPr>
          <w:p w14:paraId="167C5ABF">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i w:val="0"/>
                <w:iCs w:val="0"/>
                <w:color w:val="auto"/>
                <w:kern w:val="0"/>
                <w:sz w:val="21"/>
                <w:szCs w:val="21"/>
                <w:u w:val="none"/>
                <w:lang w:val="en-US" w:eastAsia="zh-CN" w:bidi="ar"/>
              </w:rPr>
              <w:t>0</w:t>
            </w:r>
          </w:p>
        </w:tc>
        <w:tc>
          <w:tcPr>
            <w:tcW w:w="1701" w:type="dxa"/>
            <w:noWrap w:val="0"/>
            <w:vAlign w:val="center"/>
          </w:tcPr>
          <w:p w14:paraId="2E12B049">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0.05</w:t>
            </w:r>
          </w:p>
        </w:tc>
        <w:tc>
          <w:tcPr>
            <w:tcW w:w="1286" w:type="dxa"/>
            <w:noWrap w:val="0"/>
            <w:vAlign w:val="center"/>
          </w:tcPr>
          <w:p w14:paraId="1FE12B98">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w:t>
            </w:r>
          </w:p>
        </w:tc>
      </w:tr>
      <w:tr w14:paraId="05914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continue"/>
            <w:noWrap w:val="0"/>
            <w:vAlign w:val="center"/>
          </w:tcPr>
          <w:p w14:paraId="5AABF36E">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1BA37247">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sz w:val="21"/>
                <w:szCs w:val="21"/>
              </w:rPr>
              <w:t>废弃的含油抹布</w:t>
            </w:r>
          </w:p>
        </w:tc>
        <w:tc>
          <w:tcPr>
            <w:tcW w:w="1701" w:type="dxa"/>
            <w:noWrap w:val="0"/>
            <w:vAlign w:val="center"/>
          </w:tcPr>
          <w:p w14:paraId="217544B9">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0.01</w:t>
            </w:r>
          </w:p>
        </w:tc>
        <w:tc>
          <w:tcPr>
            <w:tcW w:w="1418" w:type="dxa"/>
            <w:noWrap w:val="0"/>
            <w:vAlign w:val="center"/>
          </w:tcPr>
          <w:p w14:paraId="655E1084">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5052DD9E">
            <w:pPr>
              <w:pStyle w:val="51"/>
              <w:spacing w:beforeLines="0" w:afterLines="0" w:line="240" w:lineRule="auto"/>
              <w:jc w:val="center"/>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559" w:type="dxa"/>
            <w:noWrap w:val="0"/>
            <w:vAlign w:val="center"/>
          </w:tcPr>
          <w:p w14:paraId="0FBB3166">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i w:val="0"/>
                <w:iCs w:val="0"/>
                <w:color w:val="auto"/>
                <w:kern w:val="0"/>
                <w:sz w:val="21"/>
                <w:szCs w:val="21"/>
                <w:u w:val="none"/>
                <w:lang w:val="en-US" w:eastAsia="zh-CN" w:bidi="ar"/>
              </w:rPr>
              <w:t>0</w:t>
            </w:r>
          </w:p>
        </w:tc>
        <w:tc>
          <w:tcPr>
            <w:tcW w:w="1701" w:type="dxa"/>
            <w:noWrap w:val="0"/>
            <w:vAlign w:val="center"/>
          </w:tcPr>
          <w:p w14:paraId="1174A579">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i w:val="0"/>
                <w:iCs w:val="0"/>
                <w:color w:val="auto"/>
                <w:kern w:val="0"/>
                <w:sz w:val="21"/>
                <w:szCs w:val="21"/>
                <w:u w:val="none"/>
                <w:lang w:val="en-US" w:eastAsia="zh-CN" w:bidi="ar"/>
              </w:rPr>
              <w:t>0</w:t>
            </w:r>
          </w:p>
        </w:tc>
        <w:tc>
          <w:tcPr>
            <w:tcW w:w="1701" w:type="dxa"/>
            <w:noWrap w:val="0"/>
            <w:vAlign w:val="center"/>
          </w:tcPr>
          <w:p w14:paraId="46CEC9A7">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0.01</w:t>
            </w:r>
          </w:p>
        </w:tc>
        <w:tc>
          <w:tcPr>
            <w:tcW w:w="1286" w:type="dxa"/>
            <w:noWrap w:val="0"/>
            <w:vAlign w:val="center"/>
          </w:tcPr>
          <w:p w14:paraId="4FF2735E">
            <w:pPr>
              <w:keepNext w:val="0"/>
              <w:keepLines w:val="0"/>
              <w:widowControl/>
              <w:suppressLineNumbers w:val="0"/>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w:t>
            </w:r>
          </w:p>
        </w:tc>
      </w:tr>
      <w:tr w14:paraId="75A10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62" w:type="dxa"/>
            <w:vMerge w:val="continue"/>
            <w:noWrap w:val="0"/>
            <w:vAlign w:val="center"/>
          </w:tcPr>
          <w:p w14:paraId="07323855">
            <w:pPr>
              <w:pStyle w:val="51"/>
              <w:spacing w:beforeLines="0" w:afterLines="0" w:line="240" w:lineRule="auto"/>
              <w:jc w:val="center"/>
              <w:rPr>
                <w:rFonts w:hint="default" w:ascii="Times New Roman" w:hAnsi="Times New Roman" w:cs="Times New Roman"/>
                <w:snapToGrid w:val="0"/>
                <w:color w:val="auto"/>
                <w:kern w:val="21"/>
                <w:sz w:val="21"/>
                <w:szCs w:val="21"/>
              </w:rPr>
            </w:pPr>
          </w:p>
        </w:tc>
        <w:tc>
          <w:tcPr>
            <w:tcW w:w="1701" w:type="dxa"/>
            <w:noWrap w:val="0"/>
            <w:vAlign w:val="center"/>
          </w:tcPr>
          <w:p w14:paraId="6ED98FFF">
            <w:pPr>
              <w:pStyle w:val="51"/>
              <w:spacing w:beforeLines="0" w:afterLines="0"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废过滤膜</w:t>
            </w:r>
          </w:p>
        </w:tc>
        <w:tc>
          <w:tcPr>
            <w:tcW w:w="1701" w:type="dxa"/>
            <w:noWrap w:val="0"/>
            <w:vAlign w:val="center"/>
          </w:tcPr>
          <w:p w14:paraId="35A23C1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0.001t/2a</w:t>
            </w:r>
          </w:p>
        </w:tc>
        <w:tc>
          <w:tcPr>
            <w:tcW w:w="1418" w:type="dxa"/>
            <w:noWrap w:val="0"/>
            <w:vAlign w:val="center"/>
          </w:tcPr>
          <w:p w14:paraId="433C0CF2">
            <w:pPr>
              <w:pStyle w:val="51"/>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cs="Times New Roman"/>
                <w:snapToGrid w:val="0"/>
                <w:color w:val="auto"/>
                <w:kern w:val="21"/>
                <w:sz w:val="21"/>
                <w:szCs w:val="21"/>
                <w:lang w:val="en-US" w:eastAsia="zh-CN"/>
              </w:rPr>
              <w:t>/</w:t>
            </w:r>
          </w:p>
        </w:tc>
        <w:tc>
          <w:tcPr>
            <w:tcW w:w="1559" w:type="dxa"/>
            <w:noWrap w:val="0"/>
            <w:vAlign w:val="center"/>
          </w:tcPr>
          <w:p w14:paraId="5950CB77">
            <w:pPr>
              <w:pStyle w:val="51"/>
              <w:spacing w:beforeLines="0" w:afterLines="0" w:line="240" w:lineRule="auto"/>
              <w:jc w:val="center"/>
              <w:rPr>
                <w:rFonts w:hint="default" w:ascii="Times New Roman" w:hAnsi="Times New Roman" w:eastAsia="宋体" w:cs="Times New Roman"/>
                <w:snapToGrid w:val="0"/>
                <w:color w:val="auto"/>
                <w:kern w:val="21"/>
                <w:sz w:val="21"/>
                <w:szCs w:val="21"/>
                <w:lang w:val="en-US" w:eastAsia="zh-CN"/>
              </w:rPr>
            </w:pPr>
            <w:r>
              <w:rPr>
                <w:rFonts w:hint="default" w:ascii="Times New Roman" w:hAnsi="Times New Roman" w:cs="Times New Roman"/>
                <w:snapToGrid w:val="0"/>
                <w:color w:val="auto"/>
                <w:kern w:val="21"/>
                <w:sz w:val="21"/>
                <w:szCs w:val="21"/>
                <w:lang w:val="en-US" w:eastAsia="zh-CN"/>
              </w:rPr>
              <w:t>/</w:t>
            </w:r>
          </w:p>
        </w:tc>
        <w:tc>
          <w:tcPr>
            <w:tcW w:w="1559" w:type="dxa"/>
            <w:noWrap w:val="0"/>
            <w:vAlign w:val="center"/>
          </w:tcPr>
          <w:p w14:paraId="6B5CF37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0</w:t>
            </w:r>
          </w:p>
        </w:tc>
        <w:tc>
          <w:tcPr>
            <w:tcW w:w="1701" w:type="dxa"/>
            <w:noWrap w:val="0"/>
            <w:vAlign w:val="center"/>
          </w:tcPr>
          <w:p w14:paraId="4CE840F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701" w:type="dxa"/>
            <w:noWrap w:val="0"/>
            <w:vAlign w:val="center"/>
          </w:tcPr>
          <w:p w14:paraId="0B34257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0.001t/2a</w:t>
            </w:r>
          </w:p>
        </w:tc>
        <w:tc>
          <w:tcPr>
            <w:tcW w:w="1286" w:type="dxa"/>
            <w:noWrap w:val="0"/>
            <w:vAlign w:val="center"/>
          </w:tcPr>
          <w:p w14:paraId="536EDA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0</w:t>
            </w:r>
          </w:p>
        </w:tc>
      </w:tr>
    </w:tbl>
    <w:p w14:paraId="7B986EAC">
      <w:pPr>
        <w:pStyle w:val="51"/>
        <w:spacing w:before="192" w:beforeLines="80" w:after="24" w:line="300" w:lineRule="exact"/>
        <w:jc w:val="left"/>
        <w:rPr>
          <w:rFonts w:hint="default" w:ascii="Times New Roman" w:hAnsi="Times New Roman" w:eastAsia="宋体" w:cs="Times New Roman"/>
          <w:color w:val="auto"/>
          <w:sz w:val="26"/>
          <w:szCs w:val="26"/>
          <w:lang w:val="en-US" w:eastAsia="zh-CN"/>
        </w:rPr>
      </w:pPr>
      <w:r>
        <w:rPr>
          <w:rFonts w:hint="default" w:ascii="Times New Roman" w:hAnsi="Times New Roman" w:cs="Times New Roman"/>
          <w:snapToGrid w:val="0"/>
          <w:color w:val="auto"/>
          <w:kern w:val="21"/>
          <w:szCs w:val="21"/>
        </w:rPr>
        <w:t>注：</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3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③</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4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④</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5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⑤</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7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⑦</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16"/>
          <w:kern w:val="21"/>
          <w:szCs w:val="21"/>
        </w:rPr>
        <w:fldChar w:fldCharType="begin"/>
      </w:r>
      <w:r>
        <w:rPr>
          <w:rFonts w:hint="default" w:ascii="Times New Roman" w:hAnsi="Times New Roman" w:cs="Times New Roman"/>
          <w:snapToGrid w:val="0"/>
          <w:color w:val="auto"/>
          <w:spacing w:val="-16"/>
          <w:kern w:val="21"/>
          <w:szCs w:val="21"/>
        </w:rPr>
        <w:instrText xml:space="preserve"> = 6 \* GB3 \* MERGEFORMAT </w:instrText>
      </w:r>
      <w:r>
        <w:rPr>
          <w:rFonts w:hint="default" w:ascii="Times New Roman" w:hAnsi="Times New Roman" w:cs="Times New Roman"/>
          <w:snapToGrid w:val="0"/>
          <w:color w:val="auto"/>
          <w:spacing w:val="-16"/>
          <w:kern w:val="21"/>
          <w:szCs w:val="21"/>
        </w:rPr>
        <w:fldChar w:fldCharType="separate"/>
      </w:r>
      <w:r>
        <w:rPr>
          <w:rFonts w:hint="default" w:ascii="Times New Roman" w:hAnsi="Times New Roman" w:cs="Times New Roman"/>
          <w:color w:val="auto"/>
          <w:szCs w:val="21"/>
        </w:rPr>
        <w:t>⑥</w:t>
      </w:r>
      <w:r>
        <w:rPr>
          <w:rFonts w:hint="default" w:ascii="Times New Roman" w:hAnsi="Times New Roman" w:cs="Times New Roman"/>
          <w:snapToGrid w:val="0"/>
          <w:color w:val="auto"/>
          <w:spacing w:val="-16"/>
          <w:kern w:val="21"/>
          <w:szCs w:val="21"/>
        </w:rPr>
        <w:fldChar w:fldCharType="end"/>
      </w:r>
      <w:r>
        <w:rPr>
          <w:rFonts w:hint="default" w:ascii="Times New Roman" w:hAnsi="Times New Roman" w:cs="Times New Roman"/>
          <w:snapToGrid w:val="0"/>
          <w:color w:val="auto"/>
          <w:spacing w:val="-16"/>
          <w:kern w:val="21"/>
          <w:szCs w:val="21"/>
        </w:rPr>
        <w:t>-</w:t>
      </w:r>
      <w:r>
        <w:rPr>
          <w:rFonts w:hint="default" w:ascii="Times New Roman" w:hAnsi="Times New Roman" w:cs="Times New Roman"/>
          <w:snapToGrid w:val="0"/>
          <w:color w:val="auto"/>
          <w:spacing w:val="-6"/>
          <w:kern w:val="21"/>
          <w:szCs w:val="21"/>
        </w:rPr>
        <w:fldChar w:fldCharType="begin"/>
      </w:r>
      <w:r>
        <w:rPr>
          <w:rFonts w:hint="default" w:ascii="Times New Roman" w:hAnsi="Times New Roman" w:cs="Times New Roman"/>
          <w:snapToGrid w:val="0"/>
          <w:color w:val="auto"/>
          <w:spacing w:val="-6"/>
          <w:kern w:val="21"/>
          <w:szCs w:val="21"/>
        </w:rPr>
        <w:instrText xml:space="preserve"> = 1 \* GB3 \* MERGEFORMAT </w:instrText>
      </w:r>
      <w:r>
        <w:rPr>
          <w:rFonts w:hint="default" w:ascii="Times New Roman" w:hAnsi="Times New Roman" w:cs="Times New Roman"/>
          <w:snapToGrid w:val="0"/>
          <w:color w:val="auto"/>
          <w:spacing w:val="-6"/>
          <w:kern w:val="21"/>
          <w:szCs w:val="21"/>
        </w:rPr>
        <w:fldChar w:fldCharType="separate"/>
      </w:r>
      <w:r>
        <w:rPr>
          <w:rFonts w:hint="default" w:ascii="Times New Roman" w:hAnsi="Times New Roman" w:cs="Times New Roman"/>
          <w:color w:val="auto"/>
          <w:szCs w:val="21"/>
        </w:rPr>
        <w:t>①</w:t>
      </w:r>
      <w:r>
        <w:rPr>
          <w:rFonts w:hint="default" w:ascii="Times New Roman" w:hAnsi="Times New Roman" w:cs="Times New Roman"/>
          <w:snapToGrid w:val="0"/>
          <w:color w:val="auto"/>
          <w:spacing w:val="-6"/>
          <w:kern w:val="21"/>
          <w:szCs w:val="21"/>
        </w:rPr>
        <w:fldChar w:fldCharType="end"/>
      </w:r>
      <w:r>
        <w:rPr>
          <w:rFonts w:hint="default" w:ascii="Times New Roman" w:hAnsi="Times New Roman" w:cs="Times New Roman"/>
          <w:snapToGrid w:val="0"/>
          <w:color w:val="auto"/>
          <w:spacing w:val="-6"/>
          <w:kern w:val="21"/>
          <w:szCs w:val="21"/>
        </w:rPr>
        <w:t>。</w:t>
      </w:r>
      <w:r>
        <w:rPr>
          <w:rFonts w:hint="default" w:ascii="Times New Roman" w:hAnsi="Times New Roman" w:cs="Times New Roman"/>
          <w:snapToGrid w:val="0"/>
          <w:color w:val="auto"/>
          <w:spacing w:val="-6"/>
          <w:kern w:val="21"/>
          <w:szCs w:val="21"/>
          <w:lang w:val="en-US" w:eastAsia="zh-CN"/>
        </w:rPr>
        <w:t>单位：t/a</w:t>
      </w:r>
    </w:p>
    <w:sectPr>
      <w:footerReference r:id="rId5" w:type="default"/>
      <w:pgSz w:w="16838" w:h="11906" w:orient="landscape"/>
      <w:pgMar w:top="1531" w:right="1701" w:bottom="1531" w:left="1701" w:header="851" w:footer="85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0038">
    <w:pPr>
      <w:pStyle w:val="12"/>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4DEC1">
                          <w:pPr>
                            <w:pStyle w:val="12"/>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75</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94DEC1">
                    <w:pPr>
                      <w:pStyle w:val="12"/>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75</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DA92F">
    <w:pPr>
      <w:pStyle w:val="12"/>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0E2F5">
                          <w:pPr>
                            <w:pStyle w:val="12"/>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75</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D0E2F5">
                    <w:pPr>
                      <w:pStyle w:val="12"/>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75</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0A26">
    <w:pPr>
      <w:pStyle w:val="12"/>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C6E38">
                          <w:pPr>
                            <w:pStyle w:val="12"/>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76</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08C6E38">
                    <w:pPr>
                      <w:pStyle w:val="12"/>
                      <w:rPr>
                        <w:rStyle w:val="22"/>
                        <w:rFonts w:ascii="宋体" w:hAnsi="宋体"/>
                        <w:sz w:val="28"/>
                        <w:szCs w:val="28"/>
                      </w:rPr>
                    </w:pPr>
                    <w:r>
                      <w:rPr>
                        <w:rStyle w:val="22"/>
                        <w:rFonts w:hint="eastAsia" w:ascii="宋体" w:hAnsi="宋体"/>
                        <w:sz w:val="28"/>
                        <w:szCs w:val="28"/>
                      </w:rPr>
                      <w:t>—</w:t>
                    </w:r>
                    <w:r>
                      <w:rPr>
                        <w:rStyle w:val="22"/>
                        <w:rFonts w:hint="eastAsia" w:ascii="宋体" w:hAnsi="宋体"/>
                        <w:sz w:val="20"/>
                      </w:rPr>
                      <w:t xml:space="preserve">  </w:t>
                    </w:r>
                    <w:r>
                      <w:rPr>
                        <w:rFonts w:ascii="宋体" w:hAnsi="宋体"/>
                        <w:sz w:val="26"/>
                        <w:szCs w:val="26"/>
                      </w:rPr>
                      <w:fldChar w:fldCharType="begin"/>
                    </w:r>
                    <w:r>
                      <w:rPr>
                        <w:rStyle w:val="22"/>
                        <w:rFonts w:ascii="宋体" w:hAnsi="宋体"/>
                        <w:sz w:val="26"/>
                        <w:szCs w:val="26"/>
                      </w:rPr>
                      <w:instrText xml:space="preserve">PAGE  </w:instrText>
                    </w:r>
                    <w:r>
                      <w:rPr>
                        <w:rFonts w:ascii="宋体" w:hAnsi="宋体"/>
                        <w:sz w:val="26"/>
                        <w:szCs w:val="26"/>
                      </w:rPr>
                      <w:fldChar w:fldCharType="separate"/>
                    </w:r>
                    <w:r>
                      <w:rPr>
                        <w:rStyle w:val="22"/>
                        <w:rFonts w:ascii="宋体" w:hAnsi="宋体"/>
                        <w:sz w:val="26"/>
                        <w:szCs w:val="26"/>
                      </w:rPr>
                      <w:t>76</w:t>
                    </w:r>
                    <w:r>
                      <w:rPr>
                        <w:rFonts w:ascii="宋体" w:hAnsi="宋体"/>
                        <w:sz w:val="26"/>
                        <w:szCs w:val="26"/>
                      </w:rPr>
                      <w:fldChar w:fldCharType="end"/>
                    </w:r>
                    <w:r>
                      <w:rPr>
                        <w:rStyle w:val="22"/>
                        <w:rFonts w:hint="eastAsia" w:ascii="宋体" w:hAnsi="宋体"/>
                        <w:sz w:val="20"/>
                      </w:rPr>
                      <w:t xml:space="preserve">  </w:t>
                    </w:r>
                    <w:r>
                      <w:rPr>
                        <w:rStyle w:val="22"/>
                        <w:rFonts w:hint="eastAsia" w:ascii="宋体" w:hAnsi="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BFCBA"/>
    <w:multiLevelType w:val="singleLevel"/>
    <w:tmpl w:val="F0CBFCBA"/>
    <w:lvl w:ilvl="0" w:tentative="0">
      <w:start w:val="1"/>
      <w:numFmt w:val="decimal"/>
      <w:suff w:val="nothing"/>
      <w:lvlText w:val="（%1）"/>
      <w:lvlJc w:val="left"/>
    </w:lvl>
  </w:abstractNum>
  <w:abstractNum w:abstractNumId="1">
    <w:nsid w:val="424A45C1"/>
    <w:multiLevelType w:val="multilevel"/>
    <w:tmpl w:val="424A45C1"/>
    <w:lvl w:ilvl="0" w:tentative="0">
      <w:start w:val="1"/>
      <w:numFmt w:val="decimalEnclosedCircle"/>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NjQ4N2Q1M2NkM2RlMjI2NGU1NTI3YjRkZWFhMWUifQ=="/>
  </w:docVars>
  <w:rsids>
    <w:rsidRoot w:val="00172A27"/>
    <w:rsid w:val="000010B0"/>
    <w:rsid w:val="000011D8"/>
    <w:rsid w:val="00005A83"/>
    <w:rsid w:val="00005CF5"/>
    <w:rsid w:val="000060B3"/>
    <w:rsid w:val="00006150"/>
    <w:rsid w:val="000072F4"/>
    <w:rsid w:val="000116E5"/>
    <w:rsid w:val="00012DBA"/>
    <w:rsid w:val="000143C2"/>
    <w:rsid w:val="0001461B"/>
    <w:rsid w:val="00014CEB"/>
    <w:rsid w:val="00016A50"/>
    <w:rsid w:val="00017C8C"/>
    <w:rsid w:val="0002184B"/>
    <w:rsid w:val="00024E6E"/>
    <w:rsid w:val="000310EB"/>
    <w:rsid w:val="000311E7"/>
    <w:rsid w:val="00032B93"/>
    <w:rsid w:val="00032C04"/>
    <w:rsid w:val="00032FB6"/>
    <w:rsid w:val="00033096"/>
    <w:rsid w:val="00034377"/>
    <w:rsid w:val="00034442"/>
    <w:rsid w:val="00034644"/>
    <w:rsid w:val="000347BC"/>
    <w:rsid w:val="000348B5"/>
    <w:rsid w:val="0003617D"/>
    <w:rsid w:val="0003773E"/>
    <w:rsid w:val="00040A03"/>
    <w:rsid w:val="00040EAA"/>
    <w:rsid w:val="000422BF"/>
    <w:rsid w:val="000430C9"/>
    <w:rsid w:val="0004364B"/>
    <w:rsid w:val="00046B99"/>
    <w:rsid w:val="00046EBA"/>
    <w:rsid w:val="0004752A"/>
    <w:rsid w:val="000501C9"/>
    <w:rsid w:val="0005195B"/>
    <w:rsid w:val="00051EE8"/>
    <w:rsid w:val="000521DD"/>
    <w:rsid w:val="000532AF"/>
    <w:rsid w:val="00053736"/>
    <w:rsid w:val="00054002"/>
    <w:rsid w:val="000540E6"/>
    <w:rsid w:val="00055BB4"/>
    <w:rsid w:val="00056661"/>
    <w:rsid w:val="00061A6D"/>
    <w:rsid w:val="00061B1F"/>
    <w:rsid w:val="00062B11"/>
    <w:rsid w:val="00062BBC"/>
    <w:rsid w:val="00063468"/>
    <w:rsid w:val="00065545"/>
    <w:rsid w:val="00065FF9"/>
    <w:rsid w:val="00066548"/>
    <w:rsid w:val="000670B4"/>
    <w:rsid w:val="000707F2"/>
    <w:rsid w:val="00070C37"/>
    <w:rsid w:val="00071C02"/>
    <w:rsid w:val="000733C4"/>
    <w:rsid w:val="00073C58"/>
    <w:rsid w:val="00074783"/>
    <w:rsid w:val="000761EA"/>
    <w:rsid w:val="0008070B"/>
    <w:rsid w:val="000808EF"/>
    <w:rsid w:val="000810AC"/>
    <w:rsid w:val="00081A02"/>
    <w:rsid w:val="00081A2B"/>
    <w:rsid w:val="00081FC5"/>
    <w:rsid w:val="00082231"/>
    <w:rsid w:val="000837A5"/>
    <w:rsid w:val="00083FCE"/>
    <w:rsid w:val="00084568"/>
    <w:rsid w:val="00087EA3"/>
    <w:rsid w:val="00090E45"/>
    <w:rsid w:val="00091D7F"/>
    <w:rsid w:val="00092D38"/>
    <w:rsid w:val="0009377B"/>
    <w:rsid w:val="0009470D"/>
    <w:rsid w:val="00094F60"/>
    <w:rsid w:val="000953D3"/>
    <w:rsid w:val="000A20C9"/>
    <w:rsid w:val="000A216A"/>
    <w:rsid w:val="000A4D58"/>
    <w:rsid w:val="000A75BD"/>
    <w:rsid w:val="000A7DCA"/>
    <w:rsid w:val="000B058F"/>
    <w:rsid w:val="000B4467"/>
    <w:rsid w:val="000B48F5"/>
    <w:rsid w:val="000B4DB9"/>
    <w:rsid w:val="000B640E"/>
    <w:rsid w:val="000B717B"/>
    <w:rsid w:val="000C0685"/>
    <w:rsid w:val="000C09AC"/>
    <w:rsid w:val="000C1827"/>
    <w:rsid w:val="000C2253"/>
    <w:rsid w:val="000C30C5"/>
    <w:rsid w:val="000C4100"/>
    <w:rsid w:val="000C6D80"/>
    <w:rsid w:val="000C767F"/>
    <w:rsid w:val="000D0E0F"/>
    <w:rsid w:val="000D2898"/>
    <w:rsid w:val="000D2B82"/>
    <w:rsid w:val="000D5A44"/>
    <w:rsid w:val="000D6051"/>
    <w:rsid w:val="000D6DD2"/>
    <w:rsid w:val="000D7851"/>
    <w:rsid w:val="000D7986"/>
    <w:rsid w:val="000E0E38"/>
    <w:rsid w:val="000E12B9"/>
    <w:rsid w:val="000E1FCE"/>
    <w:rsid w:val="000E2F72"/>
    <w:rsid w:val="000E3ED2"/>
    <w:rsid w:val="000E4BA5"/>
    <w:rsid w:val="000E4EE1"/>
    <w:rsid w:val="000E4F93"/>
    <w:rsid w:val="000E54EC"/>
    <w:rsid w:val="000E7429"/>
    <w:rsid w:val="000F0C8B"/>
    <w:rsid w:val="000F1547"/>
    <w:rsid w:val="000F1B5B"/>
    <w:rsid w:val="000F2A28"/>
    <w:rsid w:val="000F322E"/>
    <w:rsid w:val="000F5AAB"/>
    <w:rsid w:val="000F6365"/>
    <w:rsid w:val="000F64E7"/>
    <w:rsid w:val="000F69B7"/>
    <w:rsid w:val="000F75BB"/>
    <w:rsid w:val="000F7CE1"/>
    <w:rsid w:val="00100237"/>
    <w:rsid w:val="0010146B"/>
    <w:rsid w:val="00102872"/>
    <w:rsid w:val="0010368D"/>
    <w:rsid w:val="00103C3C"/>
    <w:rsid w:val="00103CD0"/>
    <w:rsid w:val="00104143"/>
    <w:rsid w:val="00105539"/>
    <w:rsid w:val="001076BC"/>
    <w:rsid w:val="00111E40"/>
    <w:rsid w:val="00113C7A"/>
    <w:rsid w:val="00114141"/>
    <w:rsid w:val="001149A5"/>
    <w:rsid w:val="00116C54"/>
    <w:rsid w:val="00120B9C"/>
    <w:rsid w:val="00120BB6"/>
    <w:rsid w:val="00120F24"/>
    <w:rsid w:val="00121A48"/>
    <w:rsid w:val="00122FD3"/>
    <w:rsid w:val="0012462C"/>
    <w:rsid w:val="00124D2F"/>
    <w:rsid w:val="00124E51"/>
    <w:rsid w:val="001258B2"/>
    <w:rsid w:val="00125F7A"/>
    <w:rsid w:val="001301AA"/>
    <w:rsid w:val="00131413"/>
    <w:rsid w:val="00131F42"/>
    <w:rsid w:val="00132629"/>
    <w:rsid w:val="001332DA"/>
    <w:rsid w:val="00133A6F"/>
    <w:rsid w:val="001357F1"/>
    <w:rsid w:val="00136EE0"/>
    <w:rsid w:val="001378DC"/>
    <w:rsid w:val="00140AA0"/>
    <w:rsid w:val="00140FA8"/>
    <w:rsid w:val="00141B1F"/>
    <w:rsid w:val="00142ED2"/>
    <w:rsid w:val="00142FEB"/>
    <w:rsid w:val="0014309D"/>
    <w:rsid w:val="0014387B"/>
    <w:rsid w:val="00143A2D"/>
    <w:rsid w:val="001449B3"/>
    <w:rsid w:val="00145780"/>
    <w:rsid w:val="00145A41"/>
    <w:rsid w:val="00146226"/>
    <w:rsid w:val="00146548"/>
    <w:rsid w:val="00147ED8"/>
    <w:rsid w:val="001501EE"/>
    <w:rsid w:val="00150BE4"/>
    <w:rsid w:val="0015132E"/>
    <w:rsid w:val="00151520"/>
    <w:rsid w:val="00151675"/>
    <w:rsid w:val="001517EB"/>
    <w:rsid w:val="0015273D"/>
    <w:rsid w:val="001552A0"/>
    <w:rsid w:val="00157435"/>
    <w:rsid w:val="00157924"/>
    <w:rsid w:val="00157E58"/>
    <w:rsid w:val="00157F0B"/>
    <w:rsid w:val="0016030B"/>
    <w:rsid w:val="0016135F"/>
    <w:rsid w:val="00161E46"/>
    <w:rsid w:val="00162AF6"/>
    <w:rsid w:val="00163213"/>
    <w:rsid w:val="00164745"/>
    <w:rsid w:val="00165D99"/>
    <w:rsid w:val="0017093A"/>
    <w:rsid w:val="0017113F"/>
    <w:rsid w:val="00171327"/>
    <w:rsid w:val="00173866"/>
    <w:rsid w:val="00173FF2"/>
    <w:rsid w:val="0017504D"/>
    <w:rsid w:val="001759A4"/>
    <w:rsid w:val="00175C50"/>
    <w:rsid w:val="0017671A"/>
    <w:rsid w:val="00177422"/>
    <w:rsid w:val="00181884"/>
    <w:rsid w:val="00181DF1"/>
    <w:rsid w:val="001828B4"/>
    <w:rsid w:val="00182AC4"/>
    <w:rsid w:val="00183AF5"/>
    <w:rsid w:val="00184120"/>
    <w:rsid w:val="0018426E"/>
    <w:rsid w:val="001842E9"/>
    <w:rsid w:val="00184590"/>
    <w:rsid w:val="00184DD7"/>
    <w:rsid w:val="0018667A"/>
    <w:rsid w:val="001870D1"/>
    <w:rsid w:val="00187720"/>
    <w:rsid w:val="0018781E"/>
    <w:rsid w:val="001879EC"/>
    <w:rsid w:val="00191331"/>
    <w:rsid w:val="0019262D"/>
    <w:rsid w:val="001930EB"/>
    <w:rsid w:val="00193BC2"/>
    <w:rsid w:val="0019641C"/>
    <w:rsid w:val="00196651"/>
    <w:rsid w:val="00197BB1"/>
    <w:rsid w:val="001A1B35"/>
    <w:rsid w:val="001A44EA"/>
    <w:rsid w:val="001A48A2"/>
    <w:rsid w:val="001A6F61"/>
    <w:rsid w:val="001B11EF"/>
    <w:rsid w:val="001B1417"/>
    <w:rsid w:val="001B54AB"/>
    <w:rsid w:val="001B56FB"/>
    <w:rsid w:val="001B5A02"/>
    <w:rsid w:val="001B5D06"/>
    <w:rsid w:val="001B640B"/>
    <w:rsid w:val="001B6B08"/>
    <w:rsid w:val="001B72B8"/>
    <w:rsid w:val="001B73A5"/>
    <w:rsid w:val="001C02F5"/>
    <w:rsid w:val="001C05D1"/>
    <w:rsid w:val="001C0D6C"/>
    <w:rsid w:val="001C122E"/>
    <w:rsid w:val="001C1DC4"/>
    <w:rsid w:val="001C21B8"/>
    <w:rsid w:val="001C341B"/>
    <w:rsid w:val="001C3C6A"/>
    <w:rsid w:val="001C42C1"/>
    <w:rsid w:val="001C4C37"/>
    <w:rsid w:val="001C619B"/>
    <w:rsid w:val="001C69B3"/>
    <w:rsid w:val="001C7CBB"/>
    <w:rsid w:val="001D0771"/>
    <w:rsid w:val="001D088C"/>
    <w:rsid w:val="001D3A8E"/>
    <w:rsid w:val="001D5595"/>
    <w:rsid w:val="001D6BCB"/>
    <w:rsid w:val="001D7874"/>
    <w:rsid w:val="001D7F22"/>
    <w:rsid w:val="001D7FFD"/>
    <w:rsid w:val="001E1324"/>
    <w:rsid w:val="001E3D03"/>
    <w:rsid w:val="001E3EB7"/>
    <w:rsid w:val="001E426E"/>
    <w:rsid w:val="001E4541"/>
    <w:rsid w:val="001E5872"/>
    <w:rsid w:val="001E656C"/>
    <w:rsid w:val="001E71FB"/>
    <w:rsid w:val="001F0569"/>
    <w:rsid w:val="001F08EC"/>
    <w:rsid w:val="001F0F17"/>
    <w:rsid w:val="001F1F7A"/>
    <w:rsid w:val="001F3075"/>
    <w:rsid w:val="001F3347"/>
    <w:rsid w:val="001F48CB"/>
    <w:rsid w:val="001F5239"/>
    <w:rsid w:val="001F681C"/>
    <w:rsid w:val="001F6931"/>
    <w:rsid w:val="001F69E4"/>
    <w:rsid w:val="001F6CFD"/>
    <w:rsid w:val="0020271C"/>
    <w:rsid w:val="00203C8E"/>
    <w:rsid w:val="0020422B"/>
    <w:rsid w:val="002053CB"/>
    <w:rsid w:val="0020780B"/>
    <w:rsid w:val="00207B29"/>
    <w:rsid w:val="002100D6"/>
    <w:rsid w:val="00210272"/>
    <w:rsid w:val="00210D4E"/>
    <w:rsid w:val="0021148E"/>
    <w:rsid w:val="00211E87"/>
    <w:rsid w:val="00211F73"/>
    <w:rsid w:val="002125B4"/>
    <w:rsid w:val="002155B8"/>
    <w:rsid w:val="002168B7"/>
    <w:rsid w:val="00216951"/>
    <w:rsid w:val="00216A69"/>
    <w:rsid w:val="00221EA8"/>
    <w:rsid w:val="00223A40"/>
    <w:rsid w:val="00224839"/>
    <w:rsid w:val="002249B2"/>
    <w:rsid w:val="00226574"/>
    <w:rsid w:val="00226BDC"/>
    <w:rsid w:val="0022730E"/>
    <w:rsid w:val="002278EC"/>
    <w:rsid w:val="00230A74"/>
    <w:rsid w:val="00230C89"/>
    <w:rsid w:val="00231A21"/>
    <w:rsid w:val="00231E71"/>
    <w:rsid w:val="0023255A"/>
    <w:rsid w:val="0023280E"/>
    <w:rsid w:val="002330C5"/>
    <w:rsid w:val="0023443A"/>
    <w:rsid w:val="00235441"/>
    <w:rsid w:val="00236FBA"/>
    <w:rsid w:val="002377D1"/>
    <w:rsid w:val="00240A29"/>
    <w:rsid w:val="00241F07"/>
    <w:rsid w:val="00242329"/>
    <w:rsid w:val="0024344D"/>
    <w:rsid w:val="0024514B"/>
    <w:rsid w:val="00245C29"/>
    <w:rsid w:val="002477D9"/>
    <w:rsid w:val="002506BC"/>
    <w:rsid w:val="002507A2"/>
    <w:rsid w:val="00251AE3"/>
    <w:rsid w:val="00254345"/>
    <w:rsid w:val="00254598"/>
    <w:rsid w:val="00257102"/>
    <w:rsid w:val="0025757E"/>
    <w:rsid w:val="00257B33"/>
    <w:rsid w:val="00260F64"/>
    <w:rsid w:val="00262634"/>
    <w:rsid w:val="00263A7F"/>
    <w:rsid w:val="00264557"/>
    <w:rsid w:val="00271263"/>
    <w:rsid w:val="002719F0"/>
    <w:rsid w:val="00272E9B"/>
    <w:rsid w:val="0027318E"/>
    <w:rsid w:val="00273D6D"/>
    <w:rsid w:val="00274501"/>
    <w:rsid w:val="0027458D"/>
    <w:rsid w:val="0027480D"/>
    <w:rsid w:val="00277ED3"/>
    <w:rsid w:val="00280489"/>
    <w:rsid w:val="002805AB"/>
    <w:rsid w:val="00280A11"/>
    <w:rsid w:val="00280B62"/>
    <w:rsid w:val="00283E84"/>
    <w:rsid w:val="00284204"/>
    <w:rsid w:val="00284AE1"/>
    <w:rsid w:val="002856DF"/>
    <w:rsid w:val="00286A84"/>
    <w:rsid w:val="002904D1"/>
    <w:rsid w:val="00290862"/>
    <w:rsid w:val="00290AB1"/>
    <w:rsid w:val="00291773"/>
    <w:rsid w:val="002925EA"/>
    <w:rsid w:val="002926BB"/>
    <w:rsid w:val="00292823"/>
    <w:rsid w:val="00295C08"/>
    <w:rsid w:val="002A168C"/>
    <w:rsid w:val="002A2042"/>
    <w:rsid w:val="002A36DB"/>
    <w:rsid w:val="002A3DC7"/>
    <w:rsid w:val="002A6572"/>
    <w:rsid w:val="002A66AD"/>
    <w:rsid w:val="002A6F75"/>
    <w:rsid w:val="002A79BD"/>
    <w:rsid w:val="002B18DB"/>
    <w:rsid w:val="002B1A53"/>
    <w:rsid w:val="002B2967"/>
    <w:rsid w:val="002B2CDD"/>
    <w:rsid w:val="002B3726"/>
    <w:rsid w:val="002B49E2"/>
    <w:rsid w:val="002B4F89"/>
    <w:rsid w:val="002B5799"/>
    <w:rsid w:val="002B5A1A"/>
    <w:rsid w:val="002B7B00"/>
    <w:rsid w:val="002B7C44"/>
    <w:rsid w:val="002C0C82"/>
    <w:rsid w:val="002C1244"/>
    <w:rsid w:val="002C1B2B"/>
    <w:rsid w:val="002C2AB9"/>
    <w:rsid w:val="002C2B17"/>
    <w:rsid w:val="002C2DDD"/>
    <w:rsid w:val="002C30CC"/>
    <w:rsid w:val="002C348E"/>
    <w:rsid w:val="002C3EEA"/>
    <w:rsid w:val="002C5542"/>
    <w:rsid w:val="002C627B"/>
    <w:rsid w:val="002C64DE"/>
    <w:rsid w:val="002D08C6"/>
    <w:rsid w:val="002D2ACE"/>
    <w:rsid w:val="002D36DF"/>
    <w:rsid w:val="002D3DD0"/>
    <w:rsid w:val="002D5943"/>
    <w:rsid w:val="002D7DA4"/>
    <w:rsid w:val="002D7E18"/>
    <w:rsid w:val="002E00C6"/>
    <w:rsid w:val="002E12EB"/>
    <w:rsid w:val="002E1C39"/>
    <w:rsid w:val="002E1F3A"/>
    <w:rsid w:val="002E21E5"/>
    <w:rsid w:val="002E298A"/>
    <w:rsid w:val="002E301F"/>
    <w:rsid w:val="002E42EE"/>
    <w:rsid w:val="002E4A51"/>
    <w:rsid w:val="002E4DC1"/>
    <w:rsid w:val="002E71A2"/>
    <w:rsid w:val="002E72C5"/>
    <w:rsid w:val="002F0834"/>
    <w:rsid w:val="002F0B77"/>
    <w:rsid w:val="002F30B9"/>
    <w:rsid w:val="002F382C"/>
    <w:rsid w:val="002F5CDC"/>
    <w:rsid w:val="002F7DAC"/>
    <w:rsid w:val="00300580"/>
    <w:rsid w:val="003011DE"/>
    <w:rsid w:val="00301978"/>
    <w:rsid w:val="00301F7D"/>
    <w:rsid w:val="003026D4"/>
    <w:rsid w:val="0030332C"/>
    <w:rsid w:val="0030382C"/>
    <w:rsid w:val="00304429"/>
    <w:rsid w:val="003051C2"/>
    <w:rsid w:val="00305EEE"/>
    <w:rsid w:val="00310234"/>
    <w:rsid w:val="00312296"/>
    <w:rsid w:val="00312C37"/>
    <w:rsid w:val="00313238"/>
    <w:rsid w:val="0031411F"/>
    <w:rsid w:val="00314F0E"/>
    <w:rsid w:val="003153C4"/>
    <w:rsid w:val="0032048B"/>
    <w:rsid w:val="00320F91"/>
    <w:rsid w:val="00321D8E"/>
    <w:rsid w:val="0032418C"/>
    <w:rsid w:val="00324994"/>
    <w:rsid w:val="00324C9B"/>
    <w:rsid w:val="00325928"/>
    <w:rsid w:val="00326EF7"/>
    <w:rsid w:val="00326FB8"/>
    <w:rsid w:val="00330A80"/>
    <w:rsid w:val="0033115F"/>
    <w:rsid w:val="003325C2"/>
    <w:rsid w:val="00332863"/>
    <w:rsid w:val="00333238"/>
    <w:rsid w:val="00334CDD"/>
    <w:rsid w:val="0033684D"/>
    <w:rsid w:val="00336AA6"/>
    <w:rsid w:val="00337B07"/>
    <w:rsid w:val="00337B42"/>
    <w:rsid w:val="00340158"/>
    <w:rsid w:val="00341938"/>
    <w:rsid w:val="00341B42"/>
    <w:rsid w:val="00342072"/>
    <w:rsid w:val="0034348F"/>
    <w:rsid w:val="00350873"/>
    <w:rsid w:val="0035144B"/>
    <w:rsid w:val="003533CE"/>
    <w:rsid w:val="00353778"/>
    <w:rsid w:val="00354AFB"/>
    <w:rsid w:val="00355281"/>
    <w:rsid w:val="003561E5"/>
    <w:rsid w:val="00356653"/>
    <w:rsid w:val="0035743F"/>
    <w:rsid w:val="00357542"/>
    <w:rsid w:val="00357BE2"/>
    <w:rsid w:val="00357C33"/>
    <w:rsid w:val="0036023A"/>
    <w:rsid w:val="0036058A"/>
    <w:rsid w:val="0036170C"/>
    <w:rsid w:val="00361B8E"/>
    <w:rsid w:val="00362F8F"/>
    <w:rsid w:val="00363995"/>
    <w:rsid w:val="0036412B"/>
    <w:rsid w:val="00364B10"/>
    <w:rsid w:val="003653E6"/>
    <w:rsid w:val="00365E10"/>
    <w:rsid w:val="00366E0F"/>
    <w:rsid w:val="00367B41"/>
    <w:rsid w:val="00372F0A"/>
    <w:rsid w:val="00373F4D"/>
    <w:rsid w:val="00374C04"/>
    <w:rsid w:val="0037512D"/>
    <w:rsid w:val="003755F5"/>
    <w:rsid w:val="00375811"/>
    <w:rsid w:val="00375C94"/>
    <w:rsid w:val="00375E5F"/>
    <w:rsid w:val="00376773"/>
    <w:rsid w:val="003775D9"/>
    <w:rsid w:val="003802A9"/>
    <w:rsid w:val="00381A72"/>
    <w:rsid w:val="0038394F"/>
    <w:rsid w:val="00384676"/>
    <w:rsid w:val="00384CE5"/>
    <w:rsid w:val="00385CB0"/>
    <w:rsid w:val="00386F95"/>
    <w:rsid w:val="00390857"/>
    <w:rsid w:val="00392070"/>
    <w:rsid w:val="0039239D"/>
    <w:rsid w:val="00393996"/>
    <w:rsid w:val="003946DA"/>
    <w:rsid w:val="003953E9"/>
    <w:rsid w:val="00395E49"/>
    <w:rsid w:val="003A1F8F"/>
    <w:rsid w:val="003A24BC"/>
    <w:rsid w:val="003A337E"/>
    <w:rsid w:val="003A4BF3"/>
    <w:rsid w:val="003A4F86"/>
    <w:rsid w:val="003A5B62"/>
    <w:rsid w:val="003A6E8C"/>
    <w:rsid w:val="003A7993"/>
    <w:rsid w:val="003A7E7D"/>
    <w:rsid w:val="003B1E95"/>
    <w:rsid w:val="003B2EAD"/>
    <w:rsid w:val="003B3768"/>
    <w:rsid w:val="003B420D"/>
    <w:rsid w:val="003B50D0"/>
    <w:rsid w:val="003B56F9"/>
    <w:rsid w:val="003C1597"/>
    <w:rsid w:val="003C1C6D"/>
    <w:rsid w:val="003C26CE"/>
    <w:rsid w:val="003C33FE"/>
    <w:rsid w:val="003C3895"/>
    <w:rsid w:val="003C42FA"/>
    <w:rsid w:val="003C575E"/>
    <w:rsid w:val="003C5B80"/>
    <w:rsid w:val="003C5FDA"/>
    <w:rsid w:val="003C6C16"/>
    <w:rsid w:val="003C76CE"/>
    <w:rsid w:val="003C7D60"/>
    <w:rsid w:val="003D08AC"/>
    <w:rsid w:val="003D0AC2"/>
    <w:rsid w:val="003D35B6"/>
    <w:rsid w:val="003D443A"/>
    <w:rsid w:val="003D5BDE"/>
    <w:rsid w:val="003D620E"/>
    <w:rsid w:val="003D794D"/>
    <w:rsid w:val="003D7D7B"/>
    <w:rsid w:val="003E0B05"/>
    <w:rsid w:val="003E11EB"/>
    <w:rsid w:val="003E14D6"/>
    <w:rsid w:val="003E3058"/>
    <w:rsid w:val="003E631D"/>
    <w:rsid w:val="003E72D3"/>
    <w:rsid w:val="003E76A9"/>
    <w:rsid w:val="003E7DDD"/>
    <w:rsid w:val="003F0809"/>
    <w:rsid w:val="003F38C2"/>
    <w:rsid w:val="003F4048"/>
    <w:rsid w:val="003F5A34"/>
    <w:rsid w:val="003F6A8C"/>
    <w:rsid w:val="003F6EFB"/>
    <w:rsid w:val="003F6FC8"/>
    <w:rsid w:val="003F755C"/>
    <w:rsid w:val="003F7B29"/>
    <w:rsid w:val="003F7D38"/>
    <w:rsid w:val="00400DF8"/>
    <w:rsid w:val="00400EBD"/>
    <w:rsid w:val="00405581"/>
    <w:rsid w:val="00405A3A"/>
    <w:rsid w:val="004064B1"/>
    <w:rsid w:val="00406C4C"/>
    <w:rsid w:val="00406F01"/>
    <w:rsid w:val="0041239A"/>
    <w:rsid w:val="00414087"/>
    <w:rsid w:val="0041480E"/>
    <w:rsid w:val="00414E2E"/>
    <w:rsid w:val="0041523A"/>
    <w:rsid w:val="00415AA8"/>
    <w:rsid w:val="0041686E"/>
    <w:rsid w:val="00416D50"/>
    <w:rsid w:val="00416FD5"/>
    <w:rsid w:val="00417772"/>
    <w:rsid w:val="00420E6A"/>
    <w:rsid w:val="00421442"/>
    <w:rsid w:val="00421CBF"/>
    <w:rsid w:val="00421EE6"/>
    <w:rsid w:val="00422C9E"/>
    <w:rsid w:val="00424566"/>
    <w:rsid w:val="00424BC7"/>
    <w:rsid w:val="00425546"/>
    <w:rsid w:val="00425A9E"/>
    <w:rsid w:val="00426D6B"/>
    <w:rsid w:val="0043021D"/>
    <w:rsid w:val="00430911"/>
    <w:rsid w:val="00430A42"/>
    <w:rsid w:val="00430B0A"/>
    <w:rsid w:val="004314C9"/>
    <w:rsid w:val="004317A6"/>
    <w:rsid w:val="00431AF6"/>
    <w:rsid w:val="00431B0F"/>
    <w:rsid w:val="00431E6C"/>
    <w:rsid w:val="00432DE3"/>
    <w:rsid w:val="004337DD"/>
    <w:rsid w:val="00433C93"/>
    <w:rsid w:val="00433CE7"/>
    <w:rsid w:val="004357BB"/>
    <w:rsid w:val="004358C5"/>
    <w:rsid w:val="0043656E"/>
    <w:rsid w:val="004407FC"/>
    <w:rsid w:val="0044091C"/>
    <w:rsid w:val="004411E7"/>
    <w:rsid w:val="004424A4"/>
    <w:rsid w:val="0044612D"/>
    <w:rsid w:val="00447F45"/>
    <w:rsid w:val="00450716"/>
    <w:rsid w:val="00450B83"/>
    <w:rsid w:val="0045210D"/>
    <w:rsid w:val="004524A0"/>
    <w:rsid w:val="00452738"/>
    <w:rsid w:val="004532F2"/>
    <w:rsid w:val="00455000"/>
    <w:rsid w:val="00455041"/>
    <w:rsid w:val="00456091"/>
    <w:rsid w:val="00456B8D"/>
    <w:rsid w:val="00456F0E"/>
    <w:rsid w:val="00463DE4"/>
    <w:rsid w:val="00466321"/>
    <w:rsid w:val="004669FA"/>
    <w:rsid w:val="00466DA5"/>
    <w:rsid w:val="00466EC8"/>
    <w:rsid w:val="004722A9"/>
    <w:rsid w:val="00472499"/>
    <w:rsid w:val="004744F8"/>
    <w:rsid w:val="00475C77"/>
    <w:rsid w:val="00477135"/>
    <w:rsid w:val="004773B6"/>
    <w:rsid w:val="00477F0A"/>
    <w:rsid w:val="004803C6"/>
    <w:rsid w:val="0048077B"/>
    <w:rsid w:val="00481866"/>
    <w:rsid w:val="004825B4"/>
    <w:rsid w:val="00483B55"/>
    <w:rsid w:val="004846DF"/>
    <w:rsid w:val="00484B9B"/>
    <w:rsid w:val="004855F6"/>
    <w:rsid w:val="00485A0B"/>
    <w:rsid w:val="00485FE0"/>
    <w:rsid w:val="004862B9"/>
    <w:rsid w:val="0048661E"/>
    <w:rsid w:val="00487D35"/>
    <w:rsid w:val="0049316E"/>
    <w:rsid w:val="00493EFF"/>
    <w:rsid w:val="00494670"/>
    <w:rsid w:val="004963BC"/>
    <w:rsid w:val="004966C4"/>
    <w:rsid w:val="00496B04"/>
    <w:rsid w:val="00497FB0"/>
    <w:rsid w:val="004A0844"/>
    <w:rsid w:val="004A3823"/>
    <w:rsid w:val="004A64D3"/>
    <w:rsid w:val="004B00F2"/>
    <w:rsid w:val="004B0178"/>
    <w:rsid w:val="004B025C"/>
    <w:rsid w:val="004B0FE5"/>
    <w:rsid w:val="004B3146"/>
    <w:rsid w:val="004B4DD2"/>
    <w:rsid w:val="004B4FE4"/>
    <w:rsid w:val="004B5CF4"/>
    <w:rsid w:val="004C0ACA"/>
    <w:rsid w:val="004C15CC"/>
    <w:rsid w:val="004C19FC"/>
    <w:rsid w:val="004C1F0A"/>
    <w:rsid w:val="004C2110"/>
    <w:rsid w:val="004C322D"/>
    <w:rsid w:val="004C3836"/>
    <w:rsid w:val="004C3CBA"/>
    <w:rsid w:val="004C43DE"/>
    <w:rsid w:val="004C755D"/>
    <w:rsid w:val="004D2085"/>
    <w:rsid w:val="004D2BEA"/>
    <w:rsid w:val="004D3527"/>
    <w:rsid w:val="004D37F6"/>
    <w:rsid w:val="004D68F3"/>
    <w:rsid w:val="004D7C14"/>
    <w:rsid w:val="004E063C"/>
    <w:rsid w:val="004E29E1"/>
    <w:rsid w:val="004E2B9E"/>
    <w:rsid w:val="004E4807"/>
    <w:rsid w:val="004E6946"/>
    <w:rsid w:val="004E6D52"/>
    <w:rsid w:val="004E7032"/>
    <w:rsid w:val="004E75D1"/>
    <w:rsid w:val="004E7F94"/>
    <w:rsid w:val="004F05B1"/>
    <w:rsid w:val="004F17AD"/>
    <w:rsid w:val="004F188F"/>
    <w:rsid w:val="004F1AD8"/>
    <w:rsid w:val="004F25BD"/>
    <w:rsid w:val="004F2ECE"/>
    <w:rsid w:val="004F6326"/>
    <w:rsid w:val="004F6DF3"/>
    <w:rsid w:val="004F76CE"/>
    <w:rsid w:val="004F7BF1"/>
    <w:rsid w:val="00501D66"/>
    <w:rsid w:val="00502AED"/>
    <w:rsid w:val="005039CB"/>
    <w:rsid w:val="00504C0B"/>
    <w:rsid w:val="00505016"/>
    <w:rsid w:val="0050558F"/>
    <w:rsid w:val="00506286"/>
    <w:rsid w:val="00506E15"/>
    <w:rsid w:val="00510813"/>
    <w:rsid w:val="00510824"/>
    <w:rsid w:val="005114F3"/>
    <w:rsid w:val="00511990"/>
    <w:rsid w:val="00511DE0"/>
    <w:rsid w:val="00512F25"/>
    <w:rsid w:val="00513275"/>
    <w:rsid w:val="00513A2A"/>
    <w:rsid w:val="00514870"/>
    <w:rsid w:val="00514B9B"/>
    <w:rsid w:val="0051516C"/>
    <w:rsid w:val="005167F8"/>
    <w:rsid w:val="00517F02"/>
    <w:rsid w:val="005200E0"/>
    <w:rsid w:val="005206AF"/>
    <w:rsid w:val="005242A8"/>
    <w:rsid w:val="00524303"/>
    <w:rsid w:val="0052445A"/>
    <w:rsid w:val="00525102"/>
    <w:rsid w:val="005258A2"/>
    <w:rsid w:val="005324C8"/>
    <w:rsid w:val="00534E23"/>
    <w:rsid w:val="00536335"/>
    <w:rsid w:val="00537EC8"/>
    <w:rsid w:val="005401AE"/>
    <w:rsid w:val="00541711"/>
    <w:rsid w:val="00542E07"/>
    <w:rsid w:val="00543C68"/>
    <w:rsid w:val="00545424"/>
    <w:rsid w:val="00547CC7"/>
    <w:rsid w:val="00550333"/>
    <w:rsid w:val="0055079C"/>
    <w:rsid w:val="005520F3"/>
    <w:rsid w:val="00554128"/>
    <w:rsid w:val="00554A7B"/>
    <w:rsid w:val="00554DE6"/>
    <w:rsid w:val="00555437"/>
    <w:rsid w:val="0055572C"/>
    <w:rsid w:val="0056077B"/>
    <w:rsid w:val="00560D2F"/>
    <w:rsid w:val="00560D62"/>
    <w:rsid w:val="00560E68"/>
    <w:rsid w:val="0056106A"/>
    <w:rsid w:val="00564226"/>
    <w:rsid w:val="0056492F"/>
    <w:rsid w:val="00564F23"/>
    <w:rsid w:val="005660B8"/>
    <w:rsid w:val="00566711"/>
    <w:rsid w:val="005720AE"/>
    <w:rsid w:val="005725E5"/>
    <w:rsid w:val="00572CA0"/>
    <w:rsid w:val="00574109"/>
    <w:rsid w:val="005760CA"/>
    <w:rsid w:val="00581588"/>
    <w:rsid w:val="005820AB"/>
    <w:rsid w:val="00582AEE"/>
    <w:rsid w:val="00584AB8"/>
    <w:rsid w:val="00584F50"/>
    <w:rsid w:val="00591778"/>
    <w:rsid w:val="00591B42"/>
    <w:rsid w:val="00592F3F"/>
    <w:rsid w:val="00594D77"/>
    <w:rsid w:val="005969E4"/>
    <w:rsid w:val="005A0118"/>
    <w:rsid w:val="005A06B7"/>
    <w:rsid w:val="005A0A0E"/>
    <w:rsid w:val="005A1561"/>
    <w:rsid w:val="005A1759"/>
    <w:rsid w:val="005A28DB"/>
    <w:rsid w:val="005A59E2"/>
    <w:rsid w:val="005A5C6E"/>
    <w:rsid w:val="005A68A7"/>
    <w:rsid w:val="005B02FC"/>
    <w:rsid w:val="005B1A42"/>
    <w:rsid w:val="005B21A6"/>
    <w:rsid w:val="005B423B"/>
    <w:rsid w:val="005B55B5"/>
    <w:rsid w:val="005B78C8"/>
    <w:rsid w:val="005C1085"/>
    <w:rsid w:val="005C1861"/>
    <w:rsid w:val="005C187E"/>
    <w:rsid w:val="005C4D9E"/>
    <w:rsid w:val="005D0677"/>
    <w:rsid w:val="005D0D45"/>
    <w:rsid w:val="005D2665"/>
    <w:rsid w:val="005D36AB"/>
    <w:rsid w:val="005D42C4"/>
    <w:rsid w:val="005D495B"/>
    <w:rsid w:val="005D55CE"/>
    <w:rsid w:val="005D5D7F"/>
    <w:rsid w:val="005D6781"/>
    <w:rsid w:val="005D7631"/>
    <w:rsid w:val="005D7C87"/>
    <w:rsid w:val="005E0341"/>
    <w:rsid w:val="005F110F"/>
    <w:rsid w:val="005F1523"/>
    <w:rsid w:val="005F462E"/>
    <w:rsid w:val="00600E09"/>
    <w:rsid w:val="006010EA"/>
    <w:rsid w:val="0060308E"/>
    <w:rsid w:val="00604716"/>
    <w:rsid w:val="0060507A"/>
    <w:rsid w:val="00606B28"/>
    <w:rsid w:val="0061028A"/>
    <w:rsid w:val="006111CF"/>
    <w:rsid w:val="00612635"/>
    <w:rsid w:val="00612E43"/>
    <w:rsid w:val="006142D6"/>
    <w:rsid w:val="00614A46"/>
    <w:rsid w:val="00615B6D"/>
    <w:rsid w:val="006170ED"/>
    <w:rsid w:val="00617CC3"/>
    <w:rsid w:val="00620239"/>
    <w:rsid w:val="0062104E"/>
    <w:rsid w:val="0062376E"/>
    <w:rsid w:val="00624AFA"/>
    <w:rsid w:val="00625D9E"/>
    <w:rsid w:val="00626391"/>
    <w:rsid w:val="0063239F"/>
    <w:rsid w:val="00635CD4"/>
    <w:rsid w:val="006360A2"/>
    <w:rsid w:val="006374B3"/>
    <w:rsid w:val="006377A6"/>
    <w:rsid w:val="00637A3D"/>
    <w:rsid w:val="00637BD3"/>
    <w:rsid w:val="006411EF"/>
    <w:rsid w:val="0064157D"/>
    <w:rsid w:val="0064191A"/>
    <w:rsid w:val="00642F05"/>
    <w:rsid w:val="00642FAB"/>
    <w:rsid w:val="006459B8"/>
    <w:rsid w:val="006470F6"/>
    <w:rsid w:val="00647FFC"/>
    <w:rsid w:val="00651BB8"/>
    <w:rsid w:val="00652C33"/>
    <w:rsid w:val="00656873"/>
    <w:rsid w:val="00657E5E"/>
    <w:rsid w:val="0066081E"/>
    <w:rsid w:val="006617A9"/>
    <w:rsid w:val="00663714"/>
    <w:rsid w:val="00663A7A"/>
    <w:rsid w:val="00670613"/>
    <w:rsid w:val="0067069D"/>
    <w:rsid w:val="006737CE"/>
    <w:rsid w:val="006748B8"/>
    <w:rsid w:val="006765B7"/>
    <w:rsid w:val="006775C3"/>
    <w:rsid w:val="00677AE0"/>
    <w:rsid w:val="00677F83"/>
    <w:rsid w:val="00680249"/>
    <w:rsid w:val="006809DD"/>
    <w:rsid w:val="00680A71"/>
    <w:rsid w:val="00680E3E"/>
    <w:rsid w:val="00681585"/>
    <w:rsid w:val="00682E31"/>
    <w:rsid w:val="00683295"/>
    <w:rsid w:val="00684753"/>
    <w:rsid w:val="00685635"/>
    <w:rsid w:val="00685F35"/>
    <w:rsid w:val="0068629B"/>
    <w:rsid w:val="0068635C"/>
    <w:rsid w:val="006870C3"/>
    <w:rsid w:val="00690EC4"/>
    <w:rsid w:val="00691947"/>
    <w:rsid w:val="00692742"/>
    <w:rsid w:val="0069290A"/>
    <w:rsid w:val="0069317C"/>
    <w:rsid w:val="00693599"/>
    <w:rsid w:val="00695CC2"/>
    <w:rsid w:val="00696CF7"/>
    <w:rsid w:val="0069759E"/>
    <w:rsid w:val="0069775A"/>
    <w:rsid w:val="00697813"/>
    <w:rsid w:val="006A0800"/>
    <w:rsid w:val="006A219E"/>
    <w:rsid w:val="006A29AB"/>
    <w:rsid w:val="006A2CCE"/>
    <w:rsid w:val="006A30B2"/>
    <w:rsid w:val="006A3964"/>
    <w:rsid w:val="006A3EE8"/>
    <w:rsid w:val="006A50AF"/>
    <w:rsid w:val="006A53F2"/>
    <w:rsid w:val="006A72BF"/>
    <w:rsid w:val="006A73BE"/>
    <w:rsid w:val="006B03F2"/>
    <w:rsid w:val="006B1E59"/>
    <w:rsid w:val="006B2200"/>
    <w:rsid w:val="006B2E03"/>
    <w:rsid w:val="006B37DC"/>
    <w:rsid w:val="006B4F68"/>
    <w:rsid w:val="006B50FA"/>
    <w:rsid w:val="006B6392"/>
    <w:rsid w:val="006B744C"/>
    <w:rsid w:val="006B7857"/>
    <w:rsid w:val="006C04E6"/>
    <w:rsid w:val="006C0592"/>
    <w:rsid w:val="006C0D95"/>
    <w:rsid w:val="006C188C"/>
    <w:rsid w:val="006C272E"/>
    <w:rsid w:val="006C50D6"/>
    <w:rsid w:val="006C5479"/>
    <w:rsid w:val="006C5915"/>
    <w:rsid w:val="006C67A2"/>
    <w:rsid w:val="006D0F25"/>
    <w:rsid w:val="006D13B5"/>
    <w:rsid w:val="006D1717"/>
    <w:rsid w:val="006D2176"/>
    <w:rsid w:val="006D6A3F"/>
    <w:rsid w:val="006D74E8"/>
    <w:rsid w:val="006E12FF"/>
    <w:rsid w:val="006E1400"/>
    <w:rsid w:val="006E1826"/>
    <w:rsid w:val="006E2E40"/>
    <w:rsid w:val="006E2EF3"/>
    <w:rsid w:val="006E35AA"/>
    <w:rsid w:val="006E3E30"/>
    <w:rsid w:val="006E44C7"/>
    <w:rsid w:val="006E607E"/>
    <w:rsid w:val="006E7447"/>
    <w:rsid w:val="006E7AC3"/>
    <w:rsid w:val="006F0370"/>
    <w:rsid w:val="006F243B"/>
    <w:rsid w:val="006F2590"/>
    <w:rsid w:val="006F2A74"/>
    <w:rsid w:val="006F3B3B"/>
    <w:rsid w:val="006F54A3"/>
    <w:rsid w:val="006F623C"/>
    <w:rsid w:val="006F63A5"/>
    <w:rsid w:val="00701574"/>
    <w:rsid w:val="0070356B"/>
    <w:rsid w:val="00703953"/>
    <w:rsid w:val="00704522"/>
    <w:rsid w:val="00705151"/>
    <w:rsid w:val="00705178"/>
    <w:rsid w:val="00705D57"/>
    <w:rsid w:val="007067C7"/>
    <w:rsid w:val="00706C5D"/>
    <w:rsid w:val="007073DB"/>
    <w:rsid w:val="00711472"/>
    <w:rsid w:val="00712BF9"/>
    <w:rsid w:val="00714363"/>
    <w:rsid w:val="007146CC"/>
    <w:rsid w:val="007158BE"/>
    <w:rsid w:val="007168E8"/>
    <w:rsid w:val="00716A84"/>
    <w:rsid w:val="0071748B"/>
    <w:rsid w:val="00720495"/>
    <w:rsid w:val="007206F4"/>
    <w:rsid w:val="00720F58"/>
    <w:rsid w:val="00721952"/>
    <w:rsid w:val="00721C03"/>
    <w:rsid w:val="00722D4D"/>
    <w:rsid w:val="00725FB3"/>
    <w:rsid w:val="00725FF4"/>
    <w:rsid w:val="00732922"/>
    <w:rsid w:val="00733D40"/>
    <w:rsid w:val="00734137"/>
    <w:rsid w:val="0073462E"/>
    <w:rsid w:val="007354CE"/>
    <w:rsid w:val="007360FB"/>
    <w:rsid w:val="007363D7"/>
    <w:rsid w:val="00736D35"/>
    <w:rsid w:val="00740318"/>
    <w:rsid w:val="00741882"/>
    <w:rsid w:val="00741917"/>
    <w:rsid w:val="0074267A"/>
    <w:rsid w:val="007426E0"/>
    <w:rsid w:val="007431AB"/>
    <w:rsid w:val="00743324"/>
    <w:rsid w:val="0074399F"/>
    <w:rsid w:val="0074499A"/>
    <w:rsid w:val="00745480"/>
    <w:rsid w:val="007461E4"/>
    <w:rsid w:val="00747D1F"/>
    <w:rsid w:val="00747FCF"/>
    <w:rsid w:val="0075162E"/>
    <w:rsid w:val="00752395"/>
    <w:rsid w:val="0075283D"/>
    <w:rsid w:val="00752C59"/>
    <w:rsid w:val="007535B8"/>
    <w:rsid w:val="00754034"/>
    <w:rsid w:val="00754B9E"/>
    <w:rsid w:val="00755147"/>
    <w:rsid w:val="00756556"/>
    <w:rsid w:val="00761232"/>
    <w:rsid w:val="00761533"/>
    <w:rsid w:val="007618C4"/>
    <w:rsid w:val="00762DAB"/>
    <w:rsid w:val="007640FE"/>
    <w:rsid w:val="00764DF2"/>
    <w:rsid w:val="00764FF3"/>
    <w:rsid w:val="00767980"/>
    <w:rsid w:val="00770B19"/>
    <w:rsid w:val="00772572"/>
    <w:rsid w:val="0077463F"/>
    <w:rsid w:val="007764A3"/>
    <w:rsid w:val="00776656"/>
    <w:rsid w:val="00780350"/>
    <w:rsid w:val="0078036F"/>
    <w:rsid w:val="00780CBD"/>
    <w:rsid w:val="007836EA"/>
    <w:rsid w:val="00783FCD"/>
    <w:rsid w:val="00784B52"/>
    <w:rsid w:val="00784CDA"/>
    <w:rsid w:val="00785680"/>
    <w:rsid w:val="00785A72"/>
    <w:rsid w:val="00786A36"/>
    <w:rsid w:val="0078725A"/>
    <w:rsid w:val="0079013C"/>
    <w:rsid w:val="007901A7"/>
    <w:rsid w:val="0079035D"/>
    <w:rsid w:val="007906C4"/>
    <w:rsid w:val="00790BDE"/>
    <w:rsid w:val="0079173D"/>
    <w:rsid w:val="00793517"/>
    <w:rsid w:val="00793AB4"/>
    <w:rsid w:val="007940B6"/>
    <w:rsid w:val="007940EA"/>
    <w:rsid w:val="00794C69"/>
    <w:rsid w:val="00794E84"/>
    <w:rsid w:val="0079539C"/>
    <w:rsid w:val="0079557F"/>
    <w:rsid w:val="007967E8"/>
    <w:rsid w:val="007975A6"/>
    <w:rsid w:val="00797D0D"/>
    <w:rsid w:val="00797FEC"/>
    <w:rsid w:val="007A19F7"/>
    <w:rsid w:val="007A2170"/>
    <w:rsid w:val="007A22BF"/>
    <w:rsid w:val="007A3323"/>
    <w:rsid w:val="007A594F"/>
    <w:rsid w:val="007A5C23"/>
    <w:rsid w:val="007A6091"/>
    <w:rsid w:val="007B1B8B"/>
    <w:rsid w:val="007B2075"/>
    <w:rsid w:val="007B28A3"/>
    <w:rsid w:val="007B3D49"/>
    <w:rsid w:val="007B41E8"/>
    <w:rsid w:val="007B45F9"/>
    <w:rsid w:val="007B4921"/>
    <w:rsid w:val="007B5A85"/>
    <w:rsid w:val="007B6019"/>
    <w:rsid w:val="007B6B89"/>
    <w:rsid w:val="007B72B8"/>
    <w:rsid w:val="007B7360"/>
    <w:rsid w:val="007B7775"/>
    <w:rsid w:val="007B7A58"/>
    <w:rsid w:val="007C1ADB"/>
    <w:rsid w:val="007C21B5"/>
    <w:rsid w:val="007C24A0"/>
    <w:rsid w:val="007C297C"/>
    <w:rsid w:val="007C3BCC"/>
    <w:rsid w:val="007C504B"/>
    <w:rsid w:val="007C6B9A"/>
    <w:rsid w:val="007C7BFC"/>
    <w:rsid w:val="007D09CA"/>
    <w:rsid w:val="007D1C4E"/>
    <w:rsid w:val="007D32C6"/>
    <w:rsid w:val="007D4BAA"/>
    <w:rsid w:val="007D6F62"/>
    <w:rsid w:val="007E32C7"/>
    <w:rsid w:val="007E34F1"/>
    <w:rsid w:val="007E40F5"/>
    <w:rsid w:val="007E4BD2"/>
    <w:rsid w:val="007E4E19"/>
    <w:rsid w:val="007E4E98"/>
    <w:rsid w:val="007E5368"/>
    <w:rsid w:val="007F0FA5"/>
    <w:rsid w:val="007F16BA"/>
    <w:rsid w:val="007F1BC5"/>
    <w:rsid w:val="007F1F30"/>
    <w:rsid w:val="007F4C85"/>
    <w:rsid w:val="007F56ED"/>
    <w:rsid w:val="007F7962"/>
    <w:rsid w:val="00801393"/>
    <w:rsid w:val="00802F88"/>
    <w:rsid w:val="0080358E"/>
    <w:rsid w:val="0080420E"/>
    <w:rsid w:val="0080637C"/>
    <w:rsid w:val="0080711D"/>
    <w:rsid w:val="00807DBA"/>
    <w:rsid w:val="008100D2"/>
    <w:rsid w:val="00810E9D"/>
    <w:rsid w:val="00811BEE"/>
    <w:rsid w:val="0081293E"/>
    <w:rsid w:val="00812B3D"/>
    <w:rsid w:val="008148C9"/>
    <w:rsid w:val="00814CD3"/>
    <w:rsid w:val="00815415"/>
    <w:rsid w:val="00815465"/>
    <w:rsid w:val="00817E9A"/>
    <w:rsid w:val="0082076A"/>
    <w:rsid w:val="00822217"/>
    <w:rsid w:val="00824751"/>
    <w:rsid w:val="00824E9C"/>
    <w:rsid w:val="008306BD"/>
    <w:rsid w:val="00830D3A"/>
    <w:rsid w:val="00831A80"/>
    <w:rsid w:val="00832892"/>
    <w:rsid w:val="00833743"/>
    <w:rsid w:val="00833AD0"/>
    <w:rsid w:val="008340A4"/>
    <w:rsid w:val="00834DF3"/>
    <w:rsid w:val="00835FE2"/>
    <w:rsid w:val="008367B1"/>
    <w:rsid w:val="00841E32"/>
    <w:rsid w:val="00842C02"/>
    <w:rsid w:val="008430A8"/>
    <w:rsid w:val="008430D4"/>
    <w:rsid w:val="00844E5C"/>
    <w:rsid w:val="00850E79"/>
    <w:rsid w:val="0085111C"/>
    <w:rsid w:val="00853144"/>
    <w:rsid w:val="00853C15"/>
    <w:rsid w:val="00855059"/>
    <w:rsid w:val="00855A0E"/>
    <w:rsid w:val="008574C6"/>
    <w:rsid w:val="00860D81"/>
    <w:rsid w:val="00861621"/>
    <w:rsid w:val="008619FA"/>
    <w:rsid w:val="00861A0E"/>
    <w:rsid w:val="00863B52"/>
    <w:rsid w:val="00863BF5"/>
    <w:rsid w:val="00864A2E"/>
    <w:rsid w:val="00865CE6"/>
    <w:rsid w:val="008662E9"/>
    <w:rsid w:val="008667A2"/>
    <w:rsid w:val="00870CEA"/>
    <w:rsid w:val="0087135F"/>
    <w:rsid w:val="00871927"/>
    <w:rsid w:val="0087292D"/>
    <w:rsid w:val="00872D94"/>
    <w:rsid w:val="00873A53"/>
    <w:rsid w:val="00873A90"/>
    <w:rsid w:val="00875016"/>
    <w:rsid w:val="00875FC8"/>
    <w:rsid w:val="00876DED"/>
    <w:rsid w:val="00880364"/>
    <w:rsid w:val="00881C7C"/>
    <w:rsid w:val="0088272F"/>
    <w:rsid w:val="00882FB8"/>
    <w:rsid w:val="00884375"/>
    <w:rsid w:val="00884F30"/>
    <w:rsid w:val="00885034"/>
    <w:rsid w:val="00886046"/>
    <w:rsid w:val="00886A60"/>
    <w:rsid w:val="00886CBA"/>
    <w:rsid w:val="0088776A"/>
    <w:rsid w:val="00887CAB"/>
    <w:rsid w:val="008900A3"/>
    <w:rsid w:val="00891592"/>
    <w:rsid w:val="008919FE"/>
    <w:rsid w:val="00891E9E"/>
    <w:rsid w:val="008923CB"/>
    <w:rsid w:val="00895153"/>
    <w:rsid w:val="00895583"/>
    <w:rsid w:val="00897D22"/>
    <w:rsid w:val="008A0B1B"/>
    <w:rsid w:val="008A0BFF"/>
    <w:rsid w:val="008A1091"/>
    <w:rsid w:val="008A1E17"/>
    <w:rsid w:val="008A1E71"/>
    <w:rsid w:val="008A23B0"/>
    <w:rsid w:val="008A2F68"/>
    <w:rsid w:val="008A3A0B"/>
    <w:rsid w:val="008A6190"/>
    <w:rsid w:val="008A6ABA"/>
    <w:rsid w:val="008A6BEC"/>
    <w:rsid w:val="008B1BB2"/>
    <w:rsid w:val="008B3C21"/>
    <w:rsid w:val="008B3DEF"/>
    <w:rsid w:val="008B4FA6"/>
    <w:rsid w:val="008B5282"/>
    <w:rsid w:val="008B53EE"/>
    <w:rsid w:val="008B5B5B"/>
    <w:rsid w:val="008B731C"/>
    <w:rsid w:val="008B7612"/>
    <w:rsid w:val="008B7C17"/>
    <w:rsid w:val="008C0A99"/>
    <w:rsid w:val="008C2D01"/>
    <w:rsid w:val="008C40E6"/>
    <w:rsid w:val="008C427C"/>
    <w:rsid w:val="008C46DF"/>
    <w:rsid w:val="008C7ECD"/>
    <w:rsid w:val="008D0973"/>
    <w:rsid w:val="008D0F7A"/>
    <w:rsid w:val="008D162A"/>
    <w:rsid w:val="008D22E2"/>
    <w:rsid w:val="008D2A17"/>
    <w:rsid w:val="008D417B"/>
    <w:rsid w:val="008D44F6"/>
    <w:rsid w:val="008D60E7"/>
    <w:rsid w:val="008D68E4"/>
    <w:rsid w:val="008E01A2"/>
    <w:rsid w:val="008E0506"/>
    <w:rsid w:val="008E0CFF"/>
    <w:rsid w:val="008E46DB"/>
    <w:rsid w:val="008E5D6B"/>
    <w:rsid w:val="008E7328"/>
    <w:rsid w:val="008E73D1"/>
    <w:rsid w:val="008E761E"/>
    <w:rsid w:val="008E76F0"/>
    <w:rsid w:val="008E7B11"/>
    <w:rsid w:val="008F15FE"/>
    <w:rsid w:val="008F2D29"/>
    <w:rsid w:val="008F2EDF"/>
    <w:rsid w:val="008F34D9"/>
    <w:rsid w:val="008F405A"/>
    <w:rsid w:val="008F4086"/>
    <w:rsid w:val="008F5187"/>
    <w:rsid w:val="008F60D8"/>
    <w:rsid w:val="008F7006"/>
    <w:rsid w:val="00900065"/>
    <w:rsid w:val="009024BF"/>
    <w:rsid w:val="00902727"/>
    <w:rsid w:val="0090312B"/>
    <w:rsid w:val="0090398A"/>
    <w:rsid w:val="009045C5"/>
    <w:rsid w:val="00904C3A"/>
    <w:rsid w:val="00913577"/>
    <w:rsid w:val="009142B1"/>
    <w:rsid w:val="00914DE7"/>
    <w:rsid w:val="0091736D"/>
    <w:rsid w:val="00920CE3"/>
    <w:rsid w:val="00921E3A"/>
    <w:rsid w:val="00922196"/>
    <w:rsid w:val="00923F94"/>
    <w:rsid w:val="0092533C"/>
    <w:rsid w:val="0092581E"/>
    <w:rsid w:val="00925BF9"/>
    <w:rsid w:val="00926A0F"/>
    <w:rsid w:val="0093037A"/>
    <w:rsid w:val="00931A50"/>
    <w:rsid w:val="00931DF4"/>
    <w:rsid w:val="00933D40"/>
    <w:rsid w:val="00933EE7"/>
    <w:rsid w:val="00937AFE"/>
    <w:rsid w:val="0094154D"/>
    <w:rsid w:val="00942826"/>
    <w:rsid w:val="00944488"/>
    <w:rsid w:val="00944987"/>
    <w:rsid w:val="0094536D"/>
    <w:rsid w:val="00946DBA"/>
    <w:rsid w:val="00947D1D"/>
    <w:rsid w:val="00947D96"/>
    <w:rsid w:val="0095155F"/>
    <w:rsid w:val="00951B8E"/>
    <w:rsid w:val="0095403C"/>
    <w:rsid w:val="00954429"/>
    <w:rsid w:val="00954E5C"/>
    <w:rsid w:val="00955CD4"/>
    <w:rsid w:val="009563CE"/>
    <w:rsid w:val="00957180"/>
    <w:rsid w:val="00961246"/>
    <w:rsid w:val="00963260"/>
    <w:rsid w:val="00963659"/>
    <w:rsid w:val="009658BE"/>
    <w:rsid w:val="00966674"/>
    <w:rsid w:val="00967A12"/>
    <w:rsid w:val="00970FA8"/>
    <w:rsid w:val="0097274D"/>
    <w:rsid w:val="00973F4A"/>
    <w:rsid w:val="0097550A"/>
    <w:rsid w:val="00976328"/>
    <w:rsid w:val="0097680D"/>
    <w:rsid w:val="00977F86"/>
    <w:rsid w:val="00980395"/>
    <w:rsid w:val="00980ACF"/>
    <w:rsid w:val="00981752"/>
    <w:rsid w:val="00981C1F"/>
    <w:rsid w:val="00982438"/>
    <w:rsid w:val="00983C7E"/>
    <w:rsid w:val="0098404C"/>
    <w:rsid w:val="0098453B"/>
    <w:rsid w:val="00985283"/>
    <w:rsid w:val="0099202B"/>
    <w:rsid w:val="009924CA"/>
    <w:rsid w:val="009956B5"/>
    <w:rsid w:val="00995715"/>
    <w:rsid w:val="00995992"/>
    <w:rsid w:val="00996788"/>
    <w:rsid w:val="0099747B"/>
    <w:rsid w:val="009A0390"/>
    <w:rsid w:val="009A03E5"/>
    <w:rsid w:val="009A04B6"/>
    <w:rsid w:val="009A0CCD"/>
    <w:rsid w:val="009A0F3B"/>
    <w:rsid w:val="009A1BA2"/>
    <w:rsid w:val="009A1BB4"/>
    <w:rsid w:val="009A1FDD"/>
    <w:rsid w:val="009A22E2"/>
    <w:rsid w:val="009A2628"/>
    <w:rsid w:val="009A2C3B"/>
    <w:rsid w:val="009A3200"/>
    <w:rsid w:val="009A327F"/>
    <w:rsid w:val="009A458C"/>
    <w:rsid w:val="009A4DAB"/>
    <w:rsid w:val="009A6307"/>
    <w:rsid w:val="009A6535"/>
    <w:rsid w:val="009B0897"/>
    <w:rsid w:val="009B0BBE"/>
    <w:rsid w:val="009B104C"/>
    <w:rsid w:val="009B29B6"/>
    <w:rsid w:val="009B7BD9"/>
    <w:rsid w:val="009C10CD"/>
    <w:rsid w:val="009C1B69"/>
    <w:rsid w:val="009C4920"/>
    <w:rsid w:val="009C5F0B"/>
    <w:rsid w:val="009C79DA"/>
    <w:rsid w:val="009C7DD5"/>
    <w:rsid w:val="009D0B56"/>
    <w:rsid w:val="009D1419"/>
    <w:rsid w:val="009D3511"/>
    <w:rsid w:val="009D3B4D"/>
    <w:rsid w:val="009D42F2"/>
    <w:rsid w:val="009D4A77"/>
    <w:rsid w:val="009D651B"/>
    <w:rsid w:val="009D7458"/>
    <w:rsid w:val="009D7E44"/>
    <w:rsid w:val="009E01AC"/>
    <w:rsid w:val="009E12E7"/>
    <w:rsid w:val="009E1BCE"/>
    <w:rsid w:val="009E1F9B"/>
    <w:rsid w:val="009E21E4"/>
    <w:rsid w:val="009E2248"/>
    <w:rsid w:val="009E227D"/>
    <w:rsid w:val="009E4472"/>
    <w:rsid w:val="009E5019"/>
    <w:rsid w:val="009E5B99"/>
    <w:rsid w:val="009E61F6"/>
    <w:rsid w:val="009E6E55"/>
    <w:rsid w:val="009F293B"/>
    <w:rsid w:val="009F3C7D"/>
    <w:rsid w:val="009F4A7D"/>
    <w:rsid w:val="009F5066"/>
    <w:rsid w:val="009F6A78"/>
    <w:rsid w:val="009F6D31"/>
    <w:rsid w:val="00A0056C"/>
    <w:rsid w:val="00A022A7"/>
    <w:rsid w:val="00A0386F"/>
    <w:rsid w:val="00A04229"/>
    <w:rsid w:val="00A047B9"/>
    <w:rsid w:val="00A04F1B"/>
    <w:rsid w:val="00A0501B"/>
    <w:rsid w:val="00A075EB"/>
    <w:rsid w:val="00A10BB5"/>
    <w:rsid w:val="00A1164A"/>
    <w:rsid w:val="00A119C1"/>
    <w:rsid w:val="00A13C1E"/>
    <w:rsid w:val="00A13D1D"/>
    <w:rsid w:val="00A14947"/>
    <w:rsid w:val="00A14CBD"/>
    <w:rsid w:val="00A1635C"/>
    <w:rsid w:val="00A165B2"/>
    <w:rsid w:val="00A16EAD"/>
    <w:rsid w:val="00A200A7"/>
    <w:rsid w:val="00A2023E"/>
    <w:rsid w:val="00A2057C"/>
    <w:rsid w:val="00A22117"/>
    <w:rsid w:val="00A22A56"/>
    <w:rsid w:val="00A26192"/>
    <w:rsid w:val="00A264D4"/>
    <w:rsid w:val="00A26F1B"/>
    <w:rsid w:val="00A27213"/>
    <w:rsid w:val="00A27482"/>
    <w:rsid w:val="00A306FA"/>
    <w:rsid w:val="00A30DF5"/>
    <w:rsid w:val="00A31D2E"/>
    <w:rsid w:val="00A32A83"/>
    <w:rsid w:val="00A33A3C"/>
    <w:rsid w:val="00A33E00"/>
    <w:rsid w:val="00A34010"/>
    <w:rsid w:val="00A35410"/>
    <w:rsid w:val="00A35725"/>
    <w:rsid w:val="00A36026"/>
    <w:rsid w:val="00A36716"/>
    <w:rsid w:val="00A368DB"/>
    <w:rsid w:val="00A4024B"/>
    <w:rsid w:val="00A40610"/>
    <w:rsid w:val="00A40DE9"/>
    <w:rsid w:val="00A42275"/>
    <w:rsid w:val="00A423AA"/>
    <w:rsid w:val="00A436C6"/>
    <w:rsid w:val="00A44177"/>
    <w:rsid w:val="00A44F1E"/>
    <w:rsid w:val="00A45C63"/>
    <w:rsid w:val="00A4653F"/>
    <w:rsid w:val="00A475E1"/>
    <w:rsid w:val="00A507BF"/>
    <w:rsid w:val="00A51945"/>
    <w:rsid w:val="00A51EA5"/>
    <w:rsid w:val="00A53EC6"/>
    <w:rsid w:val="00A55353"/>
    <w:rsid w:val="00A55747"/>
    <w:rsid w:val="00A55C0F"/>
    <w:rsid w:val="00A55E27"/>
    <w:rsid w:val="00A57317"/>
    <w:rsid w:val="00A6453D"/>
    <w:rsid w:val="00A7231D"/>
    <w:rsid w:val="00A72A63"/>
    <w:rsid w:val="00A74D0C"/>
    <w:rsid w:val="00A75531"/>
    <w:rsid w:val="00A761EC"/>
    <w:rsid w:val="00A76D4B"/>
    <w:rsid w:val="00A81EB8"/>
    <w:rsid w:val="00A8262B"/>
    <w:rsid w:val="00A83E96"/>
    <w:rsid w:val="00A85A86"/>
    <w:rsid w:val="00A86828"/>
    <w:rsid w:val="00A869C8"/>
    <w:rsid w:val="00A8713F"/>
    <w:rsid w:val="00A87F97"/>
    <w:rsid w:val="00A90BA1"/>
    <w:rsid w:val="00A9130F"/>
    <w:rsid w:val="00A91BE7"/>
    <w:rsid w:val="00A9248D"/>
    <w:rsid w:val="00A9326E"/>
    <w:rsid w:val="00A9422D"/>
    <w:rsid w:val="00A96579"/>
    <w:rsid w:val="00A97A9A"/>
    <w:rsid w:val="00AA0671"/>
    <w:rsid w:val="00AA2531"/>
    <w:rsid w:val="00AA5839"/>
    <w:rsid w:val="00AA5D11"/>
    <w:rsid w:val="00AA6BA9"/>
    <w:rsid w:val="00AA6BB7"/>
    <w:rsid w:val="00AA6EC8"/>
    <w:rsid w:val="00AA7120"/>
    <w:rsid w:val="00AA7D25"/>
    <w:rsid w:val="00AB1372"/>
    <w:rsid w:val="00AB1E09"/>
    <w:rsid w:val="00AB5330"/>
    <w:rsid w:val="00AB5921"/>
    <w:rsid w:val="00AB5B21"/>
    <w:rsid w:val="00AB7747"/>
    <w:rsid w:val="00AC0133"/>
    <w:rsid w:val="00AC0392"/>
    <w:rsid w:val="00AC14CE"/>
    <w:rsid w:val="00AC297F"/>
    <w:rsid w:val="00AC2A56"/>
    <w:rsid w:val="00AC2C1B"/>
    <w:rsid w:val="00AC71BD"/>
    <w:rsid w:val="00AC74FA"/>
    <w:rsid w:val="00AC7534"/>
    <w:rsid w:val="00AC7DA8"/>
    <w:rsid w:val="00AD00A8"/>
    <w:rsid w:val="00AD055E"/>
    <w:rsid w:val="00AD0EB9"/>
    <w:rsid w:val="00AD1AFE"/>
    <w:rsid w:val="00AD2891"/>
    <w:rsid w:val="00AD4331"/>
    <w:rsid w:val="00AD45A8"/>
    <w:rsid w:val="00AD47A7"/>
    <w:rsid w:val="00AD480C"/>
    <w:rsid w:val="00AD566C"/>
    <w:rsid w:val="00AD5FD1"/>
    <w:rsid w:val="00AD7ACB"/>
    <w:rsid w:val="00AE028C"/>
    <w:rsid w:val="00AE1A69"/>
    <w:rsid w:val="00AE1D07"/>
    <w:rsid w:val="00AE240C"/>
    <w:rsid w:val="00AE4E87"/>
    <w:rsid w:val="00AE54A2"/>
    <w:rsid w:val="00AE5902"/>
    <w:rsid w:val="00AE5E69"/>
    <w:rsid w:val="00AE61A4"/>
    <w:rsid w:val="00AE6962"/>
    <w:rsid w:val="00AE73D2"/>
    <w:rsid w:val="00AE7589"/>
    <w:rsid w:val="00AF0CBF"/>
    <w:rsid w:val="00AF257F"/>
    <w:rsid w:val="00AF26DF"/>
    <w:rsid w:val="00AF2AC9"/>
    <w:rsid w:val="00AF33CF"/>
    <w:rsid w:val="00AF4A1B"/>
    <w:rsid w:val="00AF4D50"/>
    <w:rsid w:val="00AF5432"/>
    <w:rsid w:val="00AF6179"/>
    <w:rsid w:val="00AF74B4"/>
    <w:rsid w:val="00AF7600"/>
    <w:rsid w:val="00AF774F"/>
    <w:rsid w:val="00AF7A0B"/>
    <w:rsid w:val="00B015D1"/>
    <w:rsid w:val="00B10E1C"/>
    <w:rsid w:val="00B12565"/>
    <w:rsid w:val="00B1295A"/>
    <w:rsid w:val="00B14CAF"/>
    <w:rsid w:val="00B162A1"/>
    <w:rsid w:val="00B16935"/>
    <w:rsid w:val="00B2039B"/>
    <w:rsid w:val="00B20A45"/>
    <w:rsid w:val="00B20B6F"/>
    <w:rsid w:val="00B21271"/>
    <w:rsid w:val="00B224B8"/>
    <w:rsid w:val="00B22C5C"/>
    <w:rsid w:val="00B24331"/>
    <w:rsid w:val="00B24F30"/>
    <w:rsid w:val="00B25006"/>
    <w:rsid w:val="00B25199"/>
    <w:rsid w:val="00B255A3"/>
    <w:rsid w:val="00B263FA"/>
    <w:rsid w:val="00B269F9"/>
    <w:rsid w:val="00B26D2E"/>
    <w:rsid w:val="00B306DF"/>
    <w:rsid w:val="00B31665"/>
    <w:rsid w:val="00B31ABF"/>
    <w:rsid w:val="00B33149"/>
    <w:rsid w:val="00B33BE3"/>
    <w:rsid w:val="00B3544A"/>
    <w:rsid w:val="00B37D30"/>
    <w:rsid w:val="00B4211D"/>
    <w:rsid w:val="00B4285B"/>
    <w:rsid w:val="00B42B0F"/>
    <w:rsid w:val="00B42C11"/>
    <w:rsid w:val="00B437FC"/>
    <w:rsid w:val="00B450AC"/>
    <w:rsid w:val="00B4707E"/>
    <w:rsid w:val="00B50359"/>
    <w:rsid w:val="00B503F4"/>
    <w:rsid w:val="00B52E97"/>
    <w:rsid w:val="00B53B5D"/>
    <w:rsid w:val="00B568AE"/>
    <w:rsid w:val="00B6041B"/>
    <w:rsid w:val="00B6055E"/>
    <w:rsid w:val="00B607EA"/>
    <w:rsid w:val="00B61AE4"/>
    <w:rsid w:val="00B61C53"/>
    <w:rsid w:val="00B626B7"/>
    <w:rsid w:val="00B62B35"/>
    <w:rsid w:val="00B6317D"/>
    <w:rsid w:val="00B640EB"/>
    <w:rsid w:val="00B6509B"/>
    <w:rsid w:val="00B65151"/>
    <w:rsid w:val="00B666F3"/>
    <w:rsid w:val="00B7002E"/>
    <w:rsid w:val="00B705DC"/>
    <w:rsid w:val="00B70B4D"/>
    <w:rsid w:val="00B70FBE"/>
    <w:rsid w:val="00B71368"/>
    <w:rsid w:val="00B736D3"/>
    <w:rsid w:val="00B74829"/>
    <w:rsid w:val="00B75C83"/>
    <w:rsid w:val="00B7723F"/>
    <w:rsid w:val="00B80534"/>
    <w:rsid w:val="00B83194"/>
    <w:rsid w:val="00B83A14"/>
    <w:rsid w:val="00B8433C"/>
    <w:rsid w:val="00B86799"/>
    <w:rsid w:val="00B871F3"/>
    <w:rsid w:val="00B87491"/>
    <w:rsid w:val="00B91ADB"/>
    <w:rsid w:val="00B92F2E"/>
    <w:rsid w:val="00B9479E"/>
    <w:rsid w:val="00B968E6"/>
    <w:rsid w:val="00B97A70"/>
    <w:rsid w:val="00BA217A"/>
    <w:rsid w:val="00BA2711"/>
    <w:rsid w:val="00BA29E9"/>
    <w:rsid w:val="00BA4938"/>
    <w:rsid w:val="00BA6D6E"/>
    <w:rsid w:val="00BA6FCB"/>
    <w:rsid w:val="00BA7142"/>
    <w:rsid w:val="00BB1088"/>
    <w:rsid w:val="00BB14B6"/>
    <w:rsid w:val="00BB237C"/>
    <w:rsid w:val="00BB41A3"/>
    <w:rsid w:val="00BB479B"/>
    <w:rsid w:val="00BB51C3"/>
    <w:rsid w:val="00BC061E"/>
    <w:rsid w:val="00BC13E0"/>
    <w:rsid w:val="00BC1961"/>
    <w:rsid w:val="00BC32DC"/>
    <w:rsid w:val="00BC35B6"/>
    <w:rsid w:val="00BC6926"/>
    <w:rsid w:val="00BC6A7A"/>
    <w:rsid w:val="00BC7750"/>
    <w:rsid w:val="00BC7EA0"/>
    <w:rsid w:val="00BD065C"/>
    <w:rsid w:val="00BD0C10"/>
    <w:rsid w:val="00BD148D"/>
    <w:rsid w:val="00BD1B51"/>
    <w:rsid w:val="00BD4596"/>
    <w:rsid w:val="00BD4602"/>
    <w:rsid w:val="00BD5889"/>
    <w:rsid w:val="00BD5ADF"/>
    <w:rsid w:val="00BD72D3"/>
    <w:rsid w:val="00BE0740"/>
    <w:rsid w:val="00BE0A10"/>
    <w:rsid w:val="00BE1405"/>
    <w:rsid w:val="00BE312D"/>
    <w:rsid w:val="00BE4F5C"/>
    <w:rsid w:val="00BE66C4"/>
    <w:rsid w:val="00BE6FF8"/>
    <w:rsid w:val="00BE7EA9"/>
    <w:rsid w:val="00BF0813"/>
    <w:rsid w:val="00BF0C9C"/>
    <w:rsid w:val="00BF1C20"/>
    <w:rsid w:val="00BF1CF3"/>
    <w:rsid w:val="00BF2B90"/>
    <w:rsid w:val="00BF3A1A"/>
    <w:rsid w:val="00BF41AB"/>
    <w:rsid w:val="00BF49E7"/>
    <w:rsid w:val="00BF6071"/>
    <w:rsid w:val="00BF60ED"/>
    <w:rsid w:val="00C000C2"/>
    <w:rsid w:val="00C00198"/>
    <w:rsid w:val="00C02EA8"/>
    <w:rsid w:val="00C050DE"/>
    <w:rsid w:val="00C0638C"/>
    <w:rsid w:val="00C10244"/>
    <w:rsid w:val="00C102C9"/>
    <w:rsid w:val="00C10578"/>
    <w:rsid w:val="00C117AA"/>
    <w:rsid w:val="00C12367"/>
    <w:rsid w:val="00C1259B"/>
    <w:rsid w:val="00C12A77"/>
    <w:rsid w:val="00C135BC"/>
    <w:rsid w:val="00C15C95"/>
    <w:rsid w:val="00C16D0A"/>
    <w:rsid w:val="00C1798F"/>
    <w:rsid w:val="00C2098D"/>
    <w:rsid w:val="00C21139"/>
    <w:rsid w:val="00C21D5F"/>
    <w:rsid w:val="00C242D2"/>
    <w:rsid w:val="00C2596A"/>
    <w:rsid w:val="00C25D9B"/>
    <w:rsid w:val="00C27537"/>
    <w:rsid w:val="00C27A3D"/>
    <w:rsid w:val="00C309C4"/>
    <w:rsid w:val="00C313FE"/>
    <w:rsid w:val="00C328FE"/>
    <w:rsid w:val="00C33507"/>
    <w:rsid w:val="00C33EA9"/>
    <w:rsid w:val="00C34269"/>
    <w:rsid w:val="00C354E6"/>
    <w:rsid w:val="00C35A86"/>
    <w:rsid w:val="00C35C74"/>
    <w:rsid w:val="00C403AC"/>
    <w:rsid w:val="00C40832"/>
    <w:rsid w:val="00C40869"/>
    <w:rsid w:val="00C40B8D"/>
    <w:rsid w:val="00C40FCD"/>
    <w:rsid w:val="00C42649"/>
    <w:rsid w:val="00C43FCF"/>
    <w:rsid w:val="00C4409D"/>
    <w:rsid w:val="00C442A5"/>
    <w:rsid w:val="00C44E72"/>
    <w:rsid w:val="00C456C0"/>
    <w:rsid w:val="00C45A06"/>
    <w:rsid w:val="00C46EDD"/>
    <w:rsid w:val="00C47B01"/>
    <w:rsid w:val="00C47E5B"/>
    <w:rsid w:val="00C519CB"/>
    <w:rsid w:val="00C523EB"/>
    <w:rsid w:val="00C528DF"/>
    <w:rsid w:val="00C52A45"/>
    <w:rsid w:val="00C52C1E"/>
    <w:rsid w:val="00C5455A"/>
    <w:rsid w:val="00C546B8"/>
    <w:rsid w:val="00C550BC"/>
    <w:rsid w:val="00C57ECB"/>
    <w:rsid w:val="00C60876"/>
    <w:rsid w:val="00C60A96"/>
    <w:rsid w:val="00C614F0"/>
    <w:rsid w:val="00C61A4A"/>
    <w:rsid w:val="00C61E4B"/>
    <w:rsid w:val="00C6255D"/>
    <w:rsid w:val="00C64BFF"/>
    <w:rsid w:val="00C664FF"/>
    <w:rsid w:val="00C66A0B"/>
    <w:rsid w:val="00C70161"/>
    <w:rsid w:val="00C704E9"/>
    <w:rsid w:val="00C70517"/>
    <w:rsid w:val="00C738ED"/>
    <w:rsid w:val="00C746A5"/>
    <w:rsid w:val="00C753DE"/>
    <w:rsid w:val="00C76111"/>
    <w:rsid w:val="00C763C9"/>
    <w:rsid w:val="00C778B3"/>
    <w:rsid w:val="00C80057"/>
    <w:rsid w:val="00C8079A"/>
    <w:rsid w:val="00C81042"/>
    <w:rsid w:val="00C82232"/>
    <w:rsid w:val="00C82761"/>
    <w:rsid w:val="00C82913"/>
    <w:rsid w:val="00C847C3"/>
    <w:rsid w:val="00C84B88"/>
    <w:rsid w:val="00C85BC2"/>
    <w:rsid w:val="00C868F7"/>
    <w:rsid w:val="00C91040"/>
    <w:rsid w:val="00C911CF"/>
    <w:rsid w:val="00C942A5"/>
    <w:rsid w:val="00C972B1"/>
    <w:rsid w:val="00C97DEB"/>
    <w:rsid w:val="00CA01B8"/>
    <w:rsid w:val="00CA241E"/>
    <w:rsid w:val="00CA2CCE"/>
    <w:rsid w:val="00CA43FD"/>
    <w:rsid w:val="00CA4A08"/>
    <w:rsid w:val="00CA4BC1"/>
    <w:rsid w:val="00CA7127"/>
    <w:rsid w:val="00CA7EF8"/>
    <w:rsid w:val="00CB0803"/>
    <w:rsid w:val="00CB2A4F"/>
    <w:rsid w:val="00CB5D63"/>
    <w:rsid w:val="00CB6A7C"/>
    <w:rsid w:val="00CB7528"/>
    <w:rsid w:val="00CB76F5"/>
    <w:rsid w:val="00CB7D77"/>
    <w:rsid w:val="00CC0BF8"/>
    <w:rsid w:val="00CC1485"/>
    <w:rsid w:val="00CC1FA2"/>
    <w:rsid w:val="00CC284F"/>
    <w:rsid w:val="00CC3348"/>
    <w:rsid w:val="00CC354C"/>
    <w:rsid w:val="00CC489B"/>
    <w:rsid w:val="00CC5606"/>
    <w:rsid w:val="00CC6E1A"/>
    <w:rsid w:val="00CD1ABE"/>
    <w:rsid w:val="00CD22FA"/>
    <w:rsid w:val="00CD26AC"/>
    <w:rsid w:val="00CD2BCD"/>
    <w:rsid w:val="00CD35F0"/>
    <w:rsid w:val="00CD3A4C"/>
    <w:rsid w:val="00CD3D16"/>
    <w:rsid w:val="00CD488A"/>
    <w:rsid w:val="00CD5311"/>
    <w:rsid w:val="00CD73D7"/>
    <w:rsid w:val="00CE0DA4"/>
    <w:rsid w:val="00CE0FB7"/>
    <w:rsid w:val="00CE10E9"/>
    <w:rsid w:val="00CE1683"/>
    <w:rsid w:val="00CE2910"/>
    <w:rsid w:val="00CE4600"/>
    <w:rsid w:val="00CE5393"/>
    <w:rsid w:val="00CE5F9B"/>
    <w:rsid w:val="00CE78D7"/>
    <w:rsid w:val="00CF2C31"/>
    <w:rsid w:val="00CF3080"/>
    <w:rsid w:val="00CF36BE"/>
    <w:rsid w:val="00CF40A4"/>
    <w:rsid w:val="00CF58B5"/>
    <w:rsid w:val="00CF6000"/>
    <w:rsid w:val="00CF6F47"/>
    <w:rsid w:val="00D003F3"/>
    <w:rsid w:val="00D0292F"/>
    <w:rsid w:val="00D0364F"/>
    <w:rsid w:val="00D064D9"/>
    <w:rsid w:val="00D06834"/>
    <w:rsid w:val="00D07E51"/>
    <w:rsid w:val="00D11736"/>
    <w:rsid w:val="00D134EC"/>
    <w:rsid w:val="00D135B9"/>
    <w:rsid w:val="00D1370F"/>
    <w:rsid w:val="00D144C5"/>
    <w:rsid w:val="00D14718"/>
    <w:rsid w:val="00D154F3"/>
    <w:rsid w:val="00D15EAC"/>
    <w:rsid w:val="00D1753B"/>
    <w:rsid w:val="00D17DC6"/>
    <w:rsid w:val="00D2137B"/>
    <w:rsid w:val="00D22671"/>
    <w:rsid w:val="00D23969"/>
    <w:rsid w:val="00D23EBA"/>
    <w:rsid w:val="00D24BCC"/>
    <w:rsid w:val="00D25FD5"/>
    <w:rsid w:val="00D305F6"/>
    <w:rsid w:val="00D308ED"/>
    <w:rsid w:val="00D30B6B"/>
    <w:rsid w:val="00D35F19"/>
    <w:rsid w:val="00D36C98"/>
    <w:rsid w:val="00D36D86"/>
    <w:rsid w:val="00D40727"/>
    <w:rsid w:val="00D428AA"/>
    <w:rsid w:val="00D42F62"/>
    <w:rsid w:val="00D43170"/>
    <w:rsid w:val="00D4521E"/>
    <w:rsid w:val="00D46534"/>
    <w:rsid w:val="00D46E1E"/>
    <w:rsid w:val="00D5027A"/>
    <w:rsid w:val="00D503EE"/>
    <w:rsid w:val="00D50872"/>
    <w:rsid w:val="00D50A34"/>
    <w:rsid w:val="00D51F36"/>
    <w:rsid w:val="00D51F47"/>
    <w:rsid w:val="00D53EFA"/>
    <w:rsid w:val="00D55A18"/>
    <w:rsid w:val="00D55E9C"/>
    <w:rsid w:val="00D563FE"/>
    <w:rsid w:val="00D62DF3"/>
    <w:rsid w:val="00D63997"/>
    <w:rsid w:val="00D646CE"/>
    <w:rsid w:val="00D64AB7"/>
    <w:rsid w:val="00D6533F"/>
    <w:rsid w:val="00D6544D"/>
    <w:rsid w:val="00D65B05"/>
    <w:rsid w:val="00D65D46"/>
    <w:rsid w:val="00D6680D"/>
    <w:rsid w:val="00D669F7"/>
    <w:rsid w:val="00D71128"/>
    <w:rsid w:val="00D71988"/>
    <w:rsid w:val="00D71DEB"/>
    <w:rsid w:val="00D72911"/>
    <w:rsid w:val="00D73199"/>
    <w:rsid w:val="00D75B78"/>
    <w:rsid w:val="00D75D17"/>
    <w:rsid w:val="00D76164"/>
    <w:rsid w:val="00D76CE3"/>
    <w:rsid w:val="00D8115A"/>
    <w:rsid w:val="00D819F6"/>
    <w:rsid w:val="00D81E9B"/>
    <w:rsid w:val="00D82255"/>
    <w:rsid w:val="00D84F4B"/>
    <w:rsid w:val="00D900E6"/>
    <w:rsid w:val="00D9074D"/>
    <w:rsid w:val="00D90EC8"/>
    <w:rsid w:val="00D91619"/>
    <w:rsid w:val="00D9260E"/>
    <w:rsid w:val="00D92AB2"/>
    <w:rsid w:val="00D92C99"/>
    <w:rsid w:val="00D92D0F"/>
    <w:rsid w:val="00D94A7C"/>
    <w:rsid w:val="00D95896"/>
    <w:rsid w:val="00D963D5"/>
    <w:rsid w:val="00D97F40"/>
    <w:rsid w:val="00DA1031"/>
    <w:rsid w:val="00DA7A43"/>
    <w:rsid w:val="00DA7A7F"/>
    <w:rsid w:val="00DB010F"/>
    <w:rsid w:val="00DB0A87"/>
    <w:rsid w:val="00DB1C62"/>
    <w:rsid w:val="00DB2983"/>
    <w:rsid w:val="00DB4682"/>
    <w:rsid w:val="00DB6817"/>
    <w:rsid w:val="00DB73EB"/>
    <w:rsid w:val="00DB7AB9"/>
    <w:rsid w:val="00DB7BB3"/>
    <w:rsid w:val="00DC09EF"/>
    <w:rsid w:val="00DC1257"/>
    <w:rsid w:val="00DC2B21"/>
    <w:rsid w:val="00DC3977"/>
    <w:rsid w:val="00DC3DC0"/>
    <w:rsid w:val="00DC40F6"/>
    <w:rsid w:val="00DC564F"/>
    <w:rsid w:val="00DC5664"/>
    <w:rsid w:val="00DC5B2B"/>
    <w:rsid w:val="00DC603E"/>
    <w:rsid w:val="00DC70AA"/>
    <w:rsid w:val="00DC7ED9"/>
    <w:rsid w:val="00DD06E5"/>
    <w:rsid w:val="00DD0B76"/>
    <w:rsid w:val="00DD0DDE"/>
    <w:rsid w:val="00DD0E4B"/>
    <w:rsid w:val="00DD1642"/>
    <w:rsid w:val="00DD1963"/>
    <w:rsid w:val="00DD242E"/>
    <w:rsid w:val="00DD25D4"/>
    <w:rsid w:val="00DD30C0"/>
    <w:rsid w:val="00DD318D"/>
    <w:rsid w:val="00DD3983"/>
    <w:rsid w:val="00DD48EA"/>
    <w:rsid w:val="00DD5593"/>
    <w:rsid w:val="00DD73A6"/>
    <w:rsid w:val="00DE1A04"/>
    <w:rsid w:val="00DE3089"/>
    <w:rsid w:val="00DE3D66"/>
    <w:rsid w:val="00DE4A82"/>
    <w:rsid w:val="00DE5731"/>
    <w:rsid w:val="00DE66E6"/>
    <w:rsid w:val="00DF02D2"/>
    <w:rsid w:val="00DF2E12"/>
    <w:rsid w:val="00DF40C0"/>
    <w:rsid w:val="00DF514A"/>
    <w:rsid w:val="00DF6690"/>
    <w:rsid w:val="00DF6804"/>
    <w:rsid w:val="00E00F73"/>
    <w:rsid w:val="00E0267F"/>
    <w:rsid w:val="00E02D0A"/>
    <w:rsid w:val="00E032AE"/>
    <w:rsid w:val="00E0332E"/>
    <w:rsid w:val="00E0358D"/>
    <w:rsid w:val="00E04323"/>
    <w:rsid w:val="00E0524B"/>
    <w:rsid w:val="00E0598E"/>
    <w:rsid w:val="00E070A2"/>
    <w:rsid w:val="00E07836"/>
    <w:rsid w:val="00E11996"/>
    <w:rsid w:val="00E159AF"/>
    <w:rsid w:val="00E16269"/>
    <w:rsid w:val="00E2114D"/>
    <w:rsid w:val="00E22A70"/>
    <w:rsid w:val="00E2656A"/>
    <w:rsid w:val="00E31AF4"/>
    <w:rsid w:val="00E32BF6"/>
    <w:rsid w:val="00E3490E"/>
    <w:rsid w:val="00E40973"/>
    <w:rsid w:val="00E412D0"/>
    <w:rsid w:val="00E417AA"/>
    <w:rsid w:val="00E4605F"/>
    <w:rsid w:val="00E460DF"/>
    <w:rsid w:val="00E46913"/>
    <w:rsid w:val="00E46E78"/>
    <w:rsid w:val="00E47642"/>
    <w:rsid w:val="00E47B94"/>
    <w:rsid w:val="00E532C2"/>
    <w:rsid w:val="00E54A6C"/>
    <w:rsid w:val="00E56322"/>
    <w:rsid w:val="00E56F84"/>
    <w:rsid w:val="00E60582"/>
    <w:rsid w:val="00E60982"/>
    <w:rsid w:val="00E62C62"/>
    <w:rsid w:val="00E63BA4"/>
    <w:rsid w:val="00E6485D"/>
    <w:rsid w:val="00E65418"/>
    <w:rsid w:val="00E654C1"/>
    <w:rsid w:val="00E65D0D"/>
    <w:rsid w:val="00E65D97"/>
    <w:rsid w:val="00E66809"/>
    <w:rsid w:val="00E67652"/>
    <w:rsid w:val="00E70124"/>
    <w:rsid w:val="00E71FDC"/>
    <w:rsid w:val="00E72172"/>
    <w:rsid w:val="00E72A5A"/>
    <w:rsid w:val="00E73354"/>
    <w:rsid w:val="00E75BFA"/>
    <w:rsid w:val="00E77560"/>
    <w:rsid w:val="00E779BB"/>
    <w:rsid w:val="00E80014"/>
    <w:rsid w:val="00E826C6"/>
    <w:rsid w:val="00E82C27"/>
    <w:rsid w:val="00E84F46"/>
    <w:rsid w:val="00E84F8A"/>
    <w:rsid w:val="00E863C6"/>
    <w:rsid w:val="00E86B69"/>
    <w:rsid w:val="00E9242D"/>
    <w:rsid w:val="00E92A26"/>
    <w:rsid w:val="00E92C4D"/>
    <w:rsid w:val="00E92DBF"/>
    <w:rsid w:val="00E95AA8"/>
    <w:rsid w:val="00E96612"/>
    <w:rsid w:val="00EA1E4E"/>
    <w:rsid w:val="00EA3058"/>
    <w:rsid w:val="00EA65C2"/>
    <w:rsid w:val="00EB290A"/>
    <w:rsid w:val="00EB3954"/>
    <w:rsid w:val="00EB3DEF"/>
    <w:rsid w:val="00EB444C"/>
    <w:rsid w:val="00EB5255"/>
    <w:rsid w:val="00EB5306"/>
    <w:rsid w:val="00EB5C47"/>
    <w:rsid w:val="00EB762E"/>
    <w:rsid w:val="00EC15E4"/>
    <w:rsid w:val="00EC3A81"/>
    <w:rsid w:val="00EC4DCD"/>
    <w:rsid w:val="00EC63CD"/>
    <w:rsid w:val="00EC6822"/>
    <w:rsid w:val="00ED0639"/>
    <w:rsid w:val="00ED0900"/>
    <w:rsid w:val="00ED0CB8"/>
    <w:rsid w:val="00ED1F64"/>
    <w:rsid w:val="00ED269A"/>
    <w:rsid w:val="00ED2814"/>
    <w:rsid w:val="00ED4614"/>
    <w:rsid w:val="00ED47EE"/>
    <w:rsid w:val="00ED6509"/>
    <w:rsid w:val="00ED66E9"/>
    <w:rsid w:val="00EE04E7"/>
    <w:rsid w:val="00EE06A8"/>
    <w:rsid w:val="00EE1DB7"/>
    <w:rsid w:val="00EE2107"/>
    <w:rsid w:val="00EE3136"/>
    <w:rsid w:val="00EE68AD"/>
    <w:rsid w:val="00EE6AA8"/>
    <w:rsid w:val="00EF121B"/>
    <w:rsid w:val="00EF1DC7"/>
    <w:rsid w:val="00EF293D"/>
    <w:rsid w:val="00EF2BC7"/>
    <w:rsid w:val="00EF30E1"/>
    <w:rsid w:val="00EF3238"/>
    <w:rsid w:val="00EF36B7"/>
    <w:rsid w:val="00EF4755"/>
    <w:rsid w:val="00EF4F4A"/>
    <w:rsid w:val="00EF5187"/>
    <w:rsid w:val="00EF6755"/>
    <w:rsid w:val="00EF7005"/>
    <w:rsid w:val="00EF7135"/>
    <w:rsid w:val="00EF7ADB"/>
    <w:rsid w:val="00F0067B"/>
    <w:rsid w:val="00F0206C"/>
    <w:rsid w:val="00F027DB"/>
    <w:rsid w:val="00F0359D"/>
    <w:rsid w:val="00F03750"/>
    <w:rsid w:val="00F052B4"/>
    <w:rsid w:val="00F05510"/>
    <w:rsid w:val="00F07A30"/>
    <w:rsid w:val="00F1008F"/>
    <w:rsid w:val="00F1085F"/>
    <w:rsid w:val="00F11017"/>
    <w:rsid w:val="00F116AB"/>
    <w:rsid w:val="00F12A78"/>
    <w:rsid w:val="00F132B9"/>
    <w:rsid w:val="00F13F5D"/>
    <w:rsid w:val="00F14A7A"/>
    <w:rsid w:val="00F151D6"/>
    <w:rsid w:val="00F16B07"/>
    <w:rsid w:val="00F16CEE"/>
    <w:rsid w:val="00F17886"/>
    <w:rsid w:val="00F213C2"/>
    <w:rsid w:val="00F2231F"/>
    <w:rsid w:val="00F22985"/>
    <w:rsid w:val="00F233CF"/>
    <w:rsid w:val="00F24423"/>
    <w:rsid w:val="00F24893"/>
    <w:rsid w:val="00F2626A"/>
    <w:rsid w:val="00F27F34"/>
    <w:rsid w:val="00F326E5"/>
    <w:rsid w:val="00F3383E"/>
    <w:rsid w:val="00F35182"/>
    <w:rsid w:val="00F35E8E"/>
    <w:rsid w:val="00F40A21"/>
    <w:rsid w:val="00F43F40"/>
    <w:rsid w:val="00F44CAC"/>
    <w:rsid w:val="00F45763"/>
    <w:rsid w:val="00F45D71"/>
    <w:rsid w:val="00F46202"/>
    <w:rsid w:val="00F465A7"/>
    <w:rsid w:val="00F47276"/>
    <w:rsid w:val="00F47447"/>
    <w:rsid w:val="00F47F1D"/>
    <w:rsid w:val="00F50B7C"/>
    <w:rsid w:val="00F51093"/>
    <w:rsid w:val="00F52010"/>
    <w:rsid w:val="00F52A30"/>
    <w:rsid w:val="00F54C66"/>
    <w:rsid w:val="00F550E6"/>
    <w:rsid w:val="00F56234"/>
    <w:rsid w:val="00F57A72"/>
    <w:rsid w:val="00F605F0"/>
    <w:rsid w:val="00F63B1D"/>
    <w:rsid w:val="00F656E0"/>
    <w:rsid w:val="00F7022F"/>
    <w:rsid w:val="00F71C41"/>
    <w:rsid w:val="00F720F5"/>
    <w:rsid w:val="00F726B0"/>
    <w:rsid w:val="00F73C8F"/>
    <w:rsid w:val="00F74345"/>
    <w:rsid w:val="00F745DF"/>
    <w:rsid w:val="00F74A9C"/>
    <w:rsid w:val="00F74C9D"/>
    <w:rsid w:val="00F7586B"/>
    <w:rsid w:val="00F76467"/>
    <w:rsid w:val="00F769FD"/>
    <w:rsid w:val="00F77A08"/>
    <w:rsid w:val="00F80A0A"/>
    <w:rsid w:val="00F81453"/>
    <w:rsid w:val="00F8181F"/>
    <w:rsid w:val="00F82B19"/>
    <w:rsid w:val="00F839B6"/>
    <w:rsid w:val="00F8472A"/>
    <w:rsid w:val="00F84747"/>
    <w:rsid w:val="00F903E3"/>
    <w:rsid w:val="00F9146F"/>
    <w:rsid w:val="00F9212D"/>
    <w:rsid w:val="00F965DA"/>
    <w:rsid w:val="00F96A42"/>
    <w:rsid w:val="00F96A50"/>
    <w:rsid w:val="00F975AD"/>
    <w:rsid w:val="00F97CF7"/>
    <w:rsid w:val="00F97F49"/>
    <w:rsid w:val="00F97F89"/>
    <w:rsid w:val="00FA0E9D"/>
    <w:rsid w:val="00FA406A"/>
    <w:rsid w:val="00FA4947"/>
    <w:rsid w:val="00FB021B"/>
    <w:rsid w:val="00FB0A00"/>
    <w:rsid w:val="00FB1287"/>
    <w:rsid w:val="00FB4E5C"/>
    <w:rsid w:val="00FB503A"/>
    <w:rsid w:val="00FB516C"/>
    <w:rsid w:val="00FB68BC"/>
    <w:rsid w:val="00FC09B2"/>
    <w:rsid w:val="00FC5451"/>
    <w:rsid w:val="00FC551E"/>
    <w:rsid w:val="00FC5EDC"/>
    <w:rsid w:val="00FC7399"/>
    <w:rsid w:val="00FD0236"/>
    <w:rsid w:val="00FD0CFF"/>
    <w:rsid w:val="00FD18F4"/>
    <w:rsid w:val="00FD2426"/>
    <w:rsid w:val="00FD3F56"/>
    <w:rsid w:val="00FD4565"/>
    <w:rsid w:val="00FD49FC"/>
    <w:rsid w:val="00FD54DB"/>
    <w:rsid w:val="00FD5B78"/>
    <w:rsid w:val="00FD5EA8"/>
    <w:rsid w:val="00FD619F"/>
    <w:rsid w:val="00FD69EA"/>
    <w:rsid w:val="00FD7CDC"/>
    <w:rsid w:val="00FE002C"/>
    <w:rsid w:val="00FE034B"/>
    <w:rsid w:val="00FE099E"/>
    <w:rsid w:val="00FE6B3D"/>
    <w:rsid w:val="00FE75A6"/>
    <w:rsid w:val="00FE79EF"/>
    <w:rsid w:val="00FF271B"/>
    <w:rsid w:val="00FF68FC"/>
    <w:rsid w:val="00FF7324"/>
    <w:rsid w:val="00FF7C17"/>
    <w:rsid w:val="011A730F"/>
    <w:rsid w:val="01290F7E"/>
    <w:rsid w:val="014B5994"/>
    <w:rsid w:val="015D1E09"/>
    <w:rsid w:val="021047C6"/>
    <w:rsid w:val="02201D8C"/>
    <w:rsid w:val="02697903"/>
    <w:rsid w:val="02F92D08"/>
    <w:rsid w:val="02F96569"/>
    <w:rsid w:val="03504F2E"/>
    <w:rsid w:val="035F65D8"/>
    <w:rsid w:val="039F3F0C"/>
    <w:rsid w:val="03EA7B21"/>
    <w:rsid w:val="04C2712A"/>
    <w:rsid w:val="05180156"/>
    <w:rsid w:val="05247023"/>
    <w:rsid w:val="056B5D26"/>
    <w:rsid w:val="05B21B51"/>
    <w:rsid w:val="05F83EAE"/>
    <w:rsid w:val="063E7D85"/>
    <w:rsid w:val="06BD29DA"/>
    <w:rsid w:val="07293586"/>
    <w:rsid w:val="07295285"/>
    <w:rsid w:val="07636392"/>
    <w:rsid w:val="07701C0E"/>
    <w:rsid w:val="07770C56"/>
    <w:rsid w:val="079B47BF"/>
    <w:rsid w:val="07D4215D"/>
    <w:rsid w:val="08157D0A"/>
    <w:rsid w:val="08504507"/>
    <w:rsid w:val="08CB62CA"/>
    <w:rsid w:val="08E4691C"/>
    <w:rsid w:val="092217DD"/>
    <w:rsid w:val="093A7294"/>
    <w:rsid w:val="097623F9"/>
    <w:rsid w:val="098F7C6E"/>
    <w:rsid w:val="09DE0562"/>
    <w:rsid w:val="0A00204D"/>
    <w:rsid w:val="0A263993"/>
    <w:rsid w:val="0A2D3AC2"/>
    <w:rsid w:val="0A38769E"/>
    <w:rsid w:val="0A453385"/>
    <w:rsid w:val="0A79028B"/>
    <w:rsid w:val="0AA755DF"/>
    <w:rsid w:val="0AEF268F"/>
    <w:rsid w:val="0B000580"/>
    <w:rsid w:val="0B120D44"/>
    <w:rsid w:val="0BA57AD3"/>
    <w:rsid w:val="0BD27BF6"/>
    <w:rsid w:val="0BF92945"/>
    <w:rsid w:val="0C3B3C7D"/>
    <w:rsid w:val="0C410CC9"/>
    <w:rsid w:val="0C7F4DD7"/>
    <w:rsid w:val="0CA05705"/>
    <w:rsid w:val="0CAB2EAE"/>
    <w:rsid w:val="0D2A096E"/>
    <w:rsid w:val="0D621C7D"/>
    <w:rsid w:val="0D7E2CD2"/>
    <w:rsid w:val="0E2F22D7"/>
    <w:rsid w:val="0E56100F"/>
    <w:rsid w:val="0E73034D"/>
    <w:rsid w:val="0F0825D8"/>
    <w:rsid w:val="0F13775A"/>
    <w:rsid w:val="0F5F45FE"/>
    <w:rsid w:val="0F643F04"/>
    <w:rsid w:val="0F8E47D8"/>
    <w:rsid w:val="0F9A112B"/>
    <w:rsid w:val="106D2F64"/>
    <w:rsid w:val="10B63710"/>
    <w:rsid w:val="10F10820"/>
    <w:rsid w:val="111C2F7A"/>
    <w:rsid w:val="113E4F69"/>
    <w:rsid w:val="11612A17"/>
    <w:rsid w:val="11665CA1"/>
    <w:rsid w:val="120871A6"/>
    <w:rsid w:val="12DC24BB"/>
    <w:rsid w:val="12FE3A23"/>
    <w:rsid w:val="130759B1"/>
    <w:rsid w:val="13951726"/>
    <w:rsid w:val="14396509"/>
    <w:rsid w:val="14BD354F"/>
    <w:rsid w:val="14DD2C3C"/>
    <w:rsid w:val="15C5475E"/>
    <w:rsid w:val="15D77AFB"/>
    <w:rsid w:val="15E5574E"/>
    <w:rsid w:val="16087E1D"/>
    <w:rsid w:val="162D4D4B"/>
    <w:rsid w:val="16A36DBB"/>
    <w:rsid w:val="17306175"/>
    <w:rsid w:val="17701D14"/>
    <w:rsid w:val="17735226"/>
    <w:rsid w:val="177E15D6"/>
    <w:rsid w:val="185A1E2E"/>
    <w:rsid w:val="189F624C"/>
    <w:rsid w:val="18A4506D"/>
    <w:rsid w:val="197D012A"/>
    <w:rsid w:val="19A35F21"/>
    <w:rsid w:val="19DD17D0"/>
    <w:rsid w:val="1A127499"/>
    <w:rsid w:val="1A1C66C0"/>
    <w:rsid w:val="1A42393B"/>
    <w:rsid w:val="1AAD45DE"/>
    <w:rsid w:val="1AB377E9"/>
    <w:rsid w:val="1AEB17B6"/>
    <w:rsid w:val="1B046F80"/>
    <w:rsid w:val="1B3267B5"/>
    <w:rsid w:val="1B40161D"/>
    <w:rsid w:val="1B441859"/>
    <w:rsid w:val="1B6606B1"/>
    <w:rsid w:val="1BCB7BB8"/>
    <w:rsid w:val="1C19367C"/>
    <w:rsid w:val="1C4C3A51"/>
    <w:rsid w:val="1C5E7925"/>
    <w:rsid w:val="1CD20B2D"/>
    <w:rsid w:val="1CDA2E0B"/>
    <w:rsid w:val="1CE56B08"/>
    <w:rsid w:val="1CF830F0"/>
    <w:rsid w:val="1CFD070F"/>
    <w:rsid w:val="1D5E5E2D"/>
    <w:rsid w:val="1D5F6196"/>
    <w:rsid w:val="1D6132A5"/>
    <w:rsid w:val="1D8E56D5"/>
    <w:rsid w:val="1E0034CD"/>
    <w:rsid w:val="1E5F5764"/>
    <w:rsid w:val="1E7A43DA"/>
    <w:rsid w:val="1EE44B9D"/>
    <w:rsid w:val="1FA31BDA"/>
    <w:rsid w:val="1FB931D7"/>
    <w:rsid w:val="1FE7539E"/>
    <w:rsid w:val="1FE75B5A"/>
    <w:rsid w:val="1FF765BE"/>
    <w:rsid w:val="20671BE0"/>
    <w:rsid w:val="20735A50"/>
    <w:rsid w:val="20963CB8"/>
    <w:rsid w:val="20A81A1B"/>
    <w:rsid w:val="20B07FB6"/>
    <w:rsid w:val="20B646FB"/>
    <w:rsid w:val="213B74B1"/>
    <w:rsid w:val="215A2310"/>
    <w:rsid w:val="21DE318A"/>
    <w:rsid w:val="21EF5B80"/>
    <w:rsid w:val="220A1EC0"/>
    <w:rsid w:val="221543EB"/>
    <w:rsid w:val="22576990"/>
    <w:rsid w:val="226D4721"/>
    <w:rsid w:val="22F47480"/>
    <w:rsid w:val="23502079"/>
    <w:rsid w:val="239F34E3"/>
    <w:rsid w:val="23AF0345"/>
    <w:rsid w:val="23DE1C48"/>
    <w:rsid w:val="240210CD"/>
    <w:rsid w:val="249E5BDF"/>
    <w:rsid w:val="24BF09F7"/>
    <w:rsid w:val="25221F7E"/>
    <w:rsid w:val="252D53FE"/>
    <w:rsid w:val="254E4BB4"/>
    <w:rsid w:val="25895DE0"/>
    <w:rsid w:val="25CB3C39"/>
    <w:rsid w:val="25EC2D81"/>
    <w:rsid w:val="277057A2"/>
    <w:rsid w:val="287E4F92"/>
    <w:rsid w:val="28DC7F0B"/>
    <w:rsid w:val="29206EB8"/>
    <w:rsid w:val="292D3BC1"/>
    <w:rsid w:val="29595666"/>
    <w:rsid w:val="29833209"/>
    <w:rsid w:val="29874881"/>
    <w:rsid w:val="29A0156E"/>
    <w:rsid w:val="29E325E0"/>
    <w:rsid w:val="29E97758"/>
    <w:rsid w:val="2A452503"/>
    <w:rsid w:val="2B2370BC"/>
    <w:rsid w:val="2BA936A8"/>
    <w:rsid w:val="2C315A5A"/>
    <w:rsid w:val="2C4B1C25"/>
    <w:rsid w:val="2C4E748D"/>
    <w:rsid w:val="2C5C534A"/>
    <w:rsid w:val="2CC66F08"/>
    <w:rsid w:val="2CF116E2"/>
    <w:rsid w:val="2D0F08AF"/>
    <w:rsid w:val="2D9177D0"/>
    <w:rsid w:val="2D9E56F5"/>
    <w:rsid w:val="2DCF6110"/>
    <w:rsid w:val="2E033424"/>
    <w:rsid w:val="2E3E4844"/>
    <w:rsid w:val="2E667F96"/>
    <w:rsid w:val="2E8226AB"/>
    <w:rsid w:val="2EE10ED7"/>
    <w:rsid w:val="2FB713D6"/>
    <w:rsid w:val="2FD065E6"/>
    <w:rsid w:val="2FD96870"/>
    <w:rsid w:val="30580BC9"/>
    <w:rsid w:val="30BA3228"/>
    <w:rsid w:val="311E2ED7"/>
    <w:rsid w:val="315619EE"/>
    <w:rsid w:val="315C449C"/>
    <w:rsid w:val="31687D28"/>
    <w:rsid w:val="31B82709"/>
    <w:rsid w:val="31D05482"/>
    <w:rsid w:val="31D121F0"/>
    <w:rsid w:val="31FB7654"/>
    <w:rsid w:val="32105EDC"/>
    <w:rsid w:val="32400B34"/>
    <w:rsid w:val="329E6876"/>
    <w:rsid w:val="32E06C0C"/>
    <w:rsid w:val="333015F2"/>
    <w:rsid w:val="334B6320"/>
    <w:rsid w:val="33574EAD"/>
    <w:rsid w:val="33BF67AD"/>
    <w:rsid w:val="33D934D4"/>
    <w:rsid w:val="33FE2F6A"/>
    <w:rsid w:val="340E07E5"/>
    <w:rsid w:val="34235BF7"/>
    <w:rsid w:val="347900A6"/>
    <w:rsid w:val="352218E1"/>
    <w:rsid w:val="358C5FA8"/>
    <w:rsid w:val="35954F17"/>
    <w:rsid w:val="35B77D36"/>
    <w:rsid w:val="35C15DF1"/>
    <w:rsid w:val="36074A7F"/>
    <w:rsid w:val="36107446"/>
    <w:rsid w:val="363D1267"/>
    <w:rsid w:val="366111B0"/>
    <w:rsid w:val="36923549"/>
    <w:rsid w:val="36B75FBF"/>
    <w:rsid w:val="36BD0C45"/>
    <w:rsid w:val="36BE35EA"/>
    <w:rsid w:val="36E00E99"/>
    <w:rsid w:val="37741111"/>
    <w:rsid w:val="37766FF3"/>
    <w:rsid w:val="37E00298"/>
    <w:rsid w:val="38270108"/>
    <w:rsid w:val="382E00D4"/>
    <w:rsid w:val="385B52F0"/>
    <w:rsid w:val="38653F39"/>
    <w:rsid w:val="386C12AB"/>
    <w:rsid w:val="386D0B7F"/>
    <w:rsid w:val="38B302F9"/>
    <w:rsid w:val="38F12CD3"/>
    <w:rsid w:val="38F94775"/>
    <w:rsid w:val="392971ED"/>
    <w:rsid w:val="39325651"/>
    <w:rsid w:val="397829CF"/>
    <w:rsid w:val="3A5B0BA4"/>
    <w:rsid w:val="3A8602B4"/>
    <w:rsid w:val="3A872856"/>
    <w:rsid w:val="3AE351A0"/>
    <w:rsid w:val="3B0672D5"/>
    <w:rsid w:val="3B3763D1"/>
    <w:rsid w:val="3B91588E"/>
    <w:rsid w:val="3BCC0CBE"/>
    <w:rsid w:val="3C2F6E1E"/>
    <w:rsid w:val="3C4F64BA"/>
    <w:rsid w:val="3C971A58"/>
    <w:rsid w:val="3CD967E3"/>
    <w:rsid w:val="3CDA245A"/>
    <w:rsid w:val="3D0D1E58"/>
    <w:rsid w:val="3D1E06B7"/>
    <w:rsid w:val="3E151A9D"/>
    <w:rsid w:val="3E9B09B4"/>
    <w:rsid w:val="3EDA0523"/>
    <w:rsid w:val="3F21025E"/>
    <w:rsid w:val="3F651473"/>
    <w:rsid w:val="3F7A2F32"/>
    <w:rsid w:val="3FF878C8"/>
    <w:rsid w:val="403A57EB"/>
    <w:rsid w:val="407A6407"/>
    <w:rsid w:val="40DB14E0"/>
    <w:rsid w:val="40E81F8C"/>
    <w:rsid w:val="418274B5"/>
    <w:rsid w:val="4200449D"/>
    <w:rsid w:val="42185C0A"/>
    <w:rsid w:val="421E2D41"/>
    <w:rsid w:val="423A3BCC"/>
    <w:rsid w:val="424E57D2"/>
    <w:rsid w:val="42B225A3"/>
    <w:rsid w:val="42B26C49"/>
    <w:rsid w:val="433A6FE6"/>
    <w:rsid w:val="43480868"/>
    <w:rsid w:val="4350713C"/>
    <w:rsid w:val="436653E0"/>
    <w:rsid w:val="43950DBF"/>
    <w:rsid w:val="43C4431A"/>
    <w:rsid w:val="44B951CC"/>
    <w:rsid w:val="44CD14E0"/>
    <w:rsid w:val="44F20B0B"/>
    <w:rsid w:val="452E5F4C"/>
    <w:rsid w:val="45612018"/>
    <w:rsid w:val="458946E9"/>
    <w:rsid w:val="45A47C0E"/>
    <w:rsid w:val="46116FEE"/>
    <w:rsid w:val="46577FD6"/>
    <w:rsid w:val="46D955A7"/>
    <w:rsid w:val="47133957"/>
    <w:rsid w:val="473C6602"/>
    <w:rsid w:val="47560448"/>
    <w:rsid w:val="47A07E0C"/>
    <w:rsid w:val="47B16F6A"/>
    <w:rsid w:val="47E8152D"/>
    <w:rsid w:val="4870272E"/>
    <w:rsid w:val="495E69EE"/>
    <w:rsid w:val="496E1D01"/>
    <w:rsid w:val="49C00D59"/>
    <w:rsid w:val="49DC7715"/>
    <w:rsid w:val="4A023139"/>
    <w:rsid w:val="4A7B576F"/>
    <w:rsid w:val="4AB61C35"/>
    <w:rsid w:val="4AF561A9"/>
    <w:rsid w:val="4B3814C1"/>
    <w:rsid w:val="4B5C2F33"/>
    <w:rsid w:val="4C4A0649"/>
    <w:rsid w:val="4C6057BE"/>
    <w:rsid w:val="4C7E5ECA"/>
    <w:rsid w:val="4C876AA5"/>
    <w:rsid w:val="4CE502B4"/>
    <w:rsid w:val="4D0E00FB"/>
    <w:rsid w:val="4D176606"/>
    <w:rsid w:val="4DCE3A17"/>
    <w:rsid w:val="4DCF7EBB"/>
    <w:rsid w:val="4DEC4FB0"/>
    <w:rsid w:val="4E075D8A"/>
    <w:rsid w:val="4EC00FAD"/>
    <w:rsid w:val="4F9843DC"/>
    <w:rsid w:val="4FC62A8C"/>
    <w:rsid w:val="4FE20F0D"/>
    <w:rsid w:val="4FE51552"/>
    <w:rsid w:val="50504C4B"/>
    <w:rsid w:val="506643DA"/>
    <w:rsid w:val="50837E43"/>
    <w:rsid w:val="509C6E7C"/>
    <w:rsid w:val="50A11A2D"/>
    <w:rsid w:val="50C335DB"/>
    <w:rsid w:val="51576AB7"/>
    <w:rsid w:val="5162104E"/>
    <w:rsid w:val="51950898"/>
    <w:rsid w:val="52A244F1"/>
    <w:rsid w:val="534C3D5B"/>
    <w:rsid w:val="53A039CC"/>
    <w:rsid w:val="53A1505A"/>
    <w:rsid w:val="53DF080F"/>
    <w:rsid w:val="53E2646E"/>
    <w:rsid w:val="54063E08"/>
    <w:rsid w:val="543437E8"/>
    <w:rsid w:val="549E31E0"/>
    <w:rsid w:val="54DA7145"/>
    <w:rsid w:val="54E87AB4"/>
    <w:rsid w:val="54F73313"/>
    <w:rsid w:val="54F80955"/>
    <w:rsid w:val="555170A7"/>
    <w:rsid w:val="5587536D"/>
    <w:rsid w:val="559B174B"/>
    <w:rsid w:val="55CE0CF4"/>
    <w:rsid w:val="567E247E"/>
    <w:rsid w:val="56865E67"/>
    <w:rsid w:val="56B22A9C"/>
    <w:rsid w:val="571A0371"/>
    <w:rsid w:val="5795547D"/>
    <w:rsid w:val="57B72A76"/>
    <w:rsid w:val="57B77D7A"/>
    <w:rsid w:val="57C3426C"/>
    <w:rsid w:val="57CE1F93"/>
    <w:rsid w:val="586F0D6B"/>
    <w:rsid w:val="588743D1"/>
    <w:rsid w:val="5887701A"/>
    <w:rsid w:val="58F702C5"/>
    <w:rsid w:val="596F66B0"/>
    <w:rsid w:val="59C0439F"/>
    <w:rsid w:val="59FA5705"/>
    <w:rsid w:val="5ABD1400"/>
    <w:rsid w:val="5ABE2233"/>
    <w:rsid w:val="5AD6545D"/>
    <w:rsid w:val="5B5E7B19"/>
    <w:rsid w:val="5B6360E6"/>
    <w:rsid w:val="5BDF5D95"/>
    <w:rsid w:val="5BFE7528"/>
    <w:rsid w:val="5C3513B4"/>
    <w:rsid w:val="5D417CB9"/>
    <w:rsid w:val="5D883BE2"/>
    <w:rsid w:val="5D88469E"/>
    <w:rsid w:val="5DCB4C98"/>
    <w:rsid w:val="5E14191A"/>
    <w:rsid w:val="5E2467F1"/>
    <w:rsid w:val="5E517664"/>
    <w:rsid w:val="5F1A2B43"/>
    <w:rsid w:val="5FB837BB"/>
    <w:rsid w:val="606328E9"/>
    <w:rsid w:val="608A7C71"/>
    <w:rsid w:val="609E54CA"/>
    <w:rsid w:val="60BA7393"/>
    <w:rsid w:val="60CC405A"/>
    <w:rsid w:val="610920DF"/>
    <w:rsid w:val="610F01EE"/>
    <w:rsid w:val="6142054C"/>
    <w:rsid w:val="61E215D8"/>
    <w:rsid w:val="61F701B9"/>
    <w:rsid w:val="621B3775"/>
    <w:rsid w:val="62364782"/>
    <w:rsid w:val="624959D5"/>
    <w:rsid w:val="62915AF3"/>
    <w:rsid w:val="62F40E0A"/>
    <w:rsid w:val="634D2DDE"/>
    <w:rsid w:val="6352765E"/>
    <w:rsid w:val="63580EFA"/>
    <w:rsid w:val="6394356A"/>
    <w:rsid w:val="63AE3C76"/>
    <w:rsid w:val="63B86350"/>
    <w:rsid w:val="63C61B2C"/>
    <w:rsid w:val="63D40BE9"/>
    <w:rsid w:val="64102431"/>
    <w:rsid w:val="64A5243A"/>
    <w:rsid w:val="64DD4813"/>
    <w:rsid w:val="64F531DE"/>
    <w:rsid w:val="65373578"/>
    <w:rsid w:val="65753CC9"/>
    <w:rsid w:val="658F7046"/>
    <w:rsid w:val="65BA2AA9"/>
    <w:rsid w:val="660F3D98"/>
    <w:rsid w:val="66240220"/>
    <w:rsid w:val="666A4347"/>
    <w:rsid w:val="671F124A"/>
    <w:rsid w:val="677A33C6"/>
    <w:rsid w:val="679112EF"/>
    <w:rsid w:val="6813679E"/>
    <w:rsid w:val="681F6961"/>
    <w:rsid w:val="68610A2F"/>
    <w:rsid w:val="68805514"/>
    <w:rsid w:val="68C77CB4"/>
    <w:rsid w:val="68F10EFC"/>
    <w:rsid w:val="69316E2F"/>
    <w:rsid w:val="694E2071"/>
    <w:rsid w:val="696F0231"/>
    <w:rsid w:val="69766163"/>
    <w:rsid w:val="697A3B33"/>
    <w:rsid w:val="69D44760"/>
    <w:rsid w:val="6A520EC7"/>
    <w:rsid w:val="6A823E36"/>
    <w:rsid w:val="6A830987"/>
    <w:rsid w:val="6AB858E0"/>
    <w:rsid w:val="6AE91AFB"/>
    <w:rsid w:val="6AF33871"/>
    <w:rsid w:val="6AF87E20"/>
    <w:rsid w:val="6B322639"/>
    <w:rsid w:val="6B4849B1"/>
    <w:rsid w:val="6B8974A3"/>
    <w:rsid w:val="6BA72C16"/>
    <w:rsid w:val="6BF316A1"/>
    <w:rsid w:val="6C054468"/>
    <w:rsid w:val="6C3E371B"/>
    <w:rsid w:val="6C636C38"/>
    <w:rsid w:val="6CD75FEC"/>
    <w:rsid w:val="6DB23A8F"/>
    <w:rsid w:val="6DB34098"/>
    <w:rsid w:val="6DB545B6"/>
    <w:rsid w:val="6DE02FB4"/>
    <w:rsid w:val="6E514CED"/>
    <w:rsid w:val="6EB563D5"/>
    <w:rsid w:val="6EC425A0"/>
    <w:rsid w:val="6ECE4611"/>
    <w:rsid w:val="6ED92677"/>
    <w:rsid w:val="6F225983"/>
    <w:rsid w:val="6F467459"/>
    <w:rsid w:val="6FB90350"/>
    <w:rsid w:val="6FFC5590"/>
    <w:rsid w:val="705A22B5"/>
    <w:rsid w:val="706D1DD0"/>
    <w:rsid w:val="70856B87"/>
    <w:rsid w:val="70BA1A5F"/>
    <w:rsid w:val="70D527EE"/>
    <w:rsid w:val="713616AB"/>
    <w:rsid w:val="71597917"/>
    <w:rsid w:val="715B5300"/>
    <w:rsid w:val="71D27F8A"/>
    <w:rsid w:val="7213105B"/>
    <w:rsid w:val="721B06D1"/>
    <w:rsid w:val="72255A4C"/>
    <w:rsid w:val="72486AE3"/>
    <w:rsid w:val="72553024"/>
    <w:rsid w:val="72BF1187"/>
    <w:rsid w:val="72D035A6"/>
    <w:rsid w:val="73122968"/>
    <w:rsid w:val="731F5D5E"/>
    <w:rsid w:val="73C51AD5"/>
    <w:rsid w:val="73EA4857"/>
    <w:rsid w:val="741E793C"/>
    <w:rsid w:val="743957DE"/>
    <w:rsid w:val="74575C64"/>
    <w:rsid w:val="745E3944"/>
    <w:rsid w:val="74AE6CAC"/>
    <w:rsid w:val="74BD1068"/>
    <w:rsid w:val="74C760C0"/>
    <w:rsid w:val="75156EB8"/>
    <w:rsid w:val="753406AE"/>
    <w:rsid w:val="760B55B2"/>
    <w:rsid w:val="7635099D"/>
    <w:rsid w:val="768C7E47"/>
    <w:rsid w:val="769A4C55"/>
    <w:rsid w:val="77762421"/>
    <w:rsid w:val="77762F0E"/>
    <w:rsid w:val="77B56B1F"/>
    <w:rsid w:val="780F09F4"/>
    <w:rsid w:val="78A90480"/>
    <w:rsid w:val="798E2128"/>
    <w:rsid w:val="79BA30E8"/>
    <w:rsid w:val="7A053CF0"/>
    <w:rsid w:val="7A0D74F1"/>
    <w:rsid w:val="7A3525A4"/>
    <w:rsid w:val="7A364017"/>
    <w:rsid w:val="7A723355"/>
    <w:rsid w:val="7A8265E1"/>
    <w:rsid w:val="7B166CEC"/>
    <w:rsid w:val="7B686D42"/>
    <w:rsid w:val="7B841746"/>
    <w:rsid w:val="7B845591"/>
    <w:rsid w:val="7C6C5AC7"/>
    <w:rsid w:val="7CC6544B"/>
    <w:rsid w:val="7CF84245"/>
    <w:rsid w:val="7D0239FF"/>
    <w:rsid w:val="7D5C5B33"/>
    <w:rsid w:val="7D5E40CD"/>
    <w:rsid w:val="7D881FCA"/>
    <w:rsid w:val="7DCD56F2"/>
    <w:rsid w:val="7E421D69"/>
    <w:rsid w:val="7F001CE7"/>
    <w:rsid w:val="7F3B0011"/>
    <w:rsid w:val="7F5111D7"/>
    <w:rsid w:val="7F581F80"/>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link w:val="25"/>
    <w:qFormat/>
    <w:locked/>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link w:val="28"/>
    <w:qFormat/>
    <w:locked/>
    <w:uiPriority w:val="0"/>
    <w:pPr>
      <w:ind w:firstLine="420"/>
    </w:pPr>
    <w:rPr>
      <w:sz w:val="28"/>
      <w:szCs w:val="20"/>
    </w:rPr>
  </w:style>
  <w:style w:type="paragraph" w:styleId="5">
    <w:name w:val="caption"/>
    <w:basedOn w:val="1"/>
    <w:next w:val="1"/>
    <w:qFormat/>
    <w:locked/>
    <w:uiPriority w:val="0"/>
    <w:rPr>
      <w:rFonts w:ascii="等线 Light" w:hAnsi="等线 Light" w:eastAsia="黑体" w:cs="Times New Roman"/>
      <w:sz w:val="20"/>
      <w:szCs w:val="20"/>
    </w:rPr>
  </w:style>
  <w:style w:type="paragraph" w:styleId="6">
    <w:name w:val="annotation text"/>
    <w:basedOn w:val="1"/>
    <w:link w:val="29"/>
    <w:semiHidden/>
    <w:qFormat/>
    <w:uiPriority w:val="0"/>
    <w:pPr>
      <w:jc w:val="left"/>
    </w:pPr>
    <w:rPr>
      <w:rFonts w:ascii="Times New Roman" w:hAnsi="Times New Roman"/>
      <w:kern w:val="0"/>
      <w:sz w:val="24"/>
      <w:szCs w:val="20"/>
    </w:rPr>
  </w:style>
  <w:style w:type="paragraph" w:styleId="7">
    <w:name w:val="Body Text"/>
    <w:basedOn w:val="1"/>
    <w:link w:val="30"/>
    <w:qFormat/>
    <w:uiPriority w:val="99"/>
    <w:pPr>
      <w:widowControl/>
      <w:snapToGrid w:val="0"/>
      <w:spacing w:before="60" w:after="160" w:line="259" w:lineRule="auto"/>
      <w:ind w:right="113"/>
    </w:pPr>
    <w:rPr>
      <w:kern w:val="0"/>
      <w:sz w:val="18"/>
      <w:szCs w:val="20"/>
    </w:rPr>
  </w:style>
  <w:style w:type="paragraph" w:styleId="8">
    <w:name w:val="Body Text Indent"/>
    <w:basedOn w:val="1"/>
    <w:link w:val="31"/>
    <w:qFormat/>
    <w:uiPriority w:val="0"/>
    <w:pPr>
      <w:spacing w:after="120"/>
      <w:ind w:left="420" w:leftChars="200"/>
    </w:pPr>
    <w:rPr>
      <w:rFonts w:ascii="Times New Roman" w:hAnsi="Times New Roman"/>
      <w:kern w:val="0"/>
      <w:sz w:val="24"/>
      <w:szCs w:val="20"/>
    </w:rPr>
  </w:style>
  <w:style w:type="paragraph" w:styleId="9">
    <w:name w:val="Plain Text"/>
    <w:basedOn w:val="1"/>
    <w:link w:val="32"/>
    <w:qFormat/>
    <w:locked/>
    <w:uiPriority w:val="0"/>
    <w:rPr>
      <w:rFonts w:ascii="宋体" w:hAnsi="Courier New"/>
      <w:kern w:val="44"/>
      <w:szCs w:val="20"/>
    </w:rPr>
  </w:style>
  <w:style w:type="paragraph" w:styleId="10">
    <w:name w:val="Date"/>
    <w:basedOn w:val="1"/>
    <w:next w:val="1"/>
    <w:link w:val="33"/>
    <w:qFormat/>
    <w:uiPriority w:val="0"/>
    <w:pPr>
      <w:ind w:left="100" w:leftChars="2500"/>
    </w:pPr>
    <w:rPr>
      <w:rFonts w:ascii="Times New Roman" w:hAnsi="Times New Roman"/>
      <w:kern w:val="0"/>
      <w:sz w:val="24"/>
      <w:szCs w:val="20"/>
    </w:rPr>
  </w:style>
  <w:style w:type="paragraph" w:styleId="11">
    <w:name w:val="Balloon Text"/>
    <w:basedOn w:val="1"/>
    <w:link w:val="34"/>
    <w:semiHidden/>
    <w:qFormat/>
    <w:uiPriority w:val="0"/>
    <w:rPr>
      <w:rFonts w:ascii="Times New Roman" w:hAnsi="Times New Roman"/>
      <w:kern w:val="0"/>
      <w:sz w:val="18"/>
      <w:szCs w:val="20"/>
    </w:rPr>
  </w:style>
  <w:style w:type="paragraph" w:styleId="12">
    <w:name w:val="footer"/>
    <w:basedOn w:val="1"/>
    <w:link w:val="35"/>
    <w:qFormat/>
    <w:uiPriority w:val="99"/>
    <w:pPr>
      <w:tabs>
        <w:tab w:val="center" w:pos="4153"/>
        <w:tab w:val="right" w:pos="8306"/>
      </w:tabs>
      <w:snapToGrid w:val="0"/>
      <w:jc w:val="left"/>
    </w:pPr>
    <w:rPr>
      <w:kern w:val="0"/>
      <w:sz w:val="18"/>
      <w:szCs w:val="20"/>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List"/>
    <w:basedOn w:val="1"/>
    <w:qFormat/>
    <w:locked/>
    <w:uiPriority w:val="0"/>
    <w:pPr>
      <w:ind w:left="200" w:hanging="200" w:hangingChars="200"/>
    </w:pPr>
  </w:style>
  <w:style w:type="paragraph" w:styleId="15">
    <w:name w:val="table of figures"/>
    <w:basedOn w:val="1"/>
    <w:next w:val="1"/>
    <w:qFormat/>
    <w:locked/>
    <w:uiPriority w:val="99"/>
    <w:pPr>
      <w:ind w:left="200" w:leftChars="200" w:hanging="200" w:hangingChars="200"/>
    </w:pPr>
    <w:rPr>
      <w:rFonts w:ascii="Calibri" w:hAnsi="Calibri"/>
    </w:rPr>
  </w:style>
  <w:style w:type="paragraph" w:styleId="16">
    <w:name w:val="Normal (Web)"/>
    <w:basedOn w:val="1"/>
    <w:link w:val="37"/>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6"/>
    <w:next w:val="6"/>
    <w:link w:val="38"/>
    <w:qFormat/>
    <w:uiPriority w:val="0"/>
    <w:rPr>
      <w:b/>
      <w:kern w:val="2"/>
    </w:rPr>
  </w:style>
  <w:style w:type="paragraph" w:styleId="18">
    <w:name w:val="Body Text First Indent"/>
    <w:basedOn w:val="7"/>
    <w:link w:val="39"/>
    <w:qFormat/>
    <w:locked/>
    <w:uiPriority w:val="0"/>
    <w:pPr>
      <w:widowControl w:val="0"/>
      <w:snapToGrid/>
      <w:spacing w:before="0" w:after="120" w:line="240" w:lineRule="auto"/>
      <w:ind w:right="0" w:firstLine="420" w:firstLineChars="100"/>
    </w:pPr>
    <w:rPr>
      <w:kern w:val="2"/>
      <w:sz w:val="21"/>
      <w:szCs w:val="24"/>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locked/>
    <w:uiPriority w:val="0"/>
  </w:style>
  <w:style w:type="character" w:styleId="23">
    <w:name w:val="Hyperlink"/>
    <w:qFormat/>
    <w:locked/>
    <w:uiPriority w:val="0"/>
    <w:rPr>
      <w:color w:val="333333"/>
      <w:u w:val="none"/>
    </w:rPr>
  </w:style>
  <w:style w:type="character" w:styleId="24">
    <w:name w:val="annotation reference"/>
    <w:semiHidden/>
    <w:qFormat/>
    <w:uiPriority w:val="0"/>
    <w:rPr>
      <w:sz w:val="21"/>
    </w:rPr>
  </w:style>
  <w:style w:type="character" w:customStyle="1" w:styleId="25">
    <w:name w:val="标题 3 字符"/>
    <w:link w:val="3"/>
    <w:semiHidden/>
    <w:qFormat/>
    <w:uiPriority w:val="0"/>
    <w:rPr>
      <w:b/>
      <w:bCs/>
      <w:kern w:val="2"/>
      <w:sz w:val="32"/>
      <w:szCs w:val="32"/>
    </w:rPr>
  </w:style>
  <w:style w:type="paragraph" w:customStyle="1" w:styleId="26">
    <w:name w:val="表头1"/>
    <w:basedOn w:val="1"/>
    <w:link w:val="27"/>
    <w:qFormat/>
    <w:uiPriority w:val="0"/>
    <w:pPr>
      <w:adjustRightInd w:val="0"/>
      <w:snapToGrid w:val="0"/>
      <w:jc w:val="left"/>
    </w:pPr>
    <w:rPr>
      <w:b/>
      <w:color w:val="000000"/>
      <w:sz w:val="26"/>
    </w:rPr>
  </w:style>
  <w:style w:type="character" w:customStyle="1" w:styleId="27">
    <w:name w:val="表头1 Char"/>
    <w:link w:val="26"/>
    <w:qFormat/>
    <w:uiPriority w:val="0"/>
    <w:rPr>
      <w:b/>
      <w:color w:val="000000"/>
      <w:kern w:val="2"/>
      <w:sz w:val="26"/>
      <w:szCs w:val="24"/>
    </w:rPr>
  </w:style>
  <w:style w:type="character" w:customStyle="1" w:styleId="28">
    <w:name w:val="正文缩进 字符"/>
    <w:link w:val="4"/>
    <w:qFormat/>
    <w:uiPriority w:val="0"/>
    <w:rPr>
      <w:kern w:val="2"/>
      <w:sz w:val="28"/>
    </w:rPr>
  </w:style>
  <w:style w:type="character" w:customStyle="1" w:styleId="29">
    <w:name w:val="批注文字 字符"/>
    <w:link w:val="6"/>
    <w:qFormat/>
    <w:locked/>
    <w:uiPriority w:val="0"/>
    <w:rPr>
      <w:rFonts w:ascii="Times New Roman" w:hAnsi="Times New Roman" w:eastAsia="宋体"/>
      <w:sz w:val="24"/>
    </w:rPr>
  </w:style>
  <w:style w:type="character" w:customStyle="1" w:styleId="30">
    <w:name w:val="正文文本 字符"/>
    <w:link w:val="7"/>
    <w:qFormat/>
    <w:locked/>
    <w:uiPriority w:val="99"/>
    <w:rPr>
      <w:sz w:val="18"/>
    </w:rPr>
  </w:style>
  <w:style w:type="character" w:customStyle="1" w:styleId="31">
    <w:name w:val="正文文本缩进 字符"/>
    <w:link w:val="8"/>
    <w:semiHidden/>
    <w:qFormat/>
    <w:locked/>
    <w:uiPriority w:val="0"/>
    <w:rPr>
      <w:rFonts w:ascii="Times New Roman" w:hAnsi="Times New Roman" w:eastAsia="宋体"/>
      <w:sz w:val="24"/>
    </w:rPr>
  </w:style>
  <w:style w:type="character" w:customStyle="1" w:styleId="32">
    <w:name w:val="纯文本 字符"/>
    <w:link w:val="9"/>
    <w:qFormat/>
    <w:uiPriority w:val="0"/>
    <w:rPr>
      <w:rFonts w:ascii="宋体" w:hAnsi="Courier New"/>
      <w:kern w:val="44"/>
      <w:sz w:val="21"/>
    </w:rPr>
  </w:style>
  <w:style w:type="character" w:customStyle="1" w:styleId="33">
    <w:name w:val="日期 字符1"/>
    <w:link w:val="10"/>
    <w:qFormat/>
    <w:locked/>
    <w:uiPriority w:val="0"/>
    <w:rPr>
      <w:rFonts w:ascii="Times New Roman" w:hAnsi="Times New Roman" w:eastAsia="宋体"/>
      <w:sz w:val="24"/>
    </w:rPr>
  </w:style>
  <w:style w:type="character" w:customStyle="1" w:styleId="34">
    <w:name w:val="批注框文本 字符"/>
    <w:link w:val="11"/>
    <w:semiHidden/>
    <w:qFormat/>
    <w:locked/>
    <w:uiPriority w:val="0"/>
    <w:rPr>
      <w:rFonts w:ascii="Times New Roman" w:hAnsi="Times New Roman" w:eastAsia="宋体"/>
      <w:sz w:val="18"/>
    </w:rPr>
  </w:style>
  <w:style w:type="character" w:customStyle="1" w:styleId="35">
    <w:name w:val="页脚 字符1"/>
    <w:link w:val="12"/>
    <w:qFormat/>
    <w:locked/>
    <w:uiPriority w:val="99"/>
    <w:rPr>
      <w:sz w:val="18"/>
    </w:rPr>
  </w:style>
  <w:style w:type="character" w:customStyle="1" w:styleId="36">
    <w:name w:val="页眉 字符"/>
    <w:link w:val="13"/>
    <w:qFormat/>
    <w:locked/>
    <w:uiPriority w:val="0"/>
    <w:rPr>
      <w:sz w:val="18"/>
    </w:rPr>
  </w:style>
  <w:style w:type="character" w:customStyle="1" w:styleId="37">
    <w:name w:val="普通(网站) 字符"/>
    <w:link w:val="16"/>
    <w:qFormat/>
    <w:locked/>
    <w:uiPriority w:val="0"/>
    <w:rPr>
      <w:rFonts w:ascii="宋体" w:hAnsi="宋体" w:eastAsia="宋体"/>
      <w:sz w:val="24"/>
    </w:rPr>
  </w:style>
  <w:style w:type="character" w:customStyle="1" w:styleId="38">
    <w:name w:val="批注主题 字符"/>
    <w:link w:val="17"/>
    <w:qFormat/>
    <w:locked/>
    <w:uiPriority w:val="0"/>
    <w:rPr>
      <w:rFonts w:ascii="Times New Roman" w:hAnsi="Times New Roman" w:eastAsia="宋体"/>
      <w:b/>
      <w:kern w:val="2"/>
      <w:sz w:val="24"/>
    </w:rPr>
  </w:style>
  <w:style w:type="character" w:customStyle="1" w:styleId="39">
    <w:name w:val="正文首行缩进 字符"/>
    <w:link w:val="18"/>
    <w:qFormat/>
    <w:uiPriority w:val="0"/>
    <w:rPr>
      <w:kern w:val="2"/>
      <w:sz w:val="21"/>
      <w:szCs w:val="24"/>
    </w:rPr>
  </w:style>
  <w:style w:type="character" w:customStyle="1" w:styleId="40">
    <w:name w:val="日期 字符"/>
    <w:semiHidden/>
    <w:qFormat/>
    <w:uiPriority w:val="0"/>
    <w:rPr>
      <w:rFonts w:ascii="Times New Roman" w:hAnsi="Times New Roman" w:eastAsia="宋体"/>
      <w:sz w:val="24"/>
    </w:rPr>
  </w:style>
  <w:style w:type="character" w:customStyle="1" w:styleId="41">
    <w:name w:val=" Char Char5"/>
    <w:qFormat/>
    <w:uiPriority w:val="0"/>
    <w:rPr>
      <w:rFonts w:eastAsia="宋体"/>
      <w:kern w:val="2"/>
      <w:sz w:val="21"/>
      <w:lang w:val="en-US" w:eastAsia="zh-CN" w:bidi="ar-SA"/>
    </w:rPr>
  </w:style>
  <w:style w:type="character" w:customStyle="1" w:styleId="42">
    <w:name w:val="纯文本 Char"/>
    <w:qFormat/>
    <w:uiPriority w:val="0"/>
    <w:rPr>
      <w:rFonts w:ascii="宋体" w:hAnsi="Courier New" w:cs="Courier New"/>
      <w:kern w:val="2"/>
      <w:sz w:val="21"/>
      <w:szCs w:val="21"/>
    </w:rPr>
  </w:style>
  <w:style w:type="character" w:customStyle="1" w:styleId="43">
    <w:name w:val="CCGL表 字符"/>
    <w:link w:val="44"/>
    <w:qFormat/>
    <w:locked/>
    <w:uiPriority w:val="0"/>
    <w:rPr>
      <w:rFonts w:ascii="Calibri" w:hAnsi="Calibri"/>
      <w:sz w:val="22"/>
    </w:rPr>
  </w:style>
  <w:style w:type="paragraph" w:customStyle="1" w:styleId="44">
    <w:name w:val="CCGL表"/>
    <w:basedOn w:val="1"/>
    <w:link w:val="43"/>
    <w:qFormat/>
    <w:uiPriority w:val="0"/>
    <w:pPr>
      <w:autoSpaceDE w:val="0"/>
      <w:autoSpaceDN w:val="0"/>
      <w:adjustRightInd w:val="0"/>
      <w:jc w:val="center"/>
      <w:textAlignment w:val="baseline"/>
    </w:pPr>
    <w:rPr>
      <w:kern w:val="0"/>
      <w:sz w:val="22"/>
      <w:szCs w:val="20"/>
    </w:rPr>
  </w:style>
  <w:style w:type="character" w:customStyle="1" w:styleId="45">
    <w:name w:val="环评正文 字符"/>
    <w:link w:val="46"/>
    <w:qFormat/>
    <w:uiPriority w:val="3"/>
    <w:rPr>
      <w:rFonts w:eastAsia="仿宋_GB2312"/>
      <w:kern w:val="2"/>
      <w:sz w:val="24"/>
      <w:szCs w:val="21"/>
    </w:rPr>
  </w:style>
  <w:style w:type="paragraph" w:customStyle="1" w:styleId="46">
    <w:name w:val="环评正文"/>
    <w:basedOn w:val="1"/>
    <w:link w:val="45"/>
    <w:qFormat/>
    <w:uiPriority w:val="3"/>
    <w:pPr>
      <w:spacing w:line="360" w:lineRule="auto"/>
      <w:ind w:firstLine="480" w:firstLineChars="200"/>
    </w:pPr>
    <w:rPr>
      <w:rFonts w:eastAsia="仿宋_GB2312"/>
      <w:sz w:val="24"/>
      <w:szCs w:val="21"/>
    </w:rPr>
  </w:style>
  <w:style w:type="character" w:customStyle="1" w:styleId="47">
    <w:name w:val="标题 3 Char Char Char Char Char Char Char Char"/>
    <w:qFormat/>
    <w:uiPriority w:val="0"/>
    <w:rPr>
      <w:rFonts w:eastAsia="宋体"/>
      <w:b/>
      <w:bCs/>
      <w:kern w:val="2"/>
      <w:sz w:val="32"/>
      <w:szCs w:val="32"/>
      <w:lang w:val="en-US" w:eastAsia="zh-CN" w:bidi="ar-SA"/>
    </w:rPr>
  </w:style>
  <w:style w:type="character" w:customStyle="1" w:styleId="48">
    <w:name w:val="页脚 字符"/>
    <w:qFormat/>
    <w:uiPriority w:val="99"/>
  </w:style>
  <w:style w:type="character" w:customStyle="1" w:styleId="49">
    <w:name w:val="批注文字 字符1"/>
    <w:semiHidden/>
    <w:qFormat/>
    <w:uiPriority w:val="0"/>
    <w:rPr>
      <w:rFonts w:ascii="Times New Roman" w:hAnsi="Times New Roman" w:eastAsia="宋体"/>
      <w:sz w:val="24"/>
    </w:rPr>
  </w:style>
  <w:style w:type="character" w:customStyle="1" w:styleId="50">
    <w:name w:val="表格 Char"/>
    <w:link w:val="51"/>
    <w:qFormat/>
    <w:locked/>
    <w:uiPriority w:val="0"/>
    <w:rPr>
      <w:rFonts w:ascii="宋体"/>
      <w:sz w:val="21"/>
    </w:rPr>
  </w:style>
  <w:style w:type="paragraph" w:customStyle="1" w:styleId="51">
    <w:name w:val="表格"/>
    <w:basedOn w:val="1"/>
    <w:next w:val="1"/>
    <w:link w:val="50"/>
    <w:qFormat/>
    <w:uiPriority w:val="0"/>
    <w:pPr>
      <w:adjustRightInd w:val="0"/>
      <w:snapToGrid w:val="0"/>
      <w:spacing w:beforeLines="10" w:afterLines="10" w:line="259" w:lineRule="auto"/>
      <w:jc w:val="center"/>
    </w:pPr>
    <w:rPr>
      <w:rFonts w:ascii="宋体"/>
      <w:kern w:val="0"/>
      <w:szCs w:val="20"/>
    </w:rPr>
  </w:style>
  <w:style w:type="character" w:customStyle="1" w:styleId="52">
    <w:name w:val="正文文本 字符1"/>
    <w:semiHidden/>
    <w:qFormat/>
    <w:uiPriority w:val="0"/>
    <w:rPr>
      <w:rFonts w:ascii="Times New Roman" w:hAnsi="Times New Roman" w:eastAsia="宋体"/>
      <w:sz w:val="24"/>
    </w:rPr>
  </w:style>
  <w:style w:type="character" w:customStyle="1" w:styleId="53">
    <w:name w:val="纯文本 Char1"/>
    <w:qFormat/>
    <w:uiPriority w:val="0"/>
    <w:rPr>
      <w:rFonts w:hint="eastAsia" w:ascii="宋体" w:hAnsi="Courier New" w:eastAsia="宋体" w:cs="宋体"/>
      <w:kern w:val="44"/>
      <w:sz w:val="21"/>
      <w:lang w:val="en-US" w:eastAsia="zh-CN" w:bidi="ar"/>
    </w:rPr>
  </w:style>
  <w:style w:type="paragraph" w:customStyle="1" w:styleId="54">
    <w:name w:val="小表1"/>
    <w:basedOn w:val="1"/>
    <w:qFormat/>
    <w:uiPriority w:val="0"/>
    <w:pPr>
      <w:adjustRightInd w:val="0"/>
      <w:snapToGrid w:val="0"/>
      <w:jc w:val="center"/>
    </w:pPr>
    <w:rPr>
      <w:rFonts w:ascii="Calibri" w:hAnsi="Calibri"/>
      <w:sz w:val="22"/>
      <w:szCs w:val="22"/>
    </w:rPr>
  </w:style>
  <w:style w:type="paragraph" w:customStyle="1" w:styleId="5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6">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57">
    <w:name w:val="德胜表格内容"/>
    <w:basedOn w:val="1"/>
    <w:qFormat/>
    <w:uiPriority w:val="0"/>
    <w:pPr>
      <w:adjustRightInd w:val="0"/>
      <w:snapToGrid w:val="0"/>
      <w:jc w:val="center"/>
    </w:pPr>
    <w:rPr>
      <w:rFonts w:ascii="Calibri" w:hAnsi="Calibri" w:cs="宋体"/>
      <w:color w:val="0000FF"/>
      <w:kern w:val="0"/>
      <w:szCs w:val="21"/>
    </w:rPr>
  </w:style>
  <w:style w:type="paragraph" w:customStyle="1" w:styleId="58">
    <w:name w:val="表2"/>
    <w:basedOn w:val="1"/>
    <w:qFormat/>
    <w:uiPriority w:val="0"/>
    <w:pPr>
      <w:widowControl/>
      <w:jc w:val="center"/>
    </w:pPr>
    <w:rPr>
      <w:rFonts w:ascii="Calibri" w:hAnsi="Calibri"/>
      <w:kern w:val="0"/>
      <w:sz w:val="22"/>
      <w:szCs w:val="26"/>
    </w:rPr>
  </w:style>
  <w:style w:type="paragraph" w:customStyle="1" w:styleId="59">
    <w:name w:val="Table Paragraph"/>
    <w:basedOn w:val="1"/>
    <w:unhideWhenUsed/>
    <w:qFormat/>
    <w:uiPriority w:val="1"/>
    <w:rPr>
      <w:rFonts w:ascii="Calibri" w:hAnsi="Calibri"/>
      <w:sz w:val="24"/>
    </w:rPr>
  </w:style>
  <w:style w:type="paragraph" w:customStyle="1" w:styleId="6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正文样式 小四"/>
    <w:basedOn w:val="1"/>
    <w:qFormat/>
    <w:uiPriority w:val="0"/>
    <w:pPr>
      <w:spacing w:line="500" w:lineRule="exact"/>
      <w:ind w:firstLine="480" w:firstLineChars="200"/>
    </w:pPr>
    <w:rPr>
      <w:sz w:val="24"/>
      <w:szCs w:val="22"/>
    </w:rPr>
  </w:style>
  <w:style w:type="paragraph" w:customStyle="1" w:styleId="62">
    <w:name w:val="正文   1"/>
    <w:basedOn w:val="1"/>
    <w:link w:val="63"/>
    <w:qFormat/>
    <w:uiPriority w:val="0"/>
    <w:pPr>
      <w:snapToGrid w:val="0"/>
      <w:spacing w:line="460" w:lineRule="atLeast"/>
      <w:ind w:firstLine="520" w:firstLineChars="200"/>
    </w:pPr>
    <w:rPr>
      <w:bCs/>
      <w:sz w:val="26"/>
      <w:szCs w:val="20"/>
    </w:rPr>
  </w:style>
  <w:style w:type="character" w:customStyle="1" w:styleId="63">
    <w:name w:val="正文   1 Char"/>
    <w:link w:val="62"/>
    <w:qFormat/>
    <w:uiPriority w:val="0"/>
    <w:rPr>
      <w:bCs/>
      <w:kern w:val="2"/>
      <w:sz w:val="26"/>
    </w:rPr>
  </w:style>
  <w:style w:type="character" w:customStyle="1" w:styleId="64">
    <w:name w:val="标题  33 字符"/>
    <w:link w:val="65"/>
    <w:qFormat/>
    <w:uiPriority w:val="0"/>
    <w:rPr>
      <w:b/>
      <w:bCs/>
      <w:kern w:val="2"/>
      <w:sz w:val="26"/>
    </w:rPr>
  </w:style>
  <w:style w:type="paragraph" w:customStyle="1" w:styleId="65">
    <w:name w:val="标题  33"/>
    <w:basedOn w:val="62"/>
    <w:next w:val="62"/>
    <w:link w:val="64"/>
    <w:qFormat/>
    <w:uiPriority w:val="0"/>
    <w:pPr>
      <w:ind w:firstLine="0" w:firstLineChars="0"/>
    </w:pPr>
    <w:rPr>
      <w:b/>
    </w:rPr>
  </w:style>
  <w:style w:type="paragraph" w:styleId="66">
    <w:name w:val="List Paragraph"/>
    <w:basedOn w:val="1"/>
    <w:link w:val="67"/>
    <w:qFormat/>
    <w:uiPriority w:val="34"/>
    <w:pPr>
      <w:ind w:firstLine="420" w:firstLineChars="200"/>
    </w:pPr>
    <w:rPr>
      <w:szCs w:val="20"/>
    </w:rPr>
  </w:style>
  <w:style w:type="character" w:customStyle="1" w:styleId="67">
    <w:name w:val="列出段落 字符"/>
    <w:link w:val="66"/>
    <w:qFormat/>
    <w:uiPriority w:val="34"/>
    <w:rPr>
      <w:kern w:val="2"/>
      <w:sz w:val="21"/>
    </w:rPr>
  </w:style>
  <w:style w:type="character" w:customStyle="1" w:styleId="68">
    <w:name w:val="正文缩进 字符1"/>
    <w:qFormat/>
    <w:uiPriority w:val="0"/>
    <w:rPr>
      <w:rFonts w:eastAsia="宋体"/>
      <w:b/>
      <w:sz w:val="24"/>
      <w:szCs w:val="24"/>
      <w:lang w:bidi="ar-SA"/>
    </w:rPr>
  </w:style>
  <w:style w:type="character" w:customStyle="1" w:styleId="69">
    <w:name w:val="纯文本 字符1"/>
    <w:qFormat/>
    <w:uiPriority w:val="0"/>
    <w:rPr>
      <w:rFonts w:ascii="宋体" w:hAnsi="Courier New" w:eastAsia="宋体"/>
      <w:kern w:val="2"/>
      <w:sz w:val="24"/>
      <w:lang w:val="en-US" w:eastAsia="zh-CN" w:bidi="ar-SA"/>
    </w:rPr>
  </w:style>
  <w:style w:type="character" w:customStyle="1" w:styleId="70">
    <w:name w:val="【正文】 Char"/>
    <w:link w:val="71"/>
    <w:qFormat/>
    <w:uiPriority w:val="0"/>
    <w:rPr>
      <w:kern w:val="2"/>
      <w:sz w:val="24"/>
    </w:rPr>
  </w:style>
  <w:style w:type="paragraph" w:customStyle="1" w:styleId="71">
    <w:name w:val="【正文】"/>
    <w:basedOn w:val="1"/>
    <w:link w:val="70"/>
    <w:qFormat/>
    <w:uiPriority w:val="0"/>
    <w:pPr>
      <w:spacing w:line="440" w:lineRule="exact"/>
      <w:ind w:firstLine="544" w:firstLineChars="200"/>
    </w:pPr>
    <w:rPr>
      <w:sz w:val="24"/>
      <w:szCs w:val="20"/>
    </w:rPr>
  </w:style>
  <w:style w:type="character" w:customStyle="1" w:styleId="72">
    <w:name w:val="标题   22 字符"/>
    <w:link w:val="73"/>
    <w:qFormat/>
    <w:uiPriority w:val="0"/>
    <w:rPr>
      <w:b/>
      <w:bCs/>
      <w:color w:val="000000"/>
      <w:kern w:val="2"/>
      <w:sz w:val="26"/>
    </w:rPr>
  </w:style>
  <w:style w:type="paragraph" w:customStyle="1" w:styleId="73">
    <w:name w:val="标题   22"/>
    <w:basedOn w:val="1"/>
    <w:next w:val="62"/>
    <w:link w:val="72"/>
    <w:qFormat/>
    <w:uiPriority w:val="0"/>
    <w:pPr>
      <w:spacing w:line="500" w:lineRule="exact"/>
      <w:outlineLvl w:val="1"/>
    </w:pPr>
    <w:rPr>
      <w:b/>
      <w:bCs/>
      <w:color w:val="000000"/>
      <w:sz w:val="26"/>
      <w:szCs w:val="20"/>
    </w:rPr>
  </w:style>
  <w:style w:type="paragraph" w:customStyle="1" w:styleId="74">
    <w:name w:val="4表内文字"/>
    <w:basedOn w:val="1"/>
    <w:next w:val="1"/>
    <w:link w:val="75"/>
    <w:qFormat/>
    <w:uiPriority w:val="0"/>
    <w:pPr>
      <w:spacing w:line="300" w:lineRule="atLeast"/>
      <w:jc w:val="center"/>
    </w:pPr>
    <w:rPr>
      <w:color w:val="000000"/>
      <w:kern w:val="0"/>
      <w:sz w:val="22"/>
      <w:szCs w:val="28"/>
    </w:rPr>
  </w:style>
  <w:style w:type="character" w:customStyle="1" w:styleId="75">
    <w:name w:val="4表内文字 字符"/>
    <w:link w:val="74"/>
    <w:qFormat/>
    <w:uiPriority w:val="0"/>
    <w:rPr>
      <w:color w:val="000000"/>
      <w:sz w:val="22"/>
      <w:szCs w:val="28"/>
    </w:rPr>
  </w:style>
  <w:style w:type="character" w:customStyle="1" w:styleId="76">
    <w:name w:val="表内字1 Char"/>
    <w:link w:val="77"/>
    <w:qFormat/>
    <w:uiPriority w:val="0"/>
    <w:rPr>
      <w:color w:val="000000"/>
      <w:kern w:val="2"/>
      <w:sz w:val="22"/>
      <w:szCs w:val="21"/>
    </w:rPr>
  </w:style>
  <w:style w:type="paragraph" w:customStyle="1" w:styleId="77">
    <w:name w:val="表内字1"/>
    <w:basedOn w:val="1"/>
    <w:link w:val="76"/>
    <w:qFormat/>
    <w:uiPriority w:val="0"/>
    <w:pPr>
      <w:adjustRightInd w:val="0"/>
      <w:snapToGrid w:val="0"/>
      <w:spacing w:line="300" w:lineRule="exact"/>
      <w:jc w:val="center"/>
    </w:pPr>
    <w:rPr>
      <w:color w:val="000000"/>
      <w:sz w:val="22"/>
      <w:szCs w:val="21"/>
    </w:rPr>
  </w:style>
  <w:style w:type="paragraph" w:customStyle="1" w:styleId="78">
    <w:name w:val="表内字"/>
    <w:basedOn w:val="1"/>
    <w:link w:val="79"/>
    <w:qFormat/>
    <w:uiPriority w:val="0"/>
    <w:pPr>
      <w:autoSpaceDE w:val="0"/>
      <w:autoSpaceDN w:val="0"/>
      <w:adjustRightInd w:val="0"/>
      <w:snapToGrid w:val="0"/>
      <w:jc w:val="center"/>
    </w:pPr>
    <w:rPr>
      <w:kern w:val="0"/>
      <w:szCs w:val="21"/>
    </w:rPr>
  </w:style>
  <w:style w:type="character" w:customStyle="1" w:styleId="79">
    <w:name w:val="表内字 Char"/>
    <w:link w:val="78"/>
    <w:qFormat/>
    <w:uiPriority w:val="0"/>
    <w:rPr>
      <w:sz w:val="21"/>
      <w:szCs w:val="21"/>
    </w:rPr>
  </w:style>
  <w:style w:type="table" w:customStyle="1" w:styleId="80">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81">
    <w:name w:val="1环评正文"/>
    <w:basedOn w:val="1"/>
    <w:qFormat/>
    <w:uiPriority w:val="0"/>
    <w:pPr>
      <w:spacing w:line="460" w:lineRule="exact"/>
      <w:ind w:firstLine="200" w:firstLineChars="200"/>
    </w:pPr>
    <w:rPr>
      <w:color w:val="000000"/>
      <w:sz w:val="26"/>
      <w:szCs w:val="21"/>
    </w:rPr>
  </w:style>
  <w:style w:type="character" w:customStyle="1" w:styleId="82">
    <w:name w:val="标题  44 字符"/>
    <w:link w:val="83"/>
    <w:qFormat/>
    <w:uiPriority w:val="0"/>
    <w:rPr>
      <w:b/>
      <w:color w:val="000000"/>
      <w:kern w:val="2"/>
      <w:sz w:val="26"/>
      <w:szCs w:val="24"/>
    </w:rPr>
  </w:style>
  <w:style w:type="paragraph" w:customStyle="1" w:styleId="83">
    <w:name w:val="标题  44"/>
    <w:basedOn w:val="1"/>
    <w:link w:val="82"/>
    <w:qFormat/>
    <w:uiPriority w:val="0"/>
    <w:pPr>
      <w:widowControl/>
      <w:spacing w:line="440" w:lineRule="exact"/>
      <w:outlineLvl w:val="3"/>
    </w:pPr>
    <w:rPr>
      <w:b/>
      <w:color w:val="000000"/>
      <w:sz w:val="26"/>
    </w:rPr>
  </w:style>
  <w:style w:type="paragraph" w:customStyle="1" w:styleId="84">
    <w:name w:val="3表头"/>
    <w:qFormat/>
    <w:uiPriority w:val="0"/>
    <w:pPr>
      <w:widowControl w:val="0"/>
      <w:autoSpaceDE w:val="0"/>
      <w:autoSpaceDN w:val="0"/>
      <w:adjustRightInd w:val="0"/>
      <w:spacing w:before="100" w:beforeLines="100"/>
      <w:ind w:firstLine="200" w:firstLineChars="200"/>
    </w:pPr>
    <w:rPr>
      <w:rFonts w:ascii="Times New Roman" w:hAnsi="Times New Roman" w:eastAsia="宋体" w:cs="宋体"/>
      <w:b/>
      <w:color w:val="000000"/>
      <w:sz w:val="26"/>
      <w:szCs w:val="24"/>
      <w:lang w:val="en-US" w:eastAsia="zh-CN" w:bidi="ar-SA"/>
    </w:rPr>
  </w:style>
  <w:style w:type="character" w:customStyle="1" w:styleId="85">
    <w:name w:val="正 文 Char"/>
    <w:link w:val="86"/>
    <w:qFormat/>
    <w:locked/>
    <w:uiPriority w:val="0"/>
    <w:rPr>
      <w:rFonts w:ascii="宋体" w:hAnsi="宋体"/>
      <w:kern w:val="2"/>
      <w:sz w:val="24"/>
      <w:szCs w:val="24"/>
    </w:rPr>
  </w:style>
  <w:style w:type="paragraph" w:customStyle="1" w:styleId="86">
    <w:name w:val="正 文"/>
    <w:basedOn w:val="1"/>
    <w:link w:val="85"/>
    <w:qFormat/>
    <w:uiPriority w:val="0"/>
    <w:pPr>
      <w:spacing w:line="440" w:lineRule="exact"/>
      <w:ind w:firstLine="200" w:firstLineChars="200"/>
    </w:pPr>
    <w:rPr>
      <w:rFonts w:ascii="宋体" w:hAnsi="宋体"/>
      <w:sz w:val="24"/>
    </w:rPr>
  </w:style>
  <w:style w:type="character" w:customStyle="1" w:styleId="87">
    <w:name w:val="表格体 Char"/>
    <w:link w:val="88"/>
    <w:qFormat/>
    <w:locked/>
    <w:uiPriority w:val="0"/>
    <w:rPr>
      <w:kern w:val="2"/>
      <w:sz w:val="21"/>
      <w:szCs w:val="22"/>
    </w:rPr>
  </w:style>
  <w:style w:type="paragraph" w:customStyle="1" w:styleId="88">
    <w:name w:val="表格体"/>
    <w:basedOn w:val="89"/>
    <w:link w:val="87"/>
    <w:qFormat/>
    <w:uiPriority w:val="0"/>
    <w:pPr>
      <w:jc w:val="center"/>
    </w:pPr>
    <w:rPr>
      <w:szCs w:val="22"/>
    </w:rPr>
  </w:style>
  <w:style w:type="paragraph" w:styleId="8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0">
    <w:name w:val="font01"/>
    <w:qFormat/>
    <w:uiPriority w:val="0"/>
    <w:rPr>
      <w:rFonts w:hint="eastAsia" w:ascii="宋体" w:hAnsi="宋体" w:eastAsia="宋体"/>
      <w:color w:val="000000"/>
      <w:sz w:val="20"/>
      <w:szCs w:val="20"/>
      <w:u w:val="none"/>
    </w:rPr>
  </w:style>
  <w:style w:type="paragraph" w:customStyle="1" w:styleId="91">
    <w:name w:val="样式 行距: 固定值 23 磅 首行缩进:  2 字符"/>
    <w:basedOn w:val="1"/>
    <w:qFormat/>
    <w:uiPriority w:val="0"/>
    <w:pPr>
      <w:spacing w:line="460" w:lineRule="exact"/>
      <w:ind w:firstLine="420" w:firstLineChars="200"/>
    </w:pPr>
    <w:rPr>
      <w:rFonts w:cs="宋体"/>
      <w:szCs w:val="20"/>
    </w:rPr>
  </w:style>
  <w:style w:type="paragraph" w:customStyle="1" w:styleId="92">
    <w:name w:val="表头"/>
    <w:basedOn w:val="5"/>
    <w:qFormat/>
    <w:uiPriority w:val="0"/>
    <w:pPr>
      <w:adjustRightInd w:val="0"/>
      <w:snapToGrid w:val="0"/>
      <w:spacing w:line="460" w:lineRule="exact"/>
      <w:jc w:val="center"/>
    </w:pPr>
    <w:rPr>
      <w:rFonts w:ascii="Arial" w:hAnsi="Arial" w:cs="Arial"/>
      <w:spacing w:val="2"/>
      <w:sz w:val="26"/>
      <w:szCs w:val="26"/>
    </w:rPr>
  </w:style>
  <w:style w:type="paragraph" w:customStyle="1" w:styleId="93">
    <w:name w:val="表格文字"/>
    <w:basedOn w:val="1"/>
    <w:next w:val="46"/>
    <w:qFormat/>
    <w:uiPriority w:val="0"/>
    <w:pPr>
      <w:spacing w:line="320" w:lineRule="exact"/>
    </w:pPr>
  </w:style>
  <w:style w:type="character" w:customStyle="1" w:styleId="94">
    <w:name w:val="font81"/>
    <w:qFormat/>
    <w:uiPriority w:val="0"/>
    <w:rPr>
      <w:rFonts w:hint="default" w:ascii="Times New Roman" w:hAnsi="Times New Roman" w:cs="Times New Roman"/>
      <w:color w:val="000000"/>
      <w:sz w:val="18"/>
      <w:szCs w:val="18"/>
      <w:u w:val="none"/>
      <w:vertAlign w:val="subscript"/>
    </w:rPr>
  </w:style>
  <w:style w:type="character" w:customStyle="1" w:styleId="95">
    <w:name w:val="批注文字 Char"/>
    <w:qFormat/>
    <w:locked/>
    <w:uiPriority w:val="0"/>
    <w:rPr>
      <w:rFonts w:ascii="Times New Roman" w:hAnsi="Times New Roman" w:eastAsia="宋体"/>
      <w:sz w:val="24"/>
    </w:rPr>
  </w:style>
  <w:style w:type="character" w:customStyle="1" w:styleId="96">
    <w:name w:val="font41"/>
    <w:qFormat/>
    <w:uiPriority w:val="0"/>
    <w:rPr>
      <w:rFonts w:hint="default" w:ascii="Times New Roman" w:hAnsi="Times New Roman" w:cs="Times New Roman"/>
      <w:color w:val="000000"/>
      <w:sz w:val="21"/>
      <w:szCs w:val="21"/>
      <w:u w:val="none"/>
      <w:vertAlign w:val="superscript"/>
    </w:rPr>
  </w:style>
  <w:style w:type="character" w:customStyle="1" w:styleId="97">
    <w:name w:val="font31"/>
    <w:qFormat/>
    <w:uiPriority w:val="0"/>
    <w:rPr>
      <w:rFonts w:hint="eastAsia" w:ascii="宋体" w:hAnsi="宋体" w:eastAsia="宋体" w:cs="宋体"/>
      <w:color w:val="000000"/>
      <w:sz w:val="21"/>
      <w:szCs w:val="21"/>
      <w:u w:val="none"/>
    </w:rPr>
  </w:style>
  <w:style w:type="character" w:customStyle="1" w:styleId="98">
    <w:name w:val="font11"/>
    <w:qFormat/>
    <w:uiPriority w:val="0"/>
    <w:rPr>
      <w:rFonts w:hint="eastAsia" w:ascii="宋体" w:hAnsi="宋体" w:eastAsia="宋体" w:cs="宋体"/>
      <w:color w:val="000000"/>
      <w:sz w:val="22"/>
      <w:szCs w:val="22"/>
      <w:u w:val="none"/>
    </w:rPr>
  </w:style>
  <w:style w:type="paragraph" w:customStyle="1" w:styleId="99">
    <w:name w:val="默认"/>
    <w:qFormat/>
    <w:uiPriority w:val="0"/>
    <w:rPr>
      <w:rFonts w:ascii="Helvetica" w:hAnsi="Helvetica" w:eastAsia="Helvetica" w:cs="Helvetica"/>
      <w:color w:val="000000"/>
      <w:sz w:val="22"/>
      <w:szCs w:val="22"/>
      <w:lang w:val="en-US" w:eastAsia="zh-CN" w:bidi="ar-SA"/>
    </w:rPr>
  </w:style>
  <w:style w:type="character" w:customStyle="1" w:styleId="100">
    <w:name w:val="font21"/>
    <w:basedOn w:val="21"/>
    <w:qFormat/>
    <w:uiPriority w:val="0"/>
    <w:rPr>
      <w:rFonts w:hint="eastAsia" w:ascii="宋体" w:hAnsi="宋体" w:eastAsia="宋体" w:cs="宋体"/>
      <w:color w:val="000000"/>
      <w:sz w:val="21"/>
      <w:szCs w:val="21"/>
      <w:u w:val="none"/>
    </w:rPr>
  </w:style>
  <w:style w:type="character" w:customStyle="1" w:styleId="101">
    <w:name w:val="font51"/>
    <w:basedOn w:val="21"/>
    <w:qFormat/>
    <w:uiPriority w:val="0"/>
    <w:rPr>
      <w:rFonts w:hint="default" w:ascii="Times New Roman" w:hAnsi="Times New Roman" w:cs="Times New Roman"/>
      <w:color w:val="000000"/>
      <w:sz w:val="21"/>
      <w:szCs w:val="21"/>
      <w:u w:val="none"/>
      <w:vertAlign w:val="superscript"/>
    </w:rPr>
  </w:style>
  <w:style w:type="character" w:customStyle="1" w:styleId="102">
    <w:name w:val="font61"/>
    <w:basedOn w:val="21"/>
    <w:qFormat/>
    <w:uiPriority w:val="0"/>
    <w:rPr>
      <w:rFonts w:hint="eastAsia" w:ascii="宋体" w:hAnsi="宋体" w:eastAsia="宋体" w:cs="宋体"/>
      <w:color w:val="FF0000"/>
      <w:sz w:val="21"/>
      <w:szCs w:val="21"/>
      <w:u w:val="none"/>
    </w:rPr>
  </w:style>
  <w:style w:type="character" w:customStyle="1" w:styleId="103">
    <w:name w:val="font71"/>
    <w:basedOn w:val="21"/>
    <w:qFormat/>
    <w:uiPriority w:val="0"/>
    <w:rPr>
      <w:rFonts w:hint="eastAsia" w:ascii="宋体" w:hAnsi="宋体" w:eastAsia="宋体" w:cs="宋体"/>
      <w:color w:val="FF0000"/>
      <w:sz w:val="21"/>
      <w:szCs w:val="21"/>
      <w:u w:val="none"/>
    </w:rPr>
  </w:style>
  <w:style w:type="character" w:customStyle="1" w:styleId="104">
    <w:name w:val="font91"/>
    <w:basedOn w:val="21"/>
    <w:qFormat/>
    <w:uiPriority w:val="0"/>
    <w:rPr>
      <w:rFonts w:hint="default" w:ascii="Times New Roman" w:hAnsi="Times New Roman" w:cs="Times New Roman"/>
      <w:color w:val="FF0000"/>
      <w:sz w:val="21"/>
      <w:szCs w:val="21"/>
      <w:u w:val="none"/>
      <w:vertAlign w:val="subscript"/>
    </w:rPr>
  </w:style>
  <w:style w:type="character" w:customStyle="1" w:styleId="105">
    <w:name w:val="font101"/>
    <w:basedOn w:val="21"/>
    <w:qFormat/>
    <w:uiPriority w:val="0"/>
    <w:rPr>
      <w:rFonts w:hint="default" w:ascii="Times New Roman" w:hAnsi="Times New Roman" w:cs="Times New Roman"/>
      <w:color w:val="FF0000"/>
      <w:sz w:val="21"/>
      <w:szCs w:val="21"/>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oleObject" Target="embeddings/oleObject5.bin"/><Relationship Id="rId17" Type="http://schemas.openxmlformats.org/officeDocument/2006/relationships/image" Target="media/image7.emf"/><Relationship Id="rId16" Type="http://schemas.openxmlformats.org/officeDocument/2006/relationships/oleObject" Target="embeddings/oleObject4.bin"/><Relationship Id="rId15" Type="http://schemas.openxmlformats.org/officeDocument/2006/relationships/image" Target="media/image6.emf"/><Relationship Id="rId14" Type="http://schemas.openxmlformats.org/officeDocument/2006/relationships/oleObject" Target="embeddings/oleObject3.bin"/><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oleObject" Target="embeddings/oleObject2.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81</Pages>
  <Words>7828</Words>
  <Characters>8026</Characters>
  <Lines>412</Lines>
  <Paragraphs>116</Paragraphs>
  <TotalTime>1</TotalTime>
  <ScaleCrop>false</ScaleCrop>
  <LinksUpToDate>false</LinksUpToDate>
  <CharactersWithSpaces>8165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2023-03-02T10:41:00Z</dcterms:created>
  <dc:creator>lhj</dc:creator>
  <cp:lastModifiedBy>毛毛1416187260</cp:lastModifiedBy>
  <cp:lastPrinted>2025-08-06T09:43:00Z</cp:lastPrinted>
  <dcterms:modified xsi:type="dcterms:W3CDTF">2025-08-07T05:57:47Z</dcterms:modified>
  <dc:title>附件2</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B05712A04CCA4245B185DD1F4DFD0ADB_13</vt:lpwstr>
  </property>
  <property fmtid="{D5CDD505-2E9C-101B-9397-08002B2CF9AE}" pid="4" name="KSOTemplateDocerSaveRecord">
    <vt:lpwstr>eyJoZGlkIjoiZGEyY2UwZjI0N2E1NmJmODYzMzk4ZTAzMTQxODQ3YjEiLCJ1c2VySWQiOiIyNTE0OTE3OSJ9</vt:lpwstr>
  </property>
</Properties>
</file>